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Výbor pro zaměstnanost a sociální věci</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23. 4. 2026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81</w:t>
      </w:r>
      <w:r>
        <w:t xml:space="preserve"> - </w:t>
      </w:r>
      <w:r>
        <w:t>408</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Provádění doporučení Rady ze dne 30. října 2020 o mostu k pracovním místům – posílení záruk pro mladé lidi a o nahrazení doporučení Rady ze dne 22. dubna 2013 o zavedení záruk pro mladé lidi</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dobrou výkonnost trhů práce v EU a historicky nízkou míru nezaměstnanosti; vyjadřuje však politování nad tím, že tento trend nemá větší dopad na mladé lidi, jejichž míra nezaměstnanosti se pohybuje kolem 15 %, a je tedy stále téměř třikrát vyšší než v celkové populaci;</w:t>
            </w:r>
          </w:p>
        </w:tc>
        <w:tc>
          <w:tcPr>
            <w:tcW w:w="4876" w:type="dxa"/>
            <w:tcBorders>
              <w:top w:val="nil"/>
              <w:left w:val="nil"/>
              <w:bottom w:val="nil"/>
              <w:right w:val="nil"/>
            </w:tcBorders>
          </w:tcPr>
          <w:p>
            <w:pPr>
              <w:pStyle w:val="Normal6a"/>
            </w:pPr>
            <w:r>
              <w:t>1.</w:t>
            </w:r>
            <w:r>
              <w:tab/>
            </w:r>
            <w:r>
              <w:t xml:space="preserve">vítá dobrou výkonnost trhů práce v EU a historicky nízkou míru nezaměstnanosti; vyjadřuje však politování nad tím, že tento trend nemá větší dopad na mladé lidi, jejichž míra nezaměstnanosti se pohybuje kolem 15 %, a je tedy stále téměř třikrát vyšší než v celkové populaci; </w:t>
            </w:r>
            <w:r>
              <w:rPr>
                <w:b/>
                <w:i/>
              </w:rPr>
              <w:t>vyzývá členské státy, aby prozkoumaly přístupy zaměřené na mládež, které usnadňují přechod ze školy do pracovního života, podporují podnikání a zajišťují, aby systémy vzdělávání a odborné přípravy reagovaly na rychle se měnící potřeby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dobrou výkonnost trhů práce v EU a historicky nízkou míru nezaměstnanosti; vyjadřuje však politování nad tím, že tento trend nemá větší dopad na mladé lidi, jejichž míra nezaměstnanosti se pohybuje kolem 15 %, a je tedy stále téměř třikrát vyšší než v celkové populaci;</w:t>
            </w:r>
          </w:p>
        </w:tc>
        <w:tc>
          <w:tcPr>
            <w:tcW w:w="4876" w:type="dxa"/>
            <w:tcBorders>
              <w:top w:val="nil"/>
              <w:left w:val="nil"/>
              <w:bottom w:val="nil"/>
              <w:right w:val="nil"/>
            </w:tcBorders>
          </w:tcPr>
          <w:p>
            <w:pPr>
              <w:pStyle w:val="Normal6a"/>
            </w:pPr>
            <w:r>
              <w:t>1.</w:t>
            </w:r>
            <w:r>
              <w:tab/>
            </w:r>
            <w:r>
              <w:t xml:space="preserve">vítá dobrou výkonnost trhů práce v EU a historicky nízkou míru nezaměstnanosti; vyjadřuje však politování nad tím, že tento trend nemá větší dopad na mladé lidi, jejichž míra nezaměstnanosti se pohybuje kolem 15 %, a je tedy stále téměř třikrát vyšší než v celkové populaci; </w:t>
            </w:r>
            <w:r>
              <w:rPr>
                <w:b/>
                <w:i/>
              </w:rPr>
              <w:t>dále zdůrazňuje, že zlepšení celkových ukazatelů zaměstnanosti nesmí zakrývat nárůst počtu nejistých, špatně placených nebo krátkodobých pracovních míst mezi mladými lidmi;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dobrou výkonnost trhů práce v EU a historicky nízkou míru nezaměstnanosti; vyjadřuje však politování nad tím, že tento trend nemá větší dopad na mladé lidi, jejichž míra nezaměstnanosti se pohybuje kolem 15 %, a je tedy stále téměř třikrát vyšší než v celkové populaci;</w:t>
            </w:r>
          </w:p>
        </w:tc>
        <w:tc>
          <w:tcPr>
            <w:tcW w:w="4876" w:type="dxa"/>
            <w:tcBorders>
              <w:top w:val="nil"/>
              <w:left w:val="nil"/>
              <w:bottom w:val="nil"/>
              <w:right w:val="nil"/>
            </w:tcBorders>
          </w:tcPr>
          <w:p>
            <w:pPr>
              <w:pStyle w:val="Normal6a"/>
            </w:pPr>
            <w:r>
              <w:t>1.</w:t>
            </w:r>
            <w:r>
              <w:tab/>
            </w:r>
            <w:r>
              <w:t>vítá dobrou výkonnost trhů práce v EU a historicky nízkou míru nezaměstnanosti; vyjadřuje však politování nad tím, že tento trend nemá větší dopad na mladé lidi, jejichž míra nezaměstnanosti se pohybuje kolem 15 %, a je tedy stále téměř třikrát vyšší než v celkové populaci</w:t>
            </w:r>
            <w:r>
              <w:rPr>
                <w:b/>
                <w:i/>
                <w:vertAlign w:val="superscript"/>
              </w:rPr>
              <w:t>18a</w:t>
            </w:r>
            <w:r>
              <w:t xml:space="preserve">; </w:t>
            </w:r>
            <w:r>
              <w:rPr>
                <w:b/>
                <w:i/>
              </w:rPr>
              <w:t>konstatuje, že situace je obzvláště znepokojivá u mladých žen, mladých lidí se zdravotním postižením, mladých Romů a mladých lidí v ústavní péči;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https://doi.org/10.2908/UNE_RT_A.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dobrou výkonnost trhů práce v EU a historicky nízkou míru nezaměstnanosti; vyjadřuje však politování nad tím, že tento trend nemá větší dopad na mladé lidi, jejichž míra nezaměstnanosti se pohybuje kolem 15 %, a je tedy stále téměř třikrát vyšší než v celkové populaci;</w:t>
            </w:r>
          </w:p>
        </w:tc>
        <w:tc>
          <w:tcPr>
            <w:tcW w:w="4876" w:type="dxa"/>
            <w:tcBorders>
              <w:top w:val="nil"/>
              <w:left w:val="nil"/>
              <w:bottom w:val="nil"/>
              <w:right w:val="nil"/>
            </w:tcBorders>
          </w:tcPr>
          <w:p>
            <w:pPr>
              <w:pStyle w:val="Normal6a"/>
            </w:pPr>
            <w:r>
              <w:t>1.</w:t>
            </w:r>
            <w:r>
              <w:tab/>
            </w:r>
            <w:r>
              <w:t xml:space="preserve">vítá dobrou výkonnost trhů práce v EU a historicky nízkou míru nezaměstnanosti; vyjadřuje však politování nad tím, že tento trend nemá větší dopad na mladé lidi, jejichž míra nezaměstnanosti se pohybuje kolem 15 %, a je tedy stále téměř třikrát vyšší než v celkové populaci; </w:t>
            </w:r>
            <w:r>
              <w:rPr>
                <w:b/>
                <w:i/>
              </w:rPr>
              <w:t>zdůrazňuje však, že pokles nezaměstnanosti nemusí nutně znamenat zlepšení kvality pracovních míst, zejména u mladých lidí;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dobrou výkonnost trhů práce v EU a historicky nízkou míru nezaměstnanosti; vyjadřuje však politování nad tím, že tento trend nemá větší dopad na mladé lidi, jejichž míra nezaměstnanosti se pohybuje kolem 15 %, a je tedy stále téměř třikrát vyšší než v celkové populaci;</w:t>
            </w:r>
          </w:p>
        </w:tc>
        <w:tc>
          <w:tcPr>
            <w:tcW w:w="4876" w:type="dxa"/>
            <w:tcBorders>
              <w:top w:val="nil"/>
              <w:left w:val="nil"/>
              <w:bottom w:val="nil"/>
              <w:right w:val="nil"/>
            </w:tcBorders>
          </w:tcPr>
          <w:p>
            <w:pPr>
              <w:pStyle w:val="Normal6a"/>
            </w:pPr>
            <w:r>
              <w:t>1.</w:t>
            </w:r>
            <w:r>
              <w:tab/>
            </w:r>
            <w:r>
              <w:t xml:space="preserve">vítá dobrou výkonnost trhů práce v EU a historicky nízkou míru nezaměstnanosti; vyjadřuje však politování nad tím, že tento trend nemá větší dopad na mladé lidi, jejichž míra nezaměstnanosti </w:t>
            </w:r>
            <w:r>
              <w:rPr>
                <w:b/>
                <w:i/>
              </w:rPr>
              <w:t>v Unii</w:t>
            </w:r>
            <w:r>
              <w:t xml:space="preserve"> se pohybuje kolem 15 %, a je tedy stále téměř třikrát vyšší než v celkové populaci; </w:t>
            </w:r>
            <w:r>
              <w:rPr>
                <w:b/>
                <w:i/>
              </w:rPr>
              <w:t> zdůrazňuje, že záruky pro mladé lidi mají potenciál snížit nezaměstnanost mladých lidí a působit jako preventivní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zdůrazňuje, že čtyřměsíční lhůta pro předložení nabídky má smysl pouze tehdy, je-li tato nabídka skutečně kvalitní, vede k trvalému zaměstnání s perspektivou a přináší přiměřenou mzdu zajišťující normální život;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vítá</w:t>
            </w:r>
            <w:r>
              <w:t xml:space="preserve"> klesající trend podílu mladých lidí, kteří nejsou zaměstnaní ani se neúčastní vzdělávání nebo odborné přípravy (NEET), v EU </w:t>
            </w:r>
            <w:r>
              <w:rPr>
                <w:b/>
                <w:i/>
              </w:rPr>
              <w:t>od zavedení záruk pro mladé lidi</w:t>
            </w:r>
            <w:r>
              <w:t xml:space="preserve">, který v roce 2024 klesl na 11,1 %; upozorňuje </w:t>
            </w:r>
            <w:r>
              <w:rPr>
                <w:b/>
                <w:i/>
              </w:rPr>
              <w:t>však na</w:t>
            </w:r>
            <w:r>
              <w:t xml:space="preserve"> rozdíly mezi členskými státy, kdy některé již dosáhly cíle pro rok 2030 a jiné mají stále znepokojivě vysoký počet osob NEET;</w:t>
            </w:r>
          </w:p>
        </w:tc>
        <w:tc>
          <w:tcPr>
            <w:tcW w:w="4876" w:type="dxa"/>
            <w:tcBorders>
              <w:top w:val="nil"/>
              <w:left w:val="nil"/>
              <w:bottom w:val="nil"/>
              <w:right w:val="nil"/>
            </w:tcBorders>
          </w:tcPr>
          <w:p>
            <w:pPr>
              <w:pStyle w:val="Normal6a"/>
            </w:pPr>
            <w:r>
              <w:t>2.</w:t>
            </w:r>
            <w:r>
              <w:tab/>
            </w:r>
            <w:r>
              <w:rPr>
                <w:b/>
                <w:i/>
              </w:rPr>
              <w:t>bere na vědomí</w:t>
            </w:r>
            <w:r>
              <w:t xml:space="preserve"> klesající trend podílu mladých lidí, kteří nejsou zaměstnaní ani se neúčastní vzdělávání nebo odborné přípravy (NEET), v EU, který v roce 2024 klesl na 11,1 %; </w:t>
            </w:r>
            <w:r>
              <w:rPr>
                <w:b/>
                <w:i/>
              </w:rPr>
              <w:t>připomíná však, že tento pokles nelze připsat účinnosti programu „Záruka pro mládež“, neboť začlenění na trh práce závisí především na konkurenceschopnosti domácích podniků a demografickém vývoji;</w:t>
            </w:r>
            <w:r>
              <w:t xml:space="preserve"> upozorňuje </w:t>
            </w:r>
            <w:r>
              <w:rPr>
                <w:b/>
                <w:i/>
              </w:rPr>
              <w:t>dále na podstatné územní nerovnosti a</w:t>
            </w:r>
            <w:r>
              <w:t xml:space="preserve"> rozdíly mezi členskými státy, kdy některé již dosáhly cíle pro rok 2030 a jiné mají stále znepokojivě vysoký počet osob NEET</w:t>
            </w:r>
            <w:r>
              <w:rPr>
                <w:b/>
                <w:i/>
              </w:rPr>
              <w:t>, zejména v zanedbávaných zemědělských oblastech</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klesající trend podílu mladých lidí, kteří nejsou zaměstnaní ani se neúčastní vzdělávání nebo odborné přípravy (NEET), v EU od zavedení záruk pro mladé lidi, který v roce 2024 klesl na 11,1 %; upozorňuje však na rozdíly mezi členskými státy, kdy některé již dosáhly cíle pro rok 2030 a jiné mají stále znepokojivě vysoký počet osob NEET;</w:t>
            </w:r>
          </w:p>
        </w:tc>
        <w:tc>
          <w:tcPr>
            <w:tcW w:w="4876" w:type="dxa"/>
            <w:tcBorders>
              <w:top w:val="nil"/>
              <w:left w:val="nil"/>
              <w:bottom w:val="nil"/>
              <w:right w:val="nil"/>
            </w:tcBorders>
          </w:tcPr>
          <w:p>
            <w:pPr>
              <w:pStyle w:val="Normal6a"/>
            </w:pPr>
            <w:r>
              <w:t>2.</w:t>
            </w:r>
            <w:r>
              <w:tab/>
            </w:r>
            <w:r>
              <w:t xml:space="preserve">vítá klesající trend podílu mladých lidí, kteří nejsou zaměstnaní ani se neúčastní vzdělávání nebo odborné přípravy (NEET), v EU od zavedení záruk pro mladé lidi, který v roce 2024 klesl na 11,1 %; upozorňuje však na rozdíly mezi členskými státy, kdy některé již dosáhly cíle pro rok 2030 a jiné mají stále znepokojivě vysoký počet osob NEET; </w:t>
            </w:r>
            <w:r>
              <w:rPr>
                <w:b/>
                <w:i/>
              </w:rPr>
              <w:t>zdůrazňuje proto, že provádění záruky pro mladé lidi by mělo členským státům a regionálním orgánům umožnit dostatečnou flexibilitu při navrhování opatření přizpůsobených jejich specifickým současným podmínkám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vítá klesající trend podílu mladých lidí, kteří nejsou zaměstnaní ani se neúčastní vzdělávání nebo odborné přípravy (NEET), v EU od zavedení záruk pro mladé lidi, který v roce 2024 klesl na 11,1 %; upozorňuje však na rozdíly mezi členskými státy, kdy některé již dosáhly cíle </w:t>
            </w:r>
            <w:r>
              <w:rPr>
                <w:b/>
                <w:i/>
              </w:rPr>
              <w:t>pro rok 2030 a jiné mají</w:t>
            </w:r>
            <w:r>
              <w:t xml:space="preserve"> stále znepokojivě vysoký </w:t>
            </w:r>
            <w:r>
              <w:rPr>
                <w:b/>
                <w:i/>
              </w:rPr>
              <w:t>počet osob NEET</w:t>
            </w:r>
            <w:r>
              <w:t>;</w:t>
            </w:r>
          </w:p>
        </w:tc>
        <w:tc>
          <w:tcPr>
            <w:tcW w:w="4876" w:type="dxa"/>
            <w:tcBorders>
              <w:top w:val="nil"/>
              <w:left w:val="nil"/>
              <w:bottom w:val="nil"/>
              <w:right w:val="nil"/>
            </w:tcBorders>
          </w:tcPr>
          <w:p>
            <w:pPr>
              <w:pStyle w:val="Normal6a"/>
            </w:pPr>
            <w:r>
              <w:t>2.</w:t>
            </w:r>
            <w:r>
              <w:tab/>
            </w:r>
            <w:r>
              <w:t>vítá klesající trend podílu mladých lidí, kteří nejsou zaměstnaní ani se neúčastní vzdělávání nebo odborné přípravy (NEET), v EU od zavedení záruk pro mladé lidi, který v roce 2024 klesl na 11,1 %; upozorňuje však na rozdíly mezi členskými státy, kdy některé již dosáhly cíle </w:t>
            </w:r>
            <w:r>
              <w:rPr>
                <w:b/>
                <w:i/>
              </w:rPr>
              <w:t>Akčního plánu pro evropský pilíř sociálních práv (EPSR) spočívající ve snížení podílu NEET na 9 % do roku 2030, zatímco v jiných je počet osob NEET</w:t>
            </w:r>
            <w:r>
              <w:t xml:space="preserve"> stále znepokojivě vysoký;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vítá klesající trend podílu mladých lidí, kteří nejsou zaměstnaní ani se neúčastní vzdělávání nebo odborné přípravy (NEET), v EU od zavedení záruk pro mladé lidi, který v roce </w:t>
            </w:r>
            <w:r>
              <w:rPr>
                <w:b/>
                <w:i/>
              </w:rPr>
              <w:t>2024</w:t>
            </w:r>
            <w:r>
              <w:t xml:space="preserve"> klesl na </w:t>
            </w:r>
            <w:r>
              <w:rPr>
                <w:b/>
                <w:i/>
              </w:rPr>
              <w:t>11,1</w:t>
            </w:r>
            <w:r>
              <w:t xml:space="preserve"> %; upozorňuje však na rozdíly mezi členskými státy, kdy některé již dosáhly cíle pro rok 2030 a jiné mají stále znepokojivě vysoký počet osob NEET;</w:t>
            </w:r>
          </w:p>
        </w:tc>
        <w:tc>
          <w:tcPr>
            <w:tcW w:w="4876" w:type="dxa"/>
            <w:tcBorders>
              <w:top w:val="nil"/>
              <w:left w:val="nil"/>
              <w:bottom w:val="nil"/>
              <w:right w:val="nil"/>
            </w:tcBorders>
          </w:tcPr>
          <w:p>
            <w:pPr>
              <w:pStyle w:val="Normal6a"/>
            </w:pPr>
            <w:r>
              <w:t>2.</w:t>
            </w:r>
            <w:r>
              <w:tab/>
            </w:r>
            <w:r>
              <w:t xml:space="preserve">vítá klesající trend podílu mladých lidí, kteří nejsou zaměstnaní ani se neúčastní vzdělávání nebo odborné přípravy (NEET), v EU od zavedení záruk pro mladé lidi, který v roce </w:t>
            </w:r>
            <w:r>
              <w:rPr>
                <w:b/>
                <w:i/>
              </w:rPr>
              <w:t>2025</w:t>
            </w:r>
            <w:r>
              <w:t xml:space="preserve"> klesl na </w:t>
            </w:r>
            <w:r>
              <w:rPr>
                <w:b/>
                <w:i/>
              </w:rPr>
              <w:t>10,9</w:t>
            </w:r>
            <w:r>
              <w:t xml:space="preserve"> %; upozorňuje však na rozdíly mezi členskými státy, kdy některé již dosáhly cíle pro rok 2030 a jiné mají stále znepokojivě vysoký počet osob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uznává, že kvalita pracovních míst zůstává v oblasti zaměstnanosti mladých lidí velkým problémem a že veřejné politiky by měly přispívat k boji proti nejistým formám práce, včetně neplacených nebo nedostatečně placených stáží, nedobrovolné práce na částečný úvazek, dočasného agenturního zaměstnávání a nehlášené práce, a zároveň podporovat spravedlivé pracovní podmínky a udržitelné vzdělávání a začlenění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zdůrazňuje, že ukazatele přímého sledování záruk pro mladé lidi naznačují značné a přetrvávající problémy při zavádění a realizaci systémů záruk pro mladé lidi; </w:t>
            </w:r>
            <w:r>
              <w:rPr>
                <w:b/>
                <w:i/>
              </w:rPr>
              <w:t>zdůrazňuje zejména, že v roce 2024 zůstala více než polovina účastníků (54 %) v přípravné fázi déle než čtyři měsíce a že pozitivní a včasné odchody z přípravné fáze představovaly méně než polovinu případů (45,1 %);</w:t>
            </w:r>
          </w:p>
        </w:tc>
        <w:tc>
          <w:tcPr>
            <w:tcW w:w="4876" w:type="dxa"/>
            <w:tcBorders>
              <w:top w:val="nil"/>
              <w:left w:val="nil"/>
              <w:bottom w:val="nil"/>
              <w:right w:val="nil"/>
            </w:tcBorders>
          </w:tcPr>
          <w:p>
            <w:pPr>
              <w:pStyle w:val="Normal6a"/>
            </w:pPr>
            <w:r>
              <w:t>3.</w:t>
            </w:r>
            <w:r>
              <w:tab/>
            </w:r>
            <w:r>
              <w:t>zdůrazňuje, že ukazatele přímého sledování záruk pro mladé lidi naznačují značné a přetrvávající problémy při zavádění a realizaci systémů záruk pro mladé lidi;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zdůrazňuje, že ukazatele přímého sledování záruk pro mladé lidi naznačují značné a přetrvávající problémy při zavádění a realizaci systémů záruk pro mladé lidi; zdůrazňuje zejména, že v roce 2024 zůstala více než polovina účastníků (54 %) v přípravné fázi déle než čtyři měsíce a že pozitivní a včasné odchody z přípravné fáze představovaly méně než polovinu případů (45,1 %);</w:t>
            </w:r>
          </w:p>
        </w:tc>
        <w:tc>
          <w:tcPr>
            <w:tcW w:w="4876" w:type="dxa"/>
            <w:tcBorders>
              <w:top w:val="nil"/>
              <w:left w:val="nil"/>
              <w:bottom w:val="nil"/>
              <w:right w:val="nil"/>
            </w:tcBorders>
          </w:tcPr>
          <w:p>
            <w:pPr>
              <w:pStyle w:val="Normal6a"/>
            </w:pPr>
            <w:r>
              <w:t>3.</w:t>
            </w:r>
            <w:r>
              <w:tab/>
            </w:r>
            <w:r>
              <w:t xml:space="preserve">zdůrazňuje, že ukazatele přímého sledování záruk pro mladé lidi naznačují značné a přetrvávající problémy při zavádění a realizaci systémů záruk pro mladé lidi; zdůrazňuje zejména, že v roce 2024 zůstala více než polovina účastníků (54 %) v přípravné fázi déle než čtyři měsíce a že pozitivní a včasné odchody z přípravné fáze představovaly méně než polovinu případů (45,1 %); </w:t>
            </w:r>
            <w:r>
              <w:rPr>
                <w:b/>
                <w:i/>
              </w:rPr>
              <w:t>vyzývá proto k zjednodušení postupů a k většímu zapojení zaměstnavatelů a místních aktérů, aby se urychlil přechod mladých lidí od přípravy k zaměstnání prostřednictvím praktičtějších příležitostí v praxi;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zdůrazňuje, že ukazatele přímého sledování záruk pro mladé lidi naznačují značné a přetrvávající problémy při zavádění a realizaci systémů záruk pro mladé lidi; zdůrazňuje zejména, že v roce 2024 zůstala více než polovina účastníků (54 %) v přípravné fázi déle než čtyři měsíce a že pozitivní a včasné odchody z přípravné fáze představovaly méně než polovinu případů (45,1 %);</w:t>
            </w:r>
          </w:p>
        </w:tc>
        <w:tc>
          <w:tcPr>
            <w:tcW w:w="4876" w:type="dxa"/>
            <w:tcBorders>
              <w:top w:val="nil"/>
              <w:left w:val="nil"/>
              <w:bottom w:val="nil"/>
              <w:right w:val="nil"/>
            </w:tcBorders>
          </w:tcPr>
          <w:p>
            <w:pPr>
              <w:pStyle w:val="Normal6a"/>
            </w:pPr>
            <w:r>
              <w:t>3.</w:t>
            </w:r>
            <w:r>
              <w:tab/>
            </w:r>
            <w:r>
              <w:t xml:space="preserve">zdůrazňuje, že ukazatele přímého sledování záruk pro mladé lidi naznačují značné a přetrvávající problémy při zavádění a realizaci systémů záruk pro mladé lidi; zdůrazňuje zejména, že v roce 2024 zůstala více než polovina účastníků (54 %) v přípravné fázi déle než čtyři měsíce a že pozitivní a včasné odchody z přípravné fáze představovaly méně než polovinu případů (45,1 %); </w:t>
            </w:r>
            <w:r>
              <w:rPr>
                <w:b/>
                <w:i/>
              </w:rPr>
              <w:t>vyjadřuje zvláštní znepokojení nad tím, že mladí lidé uvízli v cyklech předem připravených opatření, aniž by měli přístup ke stabilní a důstojné práci;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zdůrazňuje, že ukazatele přímého sledování záruk pro mladé lidi naznačují značné a přetrvávající problémy při zavádění a realizaci systémů záruk pro mladé lidi; zdůrazňuje zejména, že v roce 2024 zůstala více než polovina účastníků (54 %) v přípravné fázi déle než čtyři měsíce a že pozitivní a včasné odchody z přípravné fáze představovaly méně než polovinu případů (45,1 %);</w:t>
            </w:r>
          </w:p>
        </w:tc>
        <w:tc>
          <w:tcPr>
            <w:tcW w:w="4876" w:type="dxa"/>
            <w:tcBorders>
              <w:top w:val="nil"/>
              <w:left w:val="nil"/>
              <w:bottom w:val="nil"/>
              <w:right w:val="nil"/>
            </w:tcBorders>
          </w:tcPr>
          <w:p>
            <w:pPr>
              <w:pStyle w:val="Normal6a"/>
            </w:pPr>
            <w:r>
              <w:t>3.</w:t>
            </w:r>
            <w:r>
              <w:tab/>
            </w:r>
            <w:r>
              <w:t xml:space="preserve">zdůrazňuje, že ukazatele přímého sledování záruk pro mladé lidi naznačují značné a přetrvávající problémy při zavádění a realizaci systémů záruk pro mladé lidi; zdůrazňuje zejména, že v roce 2024 zůstala více než polovina účastníků (54 %) v přípravné fázi déle než čtyři měsíce a že pozitivní a včasné odchody z přípravné fáze představovaly méně než polovinu případů (45,1 %); </w:t>
            </w:r>
            <w:r>
              <w:rPr>
                <w:b/>
                <w:i/>
              </w:rPr>
              <w:t>lituje, že v roce 2024 dosahovala míra pokrytí programy záruk pro mladé lidi v mnoha členských státech méně než 50 % populace NEET</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Posouzení provádění na evropské úrovni ze dne 18. prosince 2025 nazvané „The implementation of the reinforced Youth Guarantee - Trends in EU Member States, impact, EU funding and governance“ (Provádění posílené záruky pro mladé lidi – trendy v členských státech EU, dopad, financování EU a správa), které zveřejnila výzkumná služba Evropského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zdůrazňuje, že ukazatele přímého sledování záruk pro mladé lidi naznačují značné a přetrvávající problémy při zavádění a realizaci systémů záruk pro mladé lidi; zdůrazňuje zejména, že v roce 2024 zůstala více než polovina účastníků (54 %) v přípravné fázi déle než čtyři měsíce a že pozitivní a včasné odchody z přípravné fáze představovaly méně než polovinu případů (45,1 %);</w:t>
            </w:r>
          </w:p>
        </w:tc>
        <w:tc>
          <w:tcPr>
            <w:tcW w:w="4876" w:type="dxa"/>
            <w:tcBorders>
              <w:top w:val="nil"/>
              <w:left w:val="nil"/>
              <w:bottom w:val="nil"/>
              <w:right w:val="nil"/>
            </w:tcBorders>
          </w:tcPr>
          <w:p>
            <w:pPr>
              <w:pStyle w:val="Normal6a"/>
            </w:pPr>
            <w:r>
              <w:t>3.</w:t>
            </w:r>
            <w:r>
              <w:tab/>
            </w:r>
            <w:r>
              <w:t>zdůrazňuje, že ukazatele přímého sledování záruk pro mladé lidi naznačují značné a přetrvávající problémy při zavádění a realizaci systémů záruk pro mladé lidi; zdůrazňuje zejména, že v roce 2024 zůstala více než polovina účastníků (54 %) v přípravné fázi déle než čtyři měsíce a že pozitivní a včasné odchody z přípravné fáze představovaly méně než polovinu případů (45,1 %)</w:t>
            </w:r>
            <w:r>
              <w:rPr>
                <w:b/>
                <w:i/>
                <w:vertAlign w:val="superscript"/>
              </w:rPr>
              <w:t>19a</w:t>
            </w:r>
            <w:r>
              <w:rPr>
                <w:b/>
                <w:i/>
              </w:rPr>
              <w:t>, což ukazuje, že systémy záruk pro mladé lidi neplní své klíčové cíle, pokud jde o včasnost a efektivnost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19a</w:t>
            </w:r>
            <w:r>
              <w:t xml:space="preserve"> </w:t>
            </w:r>
            <w:r>
              <w:rPr>
                <w:b/>
                <w:i/>
              </w:rPr>
              <w:t>Evropská komise, Generální ředitelství pro zaměstnanost, sociální věci a sociální začleňování, Data table on Youth Guarantee Direct indicators (Údaje o indikátorech záruk pro mladá lidi), únor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 obavami konstatuje, že iniciativa záruk pro mladé lidi nadále nesplňuje svůj hlavní cíl, jímž je včasné předkládání nabídek, neboť více než polovina registrovaných účastníků neobdržela ani nepřijala nabídku ve čtyřměsíční lhůtě, a že v některých členských státech došlo k obzvláště velkým zpožděním a v některých případech dokonce ke zhoršení výsledků od posílení záruky pro mladé lidi v roce 2020</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Posouzení provádění na evropské úrovni ze dne 18. prosince 2025 nazvané „Provádění posílené záruky pro mladé lidi – trendy v členských státech EU, dopad, financování EU a správa“, které zveřejnila výzkumná služba Evropského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zdůrazňuje, že v současné době ne všichni mladí lidé dostanou do čtyř měsíců od ukončení školní docházky, dokončení odborného vzdělávání nebo od ztráty zaměstnání kvalitní nabídku práce, vzdělávání, odborné přípravy či stáže;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zdůrazňuje, že následné ukazatele v několika členských státech omezuje nedostatek údajů a metodické nedostatky;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zdůrazňuje, že následné ukazatele v několika členských státech omezuje nedostatek údajů a metodické nedostatky;</w:t>
            </w:r>
          </w:p>
        </w:tc>
        <w:tc>
          <w:tcPr>
            <w:tcW w:w="4876" w:type="dxa"/>
            <w:tcBorders>
              <w:top w:val="nil"/>
              <w:left w:val="nil"/>
              <w:bottom w:val="nil"/>
              <w:right w:val="nil"/>
            </w:tcBorders>
          </w:tcPr>
          <w:p>
            <w:pPr>
              <w:pStyle w:val="Normal6a"/>
            </w:pPr>
            <w:r>
              <w:t>4.</w:t>
            </w:r>
            <w:r>
              <w:tab/>
            </w:r>
            <w:r>
              <w:t>zdůrazňuje, že následné ukazatele v několika členských státech omezuje nedostatek údajů a metodické nedostatky</w:t>
            </w:r>
            <w:r>
              <w:rPr>
                <w:b/>
                <w:i/>
              </w:rPr>
              <w:t>, zejména pokud jde o prodloužení věku do 29 let</w:t>
            </w:r>
            <w:r>
              <w:t xml:space="preserve">; </w:t>
            </w:r>
            <w:r>
              <w:rPr>
                <w:b/>
                <w:i/>
              </w:rPr>
              <w:t>zdůrazňuje, že chybí srovnatelné a rozčleněné údaje, včetně údajů členěných podle pohlaví, věku, zdravotního postižení, přistěhovaleckého původu a socioekonomického postavení;</w:t>
            </w:r>
            <w:r>
              <w:t xml:space="preserve"> </w:t>
            </w:r>
            <w:r>
              <w:rPr>
                <w:b/>
                <w:i/>
              </w:rPr>
              <w:t>konstatuje, že neúměrně více jsou postiženy mladé ženy, jejichž podíl osob NEET v mnoha členských státech převyšuje podíl mladých mužů NEET, a že stávající systémy záruk pro mladé lidi často nedokážou oslovit všechny cílové příjemce rovnoměrně;</w:t>
            </w:r>
            <w:r>
              <w:t xml:space="preserve"> </w:t>
            </w:r>
            <w:r>
              <w:rPr>
                <w:b/>
                <w:i/>
              </w:rPr>
              <w:t>vyzývá k posílení rámců pro monitorování, zlepšení sběru dat a transparentnosti a k vypracování spolehlivých a harmonizovaných ukazatelů, které umožní účinně posoudit kvalitu, inkluzivitu a dlouhodobé výsledky systémů záruk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zdůrazňuje, že následné ukazatele v několika členských státech omezuje nedostatek údajů a metodické nedostatky;</w:t>
            </w:r>
          </w:p>
        </w:tc>
        <w:tc>
          <w:tcPr>
            <w:tcW w:w="4876" w:type="dxa"/>
            <w:tcBorders>
              <w:top w:val="nil"/>
              <w:left w:val="nil"/>
              <w:bottom w:val="nil"/>
              <w:right w:val="nil"/>
            </w:tcBorders>
          </w:tcPr>
          <w:p>
            <w:pPr>
              <w:pStyle w:val="Normal6a"/>
            </w:pPr>
            <w:r>
              <w:t>4.</w:t>
            </w:r>
            <w:r>
              <w:tab/>
            </w:r>
            <w:r>
              <w:t>zdůrazňuje, že následné ukazatele v několika členských státech omezuje nedostatek údajů a metodické nedostatky</w:t>
            </w:r>
            <w:r>
              <w:rPr>
                <w:b/>
                <w:i/>
              </w:rPr>
              <w:t>, což brání komplexnímu posouzení udržitelnosti systému záruk pro mladé lidi a jejich dlouhodobých dopadů, jakož i srovnání mezi členskými státy</w:t>
            </w:r>
            <w:r>
              <w:t xml:space="preserve">; </w:t>
            </w:r>
            <w:r>
              <w:rPr>
                <w:b/>
                <w:i/>
              </w:rPr>
              <w:t>v této souvislosti zdůrazňuje, že dostupné údaje naznačují, že většina mladých lidí se v roce 2024, šest měsíců po opuštění systémů záruk pro mladé lidi, nacházela v příznivé situaci (58,3 %), avšak tento podíl klesá po 12 (53,1 %) a 18 měsících (30,3 %);</w:t>
            </w:r>
            <w:r>
              <w:rPr>
                <w:b/>
                <w:i/>
                <w:vertAlign w:val="superscript"/>
              </w:rPr>
              <w:t>20a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20a</w:t>
            </w:r>
            <w:r>
              <w:t xml:space="preserve"> </w:t>
            </w:r>
            <w:r>
              <w:rPr>
                <w:b/>
                <w:i/>
              </w:rPr>
              <w:t> Evropská komise, Generální ředitelství pro zaměstnanost, sociální věci a sociální začleňování, Data table on Youth Guarantee Direct indicators (Datová tabulka o ukazatelích záruk pro mladé lidi), prosinec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zdůrazňuje, že následné ukazatele v několika členských státech omezuje nedostatek údajů a metodické nedostatky;</w:t>
            </w:r>
          </w:p>
        </w:tc>
        <w:tc>
          <w:tcPr>
            <w:tcW w:w="4876" w:type="dxa"/>
            <w:tcBorders>
              <w:top w:val="nil"/>
              <w:left w:val="nil"/>
              <w:bottom w:val="nil"/>
              <w:right w:val="nil"/>
            </w:tcBorders>
          </w:tcPr>
          <w:p>
            <w:pPr>
              <w:pStyle w:val="Normal6a"/>
            </w:pPr>
            <w:r>
              <w:t>4.</w:t>
            </w:r>
            <w:r>
              <w:tab/>
            </w:r>
            <w:r>
              <w:t xml:space="preserve">zdůrazňuje, že následné ukazatele v několika členských státech omezuje nedostatek údajů a metodické nedostatky; </w:t>
            </w:r>
            <w:r>
              <w:rPr>
                <w:b/>
                <w:i/>
              </w:rPr>
              <w:t>lituje, že sběr údajů o zárukách pro mladé lidi nebyl dostatečně rozsáhlý, a poukazuje zejména na nedostatečný sběr údajů o věkové skupině 25–29 let;</w:t>
            </w:r>
            <w:r>
              <w:t xml:space="preserve"> </w:t>
            </w:r>
            <w:r>
              <w:rPr>
                <w:b/>
                <w:i/>
              </w:rPr>
              <w:t>zdůrazňuje, že členské státy nemají povinnost podávat zprávy o vnitrostátním financování opatření k provádění směrnice o mládeži, což omezuje srovnatelnost a hodnocení na úrovni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zdůrazňuje, že následné ukazatele v několika členských státech omezuje nedostatek údajů a metodické nedostatky;</w:t>
            </w:r>
          </w:p>
        </w:tc>
        <w:tc>
          <w:tcPr>
            <w:tcW w:w="4876" w:type="dxa"/>
            <w:tcBorders>
              <w:top w:val="nil"/>
              <w:left w:val="nil"/>
              <w:bottom w:val="nil"/>
              <w:right w:val="nil"/>
            </w:tcBorders>
          </w:tcPr>
          <w:p>
            <w:pPr>
              <w:pStyle w:val="Normal6a"/>
            </w:pPr>
            <w:r>
              <w:t>4.</w:t>
            </w:r>
            <w:r>
              <w:tab/>
            </w:r>
            <w:r>
              <w:t>zdůrazňuje, že následné ukazatele v několika členských státech omezuje nedostatek údajů a metodické nedostatky</w:t>
            </w:r>
            <w:r>
              <w:rPr>
                <w:b/>
                <w:i/>
              </w:rPr>
              <w:t>, zejména pokud jde o prodloužení věku do 29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domnívá se, že stávající rámec ukazatelů pro záruky pro mladé lidi se zaměřuje především na kvantitativní ukazatele výkonnosti, jako jsou míry NEET, nezaměstnanost mladých lidí a včasné ukončení přípravné fáze;</w:t>
            </w:r>
            <w:r>
              <w:t xml:space="preserve"> </w:t>
            </w:r>
            <w:r>
              <w:rPr>
                <w:b/>
                <w:i/>
              </w:rPr>
              <w:t>zdůrazňuje, že tento přístup nezohledňuje kvalitu pracovních nabídek ani míru nejistoty v oblasti zaměstnanosti mladých lidí;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zdůrazňuje, že je třeba zlepšit transparentnost, odpovědnost a hodnotící mechanismy, aby bylo zajištěno, že finanční prostředky EU a členských států přidělené na systémy záruk pro mladé lidi budou využívány efektivně a budou přinášet měřitelné výsledky;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vyzdvihuje, že </w:t>
            </w:r>
            <w:r>
              <w:rPr>
                <w:b/>
                <w:i/>
              </w:rPr>
              <w:t>někteří</w:t>
            </w:r>
            <w:r>
              <w:t xml:space="preserve"> mladí lidé jsou ve zvláště zranitelné </w:t>
            </w:r>
            <w:r>
              <w:rPr>
                <w:b/>
                <w:i/>
              </w:rPr>
              <w:t>sociální</w:t>
            </w:r>
            <w:r>
              <w:t xml:space="preserve"> situaci a čelí vyššímu riziku nezaměstnanosti, jakož i strukturálním překážkám v přístupu ke vzdělávání a rozvoji dovedností;</w:t>
            </w:r>
          </w:p>
        </w:tc>
        <w:tc>
          <w:tcPr>
            <w:tcW w:w="4876" w:type="dxa"/>
            <w:tcBorders>
              <w:top w:val="nil"/>
              <w:left w:val="nil"/>
              <w:bottom w:val="nil"/>
              <w:right w:val="nil"/>
            </w:tcBorders>
          </w:tcPr>
          <w:p>
            <w:pPr>
              <w:pStyle w:val="Normal6a"/>
            </w:pPr>
            <w:r>
              <w:t>5.</w:t>
            </w:r>
            <w:r>
              <w:tab/>
            </w:r>
            <w:r>
              <w:t>vyzdvihuje, že mladí lidé</w:t>
            </w:r>
            <w:r>
              <w:rPr>
                <w:b/>
                <w:i/>
              </w:rPr>
              <w:t>, zejména ti, kteří mají méně příležitostí,</w:t>
            </w:r>
            <w:r>
              <w:t xml:space="preserve"> jsou ve zvláště zranitelné </w:t>
            </w:r>
            <w:r>
              <w:rPr>
                <w:b/>
                <w:i/>
              </w:rPr>
              <w:t>sociálně-ekonomické</w:t>
            </w:r>
            <w:r>
              <w:t xml:space="preserve"> situaci a čelí vyššímu riziku nezaměstnanosti, jakož i strukturálním překážkám v přístupu ke vzdělávání a rozvoji dovedností</w:t>
            </w:r>
            <w:r>
              <w:rPr>
                <w:b/>
                <w:i/>
              </w:rPr>
              <w:t>, přičemž zranitelnější skupiny, jako jsou ženy, rasově znevýhodněná mládež, mladí lidé se zdravotním postižením, mladí lidé z odlehlých nebo venkovských oblastí nebo z přistěhovaleckého prostředí, mají přístup ještě obtížnější</w:t>
            </w:r>
            <w:r>
              <w:t xml:space="preserve">; </w:t>
            </w:r>
            <w:r>
              <w:rPr>
                <w:b/>
                <w:i/>
              </w:rPr>
              <w:t>zdůrazňuje, že úspěch posílené záruky pro mladé lidí jde ruku v ruce s opatřeními v dalších oblastech, včetně rodiny, bydlení, péče o děti, boje proti diskriminaci z důvodu příslušnosti ke dvěma či více skupinám související s pohlavím, etnickou nebo rasovou příslušností, zdravotním postižením a sexuální orientací;</w:t>
            </w:r>
            <w:r>
              <w:t xml:space="preserve"> </w:t>
            </w:r>
            <w:r>
              <w:rPr>
                <w:b/>
                <w:i/>
              </w:rPr>
              <w:t>zdůrazňuje, že tyto strukturální nerovnosti vyžadují cílená a inkluzivní opatření k jejich odstranění a zajištění rovných příležitostí pro všechny;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vyzdvihuje, že někteří mladí lidé jsou ve zvláště zranitelné sociální situaci a čelí vyššímu riziku nezaměstnanosti, jakož i strukturálním překážkám v přístupu ke vzdělávání a rozvoji dovedností;</w:t>
            </w:r>
          </w:p>
        </w:tc>
        <w:tc>
          <w:tcPr>
            <w:tcW w:w="4876" w:type="dxa"/>
            <w:tcBorders>
              <w:top w:val="nil"/>
              <w:left w:val="nil"/>
              <w:bottom w:val="nil"/>
              <w:right w:val="nil"/>
            </w:tcBorders>
          </w:tcPr>
          <w:p>
            <w:pPr>
              <w:pStyle w:val="Normal6a"/>
            </w:pPr>
            <w:r>
              <w:t>5.</w:t>
            </w:r>
            <w:r>
              <w:tab/>
            </w:r>
            <w:r>
              <w:t xml:space="preserve">vyzdvihuje, že někteří mladí lidé jsou ve zvláště zranitelné sociální situaci a čelí vyššímu riziku nezaměstnanosti, jakož i strukturálním překážkám v přístupu ke vzdělávání a rozvoji dovedností; </w:t>
            </w:r>
            <w:r>
              <w:rPr>
                <w:b/>
                <w:i/>
              </w:rPr>
              <w:t>zdůrazňuje, že mezi tyto skupiny patří mimo jiné mladí lidé se zdravotním postižením, mladí lidé žijící ve venkovských, ostrovních, odlehlých nebo znevýhodněných městských oblastech, mladí lidé, kteří opouštějí zařízení nebo systémy náhradní péče, jakož i mladí lidé s duševními problémy;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vyzdvihuje, že někteří</w:t>
            </w:r>
            <w:r>
              <w:t xml:space="preserve"> mladí lidé </w:t>
            </w:r>
            <w:r>
              <w:rPr>
                <w:b/>
                <w:i/>
              </w:rPr>
              <w:t>jsou ve zvláště zranitelné sociální situaci a čelí vyššímu riziku nezaměstnanosti, jakož i strukturálním překážkám v přístupu ke</w:t>
            </w:r>
            <w:r>
              <w:t xml:space="preserve"> vzdělávání </w:t>
            </w:r>
            <w:r>
              <w:rPr>
                <w:b/>
                <w:i/>
              </w:rPr>
              <w:t>a rozvoji dovedností</w:t>
            </w:r>
            <w:r>
              <w:t>;</w:t>
            </w:r>
          </w:p>
        </w:tc>
        <w:tc>
          <w:tcPr>
            <w:tcW w:w="4876" w:type="dxa"/>
            <w:tcBorders>
              <w:top w:val="nil"/>
              <w:left w:val="nil"/>
              <w:bottom w:val="nil"/>
              <w:right w:val="nil"/>
            </w:tcBorders>
          </w:tcPr>
          <w:p>
            <w:pPr>
              <w:pStyle w:val="Normal6a"/>
            </w:pPr>
            <w:r>
              <w:t>5.</w:t>
            </w:r>
            <w:r>
              <w:tab/>
            </w:r>
            <w:r>
              <w:rPr>
                <w:b/>
                <w:i/>
              </w:rPr>
              <w:t>zdůrazňuje, že</w:t>
            </w:r>
            <w:r>
              <w:t xml:space="preserve"> mladí lidé</w:t>
            </w:r>
            <w:r>
              <w:rPr>
                <w:b/>
                <w:i/>
              </w:rPr>
              <w:t>, kteří nejsou není zaměstnaní ani se neúčastní</w:t>
            </w:r>
            <w:r>
              <w:t xml:space="preserve"> vzdělávání </w:t>
            </w:r>
            <w:r>
              <w:rPr>
                <w:b/>
                <w:i/>
              </w:rPr>
              <w:t>nebo odborné přípravy (NEET), tvoří velmi různorodou skupinu, přičemž někteří z nich jsou zranitelnější nebo hůře oslovitelní, a jsou proto vystaveni většímu riziku vyloučení z trhu práce a sociálního vyloučení</w:t>
            </w:r>
            <w:r>
              <w:t xml:space="preserve">; </w:t>
            </w:r>
            <w:r>
              <w:rPr>
                <w:b/>
                <w:i/>
              </w:rPr>
              <w:t>konstatuje, že stigmatizace, nedůvěra vůči institucím a nedostatek sociální podpory mohou představovat strukturální překážky bránící zapojení mladých lidí do záruk pro mladé lidi;</w:t>
            </w:r>
            <w:r>
              <w:t xml:space="preserve"> </w:t>
            </w:r>
            <w:r>
              <w:rPr>
                <w:b/>
                <w:i/>
              </w:rPr>
              <w:t>je znepokojen tím, že programy záruk pro mladé lidi často upřednostňují mladé lidi, kteří jsou již blíže trhu práce, čímž opomíjejí ostatní, kteří potřebují cílenější, proaktivnější a individuálně přizpůsobená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vyzdvihuje, že někteří mladí lidé jsou ve zvláště zranitelné sociální situaci a čelí vyššímu riziku nezaměstnanosti, jakož i strukturálním překážkám v přístupu ke vzdělávání a rozvoji dovedností;</w:t>
            </w:r>
          </w:p>
        </w:tc>
        <w:tc>
          <w:tcPr>
            <w:tcW w:w="4876" w:type="dxa"/>
            <w:tcBorders>
              <w:top w:val="nil"/>
              <w:left w:val="nil"/>
              <w:bottom w:val="nil"/>
              <w:right w:val="nil"/>
            </w:tcBorders>
          </w:tcPr>
          <w:p>
            <w:pPr>
              <w:pStyle w:val="Normal6a"/>
            </w:pPr>
            <w:r>
              <w:t>5.</w:t>
            </w:r>
            <w:r>
              <w:tab/>
            </w:r>
            <w:r>
              <w:t xml:space="preserve">vyzdvihuje, že někteří mladí lidé jsou ve zvláště zranitelné sociální situaci a čelí vyššímu riziku nezaměstnanosti, jakož i strukturálním překážkám v přístupu ke vzdělávání a rozvoji dovedností; </w:t>
            </w:r>
            <w:r>
              <w:rPr>
                <w:b/>
                <w:i/>
              </w:rPr>
              <w:t>v této souvislosti připomíná, jak důležité je poskytovat neaktivním osobám NEET podporu na stejné úrovni jako nezaměstnaným mladým lidem z této skupiny;</w:t>
            </w:r>
            <w:r>
              <w:t xml:space="preserve"> </w:t>
            </w:r>
            <w:r>
              <w:rPr>
                <w:b/>
                <w:i/>
              </w:rPr>
              <w:t>je znepokojen tím, že řada mladých lidí se po opuštění programů v rámci sytému záruk pro mladé lidi po určité době opět ocitá v kategorii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vyzdvihuje</w:t>
            </w:r>
            <w:r>
              <w:t xml:space="preserve">, že někteří mladí lidé </w:t>
            </w:r>
            <w:r>
              <w:rPr>
                <w:b/>
                <w:i/>
              </w:rPr>
              <w:t>jsou ve zvláště</w:t>
            </w:r>
            <w:r>
              <w:t xml:space="preserve"> zranitelné sociální situaci a čelí vyššímu riziku nezaměstnanosti, jakož i strukturálním překážkám v přístupu </w:t>
            </w:r>
            <w:r>
              <w:rPr>
                <w:b/>
                <w:i/>
              </w:rPr>
              <w:t>ke vzdělávání</w:t>
            </w:r>
            <w:r>
              <w:t xml:space="preserve"> a rozvoji dovedností;</w:t>
            </w:r>
          </w:p>
        </w:tc>
        <w:tc>
          <w:tcPr>
            <w:tcW w:w="4876" w:type="dxa"/>
            <w:tcBorders>
              <w:top w:val="nil"/>
              <w:left w:val="nil"/>
              <w:bottom w:val="nil"/>
              <w:right w:val="nil"/>
            </w:tcBorders>
          </w:tcPr>
          <w:p>
            <w:pPr>
              <w:pStyle w:val="Normal6a"/>
            </w:pPr>
            <w:r>
              <w:t>5.</w:t>
            </w:r>
            <w:r>
              <w:tab/>
            </w:r>
            <w:r>
              <w:rPr>
                <w:b/>
                <w:i/>
              </w:rPr>
              <w:t>zdůrazňuje</w:t>
            </w:r>
            <w:r>
              <w:t xml:space="preserve">, že někteří mladí lidé </w:t>
            </w:r>
            <w:r>
              <w:rPr>
                <w:b/>
                <w:i/>
              </w:rPr>
              <w:t>čelí znevýhodnění ve vzdělávání a odborné přípravě a nacházejí se v obzvláště</w:t>
            </w:r>
            <w:r>
              <w:t xml:space="preserve"> zranitelné sociální situaci </w:t>
            </w:r>
            <w:r>
              <w:rPr>
                <w:b/>
                <w:i/>
              </w:rPr>
              <w:t>v důsledku chudoby, zdravotního stavu atd.</w:t>
            </w:r>
            <w:r>
              <w:t xml:space="preserve"> a čelí vyššímu riziku nezaměstnanosti, jakož i strukturálním překážkám v přístupu </w:t>
            </w:r>
            <w:r>
              <w:rPr>
                <w:b/>
                <w:i/>
              </w:rPr>
              <w:t>k odborné přípravě</w:t>
            </w:r>
            <w:r>
              <w:t xml:space="preserve"> a rozvoji dovedností</w:t>
            </w:r>
            <w:r>
              <w:rPr>
                <w:b/>
                <w:i/>
              </w:rPr>
              <w:t>, jako je například bydliště ve venkovských nebo odlehlých oblastech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vyzdvihuje</w:t>
            </w:r>
            <w:r>
              <w:t xml:space="preserve">, že někteří mladí lidé </w:t>
            </w:r>
            <w:r>
              <w:rPr>
                <w:b/>
                <w:i/>
              </w:rPr>
              <w:t>jsou ve zvláště</w:t>
            </w:r>
            <w:r>
              <w:t xml:space="preserve"> zranitelné sociální situaci a čelí vyššímu riziku nezaměstnanosti</w:t>
            </w:r>
            <w:r>
              <w:rPr>
                <w:b/>
                <w:i/>
              </w:rPr>
              <w:t>, jakož</w:t>
            </w:r>
            <w:r>
              <w:t xml:space="preserve"> i strukturálním překážkám v přístupu </w:t>
            </w:r>
            <w:r>
              <w:rPr>
                <w:b/>
                <w:i/>
              </w:rPr>
              <w:t>ke vzdělávání</w:t>
            </w:r>
            <w:r>
              <w:t xml:space="preserve"> a rozvoji dovedností;</w:t>
            </w:r>
          </w:p>
        </w:tc>
        <w:tc>
          <w:tcPr>
            <w:tcW w:w="4876" w:type="dxa"/>
            <w:tcBorders>
              <w:top w:val="nil"/>
              <w:left w:val="nil"/>
              <w:bottom w:val="nil"/>
              <w:right w:val="nil"/>
            </w:tcBorders>
          </w:tcPr>
          <w:p>
            <w:pPr>
              <w:pStyle w:val="Normal6a"/>
            </w:pPr>
            <w:r>
              <w:t>5.</w:t>
            </w:r>
            <w:r>
              <w:tab/>
            </w:r>
            <w:r>
              <w:rPr>
                <w:b/>
                <w:i/>
              </w:rPr>
              <w:t>zdůrazňuje</w:t>
            </w:r>
            <w:r>
              <w:t xml:space="preserve">, že někteří mladí lidé </w:t>
            </w:r>
            <w:r>
              <w:rPr>
                <w:b/>
                <w:i/>
              </w:rPr>
              <w:t>se nacházejí v obzvláště</w:t>
            </w:r>
            <w:r>
              <w:t xml:space="preserve"> zranitelné sociální situaci</w:t>
            </w:r>
            <w:r>
              <w:rPr>
                <w:b/>
                <w:i/>
              </w:rPr>
              <w:t>, včetně mladých lidí se zdravotním postižením, mladých lidí z komunity LGBTIQ+, mladých migrantů a těch, kteří žijí v nejistých bytových podmínkách,</w:t>
            </w:r>
            <w:r>
              <w:t xml:space="preserve"> a čelí </w:t>
            </w:r>
            <w:r>
              <w:rPr>
                <w:b/>
                <w:i/>
              </w:rPr>
              <w:t>tak</w:t>
            </w:r>
            <w:r>
              <w:t xml:space="preserve"> vyššímu riziku nezaměstnanosti i strukturálním překážkám v přístupu </w:t>
            </w:r>
            <w:r>
              <w:rPr>
                <w:b/>
                <w:i/>
              </w:rPr>
              <w:t>k odborné přípravě</w:t>
            </w:r>
            <w:r>
              <w:t xml:space="preserve"> a rozvoji dovedností;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vyzdvihuje, že někteří mladí lidé jsou ve zvláště zranitelné sociální situaci a čelí vyššímu riziku nezaměstnanosti, jakož i strukturálním překážkám v přístupu ke vzdělávání a rozvoji dovedností;</w:t>
            </w:r>
          </w:p>
        </w:tc>
        <w:tc>
          <w:tcPr>
            <w:tcW w:w="4876" w:type="dxa"/>
            <w:tcBorders>
              <w:top w:val="nil"/>
              <w:left w:val="nil"/>
              <w:bottom w:val="nil"/>
              <w:right w:val="nil"/>
            </w:tcBorders>
          </w:tcPr>
          <w:p>
            <w:pPr>
              <w:pStyle w:val="Normal6a"/>
            </w:pPr>
            <w:r>
              <w:t>5.</w:t>
            </w:r>
            <w:r>
              <w:tab/>
            </w:r>
            <w:r>
              <w:t xml:space="preserve">vyzdvihuje, že </w:t>
            </w:r>
            <w:r>
              <w:rPr>
                <w:b/>
                <w:i/>
              </w:rPr>
              <w:t>NEET představují heterogenní skupinu,</w:t>
            </w:r>
            <w:r>
              <w:t xml:space="preserve"> někteří mladí lidé jsou ve zvláště zranitelné sociální situaci a čelí vyššímu riziku nezaměstnanosti, jakož i strukturálním překážkám v přístupu ke vzdělávání </w:t>
            </w:r>
            <w:r>
              <w:rPr>
                <w:b/>
                <w:i/>
              </w:rPr>
              <w:t>na trhu práce</w:t>
            </w:r>
            <w:r>
              <w:t xml:space="preserve"> a rozvoji dovedností; </w:t>
            </w:r>
            <w:r>
              <w:rPr>
                <w:b/>
                <w:i/>
              </w:rPr>
              <w:t>pro tvorbu správných politických opatření je nezbytné důkladně porozumět cílovým skupinám;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vyzdvihuje, že někteří mladí lidé jsou ve zvláště zranitelné sociální situaci a čelí vyššímu riziku nezaměstnanosti, jakož i strukturálním překážkám v přístupu ke vzdělávání a rozvoji dovedností;</w:t>
            </w:r>
          </w:p>
        </w:tc>
        <w:tc>
          <w:tcPr>
            <w:tcW w:w="4876" w:type="dxa"/>
            <w:tcBorders>
              <w:top w:val="nil"/>
              <w:left w:val="nil"/>
              <w:bottom w:val="nil"/>
              <w:right w:val="nil"/>
            </w:tcBorders>
          </w:tcPr>
          <w:p>
            <w:pPr>
              <w:pStyle w:val="Normal6a"/>
            </w:pPr>
            <w:r>
              <w:t>5.</w:t>
            </w:r>
            <w:r>
              <w:tab/>
            </w:r>
            <w:r>
              <w:t>vyzdvihuje, že někteří mladí lidé</w:t>
            </w:r>
            <w:r>
              <w:rPr>
                <w:b/>
                <w:i/>
              </w:rPr>
              <w:t>, jako jsou osoby se zdravotním postižením a osoby pocházející ze znevýhodněných oblastí,</w:t>
            </w:r>
            <w:r>
              <w:t xml:space="preserve"> jsou ve zvláště zranitelné sociální situaci a čelí vyššímu riziku nezaměstnanosti, jakož i strukturálním překážkám v přístupu ke vzdělávání a rozvoji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zdůrazňuje složitou situaci mladých lidí, kteří nejsou zaměstnaní ani se neúčastní vzdělávání nebo odborné přípravy (NEET), ve venkovských oblastech, kde mají omezenější přístup ke službám, zejména k veřejným službám zaměstnanosti, ale také k dopravním možnostem a pracovním a vzdělávacím příležitostem;</w:t>
            </w:r>
            <w:r>
              <w:t xml:space="preserve"> </w:t>
            </w:r>
            <w:r>
              <w:rPr>
                <w:b/>
                <w:i/>
              </w:rPr>
              <w:t>vyjadřuje lítost nad tím, že osoby NEET žijící ve venkovských oblastech nejsou ve většině členských států považováni za prioritní skupinu, což omezuje opatření zaměřená na tuto skupinu a jejich informovanost o programech v rámci záruk pro mladé lidi a možnostech podpory;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zdůrazňuje, že mladí rodiče s dětmi, a zejména mladé matky, čelí zvýšenému riziku, že se stanou nebo zůstanou osobami, které nejsou zaměstnaní, ani se neúčastní vzdělávání nebo odborné přípravy (NEET), a to kvůli povinnostem spojeným s péčí o děti, omezenému přístupu k cenově dostupné a kvalitní péči o děti a nedostatečným flexibilním možnostem v oblasti vzdělávání, odborné přípravy a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zdůrazňuje, že je nezbytné vytvářet informační kampaně, které by zvýšily povědomí o záruce pro mladé lidi mezi všemi mladými lidmi, zejména těmi, kterým hrozí, že budou vyloučeni z příležitostí, které posílené záruky pro mladé lidí nabízejí;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zdůrazňuje nepřiměřený dopad pandemie COVID-19 na mladé lidi a důležitou stabilizační roli, kterou v této souvislosti hrají záruky pro mladé lidi při předcházení nové krizi v oblasti nezaměstnanosti mladých lidí;</w:t>
            </w:r>
            <w:r>
              <w:t xml:space="preserve"> </w:t>
            </w:r>
            <w:r>
              <w:rPr>
                <w:b/>
                <w:i/>
              </w:rPr>
              <w:t>je toho názoru, že nyní, když jsou dopady tohoto období již za námi, by si záruky pro mladé lidi měly za nový cíl stanovit snížení nezaměstnanosti a nečinnosti mezi těmi mladými lidmi, ke kterým je nejtěžší se dostat;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připomíná, že Mezinárodní organizace práce (MOP) zdůrazňuje, že i v zemích s vysokými příjmy jsou mladí lidé, kteří nejsou zaměstnaní ani se neúčastní vzdělávání nebo odborné přípravy (NEET) a jsou mimo trh práce, a zejména mladé ženy s pečovatelskými povinnostmi, vystaveni většímu riziku dlouhodobého ekonomického a sociálního vyloučení, což v průběhu času přispívá k prohlubování genderové propasti mezi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konstatuje nerovnováhu v příležitostech nabízených v rámci programů záruk pro mladé lidi, přičemž důraz je kladen na zaměstnanost na úkor vzdělávacích příležitostí, což je v rozporu se strategickým cílem záruk pro mladé lidi, jímž je podpora rozvoje dovedností;</w:t>
            </w:r>
            <w:r>
              <w:t xml:space="preserve"> </w:t>
            </w:r>
            <w:r>
              <w:rPr>
                <w:b/>
                <w:i/>
              </w:rPr>
              <w:t>zdůrazňuje, že nic nenasvědčuje tomu, že by tato nerovnováha byla odůvodněna profilem mladých lidí, kteří nejsou zaměstnaní, ani se neúčastní vzdělávání nebo odborné přípravy (NEET), či cílem jejich udržitelného začlenění na trh práce;</w:t>
            </w:r>
            <w:r>
              <w:t xml:space="preserve"> </w:t>
            </w:r>
            <w:r>
              <w:rPr>
                <w:b/>
                <w:i/>
              </w:rPr>
              <w:t>v této souvislosti poznamenává, že některé vnitrostátní programy naznačují, že mladí pracovníci v dotovaných pracovních místech mají větší sklon k odchodu z takového zaměstnání než ti, kteří pracují na nedotovaných pracovních místech, nebo ti, kteří využívají integrovaný přístup kombinující odbornou přípravu a zaměstnání</w:t>
            </w:r>
            <w:r>
              <w:rPr>
                <w:b/>
                <w:i/>
                <w:vertAlign w:val="superscript"/>
              </w:rPr>
              <w:t>21a</w:t>
            </w:r>
            <w:r>
              <w:rPr>
                <w:b/>
                <w:i/>
              </w:rPr>
              <w:t>;</w:t>
            </w:r>
            <w:r>
              <w:t xml:space="preserve"> </w:t>
            </w:r>
            <w:r>
              <w:rPr>
                <w:b/>
                <w:i/>
              </w:rPr>
              <w:t>dále lituje, že v několika členských státech klesá atraktivita učňovského vzdělávání;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21a</w:t>
            </w:r>
            <w:r>
              <w:t xml:space="preserve"> </w:t>
            </w:r>
            <w:r>
              <w:rPr>
                <w:b/>
                <w:i/>
              </w:rPr>
              <w:t>Cabasés, M. À., &amp; Úbeda, M., The Youth Guarantee in Spain:</w:t>
            </w:r>
            <w:r>
              <w:t xml:space="preserve"> </w:t>
            </w:r>
            <w:r>
              <w:rPr>
                <w:b/>
                <w:i/>
              </w:rPr>
              <w:t>A worrying situation after its implementation (Záruka pro mladé lidi: hrozivá situace po jejím zavedení), 2021, s. 96-97.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zdůrazňuje, že osoby, které předčasně ukončily vzdělávání a odbornou přípravu (ELET), jsou vystaveny výrazně vyššímu riziku, že se stanou NEET a budou dlouhodobě sociálně vyloučeny, přičemž náklady, které tím vznikají společnosti, představují ekonomickou zátěž, která se projevuje každoročně negativním dopadem na míru zaměstnanosti, sociální soudržnost a dlouhodobou konkurenceschopnost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5d.</w:t>
            </w:r>
            <w:r>
              <w:tab/>
            </w:r>
            <w:r>
              <w:rPr>
                <w:b/>
                <w:i/>
              </w:rPr>
              <w:t>poukazuje na to, že chudoba dětí a mládeže má celoživotní dopady na vzdělání, zdraví a zaměstnanost a má významný roční dopad na HDP,</w:t>
            </w:r>
            <w:r>
              <w:t xml:space="preserve"> </w:t>
            </w:r>
            <w:r>
              <w:rPr>
                <w:b/>
                <w:i/>
              </w:rPr>
              <w:t>zatímco chudoba dětí a mládeže se přenáší z jedné generace na druhou;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zdůrazňuje, že začlenění Iniciativy na podporu zaměstnanosti mladých lidí (YEI) do ESF+ vedlo k povinnosti vyčlenit 12,5 % ESF+ na opatření a reformy podporující zaměstnanost mladých lidí, odborné vzdělávání a přípravu a přechod ze vzdělávání do zaměstnání pro členské státy, jejichž podíl osob NEET je vyšší než průměr EU; vyjadřuje hluboké politování nad tím, že toto vyčlenění prostředků, které je dědictvím YEI, není zahrnuto v návrhu víceletého finančního rámce na období 2028–2034, který předložila Komise;</w:t>
            </w:r>
          </w:p>
        </w:tc>
        <w:tc>
          <w:tcPr>
            <w:tcW w:w="4876" w:type="dxa"/>
            <w:tcBorders>
              <w:top w:val="nil"/>
              <w:left w:val="nil"/>
              <w:bottom w:val="nil"/>
              <w:right w:val="nil"/>
            </w:tcBorders>
          </w:tcPr>
          <w:p>
            <w:pPr>
              <w:pStyle w:val="Normal6a"/>
            </w:pPr>
            <w:r>
              <w:t>6.</w:t>
            </w:r>
            <w:r>
              <w:tab/>
            </w:r>
            <w:r>
              <w:rPr>
                <w:b/>
                <w:i/>
              </w:rPr>
              <w:t>zdůrazňuje obecně kladné ohlasy na začlenění Iniciativa na podporu zaměstnanosti mladých lidí (YEI) do programu ESF+, přičemž poukazuje na lepší přístup a zjednodušení;</w:t>
            </w:r>
            <w:r>
              <w:t xml:space="preserve"> zdůrazňuje, že začlenění Iniciativy na podporu zaměstnanosti mladých lidí (YEI) do ESF+ vedlo k povinnosti vyčlenit 12,5 % ESF+ na opatření a reformy podporující zaměstnanost mladých lidí, odborné vzdělávání a přípravu a přechod ze vzdělávání do zaměstnání pro členské státy, jejichž podíl osob NEET je vyšší než průměr EU; vyjadřuje hluboké politování nad tím, že toto vyčlenění prostředků, které je dědictvím YEI, není zahrnuto v návrhu víceletého finančního rámce na období 2028–2034, který předložila Komise; </w:t>
            </w:r>
            <w:r>
              <w:rPr>
                <w:b/>
                <w:i/>
              </w:rPr>
              <w:t>je přesvědčen, že absence konkrétního účelového vyčlenění prostředků na zaměstnanost mladých lidí může vést k nedostatečnému financování, jak již před zavedením tohoto opatření upozornil Evropský účetní dvůr</w:t>
            </w:r>
            <w:r>
              <w:rPr>
                <w:b/>
                <w:i/>
                <w:vertAlign w:val="superscript"/>
              </w:rPr>
              <w:t>22a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22a</w:t>
            </w:r>
            <w:r>
              <w:t xml:space="preserve"> </w:t>
            </w:r>
            <w:r>
              <w:rPr>
                <w:b/>
                <w:i/>
              </w:rPr>
              <w:t>Zvláštní zpráva č. 3/2015 ze dne 24. března 2015 s názvem: „Systém záruk pro mladé lidi: první kroky jsou za námi, ale rizika související s jeho uplatňováním na nás teprve čekají“, s. 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zdůrazňuje, že začlenění Iniciativy na podporu zaměstnanosti mladých lidí (YEI) do ESF+ vedlo k povinnosti vyčlenit 12,5 % ESF+ na opatření a reformy podporující zaměstnanost mladých lidí, odborné vzdělávání a přípravu a přechod ze vzdělávání do zaměstnání pro členské státy, jejichž podíl osob NEET je vyšší než průměr EU; </w:t>
            </w:r>
            <w:r>
              <w:rPr>
                <w:b/>
                <w:i/>
              </w:rPr>
              <w:t>vyjadřuje hluboké politování nad tím</w:t>
            </w:r>
            <w:r>
              <w:t xml:space="preserve">, že toto vyčlenění prostředků, které je dědictvím YEI, není zahrnuto v návrhu víceletého finančního rámce na období 2028–2034, </w:t>
            </w:r>
            <w:r>
              <w:rPr>
                <w:b/>
                <w:i/>
              </w:rPr>
              <w:t>který předložila Komise</w:t>
            </w:r>
            <w:r>
              <w:t>;</w:t>
            </w:r>
          </w:p>
        </w:tc>
        <w:tc>
          <w:tcPr>
            <w:tcW w:w="4876" w:type="dxa"/>
            <w:tcBorders>
              <w:top w:val="nil"/>
              <w:left w:val="nil"/>
              <w:bottom w:val="nil"/>
              <w:right w:val="nil"/>
            </w:tcBorders>
          </w:tcPr>
          <w:p>
            <w:pPr>
              <w:pStyle w:val="Normal6a"/>
            </w:pPr>
            <w:r>
              <w:t>6.</w:t>
            </w:r>
            <w:r>
              <w:tab/>
            </w:r>
            <w:r>
              <w:t xml:space="preserve">zdůrazňuje, že začlenění Iniciativy na podporu zaměstnanosti mladých lidí (YEI) do ESF+ vedlo k povinnosti vyčlenit 12,5 % ESF+ na opatření a reformy podporující zaměstnanost mladých lidí, odborné vzdělávání a přípravu a přechod ze vzdělávání do zaměstnání pro členské státy, jejichž podíl osob NEET je vyšší než průměr EU; </w:t>
            </w:r>
            <w:r>
              <w:rPr>
                <w:b/>
                <w:i/>
              </w:rPr>
              <w:t>bere na vědomí</w:t>
            </w:r>
            <w:r>
              <w:t>, že toto vyčlenění prostředků, které je dědictvím YEI, není zahrnuto v návrhu víceletého finančního rámce na období 2028–2034, </w:t>
            </w:r>
            <w:r>
              <w:rPr>
                <w:b/>
                <w:i/>
              </w:rPr>
              <w:t>a zdůrazňuje, že je i nadále výlučnou pravomocí členských států stanovit financování a strategické priority na podporu svých vlastních mladých lidí, aniž by jim byly na úrovni Unie ukládány závazné a centralizované rozpočtové požadavky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zdůrazňuje, že začlenění Iniciativy na podporu zaměstnanosti mladých lidí (YEI) do ESF+ vedlo k povinnosti vyčlenit 12,5 % ESF+ na opatření a reformy podporující zaměstnanost mladých lidí, odborné vzdělávání a přípravu a přechod ze vzdělávání do zaměstnání pro členské státy, jejichž podíl osob NEET je vyšší než průměr EU; vyjadřuje </w:t>
            </w:r>
            <w:r>
              <w:rPr>
                <w:b/>
                <w:i/>
              </w:rPr>
              <w:t>hluboké</w:t>
            </w:r>
            <w:r>
              <w:t xml:space="preserve"> politování nad tím, že toto vyčlenění prostředků, které je dědictvím YEI, není zahrnuto v návrhu víceletého finančního rámce na období 2028–2034, který předložila Komise;</w:t>
            </w:r>
          </w:p>
        </w:tc>
        <w:tc>
          <w:tcPr>
            <w:tcW w:w="4876" w:type="dxa"/>
            <w:tcBorders>
              <w:top w:val="nil"/>
              <w:left w:val="nil"/>
              <w:bottom w:val="nil"/>
              <w:right w:val="nil"/>
            </w:tcBorders>
          </w:tcPr>
          <w:p>
            <w:pPr>
              <w:pStyle w:val="Normal6a"/>
            </w:pPr>
            <w:r>
              <w:t>6.</w:t>
            </w:r>
            <w:r>
              <w:tab/>
            </w:r>
            <w:r>
              <w:t xml:space="preserve">zdůrazňuje, že začlenění Iniciativy na podporu zaměstnanosti mladých lidí (YEI) do ESF+ vedlo k povinnosti vyčlenit 12,5 % ESF+ na opatření a reformy podporující zaměstnanost mladých lidí, odborné vzdělávání a přípravu a přechod ze vzdělávání do zaměstnání pro členské státy, jejichž podíl osob NEET je vyšší než průměr EU; vyjadřuje politování nad tím, že toto vyčlenění prostředků, které je dědictvím YEI, není zahrnuto v návrhu víceletého finančního rámce na období 2028–2034, který předložila Komise; </w:t>
            </w:r>
            <w:r>
              <w:rPr>
                <w:b/>
                <w:i/>
              </w:rPr>
              <w:t>požaduje, aby byl v rámci víceletého finančního rámce na období 2028–2034 zřízen samostatný a oddělený program ESF, který zajistí dostatečné, předvídatelné a cílené financování pro účinné provádění záruk pro mladé lidi ve všech členských státech, a to zejména v těch, které nedosáhly alespoň cíle stanoveného na rok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zdůrazňuje, že začlenění Iniciativy na podporu zaměstnanosti mladých lidí (YEI) do ESF+ vedlo k povinnosti vyčlenit 12,5 % ESF+ na opatření a reformy podporující zaměstnanost mladých lidí, odborné vzdělávání a přípravu a přechod ze vzdělávání do zaměstnání pro členské státy, jejichž podíl osob NEET je vyšší než průměr EU; vyjadřuje hluboké politování nad tím, že toto vyčlenění prostředků, které je dědictvím YEI, není zahrnuto v návrhu víceletého finančního rámce na období 2028–2034, který předložila Komise;</w:t>
            </w:r>
          </w:p>
        </w:tc>
        <w:tc>
          <w:tcPr>
            <w:tcW w:w="4876" w:type="dxa"/>
            <w:tcBorders>
              <w:top w:val="nil"/>
              <w:left w:val="nil"/>
              <w:bottom w:val="nil"/>
              <w:right w:val="nil"/>
            </w:tcBorders>
          </w:tcPr>
          <w:p>
            <w:pPr>
              <w:pStyle w:val="Normal6a"/>
            </w:pPr>
            <w:r>
              <w:t>6.</w:t>
            </w:r>
            <w:r>
              <w:tab/>
            </w:r>
            <w:r>
              <w:t xml:space="preserve">zdůrazňuje, že začlenění Iniciativy na podporu zaměstnanosti mladých lidí (YEI) do ESF+ vedlo k povinnosti vyčlenit 12,5 % ESF+ na opatření a reformy podporující zaměstnanost mladých lidí, odborné vzdělávání a přípravu a přechod ze vzdělávání do zaměstnání pro členské státy, jejichž podíl osob NEET je vyšší než průměr EU; vyjadřuje hluboké politování nad tím, že toto vyčlenění prostředků, které je dědictvím YEI, není zahrnuto v návrhu víceletého finančního rámce na období 2028–2034, který předložila Komise; </w:t>
            </w:r>
            <w:r>
              <w:rPr>
                <w:b/>
                <w:i/>
              </w:rPr>
              <w:t>žádá, aby bylo toto vyčlenění znovu zavedeno a aby byla zaměstnanost mladých lidí v příštím cyklu financování uznána za investiční prioritu;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zdůrazňuje, že začlenění Iniciativy na podporu zaměstnanosti mladých lidí (YEI) do ESF+ vedlo k povinnosti vyčlenit 12,5 % ESF+ na opatření a reformy podporující zaměstnanost mladých lidí, odborné vzdělávání a přípravu a přechod ze vzdělávání do zaměstnání pro členské státy, jejichž podíl osob NEET je vyšší než průměr EU; vyjadřuje hluboké politování nad tím, že toto vyčlenění prostředků, které je dědictvím YEI, není zahrnuto v návrhu víceletého finančního rámce na období 2028–2034, který předložila Komise;</w:t>
            </w:r>
          </w:p>
        </w:tc>
        <w:tc>
          <w:tcPr>
            <w:tcW w:w="4876" w:type="dxa"/>
            <w:tcBorders>
              <w:top w:val="nil"/>
              <w:left w:val="nil"/>
              <w:bottom w:val="nil"/>
              <w:right w:val="nil"/>
            </w:tcBorders>
          </w:tcPr>
          <w:p>
            <w:pPr>
              <w:pStyle w:val="Normal6a"/>
            </w:pPr>
            <w:r>
              <w:t>6.</w:t>
            </w:r>
            <w:r>
              <w:tab/>
            </w:r>
            <w:r>
              <w:t xml:space="preserve">zdůrazňuje, že začlenění Iniciativy na podporu zaměstnanosti mladých lidí (YEI) do ESF+ vedlo k povinnosti vyčlenit 12,5 % ESF+ na opatření a reformy podporující zaměstnanost mladých lidí, odborné vzdělávání a přípravu a přechod ze vzdělávání do zaměstnání pro členské státy, jejichž podíl osob NEET je vyšší než průměr EU; vyjadřuje hluboké politování nad tím, že toto vyčlenění prostředků, které je dědictvím YEI, není zahrnuto v návrhu víceletého finančního rámce na období 2028–2034, který předložila Komise </w:t>
            </w:r>
            <w:r>
              <w:rPr>
                <w:b/>
                <w:i/>
              </w:rPr>
              <w:t>a poukazuje na to, že toto nezačlenění může ohrozit výsledky, jež byly dosud dosaženy</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že dlouhodobé výzvy spojené s prováděním záruk pro mladé lidi přetrvávají a jejich řešení se ukazuje jako obtížné; mezi ně patří například podpora pro obtížně oslovitelné skupiny, míra pokrytí tímto nástrojem, kvalita nabídek, kapacita poskytovatelů záruk pro mladé lidi nebo neúplný rámec pro monitorování;</w:t>
            </w:r>
            <w:r>
              <w:t xml:space="preserve"> </w:t>
            </w:r>
            <w:r>
              <w:rPr>
                <w:b/>
                <w:i/>
              </w:rPr>
              <w:t>bere na vědomí nejnovější zprávy Výboru pro zaměstnanost (EMCO) a důraz, který je v nich kladen na přetrvávající potíže při překonávání strukturálních a institucionálních překážek bránících udržitelnému začlenění mladých lidí, při oslovování neaktivních a zranitelných NEET, při mobilizaci národních rozpočtů za účelem zajištění udržitelnosti programů, jakož i při monitorování a sběru údajů</w:t>
            </w:r>
            <w:r>
              <w:rPr>
                <w:b/>
                <w:i/>
                <w:vertAlign w:val="superscript"/>
              </w:rPr>
              <w:t>23a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23a</w:t>
            </w:r>
            <w:r>
              <w:t xml:space="preserve"> </w:t>
            </w:r>
            <w:r>
              <w:rPr>
                <w:b/>
                <w:i/>
              </w:rPr>
              <w:t>6184/26.</w:t>
            </w:r>
            <w:r>
              <w:t xml:space="preserve"> </w:t>
            </w:r>
            <w:r>
              <w:rPr>
                <w:b/>
                <w:i/>
              </w:rPr>
              <w:t>6831/24.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že ESF+, z něhož jsou záruky pro mladé lidi financovány, je nejdůležitějším finančním nástrojem Evropské unie v oblasti trhu práce a sociální politiky, který podporuje zejména mladé lidi v přístupu ke vzdělávání a odborné přípravě, při zahájení kariéry, při hledání kvalitních pracovních míst, při podpoře podnikání, při financování programů boje proti chudobě a při zlepšování socioekonomických příležitostí;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vyjadřuje znepokojení nad poklesem počtu pracovních míst pro absolventy v některých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Hristo Petrov, Irena Joveva,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konstatuje, že v posledních letech se v rámci evropského semestru snižuje důraz kladený na záruky pro mladé lidi, a to zejména v doporučeních pro jednotlivé země, v nichž se o tomto nástroji nehovoří mimo období, kdy byla tato doporučení vydána, a mimo politickou dynamiku, která je provázela;</w:t>
            </w:r>
            <w:r>
              <w:t xml:space="preserve"> </w:t>
            </w:r>
            <w:r>
              <w:rPr>
                <w:b/>
                <w:i/>
              </w:rPr>
              <w:t>zdůrazňuje, že vzhledem k situaci na trhu práce v některých členských státech je zřejmý rozpor mezi touto situací a zněním doporučení pro jednotlivé země;</w:t>
            </w:r>
            <w:r>
              <w:t xml:space="preserve"> </w:t>
            </w:r>
            <w:r>
              <w:rPr>
                <w:b/>
                <w:i/>
              </w:rPr>
              <w:t>vyjadřuje lítost nad rozhodnutím přijatým v rámci postupu při makroekonomické nerovnováze, které snížilo význam míry nezaměstnanosti mladých lidí na úroveň pomocného ukazatele, ačkoli se jedná o problém, který v mnoha členských státech nadále vyvolává obavy;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poukazuje na jev, kdy jsou mladší pracovníci pro své pracovní pozice nadměrně kvalifikovaní, a na to, jak může tento nesoulad negativně ovlivnit jejich dlouhodobý výdělečný potenciál a v konečném důsledku snížit výši důchodu;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připomíná, že záruky pro mladé lidi fungují v širším rámci politik EU i jednotlivých členských států a že jejich úspěch závisí také na opatřeních v dalších oblastech, jako jsou rodina, bydlení, péče o děti, doprava, duševní zdraví a boj proti diskriminaci;</w:t>
            </w:r>
            <w:r>
              <w:t xml:space="preserve"> </w:t>
            </w:r>
            <w:r>
              <w:rPr>
                <w:b/>
                <w:i/>
              </w:rPr>
              <w:t>zdůrazňuje, že mladí lidé čelí mnohostranným výzvám, které nelze řešit pouze jedním nástrojem zaměřeným na zaměstnanost;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uznává, že existují lidé, kteří jsou nedostatečně zaměstnáni, a jaké dlouhodobé důsledky to může mít pro jejich výdělečný potenciál a budoucí výši důchodu;</w:t>
            </w:r>
            <w:r>
              <w:t xml:space="preserve"> </w:t>
            </w:r>
            <w:r>
              <w:rPr>
                <w:b/>
                <w:i/>
              </w:rPr>
              <w:t>v této souvislosti vyzývá k tomu, aby strategie pro mládež směřovala k zajištění toho, aby mladým lidem, kteří jsou nedostatečně zaměstnáni, bylo v rámci možností nabízeno zaměstnání na plný úvazek;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vítá Deklaraci o západním Balkáně</w:t>
            </w:r>
            <w:r>
              <w:rPr>
                <w:b/>
                <w:i/>
                <w:vertAlign w:val="superscript"/>
              </w:rPr>
              <w:t>24a</w:t>
            </w:r>
            <w:r>
              <w:t xml:space="preserve"> </w:t>
            </w:r>
            <w:r>
              <w:rPr>
                <w:b/>
                <w:i/>
              </w:rPr>
              <w:t>z roku 2021 a přijetí vnitrostátních strategií v rámci záruky pro mládež těmito zeměmi, což dokládá přitažlivost tohoto nástroje;</w:t>
            </w:r>
            <w:r>
              <w:t xml:space="preserve"> </w:t>
            </w:r>
            <w:r>
              <w:rPr>
                <w:b/>
                <w:i/>
              </w:rPr>
              <w:t>zdůrazňuje, že tato úsilí jsou důležitá pro podporu procesu přistoupení k EU, zároveň však uznává, že se zde vyskytují podobné potíže, s jakými se potýkají členské státy, pokud jde o oslovení zranitelných skupin, kapacitu veřejných služeb zaměstnanosti a kvalitu pracovních nabídek;</w:t>
            </w:r>
            <w:r>
              <w:t xml:space="preserve"> </w:t>
            </w:r>
            <w:r>
              <w:rPr>
                <w:b/>
                <w:i/>
              </w:rPr>
              <w:t>zdůrazňuje významnou úlohu Nástroje předvstupní pomoci (IPA) při podpoře zavádění záruky pro mládež na Západním Balkáně;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24a</w:t>
            </w:r>
            <w:r>
              <w:t xml:space="preserve"> </w:t>
            </w:r>
            <w:r>
              <w:rPr>
                <w:b/>
                <w:i/>
              </w:rPr>
              <w:t>https://www.esap.online/docs/141/western-balkans-declaration-on-ensuring-sustainable-labour-market-integration-of-young-people.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vyjadřuje znepokojení nad šířením nejistých pracovních míst a nestandardních forem zaměstnání na trhu práce, zejména u mladých lidí, a uvědomuje si dlouhodobé dopady, které to může mít na jejich výdělečný potenciál a budoucí důchodové příjmy.</w:t>
            </w:r>
            <w:r>
              <w:t xml:space="preserve"> </w:t>
            </w:r>
            <w:r>
              <w:rPr>
                <w:b/>
                <w:i/>
              </w:rPr>
              <w:t>V této souvislosti vyzývá, aby záruky pro mládež směřovaly k zajištění toho, aby mladým lidem, kteří jsou nedostatečně zaměstnáni, bylo v rámci možností nabízeno zaměstnání na plný úvazek;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Hristo Petrov, Irena Joveva,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uznává, že záruky pro mladé lidi působily jako katalyzátor institucionálních reforem a politických inovací ve všech členských státech a rovněž podnítily úvahy o reorganizaci aktivních politik trhu práce pro mladé lidi;</w:t>
            </w:r>
          </w:p>
        </w:tc>
        <w:tc>
          <w:tcPr>
            <w:tcW w:w="4876" w:type="dxa"/>
            <w:tcBorders>
              <w:top w:val="nil"/>
              <w:left w:val="nil"/>
              <w:bottom w:val="nil"/>
              <w:right w:val="nil"/>
            </w:tcBorders>
          </w:tcPr>
          <w:p>
            <w:pPr>
              <w:pStyle w:val="Normal6a"/>
            </w:pPr>
            <w:r>
              <w:t>7.</w:t>
            </w:r>
            <w:r>
              <w:tab/>
            </w:r>
            <w:r>
              <w:t xml:space="preserve">uznává, že záruky pro mladé lidi působily jako katalyzátor institucionálních reforem a politických inovací ve všech členských státech a rovněž podnítily úvahy o reorganizaci aktivních politik trhu práce pro mladé lidi; </w:t>
            </w:r>
            <w:r>
              <w:rPr>
                <w:b/>
                <w:i/>
              </w:rPr>
              <w:t>zdůrazňuje, že záruky pro mladé lidi patří z provozního hlediska k nejambicióznějším politickým opatřením, ačkoli nejsou pro členské státy závazné a umožňují přizpůsobení jejích systémů na vnitrostátní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uznává</w:t>
            </w:r>
            <w:r>
              <w:t xml:space="preserve">, že záruky pro mladé lidi </w:t>
            </w:r>
            <w:r>
              <w:rPr>
                <w:b/>
                <w:i/>
              </w:rPr>
              <w:t>působily jako katalyzátor institucionálních reforem a politických inovací ve všech</w:t>
            </w:r>
            <w:r>
              <w:t xml:space="preserve"> členských státech </w:t>
            </w:r>
            <w:r>
              <w:rPr>
                <w:b/>
                <w:i/>
              </w:rPr>
              <w:t>a rovněž podnítily</w:t>
            </w:r>
            <w:r>
              <w:t xml:space="preserve"> úvahy o reorganizaci aktivních politik trhu práce </w:t>
            </w:r>
            <w:r>
              <w:rPr>
                <w:b/>
                <w:i/>
              </w:rPr>
              <w:t>pro mladé lidi</w:t>
            </w:r>
            <w:r>
              <w:t>;</w:t>
            </w:r>
          </w:p>
        </w:tc>
        <w:tc>
          <w:tcPr>
            <w:tcW w:w="4876" w:type="dxa"/>
            <w:tcBorders>
              <w:top w:val="nil"/>
              <w:left w:val="nil"/>
              <w:bottom w:val="nil"/>
              <w:right w:val="nil"/>
            </w:tcBorders>
          </w:tcPr>
          <w:p>
            <w:pPr>
              <w:pStyle w:val="Normal6a"/>
            </w:pPr>
            <w:r>
              <w:t>7.</w:t>
            </w:r>
            <w:r>
              <w:tab/>
            </w:r>
            <w:r>
              <w:rPr>
                <w:b/>
                <w:i/>
              </w:rPr>
              <w:t>konstatuje</w:t>
            </w:r>
            <w:r>
              <w:t xml:space="preserve">, že záruky pro mladé lidi </w:t>
            </w:r>
            <w:r>
              <w:rPr>
                <w:b/>
                <w:i/>
              </w:rPr>
              <w:t>často vedly k vytvoření nových byrokratických úrovní v</w:t>
            </w:r>
            <w:r>
              <w:t xml:space="preserve"> členských státech</w:t>
            </w:r>
            <w:r>
              <w:rPr>
                <w:b/>
                <w:i/>
              </w:rPr>
              <w:t>, aniž by se podařilo omezit strukturální nezaměstnanost;</w:t>
            </w:r>
            <w:r>
              <w:t xml:space="preserve"> </w:t>
            </w:r>
            <w:r>
              <w:rPr>
                <w:b/>
                <w:i/>
              </w:rPr>
              <w:t>zdůrazňuje, že jakékoli</w:t>
            </w:r>
            <w:r>
              <w:t xml:space="preserve"> úvahy o reorganizaci aktivních politik trhu práce </w:t>
            </w:r>
            <w:r>
              <w:rPr>
                <w:b/>
                <w:i/>
              </w:rPr>
              <w:t>musí probíhat při naprostém respektování sociální suverenity členských států a musí směřovat spíše k odlehčení zátěže, která na malých a středních podnicích leží, než k vnucování evropské institucionální architektury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uznává, že záruky pro mladé lidi působily jako katalyzátor institucionálních reforem a politických inovací ve všech členských státech a rovněž podnítily úvahy o reorganizaci aktivních politik trhu práce pro mladé lidi;</w:t>
            </w:r>
          </w:p>
        </w:tc>
        <w:tc>
          <w:tcPr>
            <w:tcW w:w="4876" w:type="dxa"/>
            <w:tcBorders>
              <w:top w:val="nil"/>
              <w:left w:val="nil"/>
              <w:bottom w:val="nil"/>
              <w:right w:val="nil"/>
            </w:tcBorders>
          </w:tcPr>
          <w:p>
            <w:pPr>
              <w:pStyle w:val="Normal6a"/>
            </w:pPr>
            <w:r>
              <w:t>7.</w:t>
            </w:r>
            <w:r>
              <w:tab/>
            </w:r>
            <w:r>
              <w:t xml:space="preserve">uznává, že záruky pro mladé lidi působily jako katalyzátor institucionálních reforem a politických inovací ve všech členských státech a rovněž podnítily úvahy o reorganizaci aktivních politik trhu práce pro mladé lidi; </w:t>
            </w:r>
            <w:r>
              <w:rPr>
                <w:b/>
                <w:i/>
              </w:rPr>
              <w:t>konstatuje však, že tyto reformy se často zaměřovaly na zvýšení flexibility trhu práce, a nikoli na zajištění kvalitních a stabilních pracovních míst;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je toho názoru, že provádění iniciativy záruk pro mladé lidi se často příliš úzce zaměřovalo na podporu zaměstnanosti, zatímco dosažení jejích hlavních cílů vyžaduje komplexnější přístup, který kombinuje aktivní a pasivní politiky trhu práce s účinným přístupem k opatřením na podporu sociálního začlenění a základním službám, včetně sociální, zdravotní a bytové podpory, s cílem zajistit stabilní, inkluzivní a dlouhodobé výsledky pro osoby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s obavami konstatuje, že prováděcí plány mnoha členských států nebyly v uplynulém desetiletí aktualizovány, a proto již neodrážejí současnou situaci na trhu práce, jako je nárůst nejistých pracovních poměrů, digitální a zelená transformace a rostoucí nedostatečná zaměstnanost;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že dopad záruk pro mladé lidi je v jednotlivých členských státech nerovnoměrný, pokud jde o jejich provádění a konkrétní prvky posílení;</w:t>
            </w:r>
          </w:p>
        </w:tc>
        <w:tc>
          <w:tcPr>
            <w:tcW w:w="4876" w:type="dxa"/>
            <w:tcBorders>
              <w:top w:val="nil"/>
              <w:left w:val="nil"/>
              <w:bottom w:val="nil"/>
              <w:right w:val="nil"/>
            </w:tcBorders>
          </w:tcPr>
          <w:p>
            <w:pPr>
              <w:pStyle w:val="Normal6a"/>
            </w:pPr>
            <w:r>
              <w:t>8.</w:t>
            </w:r>
            <w:r>
              <w:tab/>
            </w:r>
            <w:r>
              <w:t xml:space="preserve">zdůrazňuje, že dopad záruk pro mladé lidi je v jednotlivých členských státech </w:t>
            </w:r>
            <w:r>
              <w:rPr>
                <w:b/>
                <w:i/>
              </w:rPr>
              <w:t>i mezi nimi</w:t>
            </w:r>
            <w:r>
              <w:t xml:space="preserve"> nerovnoměrný, pokud jde o jejich provádění a konkrétní prvky posílení; </w:t>
            </w:r>
            <w:r>
              <w:rPr>
                <w:b/>
                <w:i/>
              </w:rPr>
              <w:t>zdůrazňuje, že rozdílná úroveň socioekonomického rozvoje, místní podmínky na trhu práce a přístup ke službám vedou k výrazným regionálním a místním rozdílům v nezaměstnanosti a neaktivitě mladých lidí;</w:t>
            </w:r>
            <w:r>
              <w:t xml:space="preserve"> </w:t>
            </w:r>
            <w:r>
              <w:rPr>
                <w:b/>
                <w:i/>
              </w:rPr>
              <w:t>zdůrazňuje, že účinná osvětová činnost musí zohledňovat místní podmínky a zapojovat důvěryhodné místní služby a organizace, které přímo pracují s mladými lidmi;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že dopad záruk pro mladé lidi je v jednotlivých členských státech nerovnoměrný, pokud jde o jejich provádění a konkrétní prvky posílení;</w:t>
            </w:r>
          </w:p>
        </w:tc>
        <w:tc>
          <w:tcPr>
            <w:tcW w:w="4876" w:type="dxa"/>
            <w:tcBorders>
              <w:top w:val="nil"/>
              <w:left w:val="nil"/>
              <w:bottom w:val="nil"/>
              <w:right w:val="nil"/>
            </w:tcBorders>
          </w:tcPr>
          <w:p>
            <w:pPr>
              <w:pStyle w:val="Normal6a"/>
            </w:pPr>
            <w:r>
              <w:t>8.</w:t>
            </w:r>
            <w:r>
              <w:tab/>
            </w:r>
            <w:r>
              <w:t xml:space="preserve">zdůrazňuje, že dopad záruk pro mladé lidi je v jednotlivých členských státech nerovnoměrný, pokud jde o jejich provádění a konkrétní prvky posílení; </w:t>
            </w:r>
            <w:r>
              <w:rPr>
                <w:b/>
                <w:i/>
              </w:rPr>
              <w:t>konstatuje, že v rámci záruk pro mladé lidi existují různé přístupy, pokud jde o jejich realizaci a rozsah nabízených příležitostí, a že všechny zavedené vnitrostátní modely mají prostor pro zlepšení;</w:t>
            </w:r>
            <w:r>
              <w:t xml:space="preserve"> </w:t>
            </w:r>
            <w:r>
              <w:rPr>
                <w:b/>
                <w:i/>
              </w:rPr>
              <w:t>bere na vědomí, že členské státy mají odlišné výchozí podmínky a že některé z nich čelí demografickým výzvám a odlivu mladých lidí v produktivním věku;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vítá rozšíření věkové skupiny, na kterou se vztahují záruky pro mladé lidi, o mladé lidi ve věku 25 až 29 let, a to v situaci, kdy přechod ze školy na trh práce trvá déle než dříve;</w:t>
            </w:r>
            <w:r>
              <w:t xml:space="preserve"> </w:t>
            </w:r>
            <w:r>
              <w:rPr>
                <w:b/>
                <w:i/>
              </w:rPr>
              <w:t>konstatuje, že toto rozšíření vedlo k nárůstu účasti v systémech záruk pro mladé lidi, přičemž tato věková skupina bude v roce 2024 tvořit přibližně třetinu celkového počtu účastníků</w:t>
            </w:r>
            <w:r>
              <w:rPr>
                <w:b/>
                <w:i/>
                <w:vertAlign w:val="superscript"/>
              </w:rPr>
              <w:t>25a</w:t>
            </w:r>
            <w:r>
              <w:rPr>
                <w:b/>
                <w:i/>
              </w:rPr>
              <w:t>;</w:t>
            </w:r>
            <w:r>
              <w:t xml:space="preserve"> </w:t>
            </w:r>
            <w:r>
              <w:rPr>
                <w:b/>
                <w:i/>
              </w:rPr>
              <w:t>zdůrazňuje, že tento nárůst počtu uchazečů nebyl vždy doprovázen posílením kapacit veřejných služeb zaměstnanosti, které se potýkají s větším počtem případů, z nichž některé jsou složitější;</w:t>
            </w:r>
            <w:r>
              <w:t xml:space="preserve"> </w:t>
            </w:r>
            <w:r>
              <w:rPr>
                <w:b/>
                <w:i/>
              </w:rPr>
              <w:t>vyjadřuje lítost nad tím, že se některé členské státy rozhodly toto rozšíření věkového rozmezí pro program záruk pro mladé lidi nezavádět;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25a</w:t>
            </w:r>
            <w:r>
              <w:t xml:space="preserve"> </w:t>
            </w:r>
            <w:r>
              <w:rPr>
                <w:b/>
                <w:i/>
              </w:rPr>
              <w:t>Evropská komise, Generální ředitelství pro zaměstnanost, sociální věci a sociální začleňování, Data collection for monitoring of Youth Guarantee schemes:</w:t>
            </w:r>
            <w:r>
              <w:t xml:space="preserve"> </w:t>
            </w:r>
            <w:r>
              <w:rPr>
                <w:b/>
                <w:i/>
              </w:rPr>
              <w:t>2024, prosinec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zdůrazňuje, že nejnovější výzkumy týkající se zapojení místních komunit naznačují, že pro úspěšné zvládnutí přechodu ze školy do zaměstnání je nezbytný přístup založený na spolupráci, včetně integrovaných modelů, v nichž služby na podporu zaměstnanosti spolupracují na místní úrovni s poskytovateli základního sociálního zabezpečení pro uchazeče o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zdůrazňuje, že úspěch posílených záruk pro mladé lidi v boji proti nezaměstnanosti mladých lidí a proti jevu NEET závisí na účinném propojení politik v oblasti zaměstnanosti, vzdělávání a mládeže, na silném partnerství s vládami, sociálními partnery a mládežnickými organizacemi a na komplexních opatřeních zaměřených na podporu rodin, bydlení, péči o děti, genderovou nerovnost, účast na trhu práce, rodičovská práva, rovnováhu mezi pracovním a soukromým životem, přístup k cenově dostupné zdravotní péči a univerzální sociální ochranu založenou na solidaritě;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připomíná, že socioekonomická stabilita rodiny, přístup ke kvalitnímu vzdělávání a odborné přípravě a inkluzivní trhy práce představují klíčové předpoklady pro úspěšný přechod mladých lidí ze vzdělávání do zaměstnání a jsou neoddělitelně spjaty s cíli záruk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připomíná, že usnesení Evropského parlamentu z listopadu 2023 o snižování nerovností a podpoře sociálního začlenění dětí a jejich rodin, v součinnosti s Evropskou zárukou pro děti, položilo základy pro iniciativu „Silnější rodiny“</w:t>
            </w:r>
            <w:r>
              <w:rPr>
                <w:b/>
                <w:i/>
                <w:vertAlign w:val="superscript"/>
              </w:rPr>
              <w:t>2a</w:t>
            </w:r>
            <w:r>
              <w:t xml:space="preserve"> </w:t>
            </w:r>
            <w:r>
              <w:rPr>
                <w:b/>
                <w:i/>
              </w:rPr>
              <w:t>a Evropskou rodinnou smlouvu</w:t>
            </w:r>
            <w:r>
              <w:rPr>
                <w:b/>
                <w:i/>
                <w:vertAlign w:val="superscript"/>
              </w:rPr>
              <w:t>3a</w:t>
            </w:r>
            <w:r>
              <w:rPr>
                <w:b/>
                <w:i/>
              </w:rPr>
              <w:t>, které kombinují garantované přídavky na děti, rodičovskou dovolenou a přístup ke kvalitní péči o děti, což je klíčový předpoklad pro účinnost záruk pro mladé lidi, jelikož zajišťuje rovnováhu mezi prací a rodinou pro osoby, které nejsou zaměstnaní ani se neúčastní vzdělávání nebo odborné přípravy (NEET), zejména pro mladé rodiče, a pomáhá předcházet dlouhodobému ekonomickému vyloučení;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https://www.nielsgeuking.eu/stronger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https://www.nielsgeuking.eu/en/scientificstudy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Niels Geuking, Romana Tomc,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8e.</w:t>
            </w:r>
            <w:r>
              <w:tab/>
            </w:r>
            <w:r>
              <w:rPr>
                <w:b/>
                <w:i/>
              </w:rPr>
              <w:t>zdůrazňuje, že řešení problému odkládání rodičovství, podpora plánování rodiny u (zranitelných) mladých lidí a zajištění sociálně pojištěného rodičovského příjmu mohou přispět k řešení demografických výzev, k řešení nedostatku kvalifikovaných pracovníků a k posílení mladých rodin a mezigenerační spravedlnosti;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8f.</w:t>
            </w:r>
            <w:r>
              <w:tab/>
            </w:r>
            <w:r>
              <w:rPr>
                <w:b/>
                <w:i/>
              </w:rPr>
              <w:t>zdůrazňuje, že začlenění přístupu zaměřeného na rodinu a celý životní cyklus do sdělení Komise o posílených zárukách pro mladé lidi může pomoci předcházet nezaměstnanosti mladých lidí, předčasnému ukončování školní docházky a odborné přípravy (ELET), situaci NEET, chudobě pracujících a sociálnímu vyloučení, a tím přispět k dlouhodobé sociální soudržnosti a mezigenerační spravedlnosti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8g.</w:t>
            </w:r>
            <w:r>
              <w:tab/>
            </w:r>
            <w:r>
              <w:rPr>
                <w:b/>
                <w:i/>
              </w:rPr>
              <w:t>zdůrazňuje, že mezigenerační solidarita je základním kamenem modelu sociálního zabezpečení EU a je nezbytná pro zachování sociální soudržnosti v kontextu demografických změn a hospodářské transformace;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vyjadřuje politování nad tím, že povědomí o systémech záruk pro mladé lidi je stále nízké mezi mladými lidmi a do jisté míry i mezi orgány, kromě těch, které jsou přímo odpovědné za programy nebo otázky zaměstnanosti;</w:t>
            </w:r>
          </w:p>
        </w:tc>
        <w:tc>
          <w:tcPr>
            <w:tcW w:w="4876" w:type="dxa"/>
            <w:tcBorders>
              <w:top w:val="nil"/>
              <w:left w:val="nil"/>
              <w:bottom w:val="nil"/>
              <w:right w:val="nil"/>
            </w:tcBorders>
          </w:tcPr>
          <w:p>
            <w:pPr>
              <w:pStyle w:val="Normal6a"/>
            </w:pPr>
            <w:r>
              <w:t>9.</w:t>
            </w:r>
            <w:r>
              <w:tab/>
            </w:r>
            <w:r>
              <w:t xml:space="preserve">vyjadřuje politování nad tím, že povědomí o systémech záruk pro mladé lidi je stále nízké mezi mladými lidmi a do jisté míry i mezi orgány, kromě těch, které jsou přímo odpovědné za programy nebo otázky zaměstnanosti; </w:t>
            </w:r>
            <w:r>
              <w:rPr>
                <w:b/>
                <w:i/>
              </w:rPr>
              <w:t>zdůrazňuje, že začlenění záruk pro mladé lidi do širších programů s sebou nese riziko, že zastíní příležitosti, které tyto programy nabízejí mladým lidem NEET;</w:t>
            </w:r>
            <w:r>
              <w:t xml:space="preserve"> </w:t>
            </w:r>
            <w:r>
              <w:rPr>
                <w:b/>
                <w:i/>
              </w:rPr>
              <w:t>konstatuje, že nejobtížněji oslovitelnou skupinou NEET zůstávají ti, kteří mají nejmenší povědomí o těchto programech a službách, které jsou jim k dispozici;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vyjadřuje politování nad tím, že povědomí o systémech záruk pro mladé lidi je stále nízké mezi mladými lidmi a do jisté míry i mezi orgány, kromě těch, které jsou přímo odpovědné za programy nebo otázky zaměstnanosti;</w:t>
            </w:r>
          </w:p>
        </w:tc>
        <w:tc>
          <w:tcPr>
            <w:tcW w:w="4876" w:type="dxa"/>
            <w:tcBorders>
              <w:top w:val="nil"/>
              <w:left w:val="nil"/>
              <w:bottom w:val="nil"/>
              <w:right w:val="nil"/>
            </w:tcBorders>
          </w:tcPr>
          <w:p>
            <w:pPr>
              <w:pStyle w:val="Normal6a"/>
            </w:pPr>
            <w:r>
              <w:t>9.</w:t>
            </w:r>
            <w:r>
              <w:tab/>
            </w:r>
            <w:r>
              <w:t xml:space="preserve">vyjadřuje politování nad tím, že povědomí o systémech záruk pro mladé lidi je stále nízké mezi mladými lidmi a do jisté míry i mezi orgány, kromě těch, které jsou přímo odpovědné za programy nebo otázky zaměstnanosti; </w:t>
            </w:r>
            <w:r>
              <w:rPr>
                <w:b/>
                <w:i/>
              </w:rPr>
              <w:t>zdůrazňuje, že nízká informovanost je částečně způsobena absencí dostupných informačních kampaní, zejména kampaní zaměřených na mladé lidi se zdravotním postižením a na osoby ze znevýhodněných oblastí;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vyjadřuje politování nad tím, že povědomí o </w:t>
            </w:r>
            <w:r>
              <w:rPr>
                <w:b/>
                <w:i/>
              </w:rPr>
              <w:t>systémech</w:t>
            </w:r>
            <w:r>
              <w:t xml:space="preserve"> záruk pro mladé lidi je </w:t>
            </w:r>
            <w:r>
              <w:rPr>
                <w:b/>
                <w:i/>
              </w:rPr>
              <w:t>stále nízké mezi mladými lidmi</w:t>
            </w:r>
            <w:r>
              <w:t xml:space="preserve"> a do jisté míry i mezi </w:t>
            </w:r>
            <w:r>
              <w:rPr>
                <w:b/>
                <w:i/>
              </w:rPr>
              <w:t>orgány, kromě těch</w:t>
            </w:r>
            <w:r>
              <w:t xml:space="preserve">, které </w:t>
            </w:r>
            <w:r>
              <w:rPr>
                <w:b/>
                <w:i/>
              </w:rPr>
              <w:t>jsou</w:t>
            </w:r>
            <w:r>
              <w:t xml:space="preserve"> přímo </w:t>
            </w:r>
            <w:r>
              <w:rPr>
                <w:b/>
                <w:i/>
              </w:rPr>
              <w:t>odpovědné za programy nebo otázky zaměstnanosti</w:t>
            </w:r>
            <w:r>
              <w:t>;</w:t>
            </w:r>
          </w:p>
        </w:tc>
        <w:tc>
          <w:tcPr>
            <w:tcW w:w="4876" w:type="dxa"/>
            <w:tcBorders>
              <w:top w:val="nil"/>
              <w:left w:val="nil"/>
              <w:bottom w:val="nil"/>
              <w:right w:val="nil"/>
            </w:tcBorders>
          </w:tcPr>
          <w:p>
            <w:pPr>
              <w:pStyle w:val="Normal6a"/>
            </w:pPr>
            <w:r>
              <w:t>9.</w:t>
            </w:r>
            <w:r>
              <w:tab/>
            </w:r>
            <w:r>
              <w:t xml:space="preserve">vyjadřuje politování nad tím, že povědomí o </w:t>
            </w:r>
            <w:r>
              <w:rPr>
                <w:b/>
                <w:i/>
              </w:rPr>
              <w:t>programech</w:t>
            </w:r>
            <w:r>
              <w:t xml:space="preserve"> záruk pro mladé lidi je </w:t>
            </w:r>
            <w:r>
              <w:rPr>
                <w:b/>
                <w:i/>
              </w:rPr>
              <w:t>mezi osobami NEET,</w:t>
            </w:r>
            <w:r>
              <w:t xml:space="preserve"> a do jisté míry i mezi </w:t>
            </w:r>
            <w:r>
              <w:rPr>
                <w:b/>
                <w:i/>
              </w:rPr>
              <w:t>příslušnými zúčastněnými stranami</w:t>
            </w:r>
            <w:r>
              <w:t xml:space="preserve">, které </w:t>
            </w:r>
            <w:r>
              <w:rPr>
                <w:b/>
                <w:i/>
              </w:rPr>
              <w:t>se</w:t>
            </w:r>
            <w:r>
              <w:t xml:space="preserve"> přímo </w:t>
            </w:r>
            <w:r>
              <w:rPr>
                <w:b/>
                <w:i/>
              </w:rPr>
              <w:t>nepodílejí na provádění záruk, jako jsou poskytovatelé vzdělávání a odborné přípravy, mládežnické organizace, občanská společnost a další formální i neformální aktéři, stále nízké;</w:t>
            </w:r>
            <w:r>
              <w:t xml:space="preserve"> </w:t>
            </w:r>
            <w:r>
              <w:rPr>
                <w:b/>
                <w:i/>
              </w:rPr>
              <w:t>považuje tuto nízkou informovanost za významnou překážku pro přijetí a účinnost záruk pro mladé lidi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vyjadřuje politování nad tím, že povědomí o systémech záruk pro mladé lidi je stále nízké mezi </w:t>
            </w:r>
            <w:r>
              <w:rPr>
                <w:b/>
                <w:i/>
              </w:rPr>
              <w:t>mladými lidmi</w:t>
            </w:r>
            <w:r>
              <w:t xml:space="preserve"> a do jisté míry i mezi orgány, kromě těch, které jsou přímo odpovědné za programy nebo otázky zaměstnanosti;</w:t>
            </w:r>
          </w:p>
        </w:tc>
        <w:tc>
          <w:tcPr>
            <w:tcW w:w="4876" w:type="dxa"/>
            <w:tcBorders>
              <w:top w:val="nil"/>
              <w:left w:val="nil"/>
              <w:bottom w:val="nil"/>
              <w:right w:val="nil"/>
            </w:tcBorders>
          </w:tcPr>
          <w:p>
            <w:pPr>
              <w:pStyle w:val="Normal6a"/>
            </w:pPr>
            <w:r>
              <w:t>9.</w:t>
            </w:r>
            <w:r>
              <w:tab/>
            </w:r>
            <w:r>
              <w:t xml:space="preserve">vyjadřuje politování nad tím, že povědomí o systémech záruk pro mladé lidi je stále nízké mezi </w:t>
            </w:r>
            <w:r>
              <w:rPr>
                <w:b/>
                <w:i/>
              </w:rPr>
              <w:t>podniky mladých lidí</w:t>
            </w:r>
            <w:r>
              <w:t xml:space="preserve"> a do jisté míry i mezi </w:t>
            </w:r>
            <w:r>
              <w:rPr>
                <w:b/>
                <w:i/>
              </w:rPr>
              <w:t>veřejnými</w:t>
            </w:r>
            <w:r>
              <w:t xml:space="preserve"> orgány, kromě těch, které jsou přímo odpovědné za programy nebo otázky zaměstnanosti</w:t>
            </w:r>
            <w:r>
              <w:rPr>
                <w:b/>
                <w:i/>
              </w:rPr>
              <w:t>, a značně se liší mezi jednotlivými členskými státy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konstatuje, že osvěta zůstává jednou z hlavních překážek provádění záruk pro mladé lidi; vyjadřuje politování nad tím, že opatření jsou převážně pasivní a opírají se pouze o osoby NEET registrované ve veřejných službách zaměstnanosti;</w:t>
            </w:r>
          </w:p>
        </w:tc>
        <w:tc>
          <w:tcPr>
            <w:tcW w:w="4876" w:type="dxa"/>
            <w:tcBorders>
              <w:top w:val="nil"/>
              <w:left w:val="nil"/>
              <w:bottom w:val="nil"/>
              <w:right w:val="nil"/>
            </w:tcBorders>
          </w:tcPr>
          <w:p>
            <w:pPr>
              <w:pStyle w:val="Normal6a"/>
            </w:pPr>
            <w:r>
              <w:t>10.</w:t>
            </w:r>
            <w:r>
              <w:tab/>
            </w:r>
            <w:r>
              <w:t xml:space="preserve">konstatuje </w:t>
            </w:r>
            <w:r>
              <w:rPr>
                <w:b/>
                <w:i/>
              </w:rPr>
              <w:t>se silným znepokojením</w:t>
            </w:r>
            <w:r>
              <w:t xml:space="preserve">, že osvěta zůstává jednou z hlavních překážek </w:t>
            </w:r>
            <w:r>
              <w:rPr>
                <w:b/>
                <w:i/>
              </w:rPr>
              <w:t>účinného</w:t>
            </w:r>
            <w:r>
              <w:t xml:space="preserve"> provádění záruk pro mladé lidi; vyjadřuje politování nad tím, že opatření </w:t>
            </w:r>
            <w:r>
              <w:rPr>
                <w:b/>
                <w:i/>
              </w:rPr>
              <w:t>na zvýšení dosahu</w:t>
            </w:r>
            <w:r>
              <w:t xml:space="preserve"> jsou převážně pasivní a opírají se pouze o osoby NEET registrované ve veřejných službách zaměstnanosti; </w:t>
            </w:r>
            <w:r>
              <w:rPr>
                <w:b/>
                <w:i/>
              </w:rPr>
              <w:t>zdůrazňuje, že to vytváří systémové překážky pro osoby NEET, které čelí sociálnímu vyloučení, institucionální nedůvěře, digitálnímu vyloučení nebo praktickým překážkám při spolupráci s formálními službami;</w:t>
            </w:r>
            <w:r>
              <w:t xml:space="preserve"> </w:t>
            </w:r>
            <w:r>
              <w:rPr>
                <w:b/>
                <w:i/>
              </w:rPr>
              <w:t>konstatuje, že to podkopává sociální soudržnost a mezigenerační spravedlnost a neprohlubuje stávající nerovnosti, ale nesnižuje 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konstatuje, že osvěta zůstává jednou z hlavních překážek provádění záruk pro mladé lidi; vyjadřuje politování nad tím, že opatření jsou převážně pasivní a opírají se pouze o osoby NEET registrované ve veřejných službách zaměstnanosti;</w:t>
            </w:r>
          </w:p>
        </w:tc>
        <w:tc>
          <w:tcPr>
            <w:tcW w:w="4876" w:type="dxa"/>
            <w:tcBorders>
              <w:top w:val="nil"/>
              <w:left w:val="nil"/>
              <w:bottom w:val="nil"/>
              <w:right w:val="nil"/>
            </w:tcBorders>
          </w:tcPr>
          <w:p>
            <w:pPr>
              <w:pStyle w:val="Normal6a"/>
            </w:pPr>
            <w:r>
              <w:t>10.</w:t>
            </w:r>
            <w:r>
              <w:tab/>
            </w:r>
            <w:r>
              <w:t xml:space="preserve">konstatuje, že osvěta zůstává jednou z hlavních překážek provádění záruk pro mladé lidi; vyjadřuje politování nad tím, že opatření jsou převážně pasivní a opírají se pouze o osoby NEET registrované ve veřejných službách zaměstnanosti; </w:t>
            </w:r>
            <w:r>
              <w:rPr>
                <w:b/>
                <w:i/>
              </w:rPr>
              <w:t>vyzývá proto členské státy, aby vypracovaly aktivní informační strategie prostřednictvím škol, sociálních služeb, místních orgánů, mládežnických organizací a digitálních nástrojů s cílem identifikovat mladé lidi, kteří nejsou registrováni, a ty, které je nejobtížněji oslovit;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konstatuje, že osvěta zůstává jednou z hlavních překážek provádění záruk pro mladé lidi; vyjadřuje politování nad tím, že opatření jsou převážně pasivní a opírají se pouze o osoby NEET registrované ve veřejných službách zaměstnanosti;</w:t>
            </w:r>
          </w:p>
        </w:tc>
        <w:tc>
          <w:tcPr>
            <w:tcW w:w="4876" w:type="dxa"/>
            <w:tcBorders>
              <w:top w:val="nil"/>
              <w:left w:val="nil"/>
              <w:bottom w:val="nil"/>
              <w:right w:val="nil"/>
            </w:tcBorders>
          </w:tcPr>
          <w:p>
            <w:pPr>
              <w:pStyle w:val="Normal6a"/>
            </w:pPr>
            <w:r>
              <w:t>10.</w:t>
            </w:r>
            <w:r>
              <w:tab/>
            </w:r>
            <w:r>
              <w:t xml:space="preserve">konstatuje, že osvěta zůstává jednou z hlavních překážek provádění záruk pro mladé lidi; vyjadřuje politování nad tím, že opatření jsou převážně pasivní a </w:t>
            </w:r>
            <w:r>
              <w:rPr>
                <w:b/>
                <w:i/>
              </w:rPr>
              <w:t>a</w:t>
            </w:r>
            <w:r>
              <w:t xml:space="preserve"> opírají se pouze o osoby NEET registrované ve veřejných službách zaměstnanosti</w:t>
            </w:r>
            <w:r>
              <w:rPr>
                <w:b/>
                <w:i/>
              </w:rPr>
              <w:t>, a že tyto služby nejsou schopny zaujmout proaktivní přístup k oslovování komunit</w:t>
            </w:r>
            <w:r>
              <w:t xml:space="preserve">; </w:t>
            </w:r>
            <w:r>
              <w:rPr>
                <w:b/>
                <w:i/>
              </w:rPr>
              <w:t>konstatuje, že tento přístup vytváří překážky pro ty, kteří čelí praktickým obtížím nebo nedůvěřují institucím;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konstatuje, že osvěta zůstává jednou z hlavních překážek provádění záruk pro mladé lidi; vyjadřuje politování nad tím, že opatření jsou převážně pasivní a opírají se pouze o osoby NEET registrované ve veřejných službách zaměstnanosti;</w:t>
            </w:r>
          </w:p>
        </w:tc>
        <w:tc>
          <w:tcPr>
            <w:tcW w:w="4876" w:type="dxa"/>
            <w:tcBorders>
              <w:top w:val="nil"/>
              <w:left w:val="nil"/>
              <w:bottom w:val="nil"/>
              <w:right w:val="nil"/>
            </w:tcBorders>
          </w:tcPr>
          <w:p>
            <w:pPr>
              <w:pStyle w:val="Normal6a"/>
            </w:pPr>
            <w:r>
              <w:t>10.</w:t>
            </w:r>
            <w:r>
              <w:tab/>
            </w:r>
            <w:r>
              <w:t xml:space="preserve">konstatuje, že osvěta zůstává jednou z hlavních překážek provádění záruk pro mladé lidi; vyjadřuje politování nad tím, že opatření jsou převážně pasivní a opírají se pouze o osoby NEET registrované ve veřejných službách zaměstnanosti; </w:t>
            </w:r>
            <w:r>
              <w:rPr>
                <w:b/>
                <w:i/>
              </w:rPr>
              <w:t>vyzývá členské státy a Komisi, aby vynaložily zvláštní úsilí na zajištění komplexního zvyšování povědomí o zárukách pro mladé lidi mezi mladými lidmi, zejména se zaměřením na zranitelné a marginalizované skupiny;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konstatuje, že osvěta zůstává jednou z hlavních překážek provádění záruk pro mladé lidi; vyjadřuje politování nad tím, že opatření jsou převážně pasivní a opírají se pouze o osoby NEET registrované ve veřejných službách zaměstnanosti;</w:t>
            </w:r>
          </w:p>
        </w:tc>
        <w:tc>
          <w:tcPr>
            <w:tcW w:w="4876" w:type="dxa"/>
            <w:tcBorders>
              <w:top w:val="nil"/>
              <w:left w:val="nil"/>
              <w:bottom w:val="nil"/>
              <w:right w:val="nil"/>
            </w:tcBorders>
          </w:tcPr>
          <w:p>
            <w:pPr>
              <w:pStyle w:val="Normal6a"/>
            </w:pPr>
            <w:r>
              <w:t>10.</w:t>
            </w:r>
            <w:r>
              <w:tab/>
            </w:r>
            <w:r>
              <w:t>konstatuje, že osvěta zůstává jednou z hlavních překážek provádění záruk pro mladé lidi; vyjadřuje politování nad tím, že opatření jsou převážně pasivní a opírají se pouze o osoby NEET registrované ve veřejných službách zaměstnanosti</w:t>
            </w:r>
            <w:r>
              <w:rPr>
                <w:b/>
                <w:i/>
              </w:rPr>
              <w:t>, a zdůrazňuje, že je třeba rovněž poskytnout individualizované poradenství a koučování s cílem oslovit a podpořit nejzranitelnější osoby a osoby, které se potýkají s většími obtížemi při přístupu ke službám</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konstatuje, že </w:t>
            </w:r>
            <w:r>
              <w:rPr>
                <w:b/>
                <w:i/>
              </w:rPr>
              <w:t>osvěta zůstává</w:t>
            </w:r>
            <w:r>
              <w:t xml:space="preserve"> jednou z hlavních překážek provádění záruk pro mladé lidi; vyjadřuje politování nad tím, že opatření jsou převážně pasivní a opírají se pouze o osoby NEET registrované ve veřejných službách zaměstnanosti;</w:t>
            </w:r>
          </w:p>
        </w:tc>
        <w:tc>
          <w:tcPr>
            <w:tcW w:w="4876" w:type="dxa"/>
            <w:tcBorders>
              <w:top w:val="nil"/>
              <w:left w:val="nil"/>
              <w:bottom w:val="nil"/>
              <w:right w:val="nil"/>
            </w:tcBorders>
          </w:tcPr>
          <w:p>
            <w:pPr>
              <w:pStyle w:val="Normal6a"/>
            </w:pPr>
            <w:r>
              <w:t>10.</w:t>
            </w:r>
            <w:r>
              <w:tab/>
            </w:r>
            <w:r>
              <w:t xml:space="preserve">konstatuje, že jednou z hlavních překážek provádění záruk pro mladé lidi </w:t>
            </w:r>
            <w:r>
              <w:rPr>
                <w:b/>
                <w:i/>
              </w:rPr>
              <w:t>je i nadále nedostatečná kapacita pro aktivní komunitní komunikaci</w:t>
            </w:r>
            <w:r>
              <w:t>; vyjadřuje politování nad tím, že opatření jsou převážně pasivní a opírají se pouze o osoby NEET registrované ve veřejných službách zaměstnanosti</w:t>
            </w:r>
            <w:r>
              <w:rPr>
                <w:b/>
                <w:i/>
              </w:rPr>
              <w:t>, což vytváří překážky pro osoby s institucionální nedůvěrou nebo praktickými problémy, jako je omezená doprava nebo digitální přístup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konstatuje, že decentralizované, místně zakotvené veřejné služby zaměstnanosti a komunitní struktury mohou zlepšit dosah, zapojení a podporu obtížně dosažitelných osob NEET a zranitelných podskupin;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vyjadřuje obavy ohledně spravedlnosti systémů záruk pro mladé lidi, pokud jde o jejich schopnost oslovit zranitelné a neaktivní skupiny, zejména v odlehlých oblastech, jako jsou romské komunity;</w:t>
            </w:r>
          </w:p>
        </w:tc>
        <w:tc>
          <w:tcPr>
            <w:tcW w:w="4876" w:type="dxa"/>
            <w:tcBorders>
              <w:top w:val="nil"/>
              <w:left w:val="nil"/>
              <w:bottom w:val="nil"/>
              <w:right w:val="nil"/>
            </w:tcBorders>
          </w:tcPr>
          <w:p>
            <w:pPr>
              <w:pStyle w:val="Normal6a"/>
            </w:pPr>
            <w:r>
              <w:t>11.</w:t>
            </w:r>
            <w:r>
              <w:tab/>
            </w:r>
            <w:r>
              <w:t xml:space="preserve">vyjadřuje obavy ohledně spravedlnosti systémů záruk pro mladé lidi, pokud jde o jejich schopnost oslovit zranitelné a neaktivní skupiny, zejména v odlehlých oblastech, jako jsou romské komunity; </w:t>
            </w:r>
            <w:r>
              <w:rPr>
                <w:b/>
                <w:i/>
              </w:rPr>
              <w:t>bere na vědomí zpětnou vazbu od některých zúčastněných stran, z níž vyplývá, že z těchto programů mají prospěch především mladí lidé, kteří se již pohybují v blízkosti trhu práce;</w:t>
            </w:r>
            <w:r>
              <w:t xml:space="preserve"> </w:t>
            </w:r>
            <w:r>
              <w:rPr>
                <w:b/>
                <w:i/>
              </w:rPr>
              <w:t>připomíná, že tento nedostatek fakticky podloženého dosahu vede k nedostatku znalostí o podskupinách NEET, které je třeba oslovit, a brání rozvoji propracovanějších strategií;</w:t>
            </w:r>
            <w:r>
              <w:t xml:space="preserve"> </w:t>
            </w:r>
            <w:r>
              <w:rPr>
                <w:b/>
                <w:i/>
              </w:rPr>
              <w:t>domnívá se, že zaměření na zranitelné skupiny při posilování záruk pro mladé lidi se dosud neprojevilo prostřednictvím účinných informačních mechanismů ve všech členských státech a zvýšené kapacity pro dosažení tohoto cíle;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vyjadřuje </w:t>
            </w:r>
            <w:r>
              <w:rPr>
                <w:b/>
                <w:i/>
              </w:rPr>
              <w:t>obavy</w:t>
            </w:r>
            <w:r>
              <w:t xml:space="preserve"> ohledně spravedlnosti systémů záruk pro mladé lidi</w:t>
            </w:r>
            <w:r>
              <w:rPr>
                <w:b/>
                <w:i/>
              </w:rPr>
              <w:t>, pokud jde o</w:t>
            </w:r>
            <w:r>
              <w:t xml:space="preserve"> jejich </w:t>
            </w:r>
            <w:r>
              <w:rPr>
                <w:b/>
                <w:i/>
              </w:rPr>
              <w:t>schopnost</w:t>
            </w:r>
            <w:r>
              <w:t xml:space="preserve"> oslovit zranitelné a neaktivní </w:t>
            </w:r>
            <w:r>
              <w:rPr>
                <w:b/>
                <w:i/>
              </w:rPr>
              <w:t>skupiny</w:t>
            </w:r>
            <w:r>
              <w:t>, zejména v odlehlých oblastech</w:t>
            </w:r>
            <w:r>
              <w:rPr>
                <w:b/>
                <w:i/>
              </w:rPr>
              <w:t>, jako jsou romské komunity</w:t>
            </w:r>
            <w:r>
              <w:t>;</w:t>
            </w:r>
          </w:p>
        </w:tc>
        <w:tc>
          <w:tcPr>
            <w:tcW w:w="4876" w:type="dxa"/>
            <w:tcBorders>
              <w:top w:val="nil"/>
              <w:left w:val="nil"/>
              <w:bottom w:val="nil"/>
              <w:right w:val="nil"/>
            </w:tcBorders>
          </w:tcPr>
          <w:p>
            <w:pPr>
              <w:pStyle w:val="Normal6a"/>
            </w:pPr>
            <w:r>
              <w:t>11.</w:t>
            </w:r>
            <w:r>
              <w:tab/>
            </w:r>
            <w:r>
              <w:t xml:space="preserve">vyjadřuje </w:t>
            </w:r>
            <w:r>
              <w:rPr>
                <w:b/>
                <w:i/>
              </w:rPr>
              <w:t>hluboké znepokojení</w:t>
            </w:r>
            <w:r>
              <w:t xml:space="preserve"> ohledně spravedlnosti systémů záruk pro mladé lidi </w:t>
            </w:r>
            <w:r>
              <w:rPr>
                <w:b/>
                <w:i/>
              </w:rPr>
              <w:t>a</w:t>
            </w:r>
            <w:r>
              <w:t xml:space="preserve"> jejich </w:t>
            </w:r>
            <w:r>
              <w:rPr>
                <w:b/>
                <w:i/>
              </w:rPr>
              <w:t>schopnosti</w:t>
            </w:r>
            <w:r>
              <w:t xml:space="preserve"> oslovit zranitelné a neaktivní </w:t>
            </w:r>
            <w:r>
              <w:rPr>
                <w:b/>
                <w:i/>
              </w:rPr>
              <w:t>mladé lidi</w:t>
            </w:r>
            <w:r>
              <w:t xml:space="preserve">, zejména v odlehlých </w:t>
            </w:r>
            <w:r>
              <w:rPr>
                <w:b/>
                <w:i/>
              </w:rPr>
              <w:t>a znevýhodněných</w:t>
            </w:r>
            <w:r>
              <w:t xml:space="preserve"> oblastech</w:t>
            </w:r>
            <w:r>
              <w:rPr>
                <w:b/>
                <w:i/>
              </w:rPr>
              <w:t>;</w:t>
            </w:r>
            <w:r>
              <w:t xml:space="preserve"> </w:t>
            </w:r>
            <w:r>
              <w:rPr>
                <w:b/>
                <w:i/>
              </w:rPr>
              <w:t>zdůrazňuje, že provádění záruk pro mladé lidi je stále nedostatečně začleněno do politik v oblasti bydlení, péče, sociální ochrany a zdraví, které se vzájemně posilují a mají zásadní význam pro podporu udržitelného začlenění zranitelných osob NEET na trh práce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vyjadřuje obavy ohledně spravedlnosti systémů záruk pro mladé lidi, pokud jde o jejich schopnost oslovit zranitelné a neaktivní skupiny, zejména </w:t>
            </w:r>
            <w:r>
              <w:rPr>
                <w:b/>
                <w:i/>
              </w:rPr>
              <w:t>v</w:t>
            </w:r>
            <w:r>
              <w:t xml:space="preserve"> odlehlých oblastech</w:t>
            </w:r>
            <w:r>
              <w:rPr>
                <w:b/>
                <w:i/>
              </w:rPr>
              <w:t>, jako jsou romské komunity</w:t>
            </w:r>
            <w:r>
              <w:t>;</w:t>
            </w:r>
          </w:p>
        </w:tc>
        <w:tc>
          <w:tcPr>
            <w:tcW w:w="4876" w:type="dxa"/>
            <w:tcBorders>
              <w:top w:val="nil"/>
              <w:left w:val="nil"/>
              <w:bottom w:val="nil"/>
              <w:right w:val="nil"/>
            </w:tcBorders>
          </w:tcPr>
          <w:p>
            <w:pPr>
              <w:pStyle w:val="Normal6a"/>
            </w:pPr>
            <w:r>
              <w:t>11.</w:t>
            </w:r>
            <w:r>
              <w:tab/>
            </w:r>
            <w:r>
              <w:t xml:space="preserve">Vyjadřuje obavy ohledně spravedlnosti systémů záruk pro mladé lidi, pokud jde o jejich schopnost oslovit zranitelné a neaktivní skupiny, zejména </w:t>
            </w:r>
            <w:r>
              <w:rPr>
                <w:b/>
                <w:i/>
              </w:rPr>
              <w:t>ty, které žijí v horských, venkovských a</w:t>
            </w:r>
            <w:r>
              <w:t xml:space="preserve"> odlehlých oblastech</w:t>
            </w:r>
            <w:r>
              <w:rPr>
                <w:b/>
                <w:i/>
              </w:rPr>
              <w:t>; zdůrazňuje, že je nezbytné zlepšit digitální infrastrukturu, aby byl zaručen rovný přístup k programům a informačním službám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vyjadřuje obavy ohledně spravedlnosti systémů záruk pro mladé lidi, pokud jde o jejich schopnost oslovit zranitelné a neaktivní skupiny, </w:t>
            </w:r>
            <w:r>
              <w:rPr>
                <w:b/>
                <w:i/>
              </w:rPr>
              <w:t>zejména</w:t>
            </w:r>
            <w:r>
              <w:t xml:space="preserve"> v odlehlých oblastech</w:t>
            </w:r>
            <w:r>
              <w:rPr>
                <w:b/>
                <w:i/>
              </w:rPr>
              <w:t>, jako jsou romské komunity</w:t>
            </w:r>
            <w:r>
              <w:t>;</w:t>
            </w:r>
          </w:p>
        </w:tc>
        <w:tc>
          <w:tcPr>
            <w:tcW w:w="4876" w:type="dxa"/>
            <w:tcBorders>
              <w:top w:val="nil"/>
              <w:left w:val="nil"/>
              <w:bottom w:val="nil"/>
              <w:right w:val="nil"/>
            </w:tcBorders>
          </w:tcPr>
          <w:p>
            <w:pPr>
              <w:pStyle w:val="Normal6a"/>
            </w:pPr>
            <w:r>
              <w:t>11.</w:t>
            </w:r>
            <w:r>
              <w:tab/>
            </w:r>
            <w:r>
              <w:t xml:space="preserve">vyjadřuje obavy ohledně spravedlnosti systémů záruk pro mladé lidi, pokud jde o jejich schopnost oslovit </w:t>
            </w:r>
            <w:r>
              <w:rPr>
                <w:b/>
                <w:i/>
              </w:rPr>
              <w:t>nejvíce</w:t>
            </w:r>
            <w:r>
              <w:t xml:space="preserve"> zranitelné a neaktivní skupiny, </w:t>
            </w:r>
            <w:r>
              <w:rPr>
                <w:b/>
                <w:i/>
              </w:rPr>
              <w:t>jako jsou mladí lidé s postižením a mladí lidé žijící</w:t>
            </w:r>
            <w:r>
              <w:t xml:space="preserve"> v odlehlých oblastech;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vyjadřuje obavy ohledně spravedlnosti systémů záruk pro mladé lidi, pokud jde o jejich schopnost oslovit zranitelné a neaktivní skupiny, zejména v odlehlých oblastech, jako jsou </w:t>
            </w:r>
            <w:r>
              <w:rPr>
                <w:b/>
                <w:i/>
              </w:rPr>
              <w:t>romské komunity</w:t>
            </w:r>
            <w:r>
              <w:t>;</w:t>
            </w:r>
          </w:p>
        </w:tc>
        <w:tc>
          <w:tcPr>
            <w:tcW w:w="4876" w:type="dxa"/>
            <w:tcBorders>
              <w:top w:val="nil"/>
              <w:left w:val="nil"/>
              <w:bottom w:val="nil"/>
              <w:right w:val="nil"/>
            </w:tcBorders>
          </w:tcPr>
          <w:p>
            <w:pPr>
              <w:pStyle w:val="Normal6a"/>
            </w:pPr>
            <w:r>
              <w:t>11.</w:t>
            </w:r>
            <w:r>
              <w:tab/>
            </w:r>
            <w:r>
              <w:t>vyjadřuje obavy ohledně spravedlnosti systémů záruk pro mladé lidi, pokud jde o jejich schopnost oslovit zranitelné a neaktivní skupiny, zejména v odlehlých oblastech, jako jsou</w:t>
            </w:r>
            <w:r>
              <w:rPr>
                <w:b/>
                <w:i/>
              </w:rPr>
              <w:t>, jako jsou odlehlé nebo zámořské oblasti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se znepokojením zdůrazňuje, že míra pokrytí systémů záruk pro mladé lidi se od zavedení jejich posílení mírně snížila a že tyto míry jsou v některých členských státech na znepokojivě nízké úrovni, od nízké hodnoty 1,1 % až po méně než 50 % ve většině členských států</w:t>
            </w:r>
            <w:r>
              <w:rPr>
                <w:b/>
                <w:i/>
                <w:vertAlign w:val="superscript"/>
              </w:rPr>
              <w:t>26a</w:t>
            </w:r>
            <w:r>
              <w:rPr>
                <w:b/>
                <w:i/>
              </w:rPr>
              <w:t>;</w:t>
            </w:r>
            <w:r>
              <w:t xml:space="preserve"> </w:t>
            </w:r>
            <w:r>
              <w:rPr>
                <w:b/>
                <w:i/>
              </w:rPr>
              <w:t>konstatuje, že míra pokrytí je nejvyšší ve věkové skupině 20–24 let, následuje věková skupina 15–19 let a poté věková skupina 25–29 let;</w:t>
            </w:r>
            <w:r>
              <w:t xml:space="preserve"> </w:t>
            </w:r>
            <w:r>
              <w:rPr>
                <w:b/>
                <w:i/>
              </w:rPr>
              <w:t>uznává, že v náročném rozpočtovém kontextu by měla být dána přednost začlenění mladých lidí, kteří nejsou zaměstnáni ani se neúčastní vzdělávání nebo odborné přípravy a kteří jsou neaktivní nebo zranitelní, do systémů záruk pro mladé lidi;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26a</w:t>
            </w:r>
            <w:r>
              <w:t xml:space="preserve"> </w:t>
            </w:r>
            <w:r>
              <w:rPr>
                <w:b/>
                <w:i/>
              </w:rPr>
              <w:t>Evropská komise,Generální ředitelství pro zaměstnanost, sociální věci a sociální začleňování, Data table on Youth Guarantee Direct indicators (Tabulka údajů o přímých ukazatelích záruk pro mladé lidi, únor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že ženy, a zejména matky samoživitelky, jsou i nadále nadměrně zastoupeny v populaci osob, které nejsou zaměstnané ani se neúčastní vzdělávání nebo odborné přípravy, a to navzdory posílenému genderovému rozměru záruk pro mladé lidi;</w:t>
            </w:r>
            <w:r>
              <w:t xml:space="preserve"> </w:t>
            </w:r>
            <w:r>
              <w:rPr>
                <w:b/>
                <w:i/>
              </w:rPr>
              <w:t>zdůrazňuje, že provádění pokynů pro mladé lidi musí lépe odrážet genderově specifické vzorce, kdy je u žen větší pravděpodobnost, že se stanou neaktivními osobami NEET a budou mimo pracovní sílu, zatímco u mužů je větší pravděpodobnost, že budou nezaměstnaní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zásadní úlohu škol a univerzit, které fungují jako most mezi vzdělávacími systémy a trhem práce, zabraňují předčasnému ukončování školní docházky, úniku mozků z EU a podporují informovanost o možnostech posílené záruky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konstatuje, že čtyřfázový přístup k provádění je v jednotlivých členských státech nerovnoměrný;</w:t>
            </w:r>
            <w:r>
              <w:t xml:space="preserve"> </w:t>
            </w:r>
            <w:r>
              <w:rPr>
                <w:b/>
                <w:i/>
              </w:rPr>
              <w:t>zdůrazňuje zejména, že mapování podpůrných služeb a cílových skupin zůstává v členských státech omezené, což dokonce vede k situacím, kdy příjemci nevědí, že se účastní systémů záruk pro mladé lidi;</w:t>
            </w:r>
            <w:r>
              <w:t xml:space="preserve"> </w:t>
            </w:r>
            <w:r>
              <w:rPr>
                <w:b/>
                <w:i/>
              </w:rPr>
              <w:t>konstatuje, že roztříštěný přístup orgánů a útvarů odpovědných za provádění záruk pro mladé lidi je často připisován pravidlům ochrany údajů, zastaralým rejstříkům nebo nedostatečné identifikaci odpovědného orgánu, což brání sdílení osobních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zdůrazňuje, že nedostatečná kapacita a zdroje v rámci veřejných služeb zaměstnanosti jsou i nadále zásadní a trvalou překážkou účinného provádění záruk pro mladé lidi;</w:t>
            </w:r>
            <w:r>
              <w:t xml:space="preserve"> </w:t>
            </w:r>
            <w:r>
              <w:rPr>
                <w:b/>
                <w:i/>
              </w:rPr>
              <w:t>je znepokojen tím, že zaměstnancům veřejných služeb zaměstnanosti často není poskytována odpovídající odborná příprava nebo zdroje potřebné k účinné identifikaci, oslovení a poskytování individualizované podpory mladým lidem, kteří nejsou zaměstnáni ani se neúčastní vzdělávání nebo odborné přípravy, zejména těm nejzranitelnějším a nejobtížněji dosažitelným;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zdůrazňuje zjištěné institucionální a administrativní překážky, s nimiž se potýkají mladí migranti, když se pokoušejí získat přístup na zárukám pro mladé lidi, ke vzdělávání a na trh práce obecně;</w:t>
            </w:r>
            <w:r>
              <w:t xml:space="preserve"> </w:t>
            </w:r>
            <w:r>
              <w:rPr>
                <w:b/>
                <w:i/>
              </w:rPr>
              <w:t>zdůrazňuje pomalé a složité uznávání kvalifikací, byrokratické postupy udělování pracovních povolení a omezený přístup k veřejným službám zaměstnanosti;</w:t>
            </w:r>
            <w:r>
              <w:t xml:space="preserve"> </w:t>
            </w:r>
            <w:r>
              <w:rPr>
                <w:b/>
                <w:i/>
              </w:rPr>
              <w:t>konstatuje, že tyto problémy jsou často zhoršovány nepružnými institucionálními rámci, jazykovými bariérami a nedostatkem individualizované podpory, což ohrožuje mladé migranty v neformálním zaměstnání nebo v dlouhodobé nezaměstnanosti a brání jejich účinnému začlenění na trh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zdůrazňuje, že je naprosto nezbytné rychle a nepřetržitě zasahovat ve prospěch osob NEET s cílem zabránit tomu, aby se ocitly ve zranitelném postavení;</w:t>
            </w:r>
            <w:r>
              <w:t xml:space="preserve"> </w:t>
            </w:r>
            <w:r>
              <w:rPr>
                <w:b/>
                <w:i/>
              </w:rPr>
              <w:t>vyjadřuje v této souvislosti politování nad obecně nadměrnými čekacími dobami u nabídek záruk pro mladé lidi a nad tím, že podíl včasných a pozitivních výstupů se od posílení záruk pro mladé lidi mírně snížil;</w:t>
            </w:r>
            <w:r>
              <w:t xml:space="preserve"> </w:t>
            </w:r>
            <w:r>
              <w:rPr>
                <w:b/>
                <w:i/>
              </w:rPr>
              <w:t>konstatuje však, že účinnost umísťování se měří především pozitivními výsledky, které přinášejí a které se po šesti měsících mírně snížily, což svědčí o nedostatečném posílení podpory po umístění;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zdůrazňuje úsilí vynaložené v některých členských státech na analýzu digitálních dovedností osob NEET ze strany veřejných služeb zaměstnanosti nebo prostřednictvím sebehodnocení, zdůrazňuje však, že mnoho mladých lidí trpí digitální negramotností, a to navzdory používání digitálních nástrojů;</w:t>
            </w:r>
            <w:r>
              <w:t xml:space="preserve"> </w:t>
            </w:r>
            <w:r>
              <w:rPr>
                <w:b/>
                <w:i/>
              </w:rPr>
              <w:t>vyjadřuje politování nad tím, že ve většině případů se důraz kladený na dovednosti při posilování záruk pro mladé lidi neodráží jasněji v analyzovaných výsledcích a že iniciativy v oblasti rozvoje dovedností v rámci těchto programů nejsou úžeji propojeny s jinými iniciativami EU a vnitrostátními iniciativami v oblasti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je znepokojen pozorovaným trendem v rámci systémů záruk pro mladé lidi, kdy dochází k odklonu od individualizovaných služeb směrem ke službám všeobecným;</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 znepokojen pozorovaným trendem v rámci systémů záruk pro mladé lidi, kdy dochází k odklonu od individualizovaných služeb směrem ke službám všeobecným;</w:t>
            </w:r>
          </w:p>
        </w:tc>
        <w:tc>
          <w:tcPr>
            <w:tcW w:w="4876" w:type="dxa"/>
            <w:tcBorders>
              <w:top w:val="nil"/>
              <w:left w:val="nil"/>
              <w:bottom w:val="nil"/>
              <w:right w:val="nil"/>
            </w:tcBorders>
          </w:tcPr>
          <w:p>
            <w:pPr>
              <w:pStyle w:val="Normal6a"/>
            </w:pPr>
            <w:r>
              <w:t>12.</w:t>
            </w:r>
            <w:r>
              <w:tab/>
            </w:r>
            <w:r>
              <w:t>je znepokojen pozorovaným trendem v rámci systémů záruk pro mladé lidi, kdy dochází k odklonu od individualizovaných služeb směrem ke službám všeobecným</w:t>
            </w:r>
            <w:r>
              <w:rPr>
                <w:b/>
                <w:i/>
                <w:vertAlign w:val="superscript"/>
              </w:rPr>
              <w:t>27a</w:t>
            </w:r>
            <w:r>
              <w:t xml:space="preserve">; </w:t>
            </w:r>
            <w:r>
              <w:rPr>
                <w:b/>
                <w:i/>
              </w:rPr>
              <w:t>zdůrazňuje, že individualizovaný přístup je jedním z klíčových prvků při posilování záruk pro mladé lidi a že tento přístup je nezbytný pro osoby NEET, které mají různé potřeby a jejichž podskupiny se mohou vyvíjet;</w:t>
            </w:r>
            <w:r>
              <w:t xml:space="preserve"> </w:t>
            </w:r>
            <w:r>
              <w:rPr>
                <w:b/>
                <w:i/>
              </w:rPr>
              <w:t>připomíná, že opatření přizpůsobená potřebám mladých lidí bývají účinnější a nákladově efektivnější, neboť nízké náklady na poskytování obecných služeb nekompenzují nízkou účinnost tohoto přístupu;</w:t>
            </w:r>
            <w:r>
              <w:t xml:space="preserve"> </w:t>
            </w:r>
            <w:r>
              <w:rPr>
                <w:b/>
                <w:i/>
              </w:rPr>
              <w:t>zdůrazňuje však úsilí několika členských států o posílení individuálního přístupu k jejich režimům záruk pro mladé lidi, zejména začleněním individuálního akčního plánu založeného na profilu příjemce, který je středobodem přípravné fáze;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27a</w:t>
            </w:r>
            <w:r>
              <w:t xml:space="preserve"> </w:t>
            </w:r>
            <w:r>
              <w:rPr>
                <w:b/>
                <w:i/>
              </w:rPr>
              <w:t>Přezkum provádění záruk pro mladé lidi provedený Výborem pro zaměstnanost – klíčová sdělení (6831/24).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 znepokojen </w:t>
            </w:r>
            <w:r>
              <w:rPr>
                <w:b/>
                <w:i/>
              </w:rPr>
              <w:t>pozorovaným trendem v rámci</w:t>
            </w:r>
            <w:r>
              <w:t xml:space="preserve"> systémů záruk pro mladé lidi</w:t>
            </w:r>
            <w:r>
              <w:rPr>
                <w:b/>
                <w:i/>
              </w:rPr>
              <w:t>, kdy dochází k odklonu od individualizovaných služeb směrem ke službám všeobecným</w:t>
            </w:r>
            <w:r>
              <w:t>;</w:t>
            </w:r>
          </w:p>
        </w:tc>
        <w:tc>
          <w:tcPr>
            <w:tcW w:w="4876" w:type="dxa"/>
            <w:tcBorders>
              <w:top w:val="nil"/>
              <w:left w:val="nil"/>
              <w:bottom w:val="nil"/>
              <w:right w:val="nil"/>
            </w:tcBorders>
          </w:tcPr>
          <w:p>
            <w:pPr>
              <w:pStyle w:val="Normal6a"/>
            </w:pPr>
            <w:r>
              <w:t>12.</w:t>
            </w:r>
            <w:r>
              <w:tab/>
            </w:r>
            <w:r>
              <w:t xml:space="preserve">je </w:t>
            </w:r>
            <w:r>
              <w:rPr>
                <w:b/>
                <w:i/>
              </w:rPr>
              <w:t>hluboce</w:t>
            </w:r>
            <w:r>
              <w:t xml:space="preserve"> znepokojen </w:t>
            </w:r>
            <w:r>
              <w:rPr>
                <w:b/>
                <w:i/>
              </w:rPr>
              <w:t>přetrvávající neschopností</w:t>
            </w:r>
            <w:r>
              <w:t xml:space="preserve"> systémů záruk pro mladé lidi </w:t>
            </w:r>
            <w:r>
              <w:rPr>
                <w:b/>
                <w:i/>
              </w:rPr>
              <w:t>poskytovat individualizované služby a tendencí ke stále obecnějším přístupům</w:t>
            </w:r>
            <w:r>
              <w:t xml:space="preserve">; </w:t>
            </w:r>
            <w:r>
              <w:rPr>
                <w:b/>
                <w:i/>
              </w:rPr>
              <w:t>zdůrazňuje, že univerzální přístupy přispěly k rozšíření nabídek záruk pro mladé lidi, které neodpovídají dovednostem a individuálním profilům příjemců;</w:t>
            </w:r>
            <w:r>
              <w:t xml:space="preserve"> </w:t>
            </w:r>
            <w:r>
              <w:rPr>
                <w:b/>
                <w:i/>
              </w:rPr>
              <w:t>zdůrazňuje, že to systematicky selhává u zranitelných osob, které jsou dlouhodobě nezaměstnané ani se neúčastní vzdělávání nebo odborné přípravy a které čelí četným a prohlubujícím se překážkám, přičemž jsou upřednostňováni ti, kteří jsou snadněji dosažitelní a lépe se podporují;</w:t>
            </w:r>
            <w:r>
              <w:t xml:space="preserve"> </w:t>
            </w:r>
            <w:r>
              <w:rPr>
                <w:b/>
                <w:i/>
              </w:rPr>
              <w:t>zdůrazňuje, že různorodost mladých lidí, kteří nejsou zaměstnaní ani se neúčastní vzdělávání nebo odborné přípravy, a značné rozdíly v podmínkách na regionálním a místním trhu práce vyžadují individualizované přístupy;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 znepokojen pozorovaným trendem v rámci systémů záruk pro mladé lidi, kdy dochází k odklonu od individualizovaných služeb směrem ke službám všeobecným;</w:t>
            </w:r>
          </w:p>
        </w:tc>
        <w:tc>
          <w:tcPr>
            <w:tcW w:w="4876" w:type="dxa"/>
            <w:tcBorders>
              <w:top w:val="nil"/>
              <w:left w:val="nil"/>
              <w:bottom w:val="nil"/>
              <w:right w:val="nil"/>
            </w:tcBorders>
          </w:tcPr>
          <w:p>
            <w:pPr>
              <w:pStyle w:val="Normal6a"/>
            </w:pPr>
            <w:r>
              <w:t>12.</w:t>
            </w:r>
            <w:r>
              <w:tab/>
            </w:r>
            <w:r>
              <w:rPr>
                <w:b/>
                <w:i/>
              </w:rPr>
              <w:t>konstatuje, že osoby NEETS jsou různorodou skupinou s různými potřebami a že politické iniciativy by měly tuto různorodost odrážet;</w:t>
            </w:r>
            <w:r>
              <w:t xml:space="preserve"> je znepokojen pozorovaným trendem v rámci systémů záruk pro mladé lidi </w:t>
            </w:r>
            <w:r>
              <w:rPr>
                <w:b/>
                <w:i/>
              </w:rPr>
              <w:t>v některých členských státech</w:t>
            </w:r>
            <w:r>
              <w:t>, kdy dochází k odklonu od individualizovaných služeb směrem ke službám všeobecným</w:t>
            </w:r>
            <w:r>
              <w:rPr>
                <w:b/>
                <w:i/>
              </w:rPr>
              <w:t>, které se ukázaly jako méně účinné při zapojování mladých lidí s omezenými příležitostmi a neregistrovaných osob NEET, a které opomíjejí vícevrstevné a komplikované obtíže, jimž čelí mladí lidé, jejichž identity přísluší ke dvěma či více skupinám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je znepokojen pozorovaným trendem</w:t>
            </w:r>
            <w:r>
              <w:t xml:space="preserve"> v rámci systémů záruk pro mladé lidi</w:t>
            </w:r>
            <w:r>
              <w:rPr>
                <w:b/>
                <w:i/>
              </w:rPr>
              <w:t>, kdy dochází k odklonu od individualizovaných služeb směrem ke službám všeobecným</w:t>
            </w:r>
            <w:r>
              <w:t>;</w:t>
            </w:r>
          </w:p>
        </w:tc>
        <w:tc>
          <w:tcPr>
            <w:tcW w:w="4876" w:type="dxa"/>
            <w:tcBorders>
              <w:top w:val="nil"/>
              <w:left w:val="nil"/>
              <w:bottom w:val="nil"/>
              <w:right w:val="nil"/>
            </w:tcBorders>
          </w:tcPr>
          <w:p>
            <w:pPr>
              <w:pStyle w:val="Normal6a"/>
            </w:pPr>
            <w:r>
              <w:t>12.</w:t>
            </w:r>
            <w:r>
              <w:tab/>
            </w:r>
            <w:r>
              <w:rPr>
                <w:b/>
                <w:i/>
              </w:rPr>
              <w:t>zdůrazňuje, že je důležité poskytovat</w:t>
            </w:r>
            <w:r>
              <w:t xml:space="preserve"> v rámci systémů záruk pro mladé lidi </w:t>
            </w:r>
            <w:r>
              <w:rPr>
                <w:b/>
                <w:i/>
              </w:rPr>
              <w:t>co nejvíce individualizované služby a pokud možno se vyhnout obecnějším přístupům s cílem poskytnout mladým lidem pracovní příležitosti, které jsou nejvhodnější pro jejich profil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konstatuje, že podle Komise jsou individuálně uzpůsobená opatření obecně účinnější, zejména pro znevýhodněné skupiny a osoby nejvíce vzdálené trhu práce, a mohou být také nákladově efektivnější;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zdůrazňuje, že nedostatečná horizontální koordinace mezi vnitrostátními, regionálními a místními subjekty se ukázala jako přetrvávající výzva pro účinné provádění programů záruk pro mladé lidi;</w:t>
            </w:r>
            <w:r>
              <w:t xml:space="preserve"> </w:t>
            </w:r>
            <w:r>
              <w:rPr>
                <w:b/>
                <w:i/>
              </w:rPr>
              <w:t>se znepokojením konstatuje, že nedostatečná vertikální koordinace mezi vnitrostátní úrovní a úrovní Unie tyto problémy dále zhoršila, přičemž vnitrostátní orgány se potýkají se značnými obtížemi při přístupu k dostupným finančním prostředkům Unie a jejich využívání;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připomíná, že nejúčinnějšími opatřeními pro zlepšení zaměstnatelnosti mladých lidí jsou opatření spojená s učením se prací a odbornými dovednostmi s přímým zapojením zaměstnavatelů, včetně vysoce kvalitních a spravedlivě placených stáží, učňovské přípravy a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vyjadřuje politování nad tím, že mnoho veřejných orgánů dostatečně nezapojilo sociální partnery, organizace občanské společnosti a mládežnické organizace do navrhování, provádění a hodnocení programů záruk pro mladé lidi, což oslabuje jejich účinnost;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zdůrazňuje, že vysoký podíl učení v reálném pracovním prostředí je významnou hnací silou zaměstnatelnosti, rozvoje dovedností a inovací;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vzhledem k tomu, že duální systémy vzdělávání kombinující výuku ve třídě s praktickými zkušenostmi na pracovišti jsou obzvláště účinné při usnadňování hladkého přechodu do stabilního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12e.</w:t>
            </w:r>
            <w:r>
              <w:tab/>
            </w:r>
            <w:r>
              <w:rPr>
                <w:b/>
                <w:i/>
              </w:rPr>
              <w:t>vzhledem k tomu, že vysoce kvalitní odborné vzdělávání a příprava hrají zásadní roli při zvyšování zaměstnatelnosti mladých lidí a řešení potřeb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12f.</w:t>
            </w:r>
            <w:r>
              <w:tab/>
            </w:r>
            <w:r>
              <w:rPr>
                <w:b/>
                <w:i/>
              </w:rPr>
              <w:t>připomíná, že programy odborného vzdělávání a přípravy by měly průběžně přizpůsobovat učební osnovy tak, aby zahrnovaly dobré pracovní podmínky, zaměstnatelnost, digitální dovednosti, inovace, umělou inteligenci a vznikající odvětví;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12g.</w:t>
            </w:r>
            <w:r>
              <w:tab/>
            </w:r>
            <w:r>
              <w:rPr>
                <w:b/>
                <w:i/>
              </w:rPr>
              <w:t>konstatuje, že sladění vzdělávání, odborné přípravy a rekvalifikace s potřebami trhu práce má zásadní význam pro to, aby mladí lidé a dospělí získali dovednosti potřebné pro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12h.</w:t>
            </w:r>
            <w:r>
              <w:tab/>
            </w:r>
            <w:r>
              <w:rPr>
                <w:b/>
                <w:i/>
              </w:rPr>
              <w:t>zdůrazňuje, že mladí lidé, na něž má dopad digitální a ekologická transformace, potřebují dovednosti a příležitosti k podpoře inovací, konkurenceschopnosti, produktivity a hospodářského růstu;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12i.</w:t>
            </w:r>
            <w:r>
              <w:tab/>
            </w:r>
            <w:r>
              <w:rPr>
                <w:b/>
                <w:i/>
              </w:rPr>
              <w:t>zdůrazňuje, že příliš mnoho mladých lidí opouští povinnou školní docházku bez dovedností potřebných pro odborné vzdělávání a přípravu nebo kvalitní pracovní místa, čímž se zvyšuje riziko jejich vyloučení z trhu práce a zhoršuje se nedostatek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12j.</w:t>
            </w:r>
            <w:r>
              <w:tab/>
            </w:r>
            <w:r>
              <w:rPr>
                <w:b/>
                <w:i/>
              </w:rPr>
              <w:t>zdůrazňuje, že posílení připravenosti na odbornou přípravu a podpora odborného vzdělávání a přípravy jako rovné a atraktivní cesty jsou klíčem k zajištění spravedlivých příležitostí a kvalifikované a odolné pracovní síly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k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12k.</w:t>
            </w:r>
            <w:r>
              <w:tab/>
            </w:r>
            <w:r>
              <w:rPr>
                <w:b/>
                <w:i/>
              </w:rPr>
              <w:t>zdůrazňuje, že zlepšení způsobů odborného vzdělávání a přípravy, zvýšení atraktivity technických profesí a sladění odborné přípravy s ekologickou a digitální transformací jsou klíčové pro zaměstnanost mladých lidí a cíle Unie v oblasti klimatu, bydlení a infrastruktury;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l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12l.</w:t>
            </w:r>
            <w:r>
              <w:tab/>
            </w:r>
            <w:r>
              <w:rPr>
                <w:b/>
                <w:i/>
              </w:rPr>
              <w:t>opakuje, že zajištění toho, aby mladí lidé, zejména budoucí rodiče a mladé ženy s pečovatelskými povinnostmi, měli zaručený přístup k bezplatnému individuálnímu vzdělávání během pracovní doby, může pomoci překonat časové, rodinné a finanční překážky a podpořit celoživotní učení a začlenění na trh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m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12m.</w:t>
            </w:r>
            <w:r>
              <w:tab/>
            </w:r>
            <w:r>
              <w:rPr>
                <w:b/>
                <w:i/>
              </w:rPr>
              <w:t>zdůrazňuje, že neformální péče, včetně rodičovství, rozvíjí cenné, přenositelné dovednosti, které přímo souvisejí s moderními potřebami trhu práce, ale nejsou uznávány ve formálních systémech;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n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12n.</w:t>
            </w:r>
            <w:r>
              <w:tab/>
            </w:r>
            <w:r>
              <w:rPr>
                <w:b/>
                <w:i/>
              </w:rPr>
              <w:t>zdůrazňuje, že kompetence získané mladými lidmi prostřednictvím formálního, neformálního a informálního učení by měly být plně uznávány a oceňovány pro účely kariérního a profesního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o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12o.</w:t>
            </w:r>
            <w:r>
              <w:tab/>
            </w:r>
            <w:r>
              <w:rPr>
                <w:b/>
                <w:i/>
              </w:rPr>
              <w:t>zdůrazňuje, že uznání pečovatelských kompetencí přispívá k předcházení kariérním sankcím pro matky a pečující osoby, napomáhá profesnímu rozvoji a snižuje překážky bránící opětovnému vstupu na trh práce, čímž snižuje riziko statusu NEET a dlouhodobého hospodářského vyloučení;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p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12p.</w:t>
            </w:r>
            <w:r>
              <w:tab/>
            </w:r>
            <w:r>
              <w:rPr>
                <w:b/>
                <w:i/>
              </w:rPr>
              <w:t>zdůrazňuje, že opatření na podporu mobility mají zásadní význam pro zajištění rovného přístupu ke kvalitnímu odbornému vzdělávání a přípravě napříč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q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12q.</w:t>
            </w:r>
            <w:r>
              <w:tab/>
            </w:r>
            <w:r>
              <w:rPr>
                <w:b/>
                <w:i/>
              </w:rPr>
              <w:t>zdůrazňuje, že politiky začleňování mladých lidí, které se zaměřují na poskytování přístupu ke kvalitnímu vzdělávání, zaměstnání, pracovní mobilitě a podnikání, mohou mladým lidem pomoci přispět k jejich komunitám a hospodářskému a sociálnímu rozvoji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r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12r.</w:t>
            </w:r>
            <w:r>
              <w:tab/>
            </w:r>
            <w:r>
              <w:rPr>
                <w:b/>
                <w:i/>
              </w:rPr>
              <w:t>důrazně připomíná, že zdravá výživa zvyšuje výkonnost a vzdělávací kapacitu všech mladých lidí, a to i ve věku od 15 do 18 let a výše;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konstatuje, že navzdory důrazu na sladění kritérií kvality s rámci EU se kvalita nabídek od zavedení záruk pro mladé lidi zlepšila ve své podstatě jen velmi omezeně;</w:t>
            </w:r>
          </w:p>
        </w:tc>
        <w:tc>
          <w:tcPr>
            <w:tcW w:w="4876" w:type="dxa"/>
            <w:tcBorders>
              <w:top w:val="nil"/>
              <w:left w:val="nil"/>
              <w:bottom w:val="nil"/>
              <w:right w:val="nil"/>
            </w:tcBorders>
          </w:tcPr>
          <w:p>
            <w:pPr>
              <w:pStyle w:val="Normal6a"/>
            </w:pPr>
            <w:r>
              <w:t>13.</w:t>
            </w:r>
            <w:r>
              <w:tab/>
            </w:r>
            <w:r>
              <w:t xml:space="preserve">konstatuje, že navzdory důrazu na sladění kritérií kvality s rámci EU se kvalita nabídek od zavedení záruk pro mladé lidi zlepšila ve své podstatě jen velmi omezeně; </w:t>
            </w:r>
            <w:r>
              <w:rPr>
                <w:b/>
                <w:i/>
              </w:rPr>
              <w:t>je znepokojen zpětnou vazbou od zúčastněných stran, která naznačuje závislost na dotovaných pracovních nabídkách vedoucích ke smlouvám na dobu určitou, stážím bez jasných vzdělávacích cílů nebo nedostatečné vazbě mezi kvalifikacemi účastníků a obdrženými nabídkami, jakož i mezi potřebami a dostupnými službami;</w:t>
            </w:r>
            <w:r>
              <w:t xml:space="preserve"> </w:t>
            </w:r>
            <w:r>
              <w:rPr>
                <w:b/>
                <w:i/>
              </w:rPr>
              <w:t>připomíná, že doporučení zdůrazňuje, že kvalita nabídky by měla být zajištěna prostřednictvím podpory a zpětné vazby po umístění;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konstatuje, že navzdory důrazu na sladění kritérií kvality s rámci EU se kvalita nabídek od zavedení záruk pro mladé lidi zlepšila ve své podstatě jen velmi omezeně;</w:t>
            </w:r>
          </w:p>
        </w:tc>
        <w:tc>
          <w:tcPr>
            <w:tcW w:w="4876" w:type="dxa"/>
            <w:tcBorders>
              <w:top w:val="nil"/>
              <w:left w:val="nil"/>
              <w:bottom w:val="nil"/>
              <w:right w:val="nil"/>
            </w:tcBorders>
          </w:tcPr>
          <w:p>
            <w:pPr>
              <w:pStyle w:val="Normal6a"/>
            </w:pPr>
            <w:r>
              <w:t>13.</w:t>
            </w:r>
            <w:r>
              <w:tab/>
            </w:r>
            <w:r>
              <w:t xml:space="preserve">konstatuje, že navzdory důrazu na sladění kritérií kvality s rámci EU se kvalita nabídek od zavedení záruk pro mladé lidi zlepšila ve své podstatě jen velmi omezeně; </w:t>
            </w:r>
            <w:r>
              <w:rPr>
                <w:b/>
                <w:i/>
              </w:rPr>
              <w:t>zdůrazňuje, že nabídky poskytované v rámci režimu záruk pro mladé lidi by měly být skutečně kvalitní, měly by vést k účinnému získávání dovedností, které jsou v současné době vyžadovány, nebo ke stabilnímu začlenění na trh práce a neměly by zahrnovat nahrazování řádného zaměstnání, zneužívání stáží nebo "recyklace" mladých lidí v dočasných a nejistých systémech;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konstatuje, že navzdory důrazu na sladění kritérií kvality s rámci EU se kvalita nabídek od zavedení záruk pro mladé lidi zlepšila ve své podstatě jen velmi omezeně;</w:t>
            </w:r>
          </w:p>
        </w:tc>
        <w:tc>
          <w:tcPr>
            <w:tcW w:w="4876" w:type="dxa"/>
            <w:tcBorders>
              <w:top w:val="nil"/>
              <w:left w:val="nil"/>
              <w:bottom w:val="nil"/>
              <w:right w:val="nil"/>
            </w:tcBorders>
          </w:tcPr>
          <w:p>
            <w:pPr>
              <w:pStyle w:val="Normal6a"/>
            </w:pPr>
            <w:r>
              <w:t>13.</w:t>
            </w:r>
            <w:r>
              <w:tab/>
            </w:r>
            <w:r>
              <w:t xml:space="preserve">konstatuje, že navzdory důrazu na sladění kritérií kvality s rámci EU se kvalita nabídek od zavedení záruk pro mladé lidi zlepšila ve své podstatě jen velmi omezeně; </w:t>
            </w:r>
            <w:r>
              <w:rPr>
                <w:b/>
                <w:i/>
              </w:rPr>
              <w:t>a zdůrazňuje, že mladí lidé potřebují konkrétní a vysoce kvalitní příležitosti, zejména učení se prací, učňovskou přípravu, stáže a první pracovní zkušenosti, které odpovídají potřebám trhu práce a pomáhají zabránit nesouladu mezi nabízenými a požadovanými dovednostmi a potenciálnímu odlivu talentů;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konstatuje</w:t>
            </w:r>
            <w:r>
              <w:t>, že navzdory důrazu na sladění kritérií kvality s rámci EU se kvalita nabídek od zavedení záruk pro mladé lidi zlepšila ve své podstatě jen velmi omezeně;</w:t>
            </w:r>
          </w:p>
        </w:tc>
        <w:tc>
          <w:tcPr>
            <w:tcW w:w="4876" w:type="dxa"/>
            <w:tcBorders>
              <w:top w:val="nil"/>
              <w:left w:val="nil"/>
              <w:bottom w:val="nil"/>
              <w:right w:val="nil"/>
            </w:tcBorders>
          </w:tcPr>
          <w:p>
            <w:pPr>
              <w:pStyle w:val="Normal6a"/>
            </w:pPr>
            <w:r>
              <w:t>13.</w:t>
            </w:r>
            <w:r>
              <w:tab/>
            </w:r>
            <w:r>
              <w:rPr>
                <w:b/>
                <w:i/>
              </w:rPr>
              <w:t>vyjadřuje politování nad tím</w:t>
            </w:r>
            <w:r>
              <w:t xml:space="preserve">, že navzdory důrazu na sladění kritérií kvality s rámci EU se kvalita nabídek od zavedení </w:t>
            </w:r>
            <w:r>
              <w:rPr>
                <w:b/>
                <w:i/>
              </w:rPr>
              <w:t>posílení</w:t>
            </w:r>
            <w:r>
              <w:t xml:space="preserve"> záruk pro mladé lidi zlepšila ve své podstatě jen velmi omezeně; </w:t>
            </w:r>
            <w:r>
              <w:rPr>
                <w:b/>
                <w:i/>
              </w:rPr>
              <w:t>zdůrazňuje, že prioritou musí být zlepšení kvality nabídek záruk pro mladé lidi;</w:t>
            </w:r>
            <w:r>
              <w:t xml:space="preserve"> </w:t>
            </w:r>
            <w:r>
              <w:rPr>
                <w:b/>
                <w:i/>
              </w:rPr>
              <w:t>zdůrazňuje, že je nepřijatelné, aby do oblasti působnosti programů záruk pro mladé lidi spadaly neplacené nabídky nebo dobrovolná činnost;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konstatuje, že navzdory důrazu na sladění kritérií kvality </w:t>
            </w:r>
            <w:r>
              <w:rPr>
                <w:b/>
                <w:i/>
              </w:rPr>
              <w:t>s</w:t>
            </w:r>
            <w:r>
              <w:t xml:space="preserve"> rámci EU </w:t>
            </w:r>
            <w:r>
              <w:rPr>
                <w:b/>
                <w:i/>
              </w:rPr>
              <w:t>se</w:t>
            </w:r>
            <w:r>
              <w:t xml:space="preserve"> kvalita </w:t>
            </w:r>
            <w:r>
              <w:rPr>
                <w:b/>
                <w:i/>
              </w:rPr>
              <w:t>nabídek od zavedení záruk pro mladé lidi zlepšila ve své podstatě jen velmi omezeně</w:t>
            </w:r>
            <w:r>
              <w:t>;</w:t>
            </w:r>
          </w:p>
        </w:tc>
        <w:tc>
          <w:tcPr>
            <w:tcW w:w="4876" w:type="dxa"/>
            <w:tcBorders>
              <w:top w:val="nil"/>
              <w:left w:val="nil"/>
              <w:bottom w:val="nil"/>
              <w:right w:val="nil"/>
            </w:tcBorders>
          </w:tcPr>
          <w:p>
            <w:pPr>
              <w:pStyle w:val="Normal6a"/>
            </w:pPr>
            <w:r>
              <w:t>13.</w:t>
            </w:r>
            <w:r>
              <w:tab/>
            </w:r>
            <w:r>
              <w:t xml:space="preserve">konstatuje, že navzdory důrazu </w:t>
            </w:r>
            <w:r>
              <w:rPr>
                <w:b/>
                <w:i/>
              </w:rPr>
              <w:t>kladenému</w:t>
            </w:r>
            <w:r>
              <w:t xml:space="preserve"> na sladění kritérií kvality </w:t>
            </w:r>
            <w:r>
              <w:rPr>
                <w:b/>
                <w:i/>
              </w:rPr>
              <w:t>v</w:t>
            </w:r>
            <w:r>
              <w:t xml:space="preserve"> rámci EU </w:t>
            </w:r>
            <w:r>
              <w:rPr>
                <w:b/>
                <w:i/>
              </w:rPr>
              <w:t>je</w:t>
            </w:r>
            <w:r>
              <w:t xml:space="preserve"> kvalita </w:t>
            </w:r>
            <w:r>
              <w:rPr>
                <w:b/>
                <w:i/>
              </w:rPr>
              <w:t>nabízených pracovních míst v mnoha případech nízká, místa jsou špatně placená a bez vyhlídek na kariérní postup</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zdůrazňuje, že se programu záruk pro mladé lidi nepodařilo aktivně řešit diskriminaci na základě věku a rozšíření nejisté práce, což vede k tomu, že osoby, které nejsou zaměstnány ani se neúčastní vzdělávání nebo odborné přípravy, a zejména zranitelní mladí lidé, kteří nejsou zaměstnáni ani se neúčastní vzdělávání nebo odborné přípravy, jsou ohroženi vykořisťováním a chudobou pracujících v důsledku nízkých mezd, nedostatečné sociální ochrany, nedostatečné jistoty zaměstnání a nerovného zacházení;</w:t>
            </w:r>
            <w:r>
              <w:t xml:space="preserve"> </w:t>
            </w:r>
            <w:r>
              <w:rPr>
                <w:b/>
                <w:i/>
              </w:rPr>
              <w:t>je znepokojen tím, že to může přispět k normalizaci nejistých a nekvalitních pracovních míst na trhu práce, kdy se stabilní a důstojná pracovní místa nahrazují stážemi a nejistými a nestandardními formami práce;</w:t>
            </w:r>
            <w:r>
              <w:t xml:space="preserve"> </w:t>
            </w:r>
            <w:r>
              <w:rPr>
                <w:b/>
                <w:i/>
              </w:rPr>
              <w:t>v této souvislosti zdůrazňuje, že je třeba odhalovat praktiky, které obcházejí účel stáží, a využívání standardních pracovních poměrů zastíraných stážemi a bojovat proti nim;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uznává inovační potenciál iniciativy ALMA (Aim, Learn, Master, Achieve – stanovit si cíl, učit se, osvojit si dovednost, dosáhnout cíle) pro znevýhodněné osoby, které nejsou zaměstnané ani se neúčastní vzdělávání nebo odborné přípravy, s cílem poskytnout dodatečnou podporu a zkušenosti s učením se prací v zahraničí zranitelným cílovým skupinám v rámci programů pro mladé lidi;</w:t>
            </w:r>
            <w:r>
              <w:t xml:space="preserve"> </w:t>
            </w:r>
            <w:r>
              <w:rPr>
                <w:b/>
                <w:i/>
              </w:rPr>
              <w:t>zdůrazňuje, že počáteční zpětná vazba k tomuto programu poukazuje na obtíže s jeho funkčností a značný počet účastníků předčasně ukončuje svou účast, což naznačuje, že je třeba zvýšit podporu pro organizace, které provádějí nebo chtějí provádět projekty ALMA, jakož i cílenou podporu pro příjemce</w:t>
            </w:r>
            <w:r>
              <w:rPr>
                <w:b/>
                <w:i/>
                <w:vertAlign w:val="superscript"/>
              </w:rPr>
              <w:t>28a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28a</w:t>
            </w:r>
            <w:r>
              <w:t xml:space="preserve"> </w:t>
            </w:r>
            <w:r>
              <w:rPr>
                <w:b/>
                <w:i/>
              </w:rPr>
              <w:t>Hodnocení dopadů projektů prováděných v rámci iniciativy ALMA, závěrečná hodnotící zpráva, Iniciativa pro sociální inovace+,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vyjadřuje politování nad tím, že provádění programů záruk pro mladé lidi je stále nedostatečně propojeno se systémy sociální ochrany, což vede k případům, kdy účast v režimech záruk pro mladé lidi může vést ke snížení nebo odnětí sociálních dávek jak pro jednotlivé osoby, které nejsou zaměstnány ani se neúčastní vzdělávání nebo odborné přípravy, tak pro jejich domácnosti;</w:t>
            </w:r>
            <w:r>
              <w:t xml:space="preserve"> </w:t>
            </w:r>
            <w:r>
              <w:rPr>
                <w:b/>
                <w:i/>
              </w:rPr>
              <w:t>domnívá se, že to může vytvořit past chudoby, v níž mohou být zranitelní mladí lidé, kteří nejsou zaměstnaní ani se neúčastní vzdělávání nebo odborné přípravy, odrazováni od toho, aby přijímali nabídky zaměstnání, vzdělávání, odborné přípravy a prohlubování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vítá programy vypracované v rámci režimu záruk pro mladé lidi v některých členských státech, jejichž cílem je rozvíjet podnikání mladých lidí a pobídky pro začínající podniky;</w:t>
            </w:r>
            <w:r>
              <w:t xml:space="preserve"> </w:t>
            </w:r>
            <w:r>
              <w:rPr>
                <w:b/>
                <w:i/>
              </w:rPr>
              <w:t>domnívá se, že iniciativy pro začínající podniky vyžadují zvýšenou a specializovanou podporu při vytváření udržitelného podnikatelského plánu, který může vést k životaschopnému podnikání;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vítá skutečnost, že zúčastněné strany režimu záruk pro mladé lidi považují finanční prostředky EU, které jsou k dispozici pro jeho financování, za obecně přiměřené a dostupné;</w:t>
            </w:r>
            <w:r>
              <w:t xml:space="preserve"> </w:t>
            </w:r>
            <w:r>
              <w:rPr>
                <w:b/>
                <w:i/>
              </w:rPr>
              <w:t>bere však na vědomí tendenci některých členských států spoléhat se téměř výhradně na ESF+ při financování režimů záruk pro mladé lidi, což vyvolává otázky ohledně udržitelnosti těchto programů nebo využívání finančních prostředků EU k nahrazení již existujících vnitrostátních fondů, čímž se omezuje schopnost programů expandovat v reakci na poptávku;</w:t>
            </w:r>
            <w:r>
              <w:t xml:space="preserve"> </w:t>
            </w:r>
            <w:r>
              <w:rPr>
                <w:b/>
                <w:i/>
              </w:rPr>
              <w:t>je znepokojen zpětnou vazbou, která naznačuje, že problémy s finančními prostředky EU vyplývají z přetrvávajícího nedostatku lidských zdrojů, špatné koordinace v některých členských státech a nejasných postupů, které brání účinnému čerpání a využívání dostupných finančních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vítá rámec ukazatelů pro monitorování záruk pro mladé lidi ze strany Výboru pro zaměstnanost (EMCO) a jeho každoroční monitorování provádění nástroje a zdůrazňuje spolehlivost a srovnatelnost údajů ukazatelů agregovaných na úrovni EU;</w:t>
            </w:r>
            <w:r>
              <w:t xml:space="preserve"> </w:t>
            </w:r>
            <w:r>
              <w:rPr>
                <w:b/>
                <w:i/>
              </w:rPr>
              <w:t>vyjadřuje však politování nad tím, že monitorovací rámec obsahující údaje oznámené členskými státy má nižší kvalitu, pokud jde o sběr údajů, monitorovací systém a vysoký podíl neznámých situací ve výsledcích záruk pro mladé lidi;</w:t>
            </w:r>
            <w:r>
              <w:t xml:space="preserve"> </w:t>
            </w:r>
            <w:r>
              <w:rPr>
                <w:b/>
                <w:i/>
              </w:rPr>
              <w:t>poukazuje zejména na to, že vnitrostátní rámce pro monitorování často vylučují neaktivní osoby, které nejsou zaměstnány ani se neúčastní vzdělávání nebo odborné přípravy a nejsou registrovány u veřejných služeb, což činí velkou část cílové skupiny programů záruk pro mladé lidi neviditelnou;</w:t>
            </w:r>
            <w:r>
              <w:t xml:space="preserve"> </w:t>
            </w:r>
            <w:r>
              <w:rPr>
                <w:b/>
                <w:i/>
              </w:rPr>
              <w:t>je znepokojen tím, že v několika členských státech zcela chybí ukazatele následných opatření, které nezohledňují kvalitu nabídek;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je přesvědčen, že záruky pro mladé lidi nedosáhly plně svých cílů a potřebují další zlepšení, aby se překlenula propast mezi ambicemi tohoto nástroje a jeho praktickým prováděním;</w:t>
            </w:r>
          </w:p>
        </w:tc>
        <w:tc>
          <w:tcPr>
            <w:tcW w:w="4876" w:type="dxa"/>
            <w:tcBorders>
              <w:top w:val="nil"/>
              <w:left w:val="nil"/>
              <w:bottom w:val="nil"/>
              <w:right w:val="nil"/>
            </w:tcBorders>
          </w:tcPr>
          <w:p>
            <w:pPr>
              <w:pStyle w:val="Normal6a"/>
            </w:pPr>
            <w:r>
              <w:t>14.</w:t>
            </w:r>
            <w:r>
              <w:tab/>
            </w:r>
            <w:r>
              <w:t xml:space="preserve">je přesvědčen, že záruky pro mladé lidi nedosáhly plně svých cílů a potřebují další zlepšení, aby se překlenula propast mezi ambicemi tohoto nástroje a jeho praktickým prováděním; </w:t>
            </w:r>
            <w:r>
              <w:rPr>
                <w:b/>
                <w:i/>
              </w:rPr>
              <w:t>zdůrazňuje, že prvky programů záruk pro mladé lidi reagují na kritiku původního nástroje, ale zatím nejsou na dobré cestě kvůli přetrvávajícím provozním problémům, nedostatku definovaných cílů a hodnocení systémů;</w:t>
            </w:r>
            <w:r>
              <w:t xml:space="preserve"> </w:t>
            </w:r>
            <w:r>
              <w:rPr>
                <w:b/>
                <w:i/>
              </w:rPr>
              <w:t>uznává, že většina těchto výzev leží na úrovni členských států, ale že EU musí i nadále plně hrát svou úlohu při jejich podpoře, prosazování osvědčených postupů a v případě potřeby poskytování technické pomoci;</w:t>
            </w:r>
            <w:r>
              <w:t xml:space="preserve"> </w:t>
            </w:r>
            <w:r>
              <w:rPr>
                <w:b/>
                <w:i/>
              </w:rPr>
              <w:t>vyjadřuje politování nad tím, že závěr Evropského účetního dvora z roku 2017, že pokrok v oblasti záruk pro mladé lidi nesplňuje očekávání, je téměř o deset let později stále částečně pravdivý;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je přesvědčen, že záruky</w:t>
            </w:r>
            <w:r>
              <w:t xml:space="preserve"> pro mladé lidi </w:t>
            </w:r>
            <w:r>
              <w:rPr>
                <w:b/>
                <w:i/>
              </w:rPr>
              <w:t>nedosáhly plně svých cílů a potřebují další</w:t>
            </w:r>
            <w:r>
              <w:t xml:space="preserve"> zlepšení</w:t>
            </w:r>
            <w:r>
              <w:rPr>
                <w:b/>
                <w:i/>
              </w:rPr>
              <w:t>, aby se překlenula</w:t>
            </w:r>
            <w:r>
              <w:t xml:space="preserve"> propast mezi ambicemi tohoto nástroje a jeho praktickým prováděním;</w:t>
            </w:r>
          </w:p>
        </w:tc>
        <w:tc>
          <w:tcPr>
            <w:tcW w:w="4876" w:type="dxa"/>
            <w:tcBorders>
              <w:top w:val="nil"/>
              <w:left w:val="nil"/>
              <w:bottom w:val="nil"/>
              <w:right w:val="nil"/>
            </w:tcBorders>
          </w:tcPr>
          <w:p>
            <w:pPr>
              <w:pStyle w:val="Normal6a"/>
            </w:pPr>
            <w:r>
              <w:t>14.</w:t>
            </w:r>
            <w:r>
              <w:tab/>
            </w:r>
            <w:r>
              <w:rPr>
                <w:b/>
                <w:i/>
              </w:rPr>
              <w:t>zdůrazňuje transformační potenciál programů záruk</w:t>
            </w:r>
            <w:r>
              <w:t xml:space="preserve"> pro mladé lidi</w:t>
            </w:r>
            <w:r>
              <w:rPr>
                <w:b/>
                <w:i/>
              </w:rPr>
              <w:t>, pokud jde o snížení nezaměstnanosti mladých lidí, podzaměstnanosti a sociálního vyloučení;</w:t>
            </w:r>
            <w:r>
              <w:t xml:space="preserve"> </w:t>
            </w:r>
            <w:r>
              <w:rPr>
                <w:b/>
                <w:i/>
              </w:rPr>
              <w:t>vyjadřuje politování nad tím, že členské státy tento potenciál dosud plně nevyužily, a hlavních cílů nástroje, kterými je snížení dlouhodobé neaktivity a opětovné začlenění mladých lidí, kteří nejsou zaměstnaní ani se neúčastní vzdělávání nebo odborné přípravy a jsou nejvíce vzdáleni trhu práce, proto dosud nebylo dosaženo;</w:t>
            </w:r>
            <w:r>
              <w:t xml:space="preserve"> </w:t>
            </w:r>
            <w:r>
              <w:rPr>
                <w:b/>
                <w:i/>
              </w:rPr>
              <w:t>zdůrazňuje naléhavou potřebu ambiciózní reformy a dalších</w:t>
            </w:r>
            <w:r>
              <w:t xml:space="preserve"> zlepšení </w:t>
            </w:r>
            <w:r>
              <w:rPr>
                <w:b/>
                <w:i/>
              </w:rPr>
              <w:t>s cílem překlenout</w:t>
            </w:r>
            <w:r>
              <w:t xml:space="preserve"> propast mezi ambicemi tohoto nástroje a jeho praktickým prováděním;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je přesvědčen, že záruky pro mladé lidi nedosáhly plně svých cílů a potřebují další zlepšení, aby se překlenula propast mezi ambicemi tohoto nástroje a jeho praktickým prováděním;</w:t>
            </w:r>
          </w:p>
        </w:tc>
        <w:tc>
          <w:tcPr>
            <w:tcW w:w="4876" w:type="dxa"/>
            <w:tcBorders>
              <w:top w:val="nil"/>
              <w:left w:val="nil"/>
              <w:bottom w:val="nil"/>
              <w:right w:val="nil"/>
            </w:tcBorders>
          </w:tcPr>
          <w:p>
            <w:pPr>
              <w:pStyle w:val="Normal6a"/>
            </w:pPr>
            <w:r>
              <w:t>14.</w:t>
            </w:r>
            <w:r>
              <w:tab/>
            </w:r>
            <w:r>
              <w:t xml:space="preserve">je přesvědčen, že záruky pro mladé lidi nedosáhly plně svých cílů a potřebují další zlepšení, aby se překlenula propast mezi ambicemi tohoto nástroje a jeho praktickým prováděním; </w:t>
            </w:r>
            <w:r>
              <w:rPr>
                <w:b/>
                <w:i/>
              </w:rPr>
              <w:t>bere na vědomí nedávná zjištění nadace Eurofound, že nesoulad mezi ambicemi mladých lidí v oblasti zaměstnanosti a konkrétními výsledky na trhu práce je spojen s vyšším rizikem deprese a sociálního vyloučení;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je přesvědčen</w:t>
            </w:r>
            <w:r>
              <w:t xml:space="preserve">, že záruky pro mladé lidi nedosáhly plně svých cílů </w:t>
            </w:r>
            <w:r>
              <w:rPr>
                <w:b/>
                <w:i/>
              </w:rPr>
              <w:t>a potřebují další zlepšení, aby se překlenula propast mezi ambicemi tohoto nástroje a jeho praktickým prováděním</w:t>
            </w:r>
            <w:r>
              <w:t>;</w:t>
            </w:r>
          </w:p>
        </w:tc>
        <w:tc>
          <w:tcPr>
            <w:tcW w:w="4876" w:type="dxa"/>
            <w:tcBorders>
              <w:top w:val="nil"/>
              <w:left w:val="nil"/>
              <w:bottom w:val="nil"/>
              <w:right w:val="nil"/>
            </w:tcBorders>
          </w:tcPr>
          <w:p>
            <w:pPr>
              <w:pStyle w:val="Normal6a"/>
            </w:pPr>
            <w:r>
              <w:t>14.</w:t>
            </w:r>
            <w:r>
              <w:tab/>
            </w:r>
            <w:r>
              <w:rPr>
                <w:b/>
                <w:i/>
              </w:rPr>
              <w:t>domnívá se</w:t>
            </w:r>
            <w:r>
              <w:t>, že záruky pro mladé lidi nedosáhly plně svých cílů;</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je přesvědčen</w:t>
            </w:r>
            <w:r>
              <w:t xml:space="preserve">, že záruky pro mladé lidi nedosáhly plně svých cílů </w:t>
            </w:r>
            <w:r>
              <w:rPr>
                <w:b/>
                <w:i/>
              </w:rPr>
              <w:t>a potřebují další zlepšení, aby se překlenula propast mezi ambicemi tohoto nástroje a jeho praktickým prováděním</w:t>
            </w:r>
            <w:r>
              <w:t>;</w:t>
            </w:r>
          </w:p>
        </w:tc>
        <w:tc>
          <w:tcPr>
            <w:tcW w:w="4876" w:type="dxa"/>
            <w:tcBorders>
              <w:top w:val="nil"/>
              <w:left w:val="nil"/>
              <w:bottom w:val="nil"/>
              <w:right w:val="nil"/>
            </w:tcBorders>
          </w:tcPr>
          <w:p>
            <w:pPr>
              <w:pStyle w:val="Normal6a"/>
            </w:pPr>
            <w:r>
              <w:t>14.</w:t>
            </w:r>
            <w:r>
              <w:tab/>
            </w:r>
            <w:r>
              <w:rPr>
                <w:b/>
                <w:i/>
              </w:rPr>
              <w:t>domnívá se</w:t>
            </w:r>
            <w:r>
              <w:t>, že záruky pro mladé lidi nedosáhly plně svých cílů;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zdůrazňuje, že opatření v oblasti bydlení přizpůsobená oblastem, kde se mluví regionálními, menšinovými nebo méně používanými národními jazyky, musí být vypracována v plné spolupráci s místními komunitami, neboť ty nejlépe znají své vlastní potřeby a akutní problémy, kterým čelí.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zdůrazňuje význam podpůrného politického rámce pro provádění záruk pro mladé lidi, jako jsou normy kvality pro zaměstnanost, pracovní podmínky, vzdělávání, stáže a učňovskou přípravu, rozvoj dalších zařízení péče o děti s cílem uvolnit potenciál rodičů, politiky začleňování osob se zdravotním postižením, účinná dopravní politika, opatření k zajištění cenové dostupnosti bydlení a vhodné příležitosti k získávání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vyzývá členské státy, aby cíleně zlepšily vyhrazené administrativní kapacity veřejných služeb zaměstnanosti a dalších vnitrostátních subjektů</w:t>
            </w:r>
            <w:r>
              <w:t xml:space="preserve"> odpovědných za provádění záruk pro mladé lidi;</w:t>
            </w:r>
          </w:p>
        </w:tc>
        <w:tc>
          <w:tcPr>
            <w:tcW w:w="4876" w:type="dxa"/>
            <w:tcBorders>
              <w:top w:val="nil"/>
              <w:left w:val="nil"/>
              <w:bottom w:val="nil"/>
              <w:right w:val="nil"/>
            </w:tcBorders>
          </w:tcPr>
          <w:p>
            <w:pPr>
              <w:pStyle w:val="Normal6a"/>
            </w:pPr>
            <w:r>
              <w:t>15.</w:t>
            </w:r>
            <w:r>
              <w:tab/>
            </w:r>
            <w:r>
              <w:rPr>
                <w:b/>
                <w:i/>
              </w:rPr>
              <w:t>vybízí Evropskou komisi, aby podpořila posílení kapacit příslušných orgánů</w:t>
            </w:r>
            <w:r>
              <w:t xml:space="preserve"> odpovědných za provádění </w:t>
            </w:r>
            <w:r>
              <w:rPr>
                <w:b/>
                <w:i/>
              </w:rPr>
              <w:t>posílených</w:t>
            </w:r>
            <w:r>
              <w:t xml:space="preserve"> záruk pro mladé lidi</w:t>
            </w:r>
            <w:r>
              <w:rPr>
                <w:b/>
                <w:i/>
              </w:rPr>
              <w:t>, mimo jiné posílením administrativních a lidských zdrojů specializovaných na podporu zaměstnanosti mladých lidí způsobem odpovídajícím výzvám, jimž čelí</w:t>
            </w:r>
            <w:r>
              <w:t xml:space="preserve">; </w:t>
            </w:r>
            <w:r>
              <w:rPr>
                <w:b/>
                <w:i/>
              </w:rPr>
              <w:t>zdůrazňuje, že v členských státech, v nichž jsou pravomoci v oblasti aktivních politik na trhu práce a odborné přípravy svěřeny orgánům na nižší než celostátní úrovni, musí být programy budování kapacit přístupné příslušným regionálním a místním orgánům za stejných podmínek jako ústředním orgánům;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členské státy, aby cíleně zlepšily vyhrazené administrativní kapacity veřejných služeb zaměstnanosti a dalších vnitrostátních subjektů odpovědných za provádění záruk pro mladé lidi;</w:t>
            </w:r>
          </w:p>
        </w:tc>
        <w:tc>
          <w:tcPr>
            <w:tcW w:w="4876" w:type="dxa"/>
            <w:tcBorders>
              <w:top w:val="nil"/>
              <w:left w:val="nil"/>
              <w:bottom w:val="nil"/>
              <w:right w:val="nil"/>
            </w:tcBorders>
          </w:tcPr>
          <w:p>
            <w:pPr>
              <w:pStyle w:val="Normal6a"/>
            </w:pPr>
            <w:r>
              <w:t>15.</w:t>
            </w:r>
            <w:r>
              <w:tab/>
            </w:r>
            <w:r>
              <w:t xml:space="preserve">vyzývá členské státy, aby cíleně zlepšily vyhrazené administrativní kapacity veřejných služeb zaměstnanosti a dalších vnitrostátních subjektů odpovědných za provádění záruk pro mladé lidi; </w:t>
            </w:r>
            <w:r>
              <w:rPr>
                <w:b/>
                <w:i/>
              </w:rPr>
              <w:t>domnívá se, že tato modernizace a digitalizace veřejných služeb zaměstnanosti musí být doprovázena investicemi do odborné přípravy specializovaných zaměstnanců, aby bylo možné poskytovat účinné a individualizované služby;</w:t>
            </w:r>
            <w:r>
              <w:t xml:space="preserve"> </w:t>
            </w:r>
            <w:r>
              <w:rPr>
                <w:b/>
                <w:i/>
              </w:rPr>
              <w:t>vyzývá Komisi, aby zajistila, že veřejné služby zaměstnanosti budou lépe vybaveny k tomu, aby oslovily osoby, které nejsou zaměstnány ani se neúčastní vzdělávání nebo odborné přípravy a které čelí složitým překážkám;</w:t>
            </w:r>
            <w:r>
              <w:t xml:space="preserve"> </w:t>
            </w:r>
            <w:r>
              <w:rPr>
                <w:b/>
                <w:i/>
              </w:rPr>
              <w:t>zdůrazňuje potenciál pro spolupráci mezi veřejnými službami zaměstnanosti a soukromými agenturami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vyzývá členské státy, aby </w:t>
            </w:r>
            <w:r>
              <w:rPr>
                <w:b/>
                <w:i/>
              </w:rPr>
              <w:t>cíleně zlepšily vyhrazené administrativní</w:t>
            </w:r>
            <w:r>
              <w:t xml:space="preserve"> kapacity veřejných služeb zaměstnanosti a dalších vnitrostátních subjektů </w:t>
            </w:r>
            <w:r>
              <w:rPr>
                <w:b/>
                <w:i/>
              </w:rPr>
              <w:t>odpovědných za</w:t>
            </w:r>
            <w:r>
              <w:t xml:space="preserve"> provádění záruk pro mladé lidi;</w:t>
            </w:r>
          </w:p>
        </w:tc>
        <w:tc>
          <w:tcPr>
            <w:tcW w:w="4876" w:type="dxa"/>
            <w:tcBorders>
              <w:top w:val="nil"/>
              <w:left w:val="nil"/>
              <w:bottom w:val="nil"/>
              <w:right w:val="nil"/>
            </w:tcBorders>
          </w:tcPr>
          <w:p>
            <w:pPr>
              <w:pStyle w:val="Normal6a"/>
            </w:pPr>
            <w:r>
              <w:t>15.</w:t>
            </w:r>
            <w:r>
              <w:tab/>
            </w:r>
            <w:r>
              <w:t xml:space="preserve">vyzývá členské státy, aby </w:t>
            </w:r>
            <w:r>
              <w:rPr>
                <w:b/>
                <w:i/>
              </w:rPr>
              <w:t>vyčlenily zvláštní zdroje konkrétně na posílení správní</w:t>
            </w:r>
            <w:r>
              <w:t xml:space="preserve"> kapacity veřejných služeb zaměstnanosti a dalších </w:t>
            </w:r>
            <w:r>
              <w:rPr>
                <w:b/>
                <w:i/>
              </w:rPr>
              <w:t>příslušných</w:t>
            </w:r>
            <w:r>
              <w:t xml:space="preserve"> vnitrostátních subjektů </w:t>
            </w:r>
            <w:r>
              <w:rPr>
                <w:b/>
                <w:i/>
              </w:rPr>
              <w:t>s cílem zajistit účinné</w:t>
            </w:r>
            <w:r>
              <w:t xml:space="preserve"> provádění záruk pro mladé lidi </w:t>
            </w:r>
            <w:r>
              <w:rPr>
                <w:b/>
                <w:i/>
              </w:rPr>
              <w:t>a poskytnout včasnou, personalizovanou a účinnou podporu ve čtyřměsíční lhůtě pro zásah a trvalou následnou podporu</w:t>
            </w:r>
            <w:r>
              <w:t xml:space="preserve">; </w:t>
            </w:r>
            <w:r>
              <w:rPr>
                <w:b/>
                <w:i/>
              </w:rPr>
              <w:t>vyzývá k povinnému a strukturovanému školení pracovníků veřejných služeb zaměstnanosti a dalších příslušných zaměstnanců o nevědomé předpojatosti a nediskriminaci, k aktivní identifikaci obtížně dosažitelných osob NEET a k účinnému oslovení a podpoře zranitelných osob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vyzývá členské státy, aby cíleně zlepšily </w:t>
            </w:r>
            <w:r>
              <w:rPr>
                <w:b/>
                <w:i/>
              </w:rPr>
              <w:t>vyhrazené</w:t>
            </w:r>
            <w:r>
              <w:t xml:space="preserve"> administrativní kapacity veřejných služeb zaměstnanosti a dalších vnitrostátních subjektů odpovědných za provádění záruk pro mladé lidi;</w:t>
            </w:r>
          </w:p>
        </w:tc>
        <w:tc>
          <w:tcPr>
            <w:tcW w:w="4876" w:type="dxa"/>
            <w:tcBorders>
              <w:top w:val="nil"/>
              <w:left w:val="nil"/>
              <w:bottom w:val="nil"/>
              <w:right w:val="nil"/>
            </w:tcBorders>
          </w:tcPr>
          <w:p>
            <w:pPr>
              <w:pStyle w:val="Normal6a"/>
            </w:pPr>
            <w:r>
              <w:t>15.</w:t>
            </w:r>
            <w:r>
              <w:tab/>
            </w:r>
            <w:r>
              <w:t xml:space="preserve">vyzývá členské státy, aby cíleně zlepšily administrativní kapacity veřejných služeb zaměstnanosti a dalších vnitrostátních subjektů odpovědných za provádění záruk pro mladé lidi; </w:t>
            </w:r>
            <w:r>
              <w:rPr>
                <w:b/>
                <w:i/>
              </w:rPr>
              <w:t>zdůrazňuje, že je třeba posílit zdroje a odbornou přípravu veřejných služeb zaměstnanosti, a to i prostřednictvím odpovídajícího personálního obsazení, digitalizace a schopností osvěty, aby bylo možné poskytovat individualizovanou a inkluzivní podporu mladým lidem, zejména těm ve zranitelných situacích;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vyzývá členské státy, aby </w:t>
            </w:r>
            <w:r>
              <w:rPr>
                <w:b/>
                <w:i/>
              </w:rPr>
              <w:t>cíleně zlepšily vyhrazené administrativní kapacity</w:t>
            </w:r>
            <w:r>
              <w:t xml:space="preserve"> veřejných služeb zaměstnanosti a dalších vnitrostátních </w:t>
            </w:r>
            <w:r>
              <w:rPr>
                <w:b/>
                <w:i/>
              </w:rPr>
              <w:t>subjektů</w:t>
            </w:r>
            <w:r>
              <w:t xml:space="preserve"> odpovědných za provádění záruk pro mladé lidi;</w:t>
            </w:r>
          </w:p>
        </w:tc>
        <w:tc>
          <w:tcPr>
            <w:tcW w:w="4876" w:type="dxa"/>
            <w:tcBorders>
              <w:top w:val="nil"/>
              <w:left w:val="nil"/>
              <w:bottom w:val="nil"/>
              <w:right w:val="nil"/>
            </w:tcBorders>
          </w:tcPr>
          <w:p>
            <w:pPr>
              <w:pStyle w:val="Normal6a"/>
            </w:pPr>
            <w:r>
              <w:t>15.</w:t>
            </w:r>
            <w:r>
              <w:tab/>
            </w:r>
            <w:r>
              <w:t xml:space="preserve">vyzývá členské státy, aby </w:t>
            </w:r>
            <w:r>
              <w:rPr>
                <w:b/>
                <w:i/>
              </w:rPr>
              <w:t>posílily správní a provozní kapacitu</w:t>
            </w:r>
            <w:r>
              <w:t xml:space="preserve"> veřejných služeb zaměstnanosti a dalších vnitrostátních </w:t>
            </w:r>
            <w:r>
              <w:rPr>
                <w:b/>
                <w:i/>
              </w:rPr>
              <w:t>orgánů</w:t>
            </w:r>
            <w:r>
              <w:t xml:space="preserve"> odpovědných za provádění záruk pro mladé lidi</w:t>
            </w:r>
            <w:r>
              <w:rPr>
                <w:b/>
                <w:i/>
              </w:rPr>
              <w:t>, a to i prostřednictvím užší spolupráce se školami, univerzitami, poskytovateli odborného vzdělávání a zaměstnavateli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členské státy, aby cíleně zlepšily vyhrazené administrativní kapacity veřejných služeb zaměstnanosti a dalších vnitrostátních subjektů odpovědných za provádění záruk pro mladé lidi;</w:t>
            </w:r>
          </w:p>
        </w:tc>
        <w:tc>
          <w:tcPr>
            <w:tcW w:w="4876" w:type="dxa"/>
            <w:tcBorders>
              <w:top w:val="nil"/>
              <w:left w:val="nil"/>
              <w:bottom w:val="nil"/>
              <w:right w:val="nil"/>
            </w:tcBorders>
          </w:tcPr>
          <w:p>
            <w:pPr>
              <w:pStyle w:val="Normal6a"/>
            </w:pPr>
            <w:r>
              <w:t>15.</w:t>
            </w:r>
            <w:r>
              <w:tab/>
            </w:r>
            <w:r>
              <w:t xml:space="preserve">vyzývá členské státy, aby cíleně zlepšily vyhrazené administrativní kapacity veřejných služeb zaměstnanosti a dalších vnitrostátních subjektů odpovědných za provádění záruk pro mladé lidi; </w:t>
            </w:r>
            <w:r>
              <w:rPr>
                <w:b/>
                <w:i/>
              </w:rPr>
              <w:t>s cílem přeměnit tento nástroj na nástroj trvalý;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členské státy, aby cíleně zlepšily vyhrazené administrativní kapacity veřejných služeb zaměstnanosti a dalších vnitrostátních subjektů odpovědných za provádění záruk pro mladé lidi;</w:t>
            </w:r>
          </w:p>
        </w:tc>
        <w:tc>
          <w:tcPr>
            <w:tcW w:w="4876" w:type="dxa"/>
            <w:tcBorders>
              <w:top w:val="nil"/>
              <w:left w:val="nil"/>
              <w:bottom w:val="nil"/>
              <w:right w:val="nil"/>
            </w:tcBorders>
          </w:tcPr>
          <w:p>
            <w:pPr>
              <w:pStyle w:val="Normal6a"/>
            </w:pPr>
            <w:r>
              <w:t>15.</w:t>
            </w:r>
            <w:r>
              <w:tab/>
            </w:r>
            <w:r>
              <w:t xml:space="preserve">vyzývá členské státy, aby cíleně zlepšily vyhrazené administrativní kapacity veřejných služeb zaměstnanosti a dalších vnitrostátních subjektů odpovědných za provádění záruk pro mladé lidi </w:t>
            </w:r>
            <w:r>
              <w:rPr>
                <w:b/>
                <w:i/>
              </w:rPr>
              <w:t>prostřednictvím zvýšení veřejných investic</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členské státy, aby vnitrostátním inspektorátům práce a příslušným orgánům umožnily účinně odhalovat praktiky, které obcházejí účel stáží a využívání standardních pracovních poměrů zastíraných stážemi, a bojovat proti nim, aby zajistily plné prosazování práva Unie vztahujícího se na pracovníky a zaručily, že stážisté budou mít přístup k anonymním, bezpečným a účinným kanálům pro oznamování nekalých praktik a špatných pracovních podmínek a údajného porušování práv a povinností, a aby o těchto kanálech poskytovaly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členské státy, aby zajistily, že provádění posílených záruk pro mladé lidi bude odrážet klíčová sdělení Výboru pro zaměstnanost (EMCO), která Rada schválila v letech 2018, 2019, 2021, 2023, 2025 a 2026, a to posílením prevence a včasné intervence, podporou účinných partnerství na všech úrovních a posílením kapacity a koordinační úlohy veřejných služeb zaměstnanosti (VSZ);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zdůrazňuje, že je důležité plně využít evropskou síť veřejných služeb zaměstnanosti k podpoře výměny osvědčených postupů, vzájemného učení a referenčního srovnávání a sbližování výsledků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vyzývá členské státy, aby vyčlenily cílené a zvýšené investice na provádění záruk pro mladé lidi v oblastech s vysokou mírou nezaměstnanosti a nečinnosti mladých lidí, kde jsou strukturální nevýhody a problémy s prováděním větší;</w:t>
            </w:r>
            <w:r>
              <w:t xml:space="preserve"> </w:t>
            </w:r>
            <w:r>
              <w:rPr>
                <w:b/>
                <w:i/>
              </w:rPr>
              <w:t>vyzývá k posílení administrativních, informačních a realizačních kapacit veřejných služeb zaměstnanosti v těchto oblastech s cílem zajistit účinnou podporu obtížně dosažitelným a zranitelným osobám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vyzývá Komisi a členské státy, aby účinně vybavily zaměstnance veřejných služeb zaměstnanosti a uznaly je jako aktéry v první linii, kteří mají klíčový význam pro zapojení mladých lidí, kteří čelí složitým překážkám;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vyzývá členské státy, aby investovaly do decentralizovaných komunitních informačních infrastruktur veřejných služeb zaměstnanosti a navázaly formální partnerství mezi veřejnými službami zaměstnanosti, sociálními službami a organizacemi místních komunit s cílem lépe zapojit obtížně dosažitelné osoby NEET, a zejména mladé lidi na venkově;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vyzývá členské státy, aby zajistily, aby všechny modely záruk pro mladé lidi, ať už cílené systémy založené na cestách nebo univerzálnější systémy, aktivně oslovovaly mladé lidi, a nespoléhaly se pouze na registrace, aby poskytovaly spravedlivou podporu bez ohledu na okolnosti nebo místo;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vyzývá Komisi a členské státy, aby poskytly komplexní podporu při řešení složitých překážek, jimž čelí osoby NEET, s cílem řešit především základní příčiny sociálního vyloučení, nikoli pouze situaci v oblasti zaměstnanosti osob NEET;</w:t>
            </w:r>
          </w:p>
        </w:tc>
        <w:tc>
          <w:tcPr>
            <w:tcW w:w="4876" w:type="dxa"/>
            <w:tcBorders>
              <w:top w:val="nil"/>
              <w:left w:val="nil"/>
              <w:bottom w:val="nil"/>
              <w:right w:val="nil"/>
            </w:tcBorders>
          </w:tcPr>
          <w:p>
            <w:pPr>
              <w:pStyle w:val="Normal6a"/>
            </w:pPr>
            <w:r>
              <w:t>16.</w:t>
            </w:r>
            <w:r>
              <w:tab/>
            </w:r>
            <w:r>
              <w:t xml:space="preserve">vyzývá Komisi a členské státy, aby poskytly komplexní podporu při řešení složitých překážek, jimž čelí osoby NEET, s cílem řešit především základní příčiny sociálního vyloučení, nikoli pouze situaci v oblasti zaměstnanosti osob NEET; </w:t>
            </w:r>
            <w:r>
              <w:rPr>
                <w:b/>
                <w:i/>
              </w:rPr>
              <w:t>zdůrazňuje, že tato podpora musí být poskytována ve formě balíčku opatření poskytovaných veřejnými službami zaměstnanosti a dalšími příslušnými sociálními službami, jejichž cílem je pomoci s péčí o děti a rodinnými povinnostmi, posílit plánování rodiny, podpořit přístup k bydlení a zdravotní péči, včetně duševního zdraví, a bojovat proti závislosti;</w:t>
            </w:r>
            <w:r>
              <w:t xml:space="preserve"> </w:t>
            </w:r>
            <w:r>
              <w:rPr>
                <w:b/>
                <w:i/>
              </w:rPr>
              <w:t>dále vyzývá členské státy s pozitivní a včasnou mírou odchodu nebo mírou pokrytí pod průměrem EU, aby provedly komplexní posouzení svých systémů záruk pro mladé lidi s cílem určit důvody těchto nedostatků a napravit je přepracováním těchto systémů na základě výsledků;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vyzývá Komisi a členské státy, aby poskytly komplexní podporu při řešení složitých překážek, jimž čelí osoby NEET, s cílem řešit </w:t>
            </w:r>
            <w:r>
              <w:rPr>
                <w:b/>
                <w:i/>
              </w:rPr>
              <w:t>především</w:t>
            </w:r>
            <w:r>
              <w:t xml:space="preserve"> základní příčiny sociálního vyloučení</w:t>
            </w:r>
            <w:r>
              <w:rPr>
                <w:b/>
                <w:i/>
              </w:rPr>
              <w:t>, nikoli pouze situaci</w:t>
            </w:r>
            <w:r>
              <w:t xml:space="preserve"> v oblasti zaměstnanosti osob NEET;</w:t>
            </w:r>
          </w:p>
        </w:tc>
        <w:tc>
          <w:tcPr>
            <w:tcW w:w="4876" w:type="dxa"/>
            <w:tcBorders>
              <w:top w:val="nil"/>
              <w:left w:val="nil"/>
              <w:bottom w:val="nil"/>
              <w:right w:val="nil"/>
            </w:tcBorders>
          </w:tcPr>
          <w:p>
            <w:pPr>
              <w:pStyle w:val="Normal6a"/>
            </w:pPr>
            <w:r>
              <w:t>16.</w:t>
            </w:r>
            <w:r>
              <w:tab/>
            </w:r>
            <w:r>
              <w:t xml:space="preserve">vyzývá Komisi a členské státy, aby poskytly komplexní podporu při řešení složitých překážek, jimž čelí osoby NEET, </w:t>
            </w:r>
            <w:r>
              <w:rPr>
                <w:b/>
                <w:i/>
              </w:rPr>
              <w:t>zejména při řešení problémů v oblasti bydlení, duševního zdraví a finančních obtíží, které byly označeny za hlavní překážky nezávislosti mladých lidí,</w:t>
            </w:r>
            <w:r>
              <w:t xml:space="preserve"> s cílem řešit základní příčiny sociálního vyloučení </w:t>
            </w:r>
            <w:r>
              <w:rPr>
                <w:b/>
                <w:i/>
              </w:rPr>
              <w:t>před řešením situace</w:t>
            </w:r>
            <w:r>
              <w:t xml:space="preserve"> v oblasti zaměstnanosti osob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vyzývá Komisi a členské státy, aby poskytly komplexní podporu při řešení složitých překážek, jimž čelí osoby NEET, s cílem řešit především základní příčiny sociálního vyloučení, nikoli pouze situaci v oblasti zaměstnanosti osob NEET;</w:t>
            </w:r>
          </w:p>
        </w:tc>
        <w:tc>
          <w:tcPr>
            <w:tcW w:w="4876" w:type="dxa"/>
            <w:tcBorders>
              <w:top w:val="nil"/>
              <w:left w:val="nil"/>
              <w:bottom w:val="nil"/>
              <w:right w:val="nil"/>
            </w:tcBorders>
          </w:tcPr>
          <w:p>
            <w:pPr>
              <w:pStyle w:val="Normal6a"/>
            </w:pPr>
            <w:r>
              <w:t>16.</w:t>
            </w:r>
            <w:r>
              <w:tab/>
            </w:r>
            <w:r>
              <w:t>vyzývá Komisi a členské státy, aby poskytly komplexní podporu při řešení složitých překážek, jimž čelí osoby NEET, s cílem řešit především základní příčiny sociálního vyloučení, nikoli pouze situaci v oblasti zaměstnanosti osob NEET</w:t>
            </w:r>
            <w:r>
              <w:rPr>
                <w:b/>
                <w:i/>
              </w:rPr>
              <w:t>, včetně přístupu k bydlení, zdravotní péči a podpoře příjmu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vyzývá Komisi a členské státy, aby poskytly komplexní podporu při řešení složitých překážek, jimž čelí </w:t>
            </w:r>
            <w:r>
              <w:rPr>
                <w:b/>
                <w:i/>
              </w:rPr>
              <w:t>osoby NEET</w:t>
            </w:r>
            <w:r>
              <w:t xml:space="preserve">, s cílem řešit </w:t>
            </w:r>
            <w:r>
              <w:rPr>
                <w:b/>
                <w:i/>
              </w:rPr>
              <w:t>především</w:t>
            </w:r>
            <w:r>
              <w:t xml:space="preserve"> základní příčiny sociálního vyloučení</w:t>
            </w:r>
            <w:r>
              <w:rPr>
                <w:b/>
                <w:i/>
              </w:rPr>
              <w:t>, nikoli pouze situaci</w:t>
            </w:r>
            <w:r>
              <w:t xml:space="preserve"> v oblasti zaměstnanosti </w:t>
            </w:r>
            <w:r>
              <w:rPr>
                <w:b/>
                <w:i/>
              </w:rPr>
              <w:t>osob NEET</w:t>
            </w:r>
            <w:r>
              <w:t>;</w:t>
            </w:r>
          </w:p>
        </w:tc>
        <w:tc>
          <w:tcPr>
            <w:tcW w:w="4876" w:type="dxa"/>
            <w:tcBorders>
              <w:top w:val="nil"/>
              <w:left w:val="nil"/>
              <w:bottom w:val="nil"/>
              <w:right w:val="nil"/>
            </w:tcBorders>
          </w:tcPr>
          <w:p>
            <w:pPr>
              <w:pStyle w:val="Normal6a"/>
            </w:pPr>
            <w:r>
              <w:t>16.</w:t>
            </w:r>
            <w:r>
              <w:tab/>
            </w:r>
            <w:r>
              <w:t xml:space="preserve">Vyzývá Komisi a členské státy, aby poskytly komplexní podporu při řešení </w:t>
            </w:r>
            <w:r>
              <w:rPr>
                <w:b/>
                <w:i/>
              </w:rPr>
              <w:t>strukturálních a často</w:t>
            </w:r>
            <w:r>
              <w:t xml:space="preserve"> složitých překážek, jimž čelí </w:t>
            </w:r>
            <w:r>
              <w:rPr>
                <w:b/>
                <w:i/>
              </w:rPr>
              <w:t>zranitelní mladí lidé, kteří nejsou zaměstnaní ani se neúčastní vzdělávání nebo odborné přípravy</w:t>
            </w:r>
            <w:r>
              <w:t xml:space="preserve">, s cílem řešit základní příčiny </w:t>
            </w:r>
            <w:r>
              <w:rPr>
                <w:b/>
                <w:i/>
              </w:rPr>
              <w:t>trhu práce a</w:t>
            </w:r>
            <w:r>
              <w:t xml:space="preserve"> sociálního vyloučení </w:t>
            </w:r>
            <w:r>
              <w:rPr>
                <w:b/>
                <w:i/>
              </w:rPr>
              <w:t>před zlepšením jejich situace</w:t>
            </w:r>
            <w:r>
              <w:t xml:space="preserve"> v oblasti zaměstnanosti;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vyzývá </w:t>
            </w:r>
            <w:r>
              <w:rPr>
                <w:b/>
                <w:i/>
              </w:rPr>
              <w:t>Komisi a</w:t>
            </w:r>
            <w:r>
              <w:t xml:space="preserve"> členské státy, aby poskytly komplexní podporu při řešení složitých překážek, jimž čelí osoby NEET, s cílem řešit především základní příčiny sociálního vyloučení, nikoli pouze situaci v oblasti zaměstnanosti osob NEET;</w:t>
            </w:r>
          </w:p>
        </w:tc>
        <w:tc>
          <w:tcPr>
            <w:tcW w:w="4876" w:type="dxa"/>
            <w:tcBorders>
              <w:top w:val="nil"/>
              <w:left w:val="nil"/>
              <w:bottom w:val="nil"/>
              <w:right w:val="nil"/>
            </w:tcBorders>
          </w:tcPr>
          <w:p>
            <w:pPr>
              <w:pStyle w:val="Normal6a"/>
            </w:pPr>
            <w:r>
              <w:t>16.</w:t>
            </w:r>
            <w:r>
              <w:tab/>
            </w:r>
            <w:r>
              <w:t>vyzývá členské státy, aby poskytly komplexní podporu při řešení složitých překážek, jimž čelí osoby NEET, s cílem řešit především základní příčiny sociálního vyloučení, nikoli pouze situaci v oblasti zaměstnanosti osob NEET;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vyzývá Komisi a členské státy, aby poskytly komplexní podporu při řešení složitých překážek, jimž čelí osoby NEET, s cílem řešit </w:t>
            </w:r>
            <w:r>
              <w:rPr>
                <w:b/>
                <w:i/>
              </w:rPr>
              <w:t>především</w:t>
            </w:r>
            <w:r>
              <w:t xml:space="preserve"> základní příčiny sociálního vyloučení</w:t>
            </w:r>
            <w:r>
              <w:rPr>
                <w:b/>
                <w:i/>
              </w:rPr>
              <w:t>, nikoli pouze situaci v oblasti zaměstnanosti osob NEET</w:t>
            </w:r>
            <w:r>
              <w:t>;</w:t>
            </w:r>
          </w:p>
        </w:tc>
        <w:tc>
          <w:tcPr>
            <w:tcW w:w="4876" w:type="dxa"/>
            <w:tcBorders>
              <w:top w:val="nil"/>
              <w:left w:val="nil"/>
              <w:bottom w:val="nil"/>
              <w:right w:val="nil"/>
            </w:tcBorders>
          </w:tcPr>
          <w:p>
            <w:pPr>
              <w:pStyle w:val="Normal6a"/>
            </w:pPr>
            <w:r>
              <w:t>16.</w:t>
            </w:r>
            <w:r>
              <w:tab/>
            </w:r>
            <w:r>
              <w:t xml:space="preserve">vyzývá Komisi a členské státy, aby poskytly komplexní podporu při řešení složitých překážek, jimž čelí osoby NEET, s cílem řešit </w:t>
            </w:r>
            <w:r>
              <w:rPr>
                <w:b/>
                <w:i/>
              </w:rPr>
              <w:t>situaci v oblasti zaměstnanosti osob a</w:t>
            </w:r>
            <w:r>
              <w:t> základní příčiny sociálního vyloučení;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zdůrazňuje, že špatné duševní zdraví, sociální izolace a nedostatek individualizované psychosociální podpory jsou hlavními překážkami pro začlenění mnoha mladých lidí do vzdělávání, odborné přípravy a na trh práce;</w:t>
            </w:r>
            <w:r>
              <w:t xml:space="preserve"> </w:t>
            </w:r>
            <w:r>
              <w:rPr>
                <w:b/>
                <w:i/>
              </w:rPr>
              <w:t>vyzývá členské státy, aby do prováděcích opatření záruk pro mladé lidi začlenily vhodné služby psychosociální podpory;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vyzývá členské státy, aby zajistily, že všechna pracovní místa nabízená v rámci režimu záruk pro mladé budou poskytovat důstojné mzdy, a to alespoň na úrovni minimální mzdy nebo kolektivních smluv;</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zdůrazňuje, že mladí lidé žijící v ostrovních a odlehlých oblastech, zejména na ostrovech v Egejském moři a v příhraničních regionech Unie sousedících se třetími zeměmi, jakož i v regionech na východní vnější hranici EU, čelí jedinečným a přetrvávajícím problémům v přístupu ke vzdělávání, odborné přípravě a zaměstnání;</w:t>
            </w:r>
            <w:r>
              <w:t xml:space="preserve"> </w:t>
            </w:r>
            <w:r>
              <w:rPr>
                <w:b/>
                <w:i/>
              </w:rPr>
              <w:t>zdůrazňuje, že tyto výzvy jsou umocněny zeměpisnou izolací, vysokými náklady na dojíždění a pokračujícím demografickým poklesem;</w:t>
            </w:r>
            <w:r>
              <w:t xml:space="preserve"> </w:t>
            </w:r>
            <w:r>
              <w:rPr>
                <w:b/>
                <w:i/>
              </w:rPr>
              <w:t>vyzývá Komisi a členské státy, aby v rámci záruk pro mladé zavedly konkrétní cílená opatření pro tyto regiony s cílem podpořit místní zaměstnanost a zabránit odchodu mladých lidí;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zdůrazňuje, že pro zajištění úspěšného provádění záruk pro mladé lidi je nezbytný přístup založený na spolupráci; vyzývá členské státy, aby posílily spolupráci mezi ministerstvy, veřejnými službami zaměstnanosti, sociálními partnery, aktéry na trhu práce, vnitrostátními mládežnickými radami a občanskou společností na ústřední i místní úrovni s cílem zajistit, aby všichni působili v rámci integrované sítě služeb pro osoby NEET;</w:t>
            </w:r>
          </w:p>
        </w:tc>
        <w:tc>
          <w:tcPr>
            <w:tcW w:w="4876" w:type="dxa"/>
            <w:tcBorders>
              <w:top w:val="nil"/>
              <w:left w:val="nil"/>
              <w:bottom w:val="nil"/>
              <w:right w:val="nil"/>
            </w:tcBorders>
          </w:tcPr>
          <w:p>
            <w:pPr>
              <w:pStyle w:val="Normal6a"/>
            </w:pPr>
            <w:r>
              <w:t>17.</w:t>
            </w:r>
            <w:r>
              <w:tab/>
            </w:r>
            <w:r>
              <w:t xml:space="preserve">zdůrazňuje, že pro zajištění úspěšného provádění záruk pro mladé lidi je nezbytný přístup založený na spolupráci </w:t>
            </w:r>
            <w:r>
              <w:rPr>
                <w:b/>
                <w:i/>
              </w:rPr>
              <w:t>ve všech jeho fázích</w:t>
            </w:r>
            <w:r>
              <w:t>; vyzývá členské státy, aby posílily spolupráci mezi ministerstvy, veřejnými službami zaměstnanosti, sociálními partnery, aktéry na trhu práce</w:t>
            </w:r>
            <w:r>
              <w:rPr>
                <w:b/>
                <w:i/>
              </w:rPr>
              <w:t>, institucemi poskytujícími vzdělávání a odbornou přípravu</w:t>
            </w:r>
            <w:r>
              <w:t xml:space="preserve">, vnitrostátními mládežnickými radami a občanskou společností na ústřední i místní úrovni s cílem zajistit, aby všichni působili v rámci integrované sítě služeb pro osoby NEET; </w:t>
            </w:r>
            <w:r>
              <w:rPr>
                <w:b/>
                <w:i/>
              </w:rPr>
              <w:t>zdůrazňuje význam formální spolupráce, jako jsou tripartitní komise, dohody o spolupráci nebo protokoly na vnitrostátní úrovni mezi školami, veřejnými službami zaměstnanosti a sociálními partnery, pro dosažení tohoto cíle;</w:t>
            </w:r>
            <w:r>
              <w:t xml:space="preserve"> </w:t>
            </w:r>
            <w:r>
              <w:rPr>
                <w:b/>
                <w:i/>
              </w:rPr>
              <w:t>zdůrazňuje, že je nezbytné budovat důvěru mezi poskytovateli záruk pro mladé lidi a místními komunitami, například sladěním nabídek vzdělávání a odborné přípravy s potřebami trhu práce a umísťováním mladých lidí do zaměstnání pouze tehdy, jsou-li dobře připraveni vstoupit na trh práce;</w:t>
            </w:r>
            <w:r>
              <w:t xml:space="preserve"> </w:t>
            </w:r>
            <w:r>
              <w:rPr>
                <w:b/>
                <w:i/>
              </w:rPr>
              <w:t>vybízí členské státy, aby rozšířily osvědčené postupy, jako jsou iniciativy v oblasti odborné přípravy v přímém partnerství se zaměstnavateli, jejichž cílem je zajistit nábor na konci odborné přípravy, veletrhů pracovních příležitostí, informačních dnů nebo jiných akcí pro sladění zaměstnavatelů a mládeže;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zdůrazňuje, že </w:t>
            </w:r>
            <w:r>
              <w:rPr>
                <w:b/>
                <w:i/>
              </w:rPr>
              <w:t>pro zajištění úspěšného provádění</w:t>
            </w:r>
            <w:r>
              <w:t xml:space="preserve"> záruk pro mladé lidi </w:t>
            </w:r>
            <w:r>
              <w:rPr>
                <w:b/>
                <w:i/>
              </w:rPr>
              <w:t>je nezbytný přístup založený na spolupráci;</w:t>
            </w:r>
            <w:r>
              <w:t xml:space="preserve"> </w:t>
            </w:r>
            <w:r>
              <w:rPr>
                <w:b/>
                <w:i/>
              </w:rPr>
              <w:t>vyzývá členské státy, aby posílily spolupráci mezi ministerstvy</w:t>
            </w:r>
            <w:r>
              <w:t xml:space="preserve">, veřejnými službami zaměstnanosti, sociálními partnery, </w:t>
            </w:r>
            <w:r>
              <w:rPr>
                <w:b/>
                <w:i/>
              </w:rPr>
              <w:t>aktéry na trhu práce, vnitrostátními mládežnickými radami a občanskou společností na ústřední i místní úrovni s cílem zajistit, aby všichni působili</w:t>
            </w:r>
            <w:r>
              <w:t xml:space="preserve"> v rámci integrované sítě služeb pro osoby </w:t>
            </w:r>
            <w:r>
              <w:rPr>
                <w:b/>
                <w:i/>
              </w:rPr>
              <w:t>NEET</w:t>
            </w:r>
            <w:r>
              <w:t>;</w:t>
            </w:r>
          </w:p>
        </w:tc>
        <w:tc>
          <w:tcPr>
            <w:tcW w:w="4876" w:type="dxa"/>
            <w:tcBorders>
              <w:top w:val="nil"/>
              <w:left w:val="nil"/>
              <w:bottom w:val="nil"/>
              <w:right w:val="nil"/>
            </w:tcBorders>
          </w:tcPr>
          <w:p>
            <w:pPr>
              <w:pStyle w:val="Normal6a"/>
            </w:pPr>
            <w:r>
              <w:t>17.</w:t>
            </w:r>
            <w:r>
              <w:tab/>
            </w:r>
            <w:r>
              <w:t xml:space="preserve">zdůrazňuje, že </w:t>
            </w:r>
            <w:r>
              <w:rPr>
                <w:b/>
                <w:i/>
              </w:rPr>
              <w:t>je třeba zlepšit řízení posílených</w:t>
            </w:r>
            <w:r>
              <w:t xml:space="preserve"> záruk pro mladé lidi </w:t>
            </w:r>
            <w:r>
              <w:rPr>
                <w:b/>
                <w:i/>
              </w:rPr>
              <w:t>prostřednictvím větší koordinace mezi příslušnými vnitrostátními, regionálními a místními orgány, subjekty odborné přípravy a institucemi vzdělávání a odborné přípravy</w:t>
            </w:r>
            <w:r>
              <w:t xml:space="preserve">, veřejnými službami zaměstnanosti, sociálními partnery, </w:t>
            </w:r>
            <w:r>
              <w:rPr>
                <w:b/>
                <w:i/>
              </w:rPr>
              <w:t>podniky a subjekty třetího sektoru, aby se zajistilo, že každý bude pracovat</w:t>
            </w:r>
            <w:r>
              <w:t xml:space="preserve"> v rámci integrované sítě služeb pro osoby</w:t>
            </w:r>
            <w:r>
              <w:rPr>
                <w:b/>
                <w:i/>
              </w:rPr>
              <w:t>, které nejsou zaměstnané ani se neúčastní vzdělávání nebo odborné přípravy, a aby se mladým lidem poskytly příležitosti k odborné přípravě a zaměstnání na základě potřeb různých regionálních hospodářských prostředí</w:t>
            </w:r>
            <w:r>
              <w:t xml:space="preserve">; </w:t>
            </w:r>
            <w:r>
              <w:rPr>
                <w:b/>
                <w:i/>
              </w:rPr>
              <w:t>zdůrazňuje, že v členských státech, v nichž jsou pravomoci v oblasti odborné přípravy a aktivních politik zaměstnanosti svěřeny orgánům na nižší než celostátní úrovni, musí být regionální a místní orgány považovány za hlavní partnery při provádění posílených záruk pro mladé lidi a musí mít přímý přístup k evropským programům financování;</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zdůrazňuje, že pro zajištění úspěšného provádění </w:t>
            </w:r>
            <w:r>
              <w:rPr>
                <w:b/>
                <w:i/>
              </w:rPr>
              <w:t>záruk</w:t>
            </w:r>
            <w:r>
              <w:t xml:space="preserve"> pro mladé lidi </w:t>
            </w:r>
            <w:r>
              <w:rPr>
                <w:b/>
                <w:i/>
              </w:rPr>
              <w:t>je nezbytný přístup založený na spolupráci</w:t>
            </w:r>
            <w:r>
              <w:t xml:space="preserve">; vyzývá členské státy, aby posílily spolupráci </w:t>
            </w:r>
            <w:r>
              <w:rPr>
                <w:b/>
                <w:i/>
              </w:rPr>
              <w:t>mezi ministerstvy</w:t>
            </w:r>
            <w:r>
              <w:t xml:space="preserve">, veřejnými službami zaměstnanosti, sociálními partnery, aktéry na trhu práce, </w:t>
            </w:r>
            <w:r>
              <w:rPr>
                <w:b/>
                <w:i/>
              </w:rPr>
              <w:t>vnitrostátními mládežnickými</w:t>
            </w:r>
            <w:r>
              <w:t xml:space="preserve"> radami a občanskou společností na </w:t>
            </w:r>
            <w:r>
              <w:rPr>
                <w:b/>
                <w:i/>
              </w:rPr>
              <w:t>ústřední i</w:t>
            </w:r>
            <w:r>
              <w:t xml:space="preserve"> místní úrovni s cílem </w:t>
            </w:r>
            <w:r>
              <w:rPr>
                <w:b/>
                <w:i/>
              </w:rPr>
              <w:t>zajistit, aby všichni působili v rámci</w:t>
            </w:r>
            <w:r>
              <w:t xml:space="preserve"> integrované sítě služeb </w:t>
            </w:r>
            <w:r>
              <w:rPr>
                <w:b/>
                <w:i/>
              </w:rPr>
              <w:t>pro osoby NEET</w:t>
            </w:r>
            <w:r>
              <w:t>;</w:t>
            </w:r>
          </w:p>
        </w:tc>
        <w:tc>
          <w:tcPr>
            <w:tcW w:w="4876" w:type="dxa"/>
            <w:tcBorders>
              <w:top w:val="nil"/>
              <w:left w:val="nil"/>
              <w:bottom w:val="nil"/>
              <w:right w:val="nil"/>
            </w:tcBorders>
          </w:tcPr>
          <w:p>
            <w:pPr>
              <w:pStyle w:val="Normal6a"/>
            </w:pPr>
            <w:r>
              <w:t>17.</w:t>
            </w:r>
            <w:r>
              <w:tab/>
            </w:r>
            <w:r>
              <w:t xml:space="preserve">zdůrazňuje, že </w:t>
            </w:r>
            <w:r>
              <w:rPr>
                <w:b/>
                <w:i/>
              </w:rPr>
              <w:t>přístup založený na spolupráci a komunitě, který je přizpůsoben místním a regionálním podmínkám, má zásadní význam</w:t>
            </w:r>
            <w:r>
              <w:t xml:space="preserve"> pro zajištění úspěšného provádění </w:t>
            </w:r>
            <w:r>
              <w:rPr>
                <w:b/>
                <w:i/>
              </w:rPr>
              <w:t>pokynů</w:t>
            </w:r>
            <w:r>
              <w:t xml:space="preserve"> pro mladé lidi </w:t>
            </w:r>
            <w:r>
              <w:rPr>
                <w:b/>
                <w:i/>
              </w:rPr>
              <w:t>a pro oslovení nejzranitelnějších osob, které nejsou zaměstnány ani se neúčastní vzdělávání nebo odborné přípravy</w:t>
            </w:r>
            <w:r>
              <w:t xml:space="preserve">; vyzývá členské státy, aby posílily spolupráci </w:t>
            </w:r>
            <w:r>
              <w:rPr>
                <w:b/>
                <w:i/>
              </w:rPr>
              <w:t>a navázaly formální partnerství s institucemi vzdělávání a odborné přípravy</w:t>
            </w:r>
            <w:r>
              <w:t xml:space="preserve">, veřejnými službami zaměstnanosti, sociálními partnery, </w:t>
            </w:r>
            <w:r>
              <w:rPr>
                <w:b/>
                <w:i/>
              </w:rPr>
              <w:t>příslušnými</w:t>
            </w:r>
            <w:r>
              <w:t xml:space="preserve"> aktéry na trhu práce, </w:t>
            </w:r>
            <w:r>
              <w:rPr>
                <w:b/>
                <w:i/>
              </w:rPr>
              <w:t>národními</w:t>
            </w:r>
            <w:r>
              <w:t xml:space="preserve"> radami </w:t>
            </w:r>
            <w:r>
              <w:rPr>
                <w:b/>
                <w:i/>
              </w:rPr>
              <w:t>mládeže</w:t>
            </w:r>
            <w:r>
              <w:t xml:space="preserve"> a občanskou společností na </w:t>
            </w:r>
            <w:r>
              <w:rPr>
                <w:b/>
                <w:i/>
              </w:rPr>
              <w:t>vnitrostátní, regionální a</w:t>
            </w:r>
            <w:r>
              <w:t xml:space="preserve"> místní úrovni s cílem </w:t>
            </w:r>
            <w:r>
              <w:rPr>
                <w:b/>
                <w:i/>
              </w:rPr>
              <w:t>vytvořit</w:t>
            </w:r>
            <w:r>
              <w:t xml:space="preserve"> integrované sítě služeb </w:t>
            </w:r>
            <w:r>
              <w:rPr>
                <w:b/>
                <w:i/>
              </w:rPr>
              <w:t>a umožnit včasnou identifikaci a podporu osob, které nejsou zaměstnány ani se neúčastní vzdělávání nebo odborné přípravy</w:t>
            </w:r>
            <w:r>
              <w:t xml:space="preserve">; </w:t>
            </w:r>
            <w:r>
              <w:rPr>
                <w:b/>
                <w:i/>
              </w:rPr>
              <w:t>v této souvislosti vyzývá k tomu, aby byli tito partneři smysluplně zapojeni do navrhování, monitorování a prosazování kvalitních nabídek stáží;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zdůrazňuje, že pro zajištění úspěšného provádění záruk pro mladé lidi je nezbytný přístup založený na spolupráci; vyzývá členské státy, aby posílily spolupráci mezi ministerstvy, veřejnými službami zaměstnanosti, sociálními partnery, aktéry na trhu práce, vnitrostátními mládežnickými radami a občanskou společností na ústřední i místní úrovni s cílem zajistit, aby všichni působili v rámci integrované sítě služeb pro osoby NEET;</w:t>
            </w:r>
          </w:p>
        </w:tc>
        <w:tc>
          <w:tcPr>
            <w:tcW w:w="4876" w:type="dxa"/>
            <w:tcBorders>
              <w:top w:val="nil"/>
              <w:left w:val="nil"/>
              <w:bottom w:val="nil"/>
              <w:right w:val="nil"/>
            </w:tcBorders>
          </w:tcPr>
          <w:p>
            <w:pPr>
              <w:pStyle w:val="Normal6a"/>
            </w:pPr>
            <w:r>
              <w:t>17.</w:t>
            </w:r>
            <w:r>
              <w:tab/>
            </w:r>
            <w:r>
              <w:t xml:space="preserve">zdůrazňuje, že pro zajištění úspěšného provádění záruk pro mladé lidi je nezbytný přístup založený na spolupráci; vyzývá členské státy, aby posílily spolupráci mezi ministerstvy, </w:t>
            </w:r>
            <w:r>
              <w:rPr>
                <w:b/>
                <w:i/>
              </w:rPr>
              <w:t>místními orgány,</w:t>
            </w:r>
            <w:r>
              <w:t xml:space="preserve"> veřejnými službami zaměstnanosti, sociálními partnery, </w:t>
            </w:r>
            <w:r>
              <w:rPr>
                <w:b/>
                <w:i/>
              </w:rPr>
              <w:t>sociálními a zdravotnickými službami,</w:t>
            </w:r>
            <w:r>
              <w:t xml:space="preserve"> aktéry na trhu práce</w:t>
            </w:r>
            <w:r>
              <w:rPr>
                <w:b/>
                <w:i/>
              </w:rPr>
              <w:t>, poskytovateli vzdělávání a odborné přípravy</w:t>
            </w:r>
            <w:r>
              <w:t xml:space="preserve">, vnitrostátními mládežnickými radami </w:t>
            </w:r>
            <w:r>
              <w:rPr>
                <w:b/>
                <w:i/>
              </w:rPr>
              <w:t>a organizacemi</w:t>
            </w:r>
            <w:r>
              <w:t xml:space="preserve"> a občanskou společností na ústřední i místní úrovni</w:t>
            </w:r>
            <w:r>
              <w:rPr>
                <w:b/>
                <w:i/>
              </w:rPr>
              <w:t>, včetně komunitních, místních a mládeží vedených organizací nebo ambasadorů mládeže, kteří přímo pracují s opomíjenou mládeží,</w:t>
            </w:r>
            <w:r>
              <w:t xml:space="preserve"> s cílem zajistit, aby všichni působili v rámci integrované sítě služeb pro osoby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zdůrazňuje, že </w:t>
            </w:r>
            <w:r>
              <w:rPr>
                <w:b/>
                <w:i/>
              </w:rPr>
              <w:t>pro</w:t>
            </w:r>
            <w:r>
              <w:t xml:space="preserve"> zajištění </w:t>
            </w:r>
            <w:r>
              <w:rPr>
                <w:b/>
                <w:i/>
              </w:rPr>
              <w:t>úspěšného provádění záruk pro mladé lidi je nezbytný přístup založený na spolupráci;</w:t>
            </w:r>
            <w:r>
              <w:t xml:space="preserve"> </w:t>
            </w:r>
            <w:r>
              <w:rPr>
                <w:b/>
                <w:i/>
              </w:rPr>
              <w:t>vyzývá členské státy, aby posílily spolupráci mezi ministerstvy, veřejnými službami zaměstnanosti</w:t>
            </w:r>
            <w:r>
              <w:t>, sociálními partnery</w:t>
            </w:r>
            <w:r>
              <w:rPr>
                <w:b/>
                <w:i/>
              </w:rPr>
              <w:t>, aktéry na trhu práce, vnitrostátními</w:t>
            </w:r>
            <w:r>
              <w:t xml:space="preserve"> mládežnickými </w:t>
            </w:r>
            <w:r>
              <w:rPr>
                <w:b/>
                <w:i/>
              </w:rPr>
              <w:t>radami a občanskou společností</w:t>
            </w:r>
            <w:r>
              <w:t xml:space="preserve"> na ústřední </w:t>
            </w:r>
            <w:r>
              <w:rPr>
                <w:b/>
                <w:i/>
              </w:rPr>
              <w:t>i</w:t>
            </w:r>
            <w:r>
              <w:t xml:space="preserve"> místní úrovni </w:t>
            </w:r>
            <w:r>
              <w:rPr>
                <w:b/>
                <w:i/>
              </w:rPr>
              <w:t>s cílem zajistit, aby všichni působili v rámci integrované sítě služeb pro osoby NEET</w:t>
            </w:r>
            <w:r>
              <w:t>;</w:t>
            </w:r>
          </w:p>
        </w:tc>
        <w:tc>
          <w:tcPr>
            <w:tcW w:w="4876" w:type="dxa"/>
            <w:tcBorders>
              <w:top w:val="nil"/>
              <w:left w:val="nil"/>
              <w:bottom w:val="nil"/>
              <w:right w:val="nil"/>
            </w:tcBorders>
          </w:tcPr>
          <w:p>
            <w:pPr>
              <w:pStyle w:val="Normal6a"/>
            </w:pPr>
            <w:r>
              <w:t>17.</w:t>
            </w:r>
            <w:r>
              <w:tab/>
            </w:r>
            <w:r>
              <w:t xml:space="preserve">zdůrazňuje, že </w:t>
            </w:r>
            <w:r>
              <w:rPr>
                <w:b/>
                <w:i/>
              </w:rPr>
              <w:t>k</w:t>
            </w:r>
            <w:r>
              <w:t xml:space="preserve"> zajištění </w:t>
            </w:r>
            <w:r>
              <w:rPr>
                <w:b/>
                <w:i/>
              </w:rPr>
              <w:t>komplexní podpory osob, které nejsou zaměstnané ani se neúčastní vzdělávání nebo odborné přípravy, je zapotřebí posílená spolupráce mezi příslušnými orgány</w:t>
            </w:r>
            <w:r>
              <w:t xml:space="preserve">, sociálními partnery </w:t>
            </w:r>
            <w:r>
              <w:rPr>
                <w:b/>
                <w:i/>
              </w:rPr>
              <w:t>a</w:t>
            </w:r>
            <w:r>
              <w:t xml:space="preserve"> mládežnickými </w:t>
            </w:r>
            <w:r>
              <w:rPr>
                <w:b/>
                <w:i/>
              </w:rPr>
              <w:t>subjekty</w:t>
            </w:r>
            <w:r>
              <w:t xml:space="preserve"> na ústřední </w:t>
            </w:r>
            <w:r>
              <w:rPr>
                <w:b/>
                <w:i/>
              </w:rPr>
              <w:t>a</w:t>
            </w:r>
            <w:r>
              <w:t xml:space="preserve"> místní úrovni;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zdůrazňuje, že pro zajištění úspěšného provádění záruk pro mladé lidi je nezbytný přístup založený na spolupráci; vyzývá členské státy, aby posílily spolupráci mezi ministerstvy, veřejnými službami zaměstnanosti, sociálními partnery, aktéry na trhu práce, vnitrostátními mládežnickými radami a občanskou společností na ústřední i místní úrovni s cílem zajistit, aby všichni působili v rámci integrované sítě služeb pro osoby NEET;</w:t>
            </w:r>
          </w:p>
        </w:tc>
        <w:tc>
          <w:tcPr>
            <w:tcW w:w="4876" w:type="dxa"/>
            <w:tcBorders>
              <w:top w:val="nil"/>
              <w:left w:val="nil"/>
              <w:bottom w:val="nil"/>
              <w:right w:val="nil"/>
            </w:tcBorders>
          </w:tcPr>
          <w:p>
            <w:pPr>
              <w:pStyle w:val="Normal6a"/>
            </w:pPr>
            <w:r>
              <w:t>17.</w:t>
            </w:r>
            <w:r>
              <w:tab/>
            </w:r>
            <w:r>
              <w:t xml:space="preserve">zdůrazňuje, že pro zajištění úspěšného provádění záruk pro mladé lidi je nezbytný přístup založený na spolupráci; vyzývá členské státy, aby posílily spolupráci mezi ministerstvy, veřejnými službami zaměstnanosti, sociálními partnery, aktéry na trhu práce, vnitrostátními mládežnickými radami a občanskou společností na ústřední i místní úrovni s cílem zajistit, aby všichni působili v rámci integrované sítě služeb pro osoby NEET; </w:t>
            </w:r>
            <w:r>
              <w:rPr>
                <w:b/>
                <w:i/>
              </w:rPr>
              <w:t>vybízí k rozvoji duálních systémů vzdělávání, učňovské přípravy a systémů učení se prací jako klíčových nástrojů ke zlepšení zaměstnatelnosti mladých lidí;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zdůrazňuje, že pro zajištění úspěšného provádění záruk pro mladé lidi je nezbytný přístup založený na spolupráci; vyzývá členské státy, aby posílily spolupráci mezi ministerstvy, veřejnými službami zaměstnanosti, sociálními partnery, aktéry na trhu práce, vnitrostátními mládežnickými radami a občanskou společností na ústřední i místní úrovni s cílem zajistit, aby všichni působili v rámci integrované sítě služeb pro osoby NEET;</w:t>
            </w:r>
          </w:p>
        </w:tc>
        <w:tc>
          <w:tcPr>
            <w:tcW w:w="4876" w:type="dxa"/>
            <w:tcBorders>
              <w:top w:val="nil"/>
              <w:left w:val="nil"/>
              <w:bottom w:val="nil"/>
              <w:right w:val="nil"/>
            </w:tcBorders>
          </w:tcPr>
          <w:p>
            <w:pPr>
              <w:pStyle w:val="Normal6a"/>
            </w:pPr>
            <w:r>
              <w:t>17.</w:t>
            </w:r>
            <w:r>
              <w:tab/>
            </w:r>
            <w:r>
              <w:t>zdůrazňuje, že pro zajištění úspěšného provádění záruk pro mladé lidi je nezbytný přístup založený na spolupráci; vyzývá členské státy, aby posílily spolupráci mezi ministerstvy, veřejnými službami zaměstnanosti</w:t>
            </w:r>
            <w:r>
              <w:rPr>
                <w:b/>
                <w:i/>
              </w:rPr>
              <w:t>, se smysluplnou účastí odborů na rozhodování</w:t>
            </w:r>
            <w:r>
              <w:t xml:space="preserve">, sociálními partnery, aktéry na trhu práce, vnitrostátními mládežnickými radami a občanskou společností na ústřední i místní úrovni s cílem zajistit, aby všichni působili v rámci integrované sítě služeb pro osoby NEET; </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zdůrazňuje, že pro zajištění úspěšného provádění záruk pro mladé lidi je nezbytný přístup založený na spolupráci; vyzývá členské státy, aby posílily spolupráci mezi ministerstvy, veřejnými službami zaměstnanosti, sociálními partnery, aktéry na trhu práce, vnitrostátními mládežnickými radami a občanskou společností na ústřední i místní úrovni s cílem zajistit, aby všichni působili v rámci integrované sítě služeb pro osoby NEET;</w:t>
            </w:r>
          </w:p>
        </w:tc>
        <w:tc>
          <w:tcPr>
            <w:tcW w:w="4876" w:type="dxa"/>
            <w:tcBorders>
              <w:top w:val="nil"/>
              <w:left w:val="nil"/>
              <w:bottom w:val="nil"/>
              <w:right w:val="nil"/>
            </w:tcBorders>
          </w:tcPr>
          <w:p>
            <w:pPr>
              <w:pStyle w:val="Normal6a"/>
            </w:pPr>
            <w:r>
              <w:t>17.</w:t>
            </w:r>
            <w:r>
              <w:tab/>
            </w:r>
            <w:r>
              <w:t xml:space="preserve">zdůrazňuje, že pro zajištění úspěšného provádění záruk pro mladé lidi je nezbytný přístup založený na spolupráci; vyzývá členské státy, aby posílily spolupráci mezi ministerstvy, veřejnými službami zaměstnanosti, sociálními partnery, </w:t>
            </w:r>
            <w:r>
              <w:rPr>
                <w:b/>
                <w:i/>
              </w:rPr>
              <w:t>poskytovateli sociálního zabezpečení,</w:t>
            </w:r>
            <w:r>
              <w:t xml:space="preserve"> aktéry na trhu práce, vnitrostátními mládežnickými radami a občanskou společností na ústřední i místní úrovni s cílem zajistit, aby všichni působili v rámci </w:t>
            </w:r>
            <w:r>
              <w:rPr>
                <w:b/>
                <w:i/>
              </w:rPr>
              <w:t>koordinované a</w:t>
            </w:r>
            <w:r>
              <w:t xml:space="preserve"> integrované sítě služeb pro osoby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zdůrazňuje, že pro zajištění úspěšného provádění záruk pro mladé lidi je nezbytný přístup založený na spolupráci; vyzývá členské státy, aby posílily spolupráci mezi ministerstvy, veřejnými službami zaměstnanosti, sociálními partnery, aktéry na trhu práce, vnitrostátními mládežnickými radami </w:t>
            </w:r>
            <w:r>
              <w:rPr>
                <w:b/>
                <w:i/>
              </w:rPr>
              <w:t>a</w:t>
            </w:r>
            <w:r>
              <w:t xml:space="preserve"> občanskou společností na ústřední i místní úrovni s cílem zajistit, aby všichni působili v rámci integrované sítě služeb pro osoby NEET;</w:t>
            </w:r>
          </w:p>
        </w:tc>
        <w:tc>
          <w:tcPr>
            <w:tcW w:w="4876" w:type="dxa"/>
            <w:tcBorders>
              <w:top w:val="nil"/>
              <w:left w:val="nil"/>
              <w:bottom w:val="nil"/>
              <w:right w:val="nil"/>
            </w:tcBorders>
          </w:tcPr>
          <w:p>
            <w:pPr>
              <w:pStyle w:val="Normal6a"/>
            </w:pPr>
            <w:r>
              <w:t>17.</w:t>
            </w:r>
            <w:r>
              <w:tab/>
            </w:r>
            <w:r>
              <w:t>zdůrazňuje, že pro zajištění úspěšného provádění záruk pro mladé lidi je nezbytný přístup založený na spolupráci; vyzývá členské státy, aby posílily spolupráci mezi ministerstvy, veřejnými službami zaměstnanosti, sociálními partnery, aktéry na trhu práce, vnitrostátními mládežnickými radami</w:t>
            </w:r>
            <w:r>
              <w:rPr>
                <w:b/>
                <w:i/>
              </w:rPr>
              <w:t>,</w:t>
            </w:r>
            <w:r>
              <w:t xml:space="preserve"> občanskou společností </w:t>
            </w:r>
            <w:r>
              <w:rPr>
                <w:b/>
                <w:i/>
              </w:rPr>
              <w:t>četně organizací mládeže</w:t>
            </w:r>
            <w:r>
              <w:t xml:space="preserve"> na ústřední i místní úrovni s cílem zajistit, aby všichni působili v rámci integrované sítě služeb pro osoby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zdůrazňuje, že je důležité rozvíjet odvětvová partnerství a místní sítě zaměstnavatelů, a to i s malými a středními podniky a subjekty sociální ekonomiky, s cílem zlepšit informovanost, spoluvytvářet nabídky záruk pro mladé lidi a zlepšit sladění pracovních míst a pracovních příležitostí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Hristo Petrov, Irena Joveva,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vybízí členské státy, aby k provádění pokynů pro mladé lidi zaujaly regionální a územní přístup a zaměřily se na regiony NUTS 2 s nejvyšší mírou nezaměstnanosti mladých lidí, kteří nejsou zaměstnaní ani se neúčastní vzdělávání nebo odborné přípravy;</w:t>
            </w:r>
            <w:r>
              <w:t xml:space="preserve"> </w:t>
            </w:r>
            <w:r>
              <w:rPr>
                <w:b/>
                <w:i/>
              </w:rPr>
              <w:t>zdůrazňuje, že tento územní přístup musí být spojen s přidělováním rozpočtových prostředků a musí se na něj vztahovat vnitrostátní dohled, aby byly zajištěny stejné standardy podpory a poskytování v celé zemi;</w:t>
            </w:r>
            <w:r>
              <w:t xml:space="preserve"> </w:t>
            </w:r>
            <w:r>
              <w:rPr>
                <w:b/>
                <w:i/>
              </w:rPr>
              <w:t>dále zdůrazňuje, že tento přístup by měl zahrnovat zvláštní opatření pro venkovské oblasti, jako je zvláštní odborná příprava pro osoby, které nejsou zaměstnané ani se neúčastní vzdělávání nebo odborné přípravy na venkově, zlepšení fyzické infrastruktury veřejných služeb zaměstnanosti v kombinaci s digitálními a mobilními řešeními;</w:t>
            </w:r>
            <w:r>
              <w:t xml:space="preserve"> </w:t>
            </w:r>
            <w:r>
              <w:rPr>
                <w:b/>
                <w:i/>
              </w:rPr>
              <w:t>dále vyzývá členské státy, aby více zapojily místní orgány do navrhování systémů záruk pro mladé lidi s cílem zvýšit jejich pocit odpovědnosti a zajistit důsledné provádění národního akčního plánu na celém svém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zdůrazňuje, že je důležité sladit opatření záruky pro mladé lidi s prioritami vnitrostátních trhů práce a odvětvovými strategiemi v oblasti dovedností, zejména v odvětvích, která se potýkají se strukturálním nedostatkem pracovních sil, jako je výroba, digitální technologie, zdravotnické služby a technická povolání;</w:t>
            </w:r>
            <w:r>
              <w:t xml:space="preserve"> </w:t>
            </w:r>
            <w:r>
              <w:rPr>
                <w:b/>
                <w:i/>
              </w:rPr>
              <w:t>zdůrazňuje, že politiky zaměstnanosti mladých lidí musí reagovat na skutečnou hospodářskou poptávku a přispívat k posílení výrobní kapacity a konkurenceschopnosti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Komisi a členské státy, aby do provádění, monitorování a hodnocení pokynů pro mladé lidi a veškerých budoucích revizí politik smysluplně zapojily mládežnické organizace;</w:t>
            </w:r>
            <w:r>
              <w:t xml:space="preserve"> </w:t>
            </w:r>
            <w:r>
              <w:rPr>
                <w:b/>
                <w:i/>
              </w:rPr>
              <w:t>zdůrazňuje, že konzultace s mladými lidmi, zejména s osobami, které nejsou zaměstnané ani se neúčastní vzdělávání nebo odborné přípravy, a zranitelnými osobami, které nejsou zaměstnané ani se neúčastní vzdělávání nebo odborné přípravy, zajišťují, aby jejich životní zkušenosti přímo přispívaly k účinnějšímu zvyšování povědomí, osvětě a poskytování pomoci, zejména pro ty, kteří jsou trhu práce nejvíce vzdáleni;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Oceňuje znalostní centrum záruk pro mladé lidi</w:t>
            </w:r>
            <w:r>
              <w:rPr>
                <w:b/>
                <w:i/>
                <w:vertAlign w:val="superscript"/>
              </w:rPr>
              <w:t>29a</w:t>
            </w:r>
            <w:r>
              <w:t xml:space="preserve"> </w:t>
            </w:r>
            <w:r>
              <w:rPr>
                <w:b/>
                <w:i/>
              </w:rPr>
              <w:t>a vyzývá Komisi, aby tuto databázi aktualizovala a zaměřila se přitom na minulé iniciativy, které se osvědčily při podpoře mladých lidí, kteří nejsou zaměstnaní ani se neúčastní vzdělávání nebo odborné přípravy, a při jejich udržitelném začleňování na trh práce;</w:t>
            </w:r>
            <w:r>
              <w:t xml:space="preserve"> </w:t>
            </w:r>
            <w:r>
              <w:rPr>
                <w:b/>
                <w:i/>
              </w:rPr>
              <w:t>domnívá se, že toto znalostní centrum by mělo sloužit jako základ pro častější výměnu osvědčených postupů mezi členskými státy, zejména pokud jde o monitorování, podávání zpráv, správu a spolupráci;</w:t>
            </w:r>
            <w:r>
              <w:t xml:space="preserve"> </w:t>
            </w:r>
            <w:r>
              <w:rPr>
                <w:b/>
                <w:i/>
              </w:rPr>
              <w:t>vybízí k vzájemnému hodnocení mezi členskými státy a k organizaci přeshraničních projektů týkajících se provádění programů záruk pro mladé lidi;</w:t>
            </w:r>
            <w:r>
              <w:t xml:space="preserve"> </w:t>
            </w:r>
            <w:r>
              <w:rPr>
                <w:b/>
                <w:i/>
              </w:rPr>
              <w:t>vyzývá Komisi, aby zajistila větší transparentnost, pokud jde o schůze koordinátorů záruk pro mladé lidi, a aby případně rozšířila jejich účast tak, aby zahrnovala i další zúčastněné strany, jako je občanská společnost;</w:t>
            </w:r>
            <w:r>
              <w:t xml:space="preserve"> </w:t>
            </w:r>
            <w:r>
              <w:rPr>
                <w:b/>
                <w:i/>
              </w:rPr>
              <w:t>domnívá se, že tato spolupráce na evropské úrovni by měla být spojena s užšími meziparlamentními vztahy;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29a</w:t>
            </w:r>
            <w:r>
              <w:t xml:space="preserve"> </w:t>
            </w:r>
            <w:r>
              <w:rPr>
                <w:b/>
                <w:i/>
              </w:rPr>
              <w:t>https://employment-social-affairs.ec.europa.eu/policies-and-activities/eu-employment-policies/youth-employment-support/reinforced-youth-guarantee/youth-guarantee-knowledge-centre_en.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vyzývá Komisi a členské státy, aby posílily povědomí o programu záruk pro mladé lidi a zlepšily jejich dostupnost a použitelnost;</w:t>
            </w:r>
            <w:r>
              <w:t xml:space="preserve"> </w:t>
            </w:r>
            <w:r>
              <w:rPr>
                <w:b/>
                <w:i/>
              </w:rPr>
              <w:t>vyzývá ke spolupráci s mládežnickými skupinami s cílem vytvořit inkluzivnější komunikační kanály a zjednodušený, jasný a uživatelsky vstřícný jazyk a postupy;</w:t>
            </w:r>
            <w:r>
              <w:t xml:space="preserve"> </w:t>
            </w:r>
            <w:r>
              <w:rPr>
                <w:b/>
                <w:i/>
              </w:rPr>
              <w:t>zdůrazňuje význam soudržného a trvalého označování, včetně rozpoznatelné vizuální identity, s cílem jasně o něm informovat jako o iniciativě financované EU, aby se zvýšilo povědomí veřejnosti;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vyzývá Komisi a členské státy, aby do systémů záruk pro mladé lidi zahrnuly soubor preventivních opatření zaměřených na </w:t>
            </w:r>
            <w:r>
              <w:rPr>
                <w:b/>
                <w:i/>
              </w:rPr>
              <w:t>předčasné</w:t>
            </w:r>
            <w:r>
              <w:t xml:space="preserve"> ukončování školní docházky </w:t>
            </w:r>
            <w:r>
              <w:rPr>
                <w:b/>
                <w:i/>
              </w:rPr>
              <w:t>s cílem zabránit pozdějším</w:t>
            </w:r>
            <w:r>
              <w:t xml:space="preserve"> dopadům na život mladých lidí;</w:t>
            </w:r>
          </w:p>
        </w:tc>
        <w:tc>
          <w:tcPr>
            <w:tcW w:w="4876" w:type="dxa"/>
            <w:tcBorders>
              <w:top w:val="nil"/>
              <w:left w:val="nil"/>
              <w:bottom w:val="nil"/>
              <w:right w:val="nil"/>
            </w:tcBorders>
          </w:tcPr>
          <w:p>
            <w:pPr>
              <w:pStyle w:val="Normal6a"/>
            </w:pPr>
            <w:r>
              <w:t>18.</w:t>
            </w:r>
            <w:r>
              <w:tab/>
            </w:r>
            <w:r>
              <w:t xml:space="preserve">vyzývá Komisi a členské státy, aby do </w:t>
            </w:r>
            <w:r>
              <w:rPr>
                <w:b/>
                <w:i/>
              </w:rPr>
              <w:t>posílených</w:t>
            </w:r>
            <w:r>
              <w:t xml:space="preserve"> systémů záruk pro mladé lidi zahrnuly soubor preventivních opatření zaměřených na </w:t>
            </w:r>
            <w:r>
              <w:rPr>
                <w:b/>
                <w:i/>
              </w:rPr>
              <w:t>individuální poradenství a podporu v boji proti předčasnému</w:t>
            </w:r>
            <w:r>
              <w:t xml:space="preserve"> ukončování školní docházky</w:t>
            </w:r>
            <w:r>
              <w:rPr>
                <w:b/>
                <w:i/>
              </w:rPr>
              <w:t>, jakož i psychosociální podpůrná opatření pro průběžnou odbornou přípravu a pracovní integraci, aby se zabránilo následným</w:t>
            </w:r>
            <w:r>
              <w:t xml:space="preserve"> dopadům na život mladých lidí; </w:t>
            </w:r>
            <w:r>
              <w:rPr>
                <w:b/>
                <w:i/>
              </w:rPr>
              <w:t>vybízí členské státy, aby v rámci posílené záruky pro mladé lidi vypracovaly programy odborné přípravy v oblasti digitálních dovedností a dovedností v oblasti umělé inteligence, které zajistí, aby mladí příjemci získali jak základní provozní dovednosti pro používání digitálních nástrojů a systémů umělé inteligence, tak kritickou kapacitu pro posuzování jejich rizik a etických důsledků v souladu s článkem 4 nařízení (EU) 2024/1689 (akt o umělé inteligenci) o šíření literatury o umělé inteligenci;</w:t>
            </w:r>
            <w:r>
              <w:t xml:space="preserve"> </w:t>
            </w:r>
            <w:r>
              <w:rPr>
                <w:b/>
                <w:i/>
              </w:rPr>
              <w:t>zdůrazňuje, že digitální dovednosti a dovednosti v oblasti umělé inteligence musí být začleněny do odborného vzdělávání a přípravy, a nikoli považovány za volitelné dodatečné moduly;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vyzývá Komisi a členské státy, aby do systémů záruk pro mladé lidi zahrnuly soubor preventivních opatření zaměřených na předčasné ukončování školní docházky s cílem zabránit pozdějším dopadům na život mladých lidí;</w:t>
            </w:r>
          </w:p>
        </w:tc>
        <w:tc>
          <w:tcPr>
            <w:tcW w:w="4876" w:type="dxa"/>
            <w:tcBorders>
              <w:top w:val="nil"/>
              <w:left w:val="nil"/>
              <w:bottom w:val="nil"/>
              <w:right w:val="nil"/>
            </w:tcBorders>
          </w:tcPr>
          <w:p>
            <w:pPr>
              <w:pStyle w:val="Normal6a"/>
            </w:pPr>
            <w:r>
              <w:t>18.</w:t>
            </w:r>
            <w:r>
              <w:tab/>
            </w:r>
            <w:r>
              <w:t xml:space="preserve">vyzývá Komisi a členské státy, aby do systémů záruk pro mladé lidi zahrnuly soubor preventivních opatření zaměřených na předčasné ukončování školní docházky s cílem zabránit pozdějším dopadům na život mladých lidí; </w:t>
            </w:r>
            <w:r>
              <w:rPr>
                <w:b/>
                <w:i/>
              </w:rPr>
              <w:t>navrhuje, aby tyto programy zahrnovaly mechanismy, které by školám umožnily hlásit rizikové případy založené na školní docházce nebo vzdělávacích výsledcích útvarům odpovědným za záruky pro mladé lidi s cílem zlepšit mapování, opatření v oblasti odborného vedení pro mladé lidi, u nichž existuje riziko předčasného ukončení školní docházky, spolupráci na posílení rodinné kapacity, rozvoj výchovy k občanství a pocit odpovědnosti za jejich profesní rozhodnutí a požadavek na vedení výstupních pohovorů s osobami, které předčasně ukončily školní docházku, s cílem pokročit v individuální strategii dalšího učení, práce nebo jiných životních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vyzývá Komisi a členské státy, aby do systémů záruk pro mladé lidi zahrnuly soubor preventivních opatření zaměřených na předčasné ukončování školní docházky s cílem zabránit pozdějším dopadům na život mladých lidí;</w:t>
            </w:r>
          </w:p>
        </w:tc>
        <w:tc>
          <w:tcPr>
            <w:tcW w:w="4876" w:type="dxa"/>
            <w:tcBorders>
              <w:top w:val="nil"/>
              <w:left w:val="nil"/>
              <w:bottom w:val="nil"/>
              <w:right w:val="nil"/>
            </w:tcBorders>
          </w:tcPr>
          <w:p>
            <w:pPr>
              <w:pStyle w:val="Normal6a"/>
            </w:pPr>
            <w:r>
              <w:t>18.</w:t>
            </w:r>
            <w:r>
              <w:tab/>
            </w:r>
            <w:r>
              <w:t xml:space="preserve">vyzývá Komisi a členské státy, aby do systémů záruk pro mladé lidi zahrnuly soubor preventivních opatření zaměřených na předčasné ukončování školní docházky s cílem zabránit pozdějším dopadům na život mladých lidí; </w:t>
            </w:r>
            <w:r>
              <w:rPr>
                <w:b/>
                <w:i/>
              </w:rPr>
              <w:t>tyto politiky by měly rovněž zahrnovat silnější služby profesního poradenství a mentorské programy zahrnující zaměstnavatele a odborníky s cílem pomoci mladým lidem činit informovaná rozhodnutí v oblasti vzdělávání a odborné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vyzývá Komisi a členské státy, aby </w:t>
            </w:r>
            <w:r>
              <w:rPr>
                <w:b/>
                <w:i/>
              </w:rPr>
              <w:t>do</w:t>
            </w:r>
            <w:r>
              <w:t xml:space="preserve"> systémů záruk pro mladé lidi </w:t>
            </w:r>
            <w:r>
              <w:rPr>
                <w:b/>
                <w:i/>
              </w:rPr>
              <w:t>zahrnuly soubor</w:t>
            </w:r>
            <w:r>
              <w:t xml:space="preserve"> preventivních opatření </w:t>
            </w:r>
            <w:r>
              <w:rPr>
                <w:b/>
                <w:i/>
              </w:rPr>
              <w:t>zaměřených na</w:t>
            </w:r>
            <w:r>
              <w:t xml:space="preserve"> předčasné ukončování školní docházky </w:t>
            </w:r>
            <w:r>
              <w:rPr>
                <w:b/>
                <w:i/>
              </w:rPr>
              <w:t>s cílem zabránit pozdějším dopadům na život mladých lidí</w:t>
            </w:r>
            <w:r>
              <w:t>;</w:t>
            </w:r>
          </w:p>
        </w:tc>
        <w:tc>
          <w:tcPr>
            <w:tcW w:w="4876" w:type="dxa"/>
            <w:tcBorders>
              <w:top w:val="nil"/>
              <w:left w:val="nil"/>
              <w:bottom w:val="nil"/>
              <w:right w:val="nil"/>
            </w:tcBorders>
          </w:tcPr>
          <w:p>
            <w:pPr>
              <w:pStyle w:val="Normal6a"/>
            </w:pPr>
            <w:r>
              <w:t>18.</w:t>
            </w:r>
            <w:r>
              <w:tab/>
            </w:r>
            <w:r>
              <w:t xml:space="preserve">vyzývá Komisi a členské státy, aby </w:t>
            </w:r>
            <w:r>
              <w:rPr>
                <w:b/>
                <w:i/>
              </w:rPr>
              <w:t>dále posílily systémy včasného varování v rámci</w:t>
            </w:r>
            <w:r>
              <w:t xml:space="preserve"> systémů záruk pro mladé lidi </w:t>
            </w:r>
            <w:r>
              <w:rPr>
                <w:b/>
                <w:i/>
              </w:rPr>
              <w:t>s cílem identifikovat mladé lidi, u nichž hrozí, že se stanou osobami, které nejsou zaměstnané ani se neúčastní vzdělávání nebo odborné přípravy;</w:t>
            </w:r>
            <w:r>
              <w:t xml:space="preserve"> </w:t>
            </w:r>
            <w:r>
              <w:rPr>
                <w:b/>
                <w:i/>
              </w:rPr>
              <w:t>vyzývá k přijetí</w:t>
            </w:r>
            <w:r>
              <w:t xml:space="preserve"> preventivních opatření</w:t>
            </w:r>
            <w:r>
              <w:rPr>
                <w:b/>
                <w:i/>
              </w:rPr>
              <w:t>, jako je posouzení dovedností a profesní poradenství, s cílem řešit</w:t>
            </w:r>
            <w:r>
              <w:t xml:space="preserve"> předčasné ukončování školní docházky</w:t>
            </w:r>
            <w:r>
              <w:rPr>
                <w:b/>
                <w:i/>
              </w:rPr>
              <w:t>, aby se snížila pravděpodobnost dlouhodobého vyloučení z trhu práce a jeho negativních dopadů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vyzývá Komisi a členské státy, aby do systémů záruk pro mladé lidi zahrnuly soubor preventivních opatření zaměřených na předčasné ukončování školní docházky s cílem zabránit </w:t>
            </w:r>
            <w:r>
              <w:rPr>
                <w:b/>
                <w:i/>
              </w:rPr>
              <w:t>pozdějším</w:t>
            </w:r>
            <w:r>
              <w:t xml:space="preserve"> dopadům na život mladých lidí;</w:t>
            </w:r>
          </w:p>
        </w:tc>
        <w:tc>
          <w:tcPr>
            <w:tcW w:w="4876" w:type="dxa"/>
            <w:tcBorders>
              <w:top w:val="nil"/>
              <w:left w:val="nil"/>
              <w:bottom w:val="nil"/>
              <w:right w:val="nil"/>
            </w:tcBorders>
          </w:tcPr>
          <w:p>
            <w:pPr>
              <w:pStyle w:val="Normal6a"/>
            </w:pPr>
            <w:r>
              <w:t>18.</w:t>
            </w:r>
            <w:r>
              <w:tab/>
            </w:r>
            <w:r>
              <w:t>vyzývá Komisi a členské státy, aby do systémů záruk pro mladé lidi zahrnuly soubor preventivních opatření zaměřených na předčasné ukončování školní docházky</w:t>
            </w:r>
            <w:r>
              <w:rPr>
                <w:b/>
                <w:i/>
              </w:rPr>
              <w:t>, mimo jiné prostřednictvím posílených podpůrných služeb, poradenství a konzultací a užší spolupráce mezi službami v oblasti vzdělávání, sociálními službami a službami zaměstnanosti,</w:t>
            </w:r>
            <w:r>
              <w:t xml:space="preserve"> s cílem zabránit </w:t>
            </w:r>
            <w:r>
              <w:rPr>
                <w:b/>
                <w:i/>
              </w:rPr>
              <w:t>dlouhodobým</w:t>
            </w:r>
            <w:r>
              <w:t xml:space="preserve"> dopadům na život mladých lidí;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vyzývá </w:t>
            </w:r>
            <w:r>
              <w:rPr>
                <w:b/>
                <w:i/>
              </w:rPr>
              <w:t>Komisi a</w:t>
            </w:r>
            <w:r>
              <w:t xml:space="preserve"> členské státy, aby do systémů záruk pro mladé lidi zahrnuly soubor preventivních opatření zaměřených na předčasné ukončování školní docházky s cílem zabránit pozdějším dopadům na život mladých lidí;</w:t>
            </w:r>
          </w:p>
        </w:tc>
        <w:tc>
          <w:tcPr>
            <w:tcW w:w="4876" w:type="dxa"/>
            <w:tcBorders>
              <w:top w:val="nil"/>
              <w:left w:val="nil"/>
              <w:bottom w:val="nil"/>
              <w:right w:val="nil"/>
            </w:tcBorders>
          </w:tcPr>
          <w:p>
            <w:pPr>
              <w:pStyle w:val="Normal6a"/>
            </w:pPr>
            <w:r>
              <w:t>18.</w:t>
            </w:r>
            <w:r>
              <w:tab/>
            </w:r>
            <w:r>
              <w:t>vyzývá členské státy, aby do systémů záruk pro mladé lidi zahrnuly soubor preventivních opatření zaměřených na předčasné ukončování školní docházky s cílem zabránit pozdějším dopadům na život mladých lidí;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domnívá se, že tato preventivní opatření by měla zahrnovat celoživotní poradenství, které jednotlivcům již od útlého věku umožní pochopit jejich vzdělávací dráhu a profesní potřeby, jakož i informace o příležitostech k aktualizaci jejich dovedností v souladu s trhem práce s cílem umožnit jim převzít kontrolu nad svým životem a profesní dráhou;</w:t>
            </w:r>
            <w:r>
              <w:t xml:space="preserve"> </w:t>
            </w:r>
            <w:r>
              <w:rPr>
                <w:b/>
                <w:i/>
              </w:rPr>
              <w:t>zdůrazňuje, že celoživotní poradenství může mít také neformální nebo informální podobu, aby se dostalo ke zranitelným skupinám;</w:t>
            </w:r>
            <w:r>
              <w:t xml:space="preserve"> </w:t>
            </w:r>
            <w:r>
              <w:rPr>
                <w:b/>
                <w:i/>
              </w:rPr>
              <w:t>vybízí členské státy, aby vypracovaly politiky celoživotního poradenství založené na důkazech a zakotvené v normách kvality, včetně profesního poradenství ve školních osnovách a modulů pro opětovné začlenění do základních dovedností a sociálních dovedností pro dlouhodobě nezaměstnané nebo neaktivní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vyzývá Komisi a členské státy, aby zlepšily nástroje a postupy profilování a posuzování osob „NEET“ a přijaly genderově citlivý přístup s cílem lépe sladit potřeby a opatření a snížit rozdíly mezi muži a ženami;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naléhavě vyzývá ke zvyšování kvalifikace osob NEET s nízkou kvalifikací prostřednictvím individualizovaných nabídek, jako jsou krátké on-line kurzy digitálních, jazykových, základních a podnikatelských dovedností, finanční gramotnosti, certifikované mikrocertifikáty;</w:t>
            </w:r>
            <w:r>
              <w:t xml:space="preserve"> </w:t>
            </w:r>
            <w:r>
              <w:rPr>
                <w:b/>
                <w:i/>
              </w:rPr>
              <w:t>uznává úsilí členských států, pokud jde o programy prohlubování dovedností a změny kvalifikace;</w:t>
            </w:r>
            <w:r>
              <w:t xml:space="preserve"> </w:t>
            </w:r>
            <w:r>
              <w:rPr>
                <w:b/>
                <w:i/>
              </w:rPr>
              <w:t>zdůrazňuje, že ve většině případů není třeba pro záruku pro mladé lidi vytvářet zvláštní programy získávání dovedností, ale spíše vytvářet specializované příležitosti pro příjemce v rámci stávajících vnitrostátních systémů;</w:t>
            </w:r>
            <w:r>
              <w:t xml:space="preserve"> </w:t>
            </w:r>
            <w:r>
              <w:rPr>
                <w:b/>
                <w:i/>
              </w:rPr>
              <w:t>domnívá se, že zranitelným mladým lidem by měla být poskytnuta větší podpora v přístupu k učňovské přípravě a odborné přípravě, zejména v odvětvích procházejících transformací;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vyzývá členské státy, aby posílily </w:t>
            </w:r>
            <w:r>
              <w:rPr>
                <w:b/>
                <w:i/>
              </w:rPr>
              <w:t>nabídku</w:t>
            </w:r>
            <w:r>
              <w:t xml:space="preserve"> odborného vzdělávání a přípravy a modernizovaly své systémy celoživotního učení, zejména </w:t>
            </w:r>
            <w:r>
              <w:rPr>
                <w:b/>
                <w:i/>
              </w:rPr>
              <w:t>prověřením</w:t>
            </w:r>
            <w:r>
              <w:t xml:space="preserve"> možností individuálních </w:t>
            </w:r>
            <w:r>
              <w:rPr>
                <w:b/>
                <w:i/>
              </w:rPr>
              <w:t>vzdělávacích kont nebo vzdělávacích</w:t>
            </w:r>
            <w:r>
              <w:t xml:space="preserve"> fondů v souladu s vnitrostátními modely;</w:t>
            </w:r>
          </w:p>
        </w:tc>
        <w:tc>
          <w:tcPr>
            <w:tcW w:w="4876" w:type="dxa"/>
            <w:tcBorders>
              <w:top w:val="nil"/>
              <w:left w:val="nil"/>
              <w:bottom w:val="nil"/>
              <w:right w:val="nil"/>
            </w:tcBorders>
          </w:tcPr>
          <w:p>
            <w:pPr>
              <w:pStyle w:val="Normal6a"/>
            </w:pPr>
            <w:r>
              <w:t>19.</w:t>
            </w:r>
            <w:r>
              <w:tab/>
            </w:r>
            <w:r>
              <w:rPr>
                <w:b/>
                <w:i/>
              </w:rPr>
              <w:t>připomíná, že směrnice (EU) 2019/1152 již stanoví, že povinná odborná příprava musí být poskytována bezplatně, započítává se do pracovní doby a musí probíhat během pracovní doby pracovníků, přičemž konstatuje, že provádění a prosazování těchto ustanovení je v jednotlivých členských státech i nadále nerovnoměrné;</w:t>
            </w:r>
            <w:r>
              <w:t xml:space="preserve"> </w:t>
            </w:r>
            <w:r>
              <w:rPr>
                <w:b/>
                <w:i/>
              </w:rPr>
              <w:t>zdůrazňuje, že mladí lidé, kteří nejsou zaměstnaní ani se neúčastní vzdělávání nebo odborné přípravy, zůstávají zcela mimo oblast působnosti této ochrany;</w:t>
            </w:r>
            <w:r>
              <w:t xml:space="preserve"> </w:t>
            </w:r>
            <w:r>
              <w:rPr>
                <w:b/>
                <w:i/>
              </w:rPr>
              <w:t>vyzývá členské státy, aby uznaly individuální právo na odbornou přípravu a celoživotní učení pro všechny mladé lidi bez ohledu na jejich zaměstnanecký status a pro zaměstnané osoby během pracovní doby, a to bezplatně a započítáním do pracovní doby, s cílem zajistit podporu prohlubování dovedností a změny kvalifikace a profesního rozvoje;</w:t>
            </w:r>
            <w:r>
              <w:t xml:space="preserve"> vyzývá členské státy, aby posílily </w:t>
            </w:r>
            <w:r>
              <w:rPr>
                <w:b/>
                <w:i/>
              </w:rPr>
              <w:t>své nabídky</w:t>
            </w:r>
            <w:r>
              <w:t xml:space="preserve"> odborného vzdělávání a přípravy a modernizovaly své systémy celoživotního učení </w:t>
            </w:r>
            <w:r>
              <w:rPr>
                <w:b/>
                <w:i/>
              </w:rPr>
              <w:t>v úzké spolupráci se sociálními partnery a institucemi vzdělávání a odborné přípravy</w:t>
            </w:r>
            <w:r>
              <w:t xml:space="preserve">, zejména </w:t>
            </w:r>
            <w:r>
              <w:rPr>
                <w:b/>
                <w:i/>
              </w:rPr>
              <w:t>prozkoumáním</w:t>
            </w:r>
            <w:r>
              <w:t xml:space="preserve"> možností individuálních </w:t>
            </w:r>
            <w:r>
              <w:rPr>
                <w:b/>
                <w:i/>
              </w:rPr>
              <w:t>účtů odborné přípravy a</w:t>
            </w:r>
            <w:r>
              <w:t xml:space="preserve"> fondů </w:t>
            </w:r>
            <w:r>
              <w:rPr>
                <w:b/>
                <w:i/>
              </w:rPr>
              <w:t>odborné přípravy</w:t>
            </w:r>
            <w:r>
              <w:t xml:space="preserve"> v souladu s vnitrostátními modely</w:t>
            </w:r>
            <w:r>
              <w:rPr>
                <w:b/>
                <w:i/>
              </w:rPr>
              <w:t>, a aby zajistily, že odborná příprava nabízená v rámci systémů záruk pro mladé lidi bude započítávána do uznávaných kvalifikací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vyzývá členské státy, aby posílily nabídku odborného vzdělávání a přípravy a modernizovaly své systémy celoživotního učení, zejména prověřením možností individuálních vzdělávacích kont nebo vzdělávacích fondů v souladu s vnitrostátními modely;</w:t>
            </w:r>
          </w:p>
        </w:tc>
        <w:tc>
          <w:tcPr>
            <w:tcW w:w="4876" w:type="dxa"/>
            <w:tcBorders>
              <w:top w:val="nil"/>
              <w:left w:val="nil"/>
              <w:bottom w:val="nil"/>
              <w:right w:val="nil"/>
            </w:tcBorders>
          </w:tcPr>
          <w:p>
            <w:pPr>
              <w:pStyle w:val="Normal6a"/>
            </w:pPr>
            <w:r>
              <w:t>19.</w:t>
            </w:r>
            <w:r>
              <w:tab/>
            </w:r>
            <w:r>
              <w:t xml:space="preserve">vyzývá členské státy, aby posílily nabídku odborného vzdělávání a přípravy a modernizovaly své systémy celoživotního učení, zejména prověřením možností individuálních vzdělávacích kont nebo vzdělávacích fondů v souladu s vnitrostátními modely; </w:t>
            </w:r>
            <w:r>
              <w:rPr>
                <w:b/>
                <w:i/>
              </w:rPr>
              <w:t>vyzývá Komisi, aby v připravované strategii EU v oblasti odborného vzdělávání a přípravy navázala na Herningské prohlášení</w:t>
            </w:r>
            <w:r>
              <w:rPr>
                <w:b/>
                <w:i/>
                <w:vertAlign w:val="superscript"/>
              </w:rPr>
              <w:t>30a</w:t>
            </w:r>
            <w:r>
              <w:rPr>
                <w:b/>
                <w:i/>
              </w:rPr>
              <w:t> s cílem zvýšit atraktivitu, kvalitu, přenositelnost a inkluzivnost těchto příležitostí pro mladé lidi a konkrétně ukázat kariérní příležitosti, které nabízejí, zejména v souvislosti se souběžnou transformací a poptávkou na trhu práce;</w:t>
            </w:r>
            <w:r>
              <w:t xml:space="preserve"> </w:t>
            </w:r>
            <w:r>
              <w:rPr>
                <w:b/>
                <w:i/>
              </w:rPr>
              <w:t>vítá v této souvislosti oznámení o vytvoření Evropské observatoře poznatků o dovednostech, zejména s cílem zlepšit schopnost předpovídat dovednosti;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30a</w:t>
            </w:r>
            <w:r>
              <w:t xml:space="preserve"> </w:t>
            </w:r>
            <w:r>
              <w:rPr>
                <w:b/>
                <w:i/>
              </w:rPr>
              <w:t>Herningské prohlášení o atraktivním a inkluzivním odborném vzdělávání a přípravě pro zvýšení konkurenceschopnosti a kvalitních pracovních míst na období 2026–2030 (září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vyzývá členské státy, aby </w:t>
            </w:r>
            <w:r>
              <w:rPr>
                <w:b/>
                <w:i/>
              </w:rPr>
              <w:t>posílily nabídku</w:t>
            </w:r>
            <w:r>
              <w:t xml:space="preserve"> odborného vzdělávání a přípravy </w:t>
            </w:r>
            <w:r>
              <w:rPr>
                <w:b/>
                <w:i/>
              </w:rPr>
              <w:t>a modernizovaly své systémy celoživotního učení, zejména prověřením možností individuálních vzdělávacích kont nebo vzdělávacích fondů v souladu s vnitrostátními modely</w:t>
            </w:r>
            <w:r>
              <w:t>;</w:t>
            </w:r>
          </w:p>
        </w:tc>
        <w:tc>
          <w:tcPr>
            <w:tcW w:w="4876" w:type="dxa"/>
            <w:tcBorders>
              <w:top w:val="nil"/>
              <w:left w:val="nil"/>
              <w:bottom w:val="nil"/>
              <w:right w:val="nil"/>
            </w:tcBorders>
          </w:tcPr>
          <w:p>
            <w:pPr>
              <w:pStyle w:val="Normal6a"/>
            </w:pPr>
            <w:r>
              <w:t>19.</w:t>
            </w:r>
            <w:r>
              <w:tab/>
            </w:r>
            <w:r>
              <w:t xml:space="preserve">vyzývá členské státy, aby </w:t>
            </w:r>
            <w:r>
              <w:rPr>
                <w:b/>
                <w:i/>
              </w:rPr>
              <w:t>investovaly do vysoce kvalitních systémů</w:t>
            </w:r>
            <w:r>
              <w:t xml:space="preserve"> odborného vzdělávání a přípravy </w:t>
            </w:r>
            <w:r>
              <w:rPr>
                <w:b/>
                <w:i/>
              </w:rPr>
              <w:t>na všech úrovních, které mohou účinně reagovat na potřeby trhu práce, včetně odborného terciárního vzdělávání;</w:t>
            </w:r>
            <w:r>
              <w:t xml:space="preserve"> </w:t>
            </w:r>
            <w:r>
              <w:rPr>
                <w:b/>
                <w:i/>
              </w:rPr>
              <w:t>vyzývá rovněž k podpoře a posílení společných mechanismů odborné přípravy v podnicích řízených sociálními partnery jako zásadního nástroje pro zajištění kontinuity odborné přípravy v průběhu celého pracovního života a pro předcházení předčasnému zastarávání dovedností</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vyzývá členské státy, aby posílily </w:t>
            </w:r>
            <w:r>
              <w:rPr>
                <w:b/>
                <w:i/>
              </w:rPr>
              <w:t>nabídku</w:t>
            </w:r>
            <w:r>
              <w:t xml:space="preserve"> odborného vzdělávání a přípravy a modernizovaly své systémy celoživotního učení, zejména </w:t>
            </w:r>
            <w:r>
              <w:rPr>
                <w:b/>
                <w:i/>
              </w:rPr>
              <w:t>prověřením možností individuálních vzdělávacích kont nebo vzdělávacích fondů</w:t>
            </w:r>
            <w:r>
              <w:t xml:space="preserve"> v souladu s vnitrostátními modely;</w:t>
            </w:r>
          </w:p>
        </w:tc>
        <w:tc>
          <w:tcPr>
            <w:tcW w:w="4876" w:type="dxa"/>
            <w:tcBorders>
              <w:top w:val="nil"/>
              <w:left w:val="nil"/>
              <w:bottom w:val="nil"/>
              <w:right w:val="nil"/>
            </w:tcBorders>
          </w:tcPr>
          <w:p>
            <w:pPr>
              <w:pStyle w:val="Normal6a"/>
            </w:pPr>
            <w:r>
              <w:t>19.</w:t>
            </w:r>
            <w:r>
              <w:tab/>
            </w:r>
            <w:r>
              <w:t xml:space="preserve">vyzývá členské státy, aby posílily </w:t>
            </w:r>
            <w:r>
              <w:rPr>
                <w:b/>
                <w:i/>
              </w:rPr>
              <w:t>své nabídky</w:t>
            </w:r>
            <w:r>
              <w:t xml:space="preserve"> odborného vzdělávání a přípravy </w:t>
            </w:r>
            <w:r>
              <w:rPr>
                <w:b/>
                <w:i/>
              </w:rPr>
              <w:t>a digitálních dovedností</w:t>
            </w:r>
            <w:r>
              <w:t xml:space="preserve"> a modernizovaly své systémy celoživotního učení, zejména </w:t>
            </w:r>
            <w:r>
              <w:rPr>
                <w:b/>
                <w:i/>
              </w:rPr>
              <w:t>rozvojem synergií s dalšími iniciativami EU, jako je program Erasmus+ a střediska pro špičkovou úroveň OV, jakož i podporou učňovské přípravy, duálních systémů vzdělávání, prohlubování dovedností a změny kvalifikace a spolupráce s místními podniky a malými a středními podniky</w:t>
            </w:r>
            <w:r>
              <w:t xml:space="preserve"> v souladu s vnitrostátními modely;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vyzývá členské státy, aby posílily nabídku odborného vzdělávání a přípravy a modernizovaly své systémy celoživotního učení, zejména prověřením možností individuálních vzdělávacích kont nebo vzdělávacích fondů v souladu s vnitrostátními modely;</w:t>
            </w:r>
          </w:p>
        </w:tc>
        <w:tc>
          <w:tcPr>
            <w:tcW w:w="4876" w:type="dxa"/>
            <w:tcBorders>
              <w:top w:val="nil"/>
              <w:left w:val="nil"/>
              <w:bottom w:val="nil"/>
              <w:right w:val="nil"/>
            </w:tcBorders>
          </w:tcPr>
          <w:p>
            <w:pPr>
              <w:pStyle w:val="Normal6a"/>
            </w:pPr>
            <w:r>
              <w:t>19.</w:t>
            </w:r>
            <w:r>
              <w:tab/>
            </w:r>
            <w:r>
              <w:t xml:space="preserve">vyzývá členské státy, aby posílily nabídku odborného vzdělávání a přípravy a modernizovaly své systémy celoživotního učení, zejména prověřením možností individuálních vzdělávacích kont nebo vzdělávacích fondů v souladu s vnitrostátními modely; </w:t>
            </w:r>
            <w:r>
              <w:rPr>
                <w:b/>
                <w:i/>
              </w:rPr>
              <w:t>zdůrazňuje, že tyto investice by měly upřednostňovat zejména digitální, technické a průmyslové specializace a dovednosti, které odpovídají skutečným potřebám regionálních a místních trhů práce;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vyzývá členské státy, aby posílily nabídku odborného vzdělávání a přípravy a modernizovaly své systémy celoživotního učení, zejména </w:t>
            </w:r>
            <w:r>
              <w:rPr>
                <w:b/>
                <w:i/>
              </w:rPr>
              <w:t>prověřením možností</w:t>
            </w:r>
            <w:r>
              <w:t xml:space="preserve"> individuálních vzdělávacích kont nebo vzdělávacích fondů v souladu s vnitrostátními modely;</w:t>
            </w:r>
          </w:p>
        </w:tc>
        <w:tc>
          <w:tcPr>
            <w:tcW w:w="4876" w:type="dxa"/>
            <w:tcBorders>
              <w:top w:val="nil"/>
              <w:left w:val="nil"/>
              <w:bottom w:val="nil"/>
              <w:right w:val="nil"/>
            </w:tcBorders>
          </w:tcPr>
          <w:p>
            <w:pPr>
              <w:pStyle w:val="Normal6a"/>
            </w:pPr>
            <w:r>
              <w:t>19.</w:t>
            </w:r>
            <w:r>
              <w:tab/>
            </w:r>
            <w:r>
              <w:t xml:space="preserve">vyzývá členské státy, aby posílily nabídku odborného vzdělávání a přípravy a modernizovaly své systémy celoživotního učení, </w:t>
            </w:r>
            <w:r>
              <w:rPr>
                <w:b/>
                <w:i/>
              </w:rPr>
              <w:t>zajistily jejich inkluzivitu a schopnost reagovat na potřeby trhu práce a společnosti,</w:t>
            </w:r>
            <w:r>
              <w:t xml:space="preserve"> zejména </w:t>
            </w:r>
            <w:r>
              <w:rPr>
                <w:b/>
                <w:i/>
              </w:rPr>
              <w:t>v kontextu zelené a digitální transformace, prověřily možnosti</w:t>
            </w:r>
            <w:r>
              <w:t xml:space="preserve"> individuálních vzdělávacích kont nebo vzdělávacích fondů v souladu s vnitrostátními modely </w:t>
            </w:r>
            <w:r>
              <w:rPr>
                <w:b/>
                <w:i/>
              </w:rPr>
              <w:t>a současně zajistily minimální standardy kvality, přístupnosti a spravedlnosti v celé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vyzývá členské státy, aby posílily nabídku odborného vzdělávání a přípravy a </w:t>
            </w:r>
            <w:r>
              <w:rPr>
                <w:b/>
                <w:i/>
              </w:rPr>
              <w:t>modernizovaly své systémy celoživotního učení, zejména prověřením možností individuálních vzdělávacích kont nebo vzdělávacích fondů v souladu s vnitrostátními modely</w:t>
            </w:r>
            <w:r>
              <w:t>;</w:t>
            </w:r>
          </w:p>
        </w:tc>
        <w:tc>
          <w:tcPr>
            <w:tcW w:w="4876" w:type="dxa"/>
            <w:tcBorders>
              <w:top w:val="nil"/>
              <w:left w:val="nil"/>
              <w:bottom w:val="nil"/>
              <w:right w:val="nil"/>
            </w:tcBorders>
          </w:tcPr>
          <w:p>
            <w:pPr>
              <w:pStyle w:val="Normal6a"/>
            </w:pPr>
            <w:r>
              <w:t>19.</w:t>
            </w:r>
            <w:r>
              <w:tab/>
            </w:r>
            <w:r>
              <w:t xml:space="preserve">vyzývá členské státy, aby posílily </w:t>
            </w:r>
            <w:r>
              <w:rPr>
                <w:b/>
                <w:i/>
              </w:rPr>
              <w:t>svou</w:t>
            </w:r>
            <w:r>
              <w:t xml:space="preserve"> nabídku odborného vzdělávání a přípravy a </w:t>
            </w:r>
            <w:r>
              <w:rPr>
                <w:b/>
                <w:i/>
              </w:rPr>
              <w:t>přijaly daňové pobídky zaměřené na mladé lidi, jako je osvobození mladých aktivních lidí od daně z příjmu a zrušení daně z příjmu právnických osob pro mladé podnikatele, s cílem zachovat vnitrostátní lidský kapitál a omezit odliv mozků</w:t>
            </w:r>
            <w:r>
              <w:t xml:space="preserve">; </w:t>
            </w:r>
            <w:r>
              <w:rPr>
                <w:b/>
                <w:i/>
              </w:rPr>
              <w:t>připomíná, že z financování těchto systémů ze strany EU musí mít prospěch výhradně mladí občané členských států;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vyzývá členské státy, aby posílily nabídku odborného vzdělávání a přípravy a modernizovaly </w:t>
            </w:r>
            <w:r>
              <w:rPr>
                <w:b/>
                <w:i/>
              </w:rPr>
              <w:t>své</w:t>
            </w:r>
            <w:r>
              <w:t xml:space="preserve"> systémy celoživotního učení, zejména </w:t>
            </w:r>
            <w:r>
              <w:rPr>
                <w:b/>
                <w:i/>
              </w:rPr>
              <w:t>prověřením možností</w:t>
            </w:r>
            <w:r>
              <w:t xml:space="preserve"> individuálních vzdělávacích </w:t>
            </w:r>
            <w:r>
              <w:rPr>
                <w:b/>
                <w:i/>
              </w:rPr>
              <w:t>kont nebo vzdělávacích</w:t>
            </w:r>
            <w:r>
              <w:t xml:space="preserve"> fondů v souladu s vnitrostátními modely;</w:t>
            </w:r>
          </w:p>
        </w:tc>
        <w:tc>
          <w:tcPr>
            <w:tcW w:w="4876" w:type="dxa"/>
            <w:tcBorders>
              <w:top w:val="nil"/>
              <w:left w:val="nil"/>
              <w:bottom w:val="nil"/>
              <w:right w:val="nil"/>
            </w:tcBorders>
          </w:tcPr>
          <w:p>
            <w:pPr>
              <w:pStyle w:val="Normal6a"/>
            </w:pPr>
            <w:r>
              <w:t>19.</w:t>
            </w:r>
            <w:r>
              <w:tab/>
            </w:r>
            <w:r>
              <w:t xml:space="preserve">vyzývá členské státy, aby posílily nabídku odborného vzdělávání a přípravy a modernizovaly systémy celoživotního učení, zejména </w:t>
            </w:r>
            <w:r>
              <w:rPr>
                <w:b/>
                <w:i/>
              </w:rPr>
              <w:t>tím, že prozkoumají možnosti</w:t>
            </w:r>
            <w:r>
              <w:t xml:space="preserve"> individuálních vzdělávacích </w:t>
            </w:r>
            <w:r>
              <w:rPr>
                <w:b/>
                <w:i/>
              </w:rPr>
              <w:t>účtů nebo</w:t>
            </w:r>
            <w:r>
              <w:t xml:space="preserve"> fondů </w:t>
            </w:r>
            <w:r>
              <w:rPr>
                <w:b/>
                <w:i/>
              </w:rPr>
              <w:t>odborné přípravy</w:t>
            </w:r>
            <w:r>
              <w:t xml:space="preserve"> v souladu s vnitrostátními modely</w:t>
            </w:r>
            <w:r>
              <w:rPr>
                <w:b/>
                <w:i/>
              </w:rPr>
              <w:t>, aniž by nahrazovaly veřejnou odpovědnost za bezplatné, veřejné a všeobecné vzdělávání</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zdůrazňuje potřebu flexibilních forem odborné přípravy relevantních pro trh práce a poukazuje na potenciál krátkých modulárních formátů učení, včetně mikrocertifikátů, s cílem podpořit prohlubování dovedností a změnu kvalifikace, řešit nedostatky v dovednostech a zapojit obtížně dosažitelné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vyzývá Komisi a členské státy, aby podporovaly, a to i prostřednictvím ESF+, fondů soudržnosti a dalších vhodných nástrojů Unie, vytváření, posilování a propojování sítí, které podporují dovednosti mladých lidí v oblasti podnikání, inovací a samostatné výdělečné činnosti, zejména v horských, ostrovních a odlehlých oblastech Unie;</w:t>
            </w:r>
            <w:r>
              <w:t xml:space="preserve"> </w:t>
            </w:r>
            <w:r>
              <w:rPr>
                <w:b/>
                <w:i/>
              </w:rPr>
              <w:t>zdůrazňuje, že cílem musí být rozvoj dovedností, mentorství, výměna osvědčených postupů a přístup mladých lidí ke skutečným příležitostem k profesnímu začlenění a podnikání;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vyzývá členské státy, aby v úzké spolupráci se zaměstnavateli a sociálními partnery upřednostňovaly provádění posílených záruk pro mladé lidi v odvětvích, která se potýkají s nedostatkem pracovních sil a dovedností, s cílem zajistit rychlejší a udržitelnější integraci mladých lidí na otevřeném trhu práce;</w:t>
            </w:r>
            <w:r>
              <w:t xml:space="preserve"> </w:t>
            </w:r>
            <w:r>
              <w:rPr>
                <w:b/>
                <w:i/>
              </w:rPr>
              <w:t>zdůrazňuje, že nabídky by měly vycházet z poptávky, být v souladu s potřebami regionálního trhu práce a přispívat ke konkurenceschopnosti Unie a k ekologické a digitální transformaci;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vyzývá členské státy, aby zlepšily kvalitu a inkluzivnost školního vzdělávání tak, aby všichni účastníci vzdělávání získali základní, digitální, STEM a průřezové dovednosti, včetně sociálních dovedností, nezbytné pro úspěšný pokrok v odborném vzdělávání a přípravě a pro přizpůsobení se potřebám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zdůrazňuje význam sociálního podnikání jako nástroje na podporu zaměstnanosti mladých lidí, zejména mladých lidí ve zranitelném postavení nebo těch, kteří nejsou zaměstnaní ani se neúčastní vzdělávání nebo odborné přípravy (NEET);</w:t>
            </w:r>
            <w:r>
              <w:t xml:space="preserve"> </w:t>
            </w:r>
            <w:r>
              <w:rPr>
                <w:b/>
                <w:i/>
              </w:rPr>
              <w:t>zdůrazňuje, že sociální podniky mohou přispívat k rozvoji dovedností, sociálnímu začleňování a vytváření udržitelných pracovních míst s místním dopadem;</w:t>
            </w:r>
            <w:r>
              <w:t xml:space="preserve"> </w:t>
            </w:r>
            <w:r>
              <w:rPr>
                <w:b/>
                <w:i/>
              </w:rPr>
              <w:t>vyzývá Komisi a členské státy, aby posílily podporu sociálních podniků v rámci posílených záruk pro mladé lidi, mimo jiné prostřednictvím odpovídajícího financování, odborné přípravy, mentorství a přístupu k sítím spolupráce;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vyzývá členské státy, aby zajistily, že odborné vzdělávání a příprava, včetně duálních systémů vzdělávání kombinujících výuku ve třídě a praktické pracovní zkušenosti, budou respektovanou a atraktivní cestou, stejně jako akademické vzdělávání;</w:t>
            </w:r>
            <w:r>
              <w:t xml:space="preserve"> </w:t>
            </w:r>
            <w:r>
              <w:rPr>
                <w:b/>
                <w:i/>
              </w:rPr>
              <w:t>vyzývá členské státy, aby podporovaly zásady duálního vzdělávání s cílem usnadnit hladký přechod do stabilního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vyzývá Komisi a členské státy, aby zajistily průběžné monitorování a výhledovou analýzu potřeb v oblasti dovedností s cílem sladit systémy vzdělávání a odborné přípravy s vývojem na trhu práce, zejména pro mladé lidi, a aby vždy dbaly na holistický rozvoj mladých lidí (životní kompetence);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vyzývá Komisi a členské státy, aby podporovaly spravedlivý přístup k možnostem odborné přípravy a rekvalifikace pro mladé lidi, včetně budoucích rodičů a mladých žen s pečovatelskými povinnostmi, a to usnadněním přístupu k individuální bezplatné odborné přípravě během pracovní doby a řešením překážek souvisejících s časovými omezeními, pečovatelskými povinnostmi a finančními náklady;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Niels Geuking, Romana Tomc,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19e.</w:t>
            </w:r>
            <w:r>
              <w:tab/>
            </w:r>
            <w:r>
              <w:rPr>
                <w:b/>
                <w:i/>
              </w:rPr>
              <w:t>vyzývá Komisi a členské státy, aby zajistily, že každé dítě a mladý člověk v péči o děti nebo ve škole bude mít každý den přístup k bezplatnému teplému jídlu</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https://commission.europa.eu/publications/school-fruit-vegetables-and-milk-scheme-eu-school-scheme_en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vyzývá k větší součinnosti mezi nástroji záruk pro mladé lidi a záruk pro děti, a to jak na úrovni EU, tak na vnitrostátní úrovni, zejména s cílem poskytovat nepřetržitou podporu dětem v nouzi ve věku od 15 do 18 let i v době, kdy se stanou mladými dospělými; zdůrazňuje, že tento integrovaný přístup musí být zaměřen na prevenci jevu „propadu péče“;</w:t>
            </w:r>
          </w:p>
        </w:tc>
        <w:tc>
          <w:tcPr>
            <w:tcW w:w="4876" w:type="dxa"/>
            <w:tcBorders>
              <w:top w:val="nil"/>
              <w:left w:val="nil"/>
              <w:bottom w:val="nil"/>
              <w:right w:val="nil"/>
            </w:tcBorders>
          </w:tcPr>
          <w:p>
            <w:pPr>
              <w:pStyle w:val="Normal6a"/>
            </w:pPr>
            <w:r>
              <w:t>20.</w:t>
            </w:r>
            <w:r>
              <w:tab/>
            </w:r>
            <w:r>
              <w:t>vyzývá k větší součinnosti mezi nástroji záruk pro mladé lidi a záruk pro děti, a to jak na úrovni EU, tak na vnitrostátní úrovni, zejména s cílem poskytovat nepřetržitou podporu dětem v nouzi ve věku od 15 do 18 let i v době, kdy se stanou mladými dospělými; zdůrazňuje, že tento integrovaný přístup musí být zaměřen na prevenci jevu „propadu péče“</w:t>
            </w:r>
            <w:r>
              <w:rPr>
                <w:b/>
                <w:i/>
                <w:vertAlign w:val="superscript"/>
              </w:rPr>
              <w:t>31a</w:t>
            </w:r>
            <w:r>
              <w:rPr>
                <w:b/>
                <w:i/>
              </w:rPr>
              <w:t>, kdy se osoby opouštějící péči po dosažení dospělosti potýkají s naprostým nedostatkem podpory</w:t>
            </w:r>
            <w:r>
              <w:t xml:space="preserve">; </w:t>
            </w:r>
            <w:r>
              <w:rPr>
                <w:b/>
                <w:i/>
              </w:rPr>
              <w:t>zdůrazňuje, že je třeba posílit spolupráci se sociálními službami a poskytovateli alternativní péče s cílem zajistit, aby děti, které přecházejí z péče, nepřišly o vzdělávací příležitosti, a to i prostřednictvím včasné a průběžné podpory;</w:t>
            </w:r>
            <w:r>
              <w:t xml:space="preserve"> </w:t>
            </w:r>
            <w:r>
              <w:rPr>
                <w:b/>
                <w:i/>
              </w:rPr>
              <w:t>zdůrazňuje, že je důležité zlepšit shromažďování a dostupnost rozčleněných a spolehlivých údajů o dětech v péči a o dětech, které se blíží věku odchodu z péče, s cílem lépe poskytovat informace pro cílené politiky, včetně pokynů pro mladé lidi;</w:t>
            </w:r>
            <w:r>
              <w:t xml:space="preserve"> </w:t>
            </w:r>
            <w:r>
              <w:rPr>
                <w:b/>
                <w:i/>
              </w:rPr>
              <w:t>vyzývá členské státy a veřejné služby zaměstnanosti, aby rozšířily informační opatření a podpůrné služby na všechna pečovatelská zařízení, včetně domovů pro malé skupiny a institucionálního prostředí, s cílem zaručit rovný přístup ke vzdělávání, odborné přípravě a budoucím příležitostem pro všechny dotčené děti;</w:t>
            </w:r>
            <w:r>
              <w:t xml:space="preserve"> </w:t>
            </w:r>
            <w:r>
              <w:rPr>
                <w:b/>
                <w:i/>
              </w:rPr>
              <w:t>zdůrazňuje potenciál pro součinnost mezi zárukami pro mladé lidi a dalšími programy, jako je ALMA, Erasmus+ a strategický rámec EU pro Romy;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31a</w:t>
            </w:r>
            <w:r>
              <w:t xml:space="preserve"> </w:t>
            </w:r>
            <w:r>
              <w:rPr>
                <w:b/>
                <w:i/>
              </w:rPr>
              <w:t>Field, A, Sen, R, Johnston, C &amp; Ellis, K 2021, „Turning 18 in Specialised Residential Therapeutic Care: Independence or a Cliff Edge?“ (Dovršení 18 let ve specializované rezidenční terapeutické péči: Nezávislost, nebo život na hraně?), Children &amp; Society, vol. 35, no.</w:t>
            </w:r>
            <w:r>
              <w:t xml:space="preserve"> </w:t>
            </w:r>
            <w:r>
              <w:rPr>
                <w:b/>
                <w:i/>
              </w:rPr>
              <w:t>5, s. 784–798. https://doi.org/10.1111/chso.12450.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vyzývá k větší součinnosti mezi </w:t>
            </w:r>
            <w:r>
              <w:rPr>
                <w:b/>
                <w:i/>
              </w:rPr>
              <w:t>nástroji záruk</w:t>
            </w:r>
            <w:r>
              <w:t xml:space="preserve"> pro mladé lidi a </w:t>
            </w:r>
            <w:r>
              <w:rPr>
                <w:b/>
                <w:i/>
              </w:rPr>
              <w:t>záruk</w:t>
            </w:r>
            <w:r>
              <w:t xml:space="preserve"> pro děti</w:t>
            </w:r>
            <w:r>
              <w:rPr>
                <w:b/>
                <w:i/>
              </w:rPr>
              <w:t>, a to jak</w:t>
            </w:r>
            <w:r>
              <w:t xml:space="preserve"> na úrovni </w:t>
            </w:r>
            <w:r>
              <w:rPr>
                <w:b/>
                <w:i/>
              </w:rPr>
              <w:t>EU, tak</w:t>
            </w:r>
            <w:r>
              <w:t xml:space="preserve"> na vnitrostátní úrovni, zejména s cílem poskytovat </w:t>
            </w:r>
            <w:r>
              <w:rPr>
                <w:b/>
                <w:i/>
              </w:rPr>
              <w:t>nepřetržitou</w:t>
            </w:r>
            <w:r>
              <w:t xml:space="preserve"> podporu </w:t>
            </w:r>
            <w:r>
              <w:rPr>
                <w:b/>
                <w:i/>
              </w:rPr>
              <w:t>dětem</w:t>
            </w:r>
            <w:r>
              <w:t xml:space="preserve"> v nouzi </w:t>
            </w:r>
            <w:r>
              <w:rPr>
                <w:b/>
                <w:i/>
              </w:rPr>
              <w:t>ve věku od 15 do 18 let i v době, kdy se stanou mladými dospělými</w:t>
            </w:r>
            <w:r>
              <w:t xml:space="preserve">; zdůrazňuje, že </w:t>
            </w:r>
            <w:r>
              <w:rPr>
                <w:b/>
                <w:i/>
              </w:rPr>
              <w:t>tento integrovaný přístup</w:t>
            </w:r>
            <w:r>
              <w:t xml:space="preserve"> musí být </w:t>
            </w:r>
            <w:r>
              <w:rPr>
                <w:b/>
                <w:i/>
              </w:rPr>
              <w:t>zaměřen na prevenci</w:t>
            </w:r>
            <w:r>
              <w:t xml:space="preserve"> jevu „</w:t>
            </w:r>
            <w:r>
              <w:rPr>
                <w:b/>
                <w:i/>
              </w:rPr>
              <w:t>propadu péče“</w:t>
            </w:r>
            <w:r>
              <w:t>;</w:t>
            </w:r>
          </w:p>
        </w:tc>
        <w:tc>
          <w:tcPr>
            <w:tcW w:w="4876" w:type="dxa"/>
            <w:tcBorders>
              <w:top w:val="nil"/>
              <w:left w:val="nil"/>
              <w:bottom w:val="nil"/>
              <w:right w:val="nil"/>
            </w:tcBorders>
          </w:tcPr>
          <w:p>
            <w:pPr>
              <w:pStyle w:val="Normal6a"/>
            </w:pPr>
            <w:r>
              <w:t>20.</w:t>
            </w:r>
            <w:r>
              <w:tab/>
            </w:r>
            <w:r>
              <w:t xml:space="preserve">vyzývá k větší součinnosti mezi </w:t>
            </w:r>
            <w:r>
              <w:rPr>
                <w:b/>
                <w:i/>
              </w:rPr>
              <w:t>zárukami</w:t>
            </w:r>
            <w:r>
              <w:t xml:space="preserve"> pro mladé lidi a </w:t>
            </w:r>
            <w:r>
              <w:rPr>
                <w:b/>
                <w:i/>
              </w:rPr>
              <w:t>nástroji záruky</w:t>
            </w:r>
            <w:r>
              <w:t xml:space="preserve"> pro děti na úrovni </w:t>
            </w:r>
            <w:r>
              <w:rPr>
                <w:b/>
                <w:i/>
              </w:rPr>
              <w:t>Unie i</w:t>
            </w:r>
            <w:r>
              <w:t xml:space="preserve"> na vnitrostátní úrovni, zejména s cílem poskytovat </w:t>
            </w:r>
            <w:r>
              <w:rPr>
                <w:b/>
                <w:i/>
              </w:rPr>
              <w:t>trvalou</w:t>
            </w:r>
            <w:r>
              <w:t xml:space="preserve"> podporu </w:t>
            </w:r>
            <w:r>
              <w:rPr>
                <w:b/>
                <w:i/>
              </w:rPr>
              <w:t>mladým lidem a mladým dospělým</w:t>
            </w:r>
            <w:r>
              <w:t xml:space="preserve"> v nouzi; zdůrazňuje, že </w:t>
            </w:r>
            <w:r>
              <w:rPr>
                <w:b/>
                <w:i/>
              </w:rPr>
              <w:t>cílem tohoto integrovaného přístupu</w:t>
            </w:r>
            <w:r>
              <w:t xml:space="preserve"> musí být </w:t>
            </w:r>
            <w:r>
              <w:rPr>
                <w:b/>
                <w:i/>
              </w:rPr>
              <w:t>prevence</w:t>
            </w:r>
            <w:r>
              <w:t xml:space="preserve"> jevu „</w:t>
            </w:r>
            <w:r>
              <w:rPr>
                <w:b/>
                <w:i/>
              </w:rPr>
              <w:t>péče o děti“, kdy mladí lidé odcházející z péče po dosažení dospělosti náhle přijdou o podporu v oblasti bydlení, sociálních věcí, vzdělávání a zaměstnanosti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vyjadřuje politování nad tím, že navzdory vynaloženému úsilí se žádný členský stát v současné době neblíží dosažení cílů stanovených na úrovni EU ve strategickém rámci EU pro rovnost, začlenění a účast Romů, zejména cíle snížit do roku 2030 rozdíl v míře NEET mezi romskou mládeží a obecnou populací na polovinu;</w:t>
            </w:r>
            <w:r>
              <w:t xml:space="preserve"> </w:t>
            </w:r>
            <w:r>
              <w:rPr>
                <w:b/>
                <w:i/>
              </w:rPr>
              <w:t>zdůrazňuje, že určení Romů, zejména Romů z venkovských a izolovaných oblastí, jako prioritní cílové skupiny v rámci záruk pro mladé lidi a koordinace těchto dvou nástrojů v součinnosti může přinést měřitelná zlepšení výsledků v oblasti vzdělávání, odborné přípravy a zaměstnanosti;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opět poukazuje na naléhavou potřebu navýšení financování evropské záruky pro děti se samostatným rozpočtem ve výši nejméně 20 miliard EUR;</w:t>
            </w:r>
            <w:r>
              <w:t xml:space="preserve"> </w:t>
            </w:r>
            <w:r>
              <w:rPr>
                <w:b/>
                <w:i/>
              </w:rPr>
              <w:t>trvá na tom, že tento zvláštní rozpočet musí být zakotven v příštím VFR a prováděn prostřednictvím samostatného a samostatného ESF, přičemž každý členský stát musí povinně vyčlenit alespoň 5 % svého vnitrostátního přídělu z ESF na boj proti dětské chudobě;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zdůrazňuje, že je třeba posílit součinnost a doplňkovost s dalšími programy a nástroji EU, včetně programu Erasmus+, Evropského sboru solidarity a sítě EURES, s cílem poskytnout mladým lidem komplexnější a integrovanější cesty, které kombinují vzdělávání, odbornou přípravu, mobilitu a pracovní příležitosti;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vyzývá Komisi a členské státy, aby uplatňovaly posílenou záruku pro mladé lidi prostřednictvím celoživotního přístupu zaměřeného na rodinu a zajistily plnou součinnost mezi zárukou pro mladé lidi a zárukou pro děti, jakož i iniciativou „Silnější rodiny“ a evropskou smlouvou o rodině;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domnívá se, že větší interoperabilita mezi programy a akčními plány EU by posílila celkovou činnost členských států a zároveň by zajistila přidanou hodnotu každého programu a jejich cíleného úsilí doplňkovým způsobem;</w:t>
            </w:r>
            <w:r>
              <w:t xml:space="preserve"> </w:t>
            </w:r>
            <w:r>
              <w:rPr>
                <w:b/>
                <w:i/>
              </w:rPr>
              <w:t>vyzývá členské státy, aby posílily vazby mezi svými systémy záruk pro mladé lidi a dalšími vnitrostátními programy pro mládež a stanovily priority pro příjemce těchto záruk;</w:t>
            </w:r>
            <w:r>
              <w:t xml:space="preserve"> </w:t>
            </w:r>
            <w:r>
              <w:rPr>
                <w:b/>
                <w:i/>
              </w:rPr>
              <w:t>vyzývá v této souvislosti členské státy, aby vypracovaly vnitrostátní plán spolupráce mládeže a aby pravidelně hodnotily integrovaný a průřezový přístup k podpoře mladých lidí a podávaly o něm zprávy;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vyzývá členské státy, aby v rámci provádění pokynů pro mladé lidi zavedly zvláštní cestu pro osoby, které odcházejí z péče v nouzi, včetně včasné identifikace a automatického zápisu do služeb záruk pro mladé lidi, koordinovaného řízení případů mezi sociálními službami a službami veřejných služeb zaměstnanosti a kontinuity přístupu k podpoře zaměstnanosti, sociální ochraně, podpoře bydlení a dalším službám potřebným pro účinné začlenění na trh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vyzývá k tomu, aby byli mladí lidé, zejména mladí rodiče, odpovídajícím způsobem podporováni v účasti na opatřeních záruky pro mladé lidi prostřednictvím přístupu k cenově dostupné a vysoce kvalitní péči o děti, úpravy pracovní doby vstřícné k rodině a případně finanční pomoci s cílem zajistit, aby rodinné povinnosti nevedly k vyloučení z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vyzývá v rámci záruk pro mladé lidi k cílené a dostupné podpoře duševního zdraví pro mladé matky a otce, kteří jsou obzvláště ohroženi poporodní depresí, přetížením a špatnou rovnováhou mezi pracovním a soukromým životem, aby se zabránilo trvalému přerušení jejich profesní dráhy;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vyzývá členské státy, aby mladým lidem vyloučeným z trhu práce z důvodu úzkosti, deprese nebo vyhoření poskytovaly dostupnou destigmatizující podporu v oblasti duševního zdraví v rámci záruk pro mladé lidi, jako je vzájemné koučování a mentorování, což povede k posílení postavení a doplňkovosti se zdravotní péčí;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vyzývá </w:t>
            </w:r>
            <w:r>
              <w:rPr>
                <w:b/>
                <w:i/>
              </w:rPr>
              <w:t>členské státy, aby posílily osvětová opatření zaměřená na zranitelné skupiny NEET na</w:t>
            </w:r>
            <w:r>
              <w:t xml:space="preserve"> vnitrostátní </w:t>
            </w:r>
            <w:r>
              <w:rPr>
                <w:b/>
                <w:i/>
              </w:rPr>
              <w:t>a místní úrovni a aby aktivaci této skupiny učinily hlavní prioritou při provádění záruk</w:t>
            </w:r>
            <w:r>
              <w:t xml:space="preserve"> pro mladé lidi;</w:t>
            </w:r>
          </w:p>
        </w:tc>
        <w:tc>
          <w:tcPr>
            <w:tcW w:w="4876" w:type="dxa"/>
            <w:tcBorders>
              <w:top w:val="nil"/>
              <w:left w:val="nil"/>
              <w:bottom w:val="nil"/>
              <w:right w:val="nil"/>
            </w:tcBorders>
          </w:tcPr>
          <w:p>
            <w:pPr>
              <w:pStyle w:val="Normal6a"/>
            </w:pPr>
            <w:r>
              <w:t>21.</w:t>
            </w:r>
            <w:r>
              <w:tab/>
            </w:r>
            <w:r>
              <w:rPr>
                <w:b/>
                <w:i/>
              </w:rPr>
              <w:t>zdůrazňuje význam individualizovaných a diferencovaných přístupů pro opětovné začlenění mladých lidí, kteří nejsou zaměstnaní ani se neúčastní vzdělávání nebo odborné přípravy, na trh práce nebo do vzdělávání a odborné přípravy;</w:t>
            </w:r>
            <w:r>
              <w:t xml:space="preserve"> vyzývá </w:t>
            </w:r>
            <w:r>
              <w:rPr>
                <w:b/>
                <w:i/>
              </w:rPr>
              <w:t>k tomu, aby</w:t>
            </w:r>
            <w:r>
              <w:t xml:space="preserve"> vnitrostátní </w:t>
            </w:r>
            <w:r>
              <w:rPr>
                <w:b/>
                <w:i/>
              </w:rPr>
              <w:t>systémy provádějící posílené záruky</w:t>
            </w:r>
            <w:r>
              <w:t xml:space="preserve"> pro mladé lidi </w:t>
            </w:r>
            <w:r>
              <w:rPr>
                <w:b/>
                <w:i/>
              </w:rPr>
              <w:t>zajistily přesné počáteční profilování příjemců, jehož cílem bude určit úroveň zaměstnatelnosti a konkrétní překážky účasti, a aby na tomto základě vytvořily způsoby péče rozlišené podle profilu</w:t>
            </w:r>
            <w:r>
              <w:t xml:space="preserve">; </w:t>
            </w:r>
            <w:r>
              <w:rPr>
                <w:b/>
                <w:i/>
              </w:rPr>
              <w:t>zdůrazňuje nenahraditelnou úlohu zprostředkujících subjektů (subjektů odborného vzdělávání, organizací třetího sektoru a komunitních služeb) při péči o mladé lidi nejvíce vzdálené trhu práce, kteří často nepřicházejí do styku s veřejnými službami zaměstnanosti běžnými cestami;</w:t>
            </w:r>
            <w:r>
              <w:t xml:space="preserve"> </w:t>
            </w:r>
            <w:r>
              <w:rPr>
                <w:b/>
                <w:i/>
              </w:rPr>
              <w:t>vyzývá k tomu, aby byly způsoby aktivace žen, které nejsou zaměstnané ani se neúčastní vzdělávání nebo odborné přípravy, doprovázeny integrovanými opatřeními na podporu rovnováhy mezi pracovním a soukromým životem, vzhledem k tomu, že neplacené pečovatelské povinnosti jsou hlavní strukturální příčinou genderových rozdílů ve statusu NEET;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vyzývá členské státy, aby posílily osvětová opatření zaměřená na zranitelné skupiny NEET na vnitrostátní a místní úrovni a aby aktivaci této skupiny učinily hlavní prioritou při provádění záruk pro mladé lidi;</w:t>
            </w:r>
          </w:p>
        </w:tc>
        <w:tc>
          <w:tcPr>
            <w:tcW w:w="4876" w:type="dxa"/>
            <w:tcBorders>
              <w:top w:val="nil"/>
              <w:left w:val="nil"/>
              <w:bottom w:val="nil"/>
              <w:right w:val="nil"/>
            </w:tcBorders>
          </w:tcPr>
          <w:p>
            <w:pPr>
              <w:pStyle w:val="Normal6a"/>
            </w:pPr>
            <w:r>
              <w:t>21.</w:t>
            </w:r>
            <w:r>
              <w:tab/>
            </w:r>
            <w:r>
              <w:t xml:space="preserve">vyzývá členské státy, aby posílily osvětová opatření zaměřená na zranitelné skupiny NEET na vnitrostátní a místní úrovni a aby aktivaci této skupiny učinily hlavní prioritou při provádění záruk pro mladé lidi; </w:t>
            </w:r>
            <w:r>
              <w:rPr>
                <w:b/>
                <w:i/>
              </w:rPr>
              <w:t>vyzývá zejména k investicím do decentralizované komunitní informační infrastruktury, která je kombinována s integrovaným poskytováním služeb, a k odklonu od tradičního modelu, který se opírá pouze o registrační systém;</w:t>
            </w:r>
            <w:r>
              <w:t xml:space="preserve"> </w:t>
            </w:r>
            <w:r>
              <w:rPr>
                <w:b/>
                <w:i/>
              </w:rPr>
              <w:t>zdůrazňuje, že mnohá opatření, včetně romských mediátorů, aktivačních specialistů, mobilních jednotek veřejných služeb zaměstnanosti, virtuálních služeb, otevřené práce s mládeží, přímého dosahu na ulici, využívání sociálních médií, mentorských programů, pracovníků s mládeží, přítomnosti ve sportovních klubech, na rekreačních místech, v nákupních centrech a velvyslaneckých programech, se ukázala jako účinná při oslovování osob, které nejsou zaměstnané ani se neúčastní vzdělávání nebo odborné přípravy, a musí být nyní rozšířena na vnitrostátní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vyzývá členské státy, aby posílily </w:t>
            </w:r>
            <w:r>
              <w:rPr>
                <w:b/>
                <w:i/>
              </w:rPr>
              <w:t>osvětová</w:t>
            </w:r>
            <w:r>
              <w:t xml:space="preserve"> opatření zaměřená na zranitelné </w:t>
            </w:r>
            <w:r>
              <w:rPr>
                <w:b/>
                <w:i/>
              </w:rPr>
              <w:t>skupiny NEET</w:t>
            </w:r>
            <w:r>
              <w:t xml:space="preserve"> na vnitrostátní a místní úrovni a aby </w:t>
            </w:r>
            <w:r>
              <w:rPr>
                <w:b/>
                <w:i/>
              </w:rPr>
              <w:t>aktivaci</w:t>
            </w:r>
            <w:r>
              <w:t xml:space="preserve"> této skupiny učinily hlavní prioritou </w:t>
            </w:r>
            <w:r>
              <w:rPr>
                <w:b/>
                <w:i/>
              </w:rPr>
              <w:t>při</w:t>
            </w:r>
            <w:r>
              <w:t xml:space="preserve"> provádění </w:t>
            </w:r>
            <w:r>
              <w:rPr>
                <w:b/>
                <w:i/>
              </w:rPr>
              <w:t>záruk</w:t>
            </w:r>
            <w:r>
              <w:t xml:space="preserve"> pro mladé lidi;</w:t>
            </w:r>
          </w:p>
        </w:tc>
        <w:tc>
          <w:tcPr>
            <w:tcW w:w="4876" w:type="dxa"/>
            <w:tcBorders>
              <w:top w:val="nil"/>
              <w:left w:val="nil"/>
              <w:bottom w:val="nil"/>
              <w:right w:val="nil"/>
            </w:tcBorders>
          </w:tcPr>
          <w:p>
            <w:pPr>
              <w:pStyle w:val="Normal6a"/>
            </w:pPr>
            <w:r>
              <w:t>21.</w:t>
            </w:r>
            <w:r>
              <w:tab/>
            </w:r>
            <w:r>
              <w:t xml:space="preserve">vyzývá členské státy, aby posílily </w:t>
            </w:r>
            <w:r>
              <w:rPr>
                <w:b/>
                <w:i/>
              </w:rPr>
              <w:t>informační</w:t>
            </w:r>
            <w:r>
              <w:t xml:space="preserve"> opatření zaměřená na zranitelné </w:t>
            </w:r>
            <w:r>
              <w:rPr>
                <w:b/>
                <w:i/>
              </w:rPr>
              <w:t>osoby, které nejsou zaměstnané ani se neúčastní vzdělávání nebo odborné přípravy,</w:t>
            </w:r>
            <w:r>
              <w:t xml:space="preserve"> na vnitrostátní a místní úrovni a aby </w:t>
            </w:r>
            <w:r>
              <w:rPr>
                <w:b/>
                <w:i/>
              </w:rPr>
              <w:t>sociální začleňování a podporovaný přechod</w:t>
            </w:r>
            <w:r>
              <w:t xml:space="preserve"> této skupiny </w:t>
            </w:r>
            <w:r>
              <w:rPr>
                <w:b/>
                <w:i/>
              </w:rPr>
              <w:t>ze vzdělávání na trh práce</w:t>
            </w:r>
            <w:r>
              <w:t xml:space="preserve"> učinily hlavní prioritou </w:t>
            </w:r>
            <w:r>
              <w:rPr>
                <w:b/>
                <w:i/>
              </w:rPr>
              <w:t>jejich</w:t>
            </w:r>
            <w:r>
              <w:t xml:space="preserve"> provádění </w:t>
            </w:r>
            <w:r>
              <w:rPr>
                <w:b/>
                <w:i/>
              </w:rPr>
              <w:t>pokynů</w:t>
            </w:r>
            <w:r>
              <w:t xml:space="preserve"> pro mladé lidi</w:t>
            </w:r>
            <w:r>
              <w:rPr>
                <w:b/>
                <w:i/>
              </w:rPr>
              <w:t>, a to i prostřednictvím školení o kulturní a sociální citlivosti zaměřených na všechny poskytovatele služeb</w:t>
            </w:r>
            <w:r>
              <w:t xml:space="preserve">; </w:t>
            </w:r>
            <w:r>
              <w:rPr>
                <w:b/>
                <w:i/>
              </w:rPr>
              <w:t>zdůrazňuje, že je třeba přejít od systémů založených na registraci k proaktivním, decentralizovaným a komunitním osvětovým přístupům, které přiblíží služby mladým lidem a posílí schopnost veřejných služeb zaměstnanosti účinně zapojit ty nejzranitelnější;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vyzývá členské státy, aby posílily osvětová opatření zaměřená na zranitelné skupiny NEET na vnitrostátní a místní úrovni a aby aktivaci této skupiny učinily hlavní prioritou při provádění záruk pro mladé lidi;</w:t>
            </w:r>
          </w:p>
        </w:tc>
        <w:tc>
          <w:tcPr>
            <w:tcW w:w="4876" w:type="dxa"/>
            <w:tcBorders>
              <w:top w:val="nil"/>
              <w:left w:val="nil"/>
              <w:bottom w:val="nil"/>
              <w:right w:val="nil"/>
            </w:tcBorders>
          </w:tcPr>
          <w:p>
            <w:pPr>
              <w:pStyle w:val="Normal6a"/>
            </w:pPr>
            <w:r>
              <w:t>21.</w:t>
            </w:r>
            <w:r>
              <w:tab/>
            </w:r>
            <w:r>
              <w:t xml:space="preserve">vyzývá členské státy, aby posílily osvětová opatření zaměřená na zranitelné skupiny NEET na vnitrostátní a místní úrovni a aby aktivaci této skupiny učinily hlavní prioritou při provádění záruk pro mladé lidi; </w:t>
            </w:r>
            <w:r>
              <w:rPr>
                <w:b/>
                <w:i/>
              </w:rPr>
              <w:t>zdůrazňuje, že je třeba zajistit plnou dostupnost programů záruk pro mladé lidi pro mladé lidi se zdravotním postižením, mimo jiné prostřednictvím přístupných infrastruktur odborné přípravy, individualizovaných podpůrných služeb a posílené spolupráce s organizacemi zastupujícími osoby se zdravotním postižením, aby byly zaručeny rovné příležitosti v přístupu k zaměstnání, odborné přípravě a učňovské přípravě;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vyzývá členské státy, aby posílily </w:t>
            </w:r>
            <w:r>
              <w:rPr>
                <w:b/>
                <w:i/>
              </w:rPr>
              <w:t>osvětová</w:t>
            </w:r>
            <w:r>
              <w:t xml:space="preserve"> opatření zaměřená na </w:t>
            </w:r>
            <w:r>
              <w:rPr>
                <w:b/>
                <w:i/>
              </w:rPr>
              <w:t>zranitelné skupiny NEET na vnitrostátní a místní úrovni</w:t>
            </w:r>
            <w:r>
              <w:t xml:space="preserve"> a aby </w:t>
            </w:r>
            <w:r>
              <w:rPr>
                <w:b/>
                <w:i/>
              </w:rPr>
              <w:t>aktivaci této skupiny</w:t>
            </w:r>
            <w:r>
              <w:t xml:space="preserve"> učinily hlavní </w:t>
            </w:r>
            <w:r>
              <w:rPr>
                <w:b/>
                <w:i/>
              </w:rPr>
              <w:t>prioritou při</w:t>
            </w:r>
            <w:r>
              <w:t xml:space="preserve"> provádění </w:t>
            </w:r>
            <w:r>
              <w:rPr>
                <w:b/>
                <w:i/>
              </w:rPr>
              <w:t>záruk</w:t>
            </w:r>
            <w:r>
              <w:t xml:space="preserve"> pro mladé lidi;</w:t>
            </w:r>
          </w:p>
        </w:tc>
        <w:tc>
          <w:tcPr>
            <w:tcW w:w="4876" w:type="dxa"/>
            <w:tcBorders>
              <w:top w:val="nil"/>
              <w:left w:val="nil"/>
              <w:bottom w:val="nil"/>
              <w:right w:val="nil"/>
            </w:tcBorders>
          </w:tcPr>
          <w:p>
            <w:pPr>
              <w:pStyle w:val="Normal6a"/>
            </w:pPr>
            <w:r>
              <w:t>21.</w:t>
            </w:r>
            <w:r>
              <w:tab/>
            </w:r>
            <w:r>
              <w:t xml:space="preserve">vyzývá členské státy, aby posílily </w:t>
            </w:r>
            <w:r>
              <w:rPr>
                <w:b/>
                <w:i/>
              </w:rPr>
              <w:t>vnitrostátní, regionální a místní informační</w:t>
            </w:r>
            <w:r>
              <w:t xml:space="preserve"> opatření zaměřená na </w:t>
            </w:r>
            <w:r>
              <w:rPr>
                <w:b/>
                <w:i/>
              </w:rPr>
              <w:t>obtížně dosažitelné mladé lidi, kteří nejsou zaměstnáni ani se neúčastní vzdělávání nebo odborné přípravy,</w:t>
            </w:r>
            <w:r>
              <w:t xml:space="preserve"> a aby </w:t>
            </w:r>
            <w:r>
              <w:rPr>
                <w:b/>
                <w:i/>
              </w:rPr>
              <w:t>z jejich začlenění na trh práce</w:t>
            </w:r>
            <w:r>
              <w:t xml:space="preserve"> učinily hlavní </w:t>
            </w:r>
            <w:r>
              <w:rPr>
                <w:b/>
                <w:i/>
              </w:rPr>
              <w:t>prioritu</w:t>
            </w:r>
            <w:r>
              <w:t xml:space="preserve"> provádění </w:t>
            </w:r>
            <w:r>
              <w:rPr>
                <w:b/>
                <w:i/>
              </w:rPr>
              <w:t>pokynů</w:t>
            </w:r>
            <w:r>
              <w:t xml:space="preserve"> pro mladé lidi; </w:t>
            </w:r>
            <w:r>
              <w:rPr>
                <w:b/>
                <w:i/>
              </w:rPr>
              <w:t>vyzývá k cíleným informačním a specializovaným podpůrným opatřením pro zranitelné osoby NEET, která budou přizpůsobena překonání veškerých specifických překážek, jimž čelí, jako je diskriminace, zdravotní problémy, pečovatelské povinnosti a bezdomovectví;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vyzývá členské státy, aby posílily osvětová opatření zaměřená na zranitelné skupiny NEET na vnitrostátní a místní úrovni a aby aktivaci této skupiny učinily hlavní prioritou při provádění záruk pro mladé lidi;</w:t>
            </w:r>
          </w:p>
        </w:tc>
        <w:tc>
          <w:tcPr>
            <w:tcW w:w="4876" w:type="dxa"/>
            <w:tcBorders>
              <w:top w:val="nil"/>
              <w:left w:val="nil"/>
              <w:bottom w:val="nil"/>
              <w:right w:val="nil"/>
            </w:tcBorders>
          </w:tcPr>
          <w:p>
            <w:pPr>
              <w:pStyle w:val="Normal6a"/>
            </w:pPr>
            <w:r>
              <w:t>21.</w:t>
            </w:r>
            <w:r>
              <w:tab/>
            </w:r>
            <w:r>
              <w:t xml:space="preserve">vyzývá členské státy, aby posílily osvětová opatření zaměřená na zranitelné skupiny NEET na vnitrostátní a místní úrovni a aby aktivaci této skupiny učinily hlavní prioritou při provádění záruk pro mladé lidi; </w:t>
            </w:r>
            <w:r>
              <w:rPr>
                <w:b/>
                <w:i/>
              </w:rPr>
              <w:t>vyzývá v této souvislosti členské státy, aby zavedly mechanismy pro hladký přechod od ochrany dětí ke službám pro mládež, vzdělávání, odbornou přípravu a zaměstnanost;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vyzývá členské státy, aby posílily </w:t>
            </w:r>
            <w:r>
              <w:rPr>
                <w:b/>
                <w:i/>
              </w:rPr>
              <w:t>osvětová</w:t>
            </w:r>
            <w:r>
              <w:t xml:space="preserve"> opatření zaměřená na zranitelné </w:t>
            </w:r>
            <w:r>
              <w:rPr>
                <w:b/>
                <w:i/>
              </w:rPr>
              <w:t>skupiny NEET</w:t>
            </w:r>
            <w:r>
              <w:t xml:space="preserve"> na vnitrostátní a místní úrovni a aby </w:t>
            </w:r>
            <w:r>
              <w:rPr>
                <w:b/>
                <w:i/>
              </w:rPr>
              <w:t>aktivaci</w:t>
            </w:r>
            <w:r>
              <w:t xml:space="preserve"> této skupiny učinily hlavní </w:t>
            </w:r>
            <w:r>
              <w:rPr>
                <w:b/>
                <w:i/>
              </w:rPr>
              <w:t>prioritou při</w:t>
            </w:r>
            <w:r>
              <w:t xml:space="preserve"> provádění </w:t>
            </w:r>
            <w:r>
              <w:rPr>
                <w:b/>
                <w:i/>
              </w:rPr>
              <w:t>záruk</w:t>
            </w:r>
            <w:r>
              <w:t xml:space="preserve"> pro mladé lidi;</w:t>
            </w:r>
          </w:p>
        </w:tc>
        <w:tc>
          <w:tcPr>
            <w:tcW w:w="4876" w:type="dxa"/>
            <w:tcBorders>
              <w:top w:val="nil"/>
              <w:left w:val="nil"/>
              <w:bottom w:val="nil"/>
              <w:right w:val="nil"/>
            </w:tcBorders>
          </w:tcPr>
          <w:p>
            <w:pPr>
              <w:pStyle w:val="Normal6a"/>
            </w:pPr>
            <w:r>
              <w:t>21.</w:t>
            </w:r>
            <w:r>
              <w:tab/>
            </w:r>
            <w:r>
              <w:t xml:space="preserve">vyzývá členské státy, aby posílily </w:t>
            </w:r>
            <w:r>
              <w:rPr>
                <w:b/>
                <w:i/>
              </w:rPr>
              <w:t>informační</w:t>
            </w:r>
            <w:r>
              <w:t xml:space="preserve"> opatření zaměřená na zranitelné </w:t>
            </w:r>
            <w:r>
              <w:rPr>
                <w:b/>
                <w:i/>
              </w:rPr>
              <w:t>osoby, které nejsou zaměstnané ani se neúčastní vzdělávání nebo odborné přípravy,</w:t>
            </w:r>
            <w:r>
              <w:t xml:space="preserve"> na vnitrostátní a místní úrovni a aby </w:t>
            </w:r>
            <w:r>
              <w:rPr>
                <w:b/>
                <w:i/>
              </w:rPr>
              <w:t>z aktivace</w:t>
            </w:r>
            <w:r>
              <w:t xml:space="preserve"> této skupiny učinily hlavní </w:t>
            </w:r>
            <w:r>
              <w:rPr>
                <w:b/>
                <w:i/>
              </w:rPr>
              <w:t>prioritu</w:t>
            </w:r>
            <w:r>
              <w:t xml:space="preserve"> provádění </w:t>
            </w:r>
            <w:r>
              <w:rPr>
                <w:b/>
                <w:i/>
              </w:rPr>
              <w:t>svých pokynů</w:t>
            </w:r>
            <w:r>
              <w:t xml:space="preserve"> pro mladé lidi</w:t>
            </w:r>
            <w:r>
              <w:rPr>
                <w:b/>
                <w:i/>
              </w:rPr>
              <w:t>, a v této souvislosti vyzývá k úsilí o zajištění sociálního začlenění a podporovaného přechodu této skupiny ze vzdělávání na trh práce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zdůrazňuje, že zintenzivnění tohoto úsilí musí umožnit oslovení zranitelných mladých lidí, kteří dosud nebyli v systémech záruk pro mladé lidi vidět;</w:t>
            </w:r>
            <w:r>
              <w:t xml:space="preserve"> </w:t>
            </w:r>
            <w:r>
              <w:rPr>
                <w:b/>
                <w:i/>
              </w:rPr>
              <w:t>konstatuje, že zranitelní mladí lidé nemusí nutně patřit do kategorie NEET, a vyzývá v této souvislosti poskytovatele záruk pro mladé lidi, aby rozšířili jejich dosah nad rámec této kategorizace;</w:t>
            </w:r>
            <w:r>
              <w:t xml:space="preserve"> </w:t>
            </w:r>
            <w:r>
              <w:rPr>
                <w:b/>
                <w:i/>
              </w:rPr>
              <w:t>domnívá se, že zapojení vzájemných zprostředkovatelů, nevládních organizací a místních komunitních organizací má zásadní význam pro to, aby se mladí lidé, kteří nejsou zaměstnaní ani se neúčastní vzdělávání nebo odborné přípravy, dostali přímo do svých komunit;</w:t>
            </w:r>
            <w:r>
              <w:t xml:space="preserve"> </w:t>
            </w:r>
            <w:r>
              <w:rPr>
                <w:b/>
                <w:i/>
              </w:rPr>
              <w:t>konstatuje, že u mladých lidí v tíživějších situacích musí být přístup dobrovolný a nízký, aniž by byla nutná registrace, dokumentace nebo závazek, ale musí být založen na pochopení vzniklých problémů a citlivosti vůči jejich hodnotám a postupům;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vyzývá členské státy, aby vyčlenily zvláštní zdroje na rozvoj proaktivního, decentralizovaného a komunitního dosahu a snížily výhradní závislost na pasivních systémech založených na registraci a výhradně na digitálních systémech;</w:t>
            </w:r>
            <w:r>
              <w:t xml:space="preserve"> </w:t>
            </w:r>
            <w:r>
              <w:rPr>
                <w:b/>
                <w:i/>
              </w:rPr>
              <w:t>zdůrazňuje, že tento dosah má zásadní význam pro oslovení a budování důvěry s obtížně dosažitelnými a zranitelnými osobami NEET v jejich místním kontextu a pro snížení rizika vyloučení vyplývajícího ze stigmatizace, institucionální nedůvěry a digitální nerovnosti;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vyzývá členské státy, aby podporovaly zranitelné osoby, které nejsou zaměstnané ani se neúčastní vzdělávání nebo odborné přípravy, jako jsou mladí lidé ve venkovských oblastech, mladí rodiče, a zejména mladé matky a ženy, které nejsou zaměstnané ani se neúčastní vzdělávání nebo odborné přípravy, prostřednictvím cílených opatření, poskytování včasné pomoci, přístupu k péči o děti, flexibilních vzdělávacích a pracovních příležitostí a koordinované sociální podpory a podpory zaměstnanosti s cílem zajistit udržitelné začlenění na trh práce, rovnost žen a mužů a prevenci dlouhodobého vyloučení;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uznává krizi v oblasti bydlení a její nepřiměřený dopad na mladé lidi.</w:t>
            </w:r>
            <w:r>
              <w:t xml:space="preserve"> </w:t>
            </w:r>
            <w:r>
              <w:rPr>
                <w:b/>
                <w:i/>
              </w:rPr>
              <w:t>vyzývá Komisi, členské státy a místní a regionální orgány, aby zajistily, že politické iniciativy určené k řešení této krize budou podrobeny „kontrolám z hlediska mládeže“ s cílem zajistit, aby zohledňovaly potřeby mladých lidí.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vyzývá Komisi a členské státy, aby mladým matkám poskytovaly individualizovanou a cílenou podporu v rámci programů pro mladé lidi;</w:t>
            </w:r>
            <w:r>
              <w:t xml:space="preserve"> </w:t>
            </w:r>
            <w:r>
              <w:rPr>
                <w:b/>
                <w:i/>
              </w:rPr>
              <w:t>zdůrazňuje, že příspěvek mladých matek na trhu práce by měl být chápán šířeji než samotné zaměstnání a měl by uznávat pečovatelskou práci;</w:t>
            </w:r>
            <w:r>
              <w:t xml:space="preserve"> </w:t>
            </w:r>
            <w:r>
              <w:rPr>
                <w:b/>
                <w:i/>
              </w:rPr>
              <w:t>vyjadřuje politování nad tím, že stigmatizace a diskriminace, nepřiměřené pečovatelské povinnosti a finanční tlaky mohou snížit pravděpodobnost, že mladé matky budou schopny využít časově náročného vzdělávání, odborné přípravy a pracovních příležitostí;</w:t>
            </w:r>
            <w:r>
              <w:t xml:space="preserve"> </w:t>
            </w:r>
            <w:r>
              <w:rPr>
                <w:b/>
                <w:i/>
              </w:rPr>
              <w:t>zdůrazňuje význam bezplatné nebo cenově dostupné veřejné péče o děti pro usnadnění přístupu mladých matek ke vzdělávání, odborné přípravě a zaměstnání;</w:t>
            </w:r>
            <w:r>
              <w:t xml:space="preserve"> </w:t>
            </w:r>
            <w:r>
              <w:rPr>
                <w:b/>
                <w:i/>
              </w:rPr>
              <w:t>vyzývá v této souvislosti k cíleným opatřením, jako je pružné uspořádání pracovní doby a zvláštní finanční podpora;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vyzývá členské státy, aby výzkumným pracovníkům, veřejným činitelům, zaměstnancům služeb zaměstnanosti a dalším odborníkům zapojeným do mapování zranitelných skupin a zaměření se na ně v rámci záruk pro mladé lidi poskytovaly školení o nevědomé předpojatosti a nediskriminaci;</w:t>
            </w:r>
            <w:r>
              <w:t xml:space="preserve"> </w:t>
            </w:r>
            <w:r>
              <w:rPr>
                <w:b/>
                <w:i/>
              </w:rPr>
              <w:t>vybízí členské státy, aby vypracovaly programy odborné přípravy a zvyšování povědomí pro zaměstnavatele, kteří se účastní systémů záruk pro mladé lidi, s cílem bojovat proti diskriminaci a předpojatosti při náboru a postupech na pracovišti, a to i na základě etnického původu, pohlaví, tělesného a intelektuálního vývojového postižení nebo socioekonomického zázemí;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zdůrazňuje jedinečný a negativní dopad, který má krize v oblasti bydlení na naše regionální, menšinové a méně používané jazyky, a to, jak může neúměrně ovlivnit mladé lidi, kteří chtějí zůstat ve svých komunitách, a vyzývá proto místní, regionální, vnitrostátní a unijní orgány, aby přijaly opatření přizpůsobená bydlení a kontroly mládeže v oblastech, kde se těmito jazyky hovoří, včetně cílených výjimek, je-li to nezbytné k ochraně mladých lidí v těchto komunitách;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vyzývá členské státy, aby mladým rodičům v systémech záruk pro mladé lidi poskytovaly celodenní péči o děti, včetně stravy a pružné pracovní doby, s cílem odstranit překážky bránící účasti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vyzývá k přijetí cílených opatření na podporu mladých lidí, kteří nejsou zaměstnaní ani se neúčastní vzdělávání nebo odborné přípravy a kteří jsou vězněni nebo opustili vězeňské systémy, a osob, které se potýkají se závislostí;</w:t>
            </w:r>
            <w:r>
              <w:t xml:space="preserve"> </w:t>
            </w:r>
            <w:r>
              <w:rPr>
                <w:b/>
                <w:i/>
              </w:rPr>
              <w:t>vyzývá k individualizovaným programům a trvalé podpoře s cílem snížit stigmatizaci a usnadnit jejich prohlubování a účinné a udržitelné opětovné začlenění do společnosti a zaměstnání;</w:t>
            </w:r>
            <w:r>
              <w:t xml:space="preserve"> </w:t>
            </w:r>
            <w:r>
              <w:rPr>
                <w:b/>
                <w:i/>
              </w:rPr>
              <w:t>zdůrazňuje preventivní dopad inkluzivní a aktivní účasti na vzdělávání, odborné přípravě a zaměstnanosti při snižování rizika zneužívání návykových látek a alkoholu a snižování míry trestných činů a zadržování mladých lidí;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navrhuje systematizovat označování podle pokynů k regionální podpoře ve vnitrostátních a místních systémech s cílem zlepšit viditelnost a zvýšit povědomí mezi správními orgány, místními orgány a příjemci;</w:t>
            </w:r>
            <w:r>
              <w:t xml:space="preserve"> </w:t>
            </w:r>
            <w:r>
              <w:rPr>
                <w:b/>
                <w:i/>
              </w:rPr>
              <w:t>zdůrazňuje, že je nezbytné, aby si příjemci byli vědomi toho, že jsou součástí systémů záruk pro mladé lidi, aby pochopili celkovou podporu, která je jim k dispozici;</w:t>
            </w:r>
            <w:r>
              <w:t xml:space="preserve"> </w:t>
            </w:r>
            <w:r>
              <w:rPr>
                <w:b/>
                <w:i/>
              </w:rPr>
              <w:t>vyzývá Komisi, aby společně s členskými státy vypracovala soubor pravidel pro viditelnost systémů záruk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vyzývá členské státy, aby účinně podporovaly ženy, které nejsou zaměstnané ani se neúčastní vzdělávání nebo odborné přípravy, a to zvyšováním povědomí tvůrců politik o specifických problémech a překážkách žen, shromažďováním a analýzou údajů o ženách, které nejsou zaměstnané ani se neúčastní vzdělávání nebo odborné přípravy, rozčleněných podle pohlaví s cílem navrhnout cílená informační a aktivační opatření a podporou příležitostí odborného vzdělávání a přípravy pro ženy, které nejsou zaměstnané ani se neúčastní vzdělávání nebo odborné přípravy, s cílem umožnit rekvalifikaci, zaměstnání a udržitelné začlenění na trh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vyzývá členské státy, aby prozkoumaly opatření k zajištění kontinuity pokrytí a podpory v rámci záruk pro mladé lidi pro mladé lidi, kteří vykonávají sezónní nebo dočasnou práci v zahraničí, s přihlédnutím k tomu, že mnozí stráví v zahraničí pouze část roku a po zbytek roku se vracejí domů bez příjmu;</w:t>
            </w:r>
            <w:r>
              <w:t xml:space="preserve"> </w:t>
            </w:r>
            <w:r>
              <w:rPr>
                <w:b/>
                <w:i/>
              </w:rPr>
              <w:t>zdůrazňuje, že je důležité zajistit uznávání dovedností získaných v zahraničí a rychlé obnovení spolupráce se službami zaměstnanosti po návratu;</w:t>
            </w:r>
            <w:r>
              <w:t xml:space="preserve"> </w:t>
            </w:r>
            <w:r>
              <w:rPr>
                <w:b/>
                <w:i/>
              </w:rPr>
              <w:t>dále vyzývá členské státy, aby systematicky shromažďovaly a aktualizovaly údaje o počtu mladých lidí, kteří každoročně vykonávají sezónní nebo dočasnou práci v zahraničí, s cílem lépe informovat o politických reakcích a zajistit individualizovanou podporu;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zdůrazňuje, že úspěšné začlenění zranitelných osob NEET na trh práce závisí na jejich přístupu k odpovídajícím základním životním podmínkám;</w:t>
            </w:r>
            <w:r>
              <w:t xml:space="preserve"> </w:t>
            </w:r>
            <w:r>
              <w:rPr>
                <w:b/>
                <w:i/>
              </w:rPr>
              <w:t>vyzývá Komisi a členské státy, aby zajistily, že provádění pokynů pro mladé lidi bude strukturálně propojeno s politikami v oblasti bydlení, péče, sociální ochrany a zdraví s cílem řešit četné překážky, kterým čelí zranitelní mladí lidé, kteří nejsou zaměstnáni ani se neúčastní vzdělávání nebo odborné přípravy, v přístupu ke kvalitnímu zaměstnání, vzdělávání a odborné přípravě;</w:t>
            </w:r>
            <w:r>
              <w:t xml:space="preserve"> </w:t>
            </w:r>
            <w:r>
              <w:rPr>
                <w:b/>
                <w:i/>
              </w:rPr>
              <w:t>vyzývá členské státy, aby zajistily, že nabídky záruk pro mladé lidi pro zranitelné osoby, které nejsou zaměstnané ani se neúčastní vzdělávání nebo odborné přípravy, budou podpořeny odpovídajícím přístupem k základním podpůrným službám, včetně pomoci v oblasti bydlení, péče o děti, dopravy a zdravotní péče;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vyzývá členské státy, aby podporovaly rovnost žen a mužů, rovnováhu mezi pracovním a soukromým životem a předcházely dlouhodobému sociálnímu vyloučení a zároveň snížily sociální a ekonomické náklady spojené s předčasným odchodem a dlouhodobým statusem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21e.</w:t>
            </w:r>
            <w:r>
              <w:tab/>
            </w:r>
            <w:r>
              <w:rPr>
                <w:b/>
                <w:i/>
              </w:rPr>
              <w:t>zdůrazňuje, že je třeba vyvinout další úsilí o mapování s cílem identifikovat stávající nedostatky a přizpůsobit informační strategie, jakož i navrhnout cílená opatření a investice pro různé podskupiny osob, které nejsou zaměstnané ani se neúčastní vzdělávání nebo odborné přípravy;</w:t>
            </w:r>
            <w:r>
              <w:t xml:space="preserve"> </w:t>
            </w:r>
            <w:r>
              <w:rPr>
                <w:b/>
                <w:i/>
              </w:rPr>
              <w:t>vyzývá zejména členské státy, aby provedly komplexní a regionální analýzu charakteristik osob, které nejsou zaměstnané ani se neúčastní vzdělávání nebo odborné přípravy, jakož i kritérií, která zvyšují pravděpodobnost, že se stanou osobami, které nejsou zaměstnané ani se neúčastní vzdělávání nebo odborné přípravy, jako je pohlaví, věk, zdravotní postižení nebo úroveň vzdělání, s cílem zajistit, aby opatření byla přizpůsobena potřebám těchto mladých lidí;</w:t>
            </w:r>
            <w:r>
              <w:t xml:space="preserve"> </w:t>
            </w:r>
            <w:r>
              <w:rPr>
                <w:b/>
                <w:i/>
              </w:rPr>
              <w:t>navrhuje, aby tato analýza zahrnovala konzultace s cílovými skupinami a příslušnými zúčastněnými stranami, jako je občanská společnost a sociální partneři;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21e.</w:t>
            </w:r>
            <w:r>
              <w:tab/>
            </w:r>
            <w:r>
              <w:rPr>
                <w:b/>
                <w:i/>
              </w:rPr>
              <w:t>vyzývá členské státy, aby vypracovaly nebo posílily modely poskytování služeb „jednotného kontaktního místa“ s cílem snížit roztříštěnost a administrativní zátěž a zlepšit míru účasti zranitelných a obtížně dosažitelných mladých lidí, kteří nejsou zaměstnáni ani se neúčastní vzdělávání nebo odborné přípravy;</w:t>
            </w:r>
            <w:r>
              <w:t xml:space="preserve"> </w:t>
            </w:r>
            <w:r>
              <w:rPr>
                <w:b/>
                <w:i/>
              </w:rPr>
              <w:t>zdůrazňuje význam nízkoprahových, multiagenturních center pro mladé lidi, která soustřeďují podporu záruk pro mladé lidi, jakož i služby v oblasti zaměstnanosti, vzdělávání, odborné přípravy a sociální služby na jednom přístupném místě;</w:t>
            </w:r>
            <w:r>
              <w:t xml:space="preserve"> </w:t>
            </w:r>
            <w:r>
              <w:rPr>
                <w:b/>
                <w:i/>
              </w:rPr>
              <w:t>zdůrazňuje, že tento model se v několika členských státech ukázal jako úspěšný při odstraňování překážek a poskytování komplexní podpory nezbytné pro účinné začlenění na trh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21e.</w:t>
            </w:r>
            <w:r>
              <w:tab/>
            </w:r>
            <w:r>
              <w:rPr>
                <w:b/>
                <w:i/>
              </w:rPr>
              <w:t>vybízí k vytváření mentorství pro mladé lidi ve všech regionech EU s cílem umožnit vyškoleným soukromým osobám a dobrovolníkům, kteří se dostanou k mladým lidem tam, kde se nacházejí, mentorovat a vést obtížně dostupné mladé lidi v oblasti vzdělávání, odborné přípravy a profesního rozvoje;</w:t>
            </w:r>
            <w:r>
              <w:t xml:space="preserve"> </w:t>
            </w:r>
            <w:r>
              <w:rPr>
                <w:b/>
                <w:i/>
              </w:rPr>
              <w:t>zdůrazňuje, že tyto mentorské programy by měly doplňovat, nikoli však nahrazovat odborné poradenství veřejných služeb zaměstnanosti;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21f.</w:t>
            </w:r>
            <w:r>
              <w:tab/>
            </w:r>
            <w:r>
              <w:rPr>
                <w:b/>
                <w:i/>
              </w:rPr>
              <w:t>vyzývá Komisi, aby členským státům poskytla cílenou technickou pomoc při vývoji digitálních nástrojů pro identifikaci potřeb příjemců záruk pro mladé lidi na základě osvědčených postupů v oblasti individualizované podpory;</w:t>
            </w:r>
            <w:r>
              <w:t xml:space="preserve"> </w:t>
            </w:r>
            <w:r>
              <w:rPr>
                <w:b/>
                <w:i/>
              </w:rPr>
              <w:t>v této souvislosti zdůrazňuje slibné využívání profilovacích nástrojů založených na umělé inteligenci v některých členských státech, zdůrazňuje však, že je třeba lidského dohledu, aby se zabránilo nesprávné klasifikaci;</w:t>
            </w:r>
            <w:r>
              <w:t xml:space="preserve"> </w:t>
            </w:r>
            <w:r>
              <w:rPr>
                <w:b/>
                <w:i/>
              </w:rPr>
              <w:t>doporučuje rovněž, aby členské státy poskytly automatizované nástroje pro sebehodnocení, které vyhodnotí faktory určující dostupnou podporu, a konstatuje, že pro některé mladé lidi může být snazší využít on-line kanály k prvotnímu kontaktu;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21f.</w:t>
            </w:r>
            <w:r>
              <w:tab/>
            </w:r>
            <w:r>
              <w:rPr>
                <w:b/>
                <w:i/>
              </w:rPr>
              <w:t>vyzývá členské státy, aby zajistily strukturální propojení mezi systémy záruk pro mladé lidi a systémy sociální ochrany a zajistily nepřetržitou a přiměřenou individuální podporu příjmu pro mladé lidi v nouzi před nabídkou těchto záruk, v jejich průběhu a po jejich skončení s cílem zabránit rozdílům v pokrytí, snížit rizika chudoby během přechodů a zajistit, aby se zranitelní mladí lidé, kteří nejsou zaměstnáni ani se neúčastní vzdělávání nebo odborné přípravy, mohli smysluplně zapojit do zaměstnání, vzdělávání a odborné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21g.</w:t>
            </w:r>
            <w:r>
              <w:tab/>
            </w:r>
            <w:r>
              <w:rPr>
                <w:b/>
                <w:i/>
              </w:rPr>
              <w:t>vyzývá Komisi a členské státy, aby mladým lidem v nouzi zajistily rovný přístup k přiměřenému minimálnímu příjmu;</w:t>
            </w:r>
            <w:r>
              <w:t xml:space="preserve"> </w:t>
            </w:r>
            <w:r>
              <w:rPr>
                <w:b/>
                <w:i/>
              </w:rPr>
              <w:t>vyzývá členské státy, aby v systémech sociální ochrany odstranily věková omezení a zajistily mladým lidem přístup k přiměřeným sociálním dávkám založeným na testování majetkových poměrů jednotlivců, a nikoli domácností;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21h.</w:t>
            </w:r>
            <w:r>
              <w:tab/>
            </w:r>
            <w:r>
              <w:rPr>
                <w:b/>
                <w:i/>
              </w:rPr>
              <w:t>vyzývá Komisi, aby předložila návrh směrnice o systémech přiměřeného minimálního příjmu, která zaručí podporu příjmu, jež zajistí důstojný život všem potřebným bez ohledu na věk;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vyzývá členské státy, aby v souladu s doporučením Rady z roku 2012 posílily své systémy pro uznávání neformálního a informálního učení; </w:t>
            </w:r>
            <w:r>
              <w:rPr>
                <w:b/>
                <w:i/>
              </w:rPr>
              <w:t>podporuje</w:t>
            </w:r>
            <w:r>
              <w:t xml:space="preserve"> přizpůsobení těchto systémů tak, aby se </w:t>
            </w:r>
            <w:r>
              <w:rPr>
                <w:b/>
                <w:i/>
              </w:rPr>
              <w:t>oslovily</w:t>
            </w:r>
            <w:r>
              <w:t xml:space="preserve"> zranitelné osoby </w:t>
            </w:r>
            <w:r>
              <w:rPr>
                <w:b/>
                <w:i/>
              </w:rPr>
              <w:t>NEET, a to navýšením</w:t>
            </w:r>
            <w:r>
              <w:t xml:space="preserve"> kapacit osob odpovědných za </w:t>
            </w:r>
            <w:r>
              <w:rPr>
                <w:b/>
                <w:i/>
              </w:rPr>
              <w:t>uznávání</w:t>
            </w:r>
            <w:r>
              <w:t xml:space="preserve"> nebo nabídkou zvláštních opatření, </w:t>
            </w:r>
            <w:r>
              <w:rPr>
                <w:b/>
                <w:i/>
              </w:rPr>
              <w:t>přičemž je třeba zajistit kvalitu</w:t>
            </w:r>
            <w:r>
              <w:t xml:space="preserve"> těchto postupů;</w:t>
            </w:r>
          </w:p>
        </w:tc>
        <w:tc>
          <w:tcPr>
            <w:tcW w:w="4876" w:type="dxa"/>
            <w:tcBorders>
              <w:top w:val="nil"/>
              <w:left w:val="nil"/>
              <w:bottom w:val="nil"/>
              <w:right w:val="nil"/>
            </w:tcBorders>
          </w:tcPr>
          <w:p>
            <w:pPr>
              <w:pStyle w:val="Normal6a"/>
            </w:pPr>
            <w:r>
              <w:t>22.</w:t>
            </w:r>
            <w:r>
              <w:tab/>
            </w:r>
            <w:r>
              <w:t>vyzývá členské státy, aby v souladu s doporučením Rady z roku 2012</w:t>
            </w:r>
            <w:r>
              <w:rPr>
                <w:b/>
                <w:i/>
                <w:vertAlign w:val="superscript"/>
              </w:rPr>
              <w:t>32a</w:t>
            </w:r>
            <w:r>
              <w:t xml:space="preserve"> posílily své systémy pro uznávání neformálního a informálního učení; </w:t>
            </w:r>
            <w:r>
              <w:rPr>
                <w:b/>
                <w:i/>
              </w:rPr>
              <w:t>vybízí k</w:t>
            </w:r>
            <w:r>
              <w:t xml:space="preserve"> přizpůsobení těchto systémů tak, aby se </w:t>
            </w:r>
            <w:r>
              <w:rPr>
                <w:b/>
                <w:i/>
              </w:rPr>
              <w:t>vztahovaly i na</w:t>
            </w:r>
            <w:r>
              <w:t xml:space="preserve"> zranitelné osoby</w:t>
            </w:r>
            <w:r>
              <w:rPr>
                <w:b/>
                <w:i/>
              </w:rPr>
              <w:t>, které nejsou zaměstnány ani se neúčastní vzdělávání nebo odborné přípravy, a to posílením</w:t>
            </w:r>
            <w:r>
              <w:t xml:space="preserve"> kapacit osob odpovědných za </w:t>
            </w:r>
            <w:r>
              <w:rPr>
                <w:b/>
                <w:i/>
              </w:rPr>
              <w:t>validaci, diverzifikací certifikace, kterou lze získat prostřednictvím validace,</w:t>
            </w:r>
            <w:r>
              <w:t xml:space="preserve"> nebo nabídkou zvláštních opatření, </w:t>
            </w:r>
            <w:r>
              <w:rPr>
                <w:b/>
                <w:i/>
              </w:rPr>
              <w:t>a zároveň zajištěním kvality</w:t>
            </w:r>
            <w:r>
              <w:t xml:space="preserve"> těchto postupů; </w:t>
            </w:r>
            <w:r>
              <w:rPr>
                <w:b/>
                <w:i/>
              </w:rPr>
              <w:t>zdůrazňuje osvědčené postupy validace uvedené v evropském přehledu validace neformálního a informálního učení</w:t>
            </w:r>
            <w:r>
              <w:rPr>
                <w:b/>
                <w:i/>
                <w:vertAlign w:val="superscript"/>
              </w:rPr>
              <w:t>33a</w:t>
            </w:r>
            <w:r>
              <w:rPr>
                <w:b/>
                <w:i/>
              </w:rPr>
              <w:t>, zejména vazbu na evropský rámec kvalifikací a zapojení zaměstnavatelů do těchto postupů s cílem zajistit uznávání certifikovaných kvalifikací;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32a</w:t>
            </w:r>
            <w:r>
              <w:t xml:space="preserve"> </w:t>
            </w:r>
            <w:r>
              <w:rPr>
                <w:b/>
                <w:i/>
              </w:rPr>
              <w:t>Úř. věst. C 398, 22.12.2012, s. 1–5.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33a</w:t>
            </w:r>
            <w:r>
              <w:t xml:space="preserve"> </w:t>
            </w:r>
            <w:r>
              <w:rPr>
                <w:b/>
                <w:i/>
              </w:rPr>
              <w:t>https://www.cedefop.europa.eu/en/country-reports/european-inventory-on-validation.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vyzývá členské státy, aby v souladu s doporučením Rady z roku 2012 posílily své systémy </w:t>
            </w:r>
            <w:r>
              <w:rPr>
                <w:b/>
                <w:i/>
              </w:rPr>
              <w:t>pro</w:t>
            </w:r>
            <w:r>
              <w:t xml:space="preserve"> uznávání neformálního a informálního učení; podporuje přizpůsobení těchto systémů tak, aby se oslovily zranitelné osoby NEET, a to navýšením kapacit osob odpovědných za uznávání nebo nabídkou zvláštních opatření, přičemž je třeba zajistit kvalitu těchto postupů;</w:t>
            </w:r>
          </w:p>
        </w:tc>
        <w:tc>
          <w:tcPr>
            <w:tcW w:w="4876" w:type="dxa"/>
            <w:tcBorders>
              <w:top w:val="nil"/>
              <w:left w:val="nil"/>
              <w:bottom w:val="nil"/>
              <w:right w:val="nil"/>
            </w:tcBorders>
          </w:tcPr>
          <w:p>
            <w:pPr>
              <w:pStyle w:val="Normal6a"/>
            </w:pPr>
            <w:r>
              <w:t>22.</w:t>
            </w:r>
            <w:r>
              <w:tab/>
            </w:r>
            <w:r>
              <w:t xml:space="preserve">vyzývá </w:t>
            </w:r>
            <w:r>
              <w:rPr>
                <w:b/>
                <w:i/>
              </w:rPr>
              <w:t>Komisi a</w:t>
            </w:r>
            <w:r>
              <w:t xml:space="preserve"> členské státy, aby v souladu s doporučením Rady z roku 2012 </w:t>
            </w:r>
            <w:r>
              <w:rPr>
                <w:b/>
                <w:i/>
              </w:rPr>
              <w:t>a evropským rámcem kvalifikací (EQF)</w:t>
            </w:r>
            <w:r>
              <w:t xml:space="preserve"> posílily </w:t>
            </w:r>
            <w:r>
              <w:rPr>
                <w:b/>
                <w:i/>
              </w:rPr>
              <w:t>a dále rozvíjely</w:t>
            </w:r>
            <w:r>
              <w:t xml:space="preserve"> své systémy </w:t>
            </w:r>
            <w:r>
              <w:rPr>
                <w:b/>
                <w:i/>
              </w:rPr>
              <w:t>formálního</w:t>
            </w:r>
            <w:r>
              <w:t xml:space="preserve"> uznávání </w:t>
            </w:r>
            <w:r>
              <w:rPr>
                <w:b/>
                <w:i/>
              </w:rPr>
              <w:t>a validace dovedností, které mladí lidé, zejména mladí rodiče a pečovatelé, získali prostřednictvím</w:t>
            </w:r>
            <w:r>
              <w:t xml:space="preserve"> neformálního a informálního učení</w:t>
            </w:r>
            <w:r>
              <w:rPr>
                <w:b/>
                <w:i/>
              </w:rPr>
              <w:t>, jako je vzdělávání a neformální péče, dobrovolnictví a práce s mládeží, zejména pokud tyto dovednosti mohou pomoci řešit nedostatek pracovních sil a dovedností v klíčových odvětvích</w:t>
            </w:r>
            <w:r>
              <w:t>; podporuje přizpůsobení těchto systémů tak, aby se oslovily zranitelné osoby NEET, a to navýšením kapacit osob odpovědných za uznávání nebo nabídkou zvláštních opatření, přičemž je třeba zajistit kvalitu těchto postupů;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vyzývá členské státy, aby v souladu s doporučením Rady z roku 2012 </w:t>
            </w:r>
            <w:r>
              <w:rPr>
                <w:b/>
                <w:i/>
              </w:rPr>
              <w:t>posílily své systémy pro</w:t>
            </w:r>
            <w:r>
              <w:t xml:space="preserve"> uznávání neformálního a informálního učení; </w:t>
            </w:r>
            <w:r>
              <w:rPr>
                <w:b/>
                <w:i/>
              </w:rPr>
              <w:t>podporuje</w:t>
            </w:r>
            <w:r>
              <w:t xml:space="preserve"> přizpůsobení těchto systémů tak, aby se </w:t>
            </w:r>
            <w:r>
              <w:rPr>
                <w:b/>
                <w:i/>
              </w:rPr>
              <w:t>oslovily zranitelné osoby NEET, a to navýšením</w:t>
            </w:r>
            <w:r>
              <w:t xml:space="preserve"> kapacit osob odpovědných za </w:t>
            </w:r>
            <w:r>
              <w:rPr>
                <w:b/>
                <w:i/>
              </w:rPr>
              <w:t>uznávání nebo nabídkou zvláštních opatření, přičemž je třeba zajistit kvalitu těchto postupů</w:t>
            </w:r>
            <w:r>
              <w:t>;</w:t>
            </w:r>
          </w:p>
        </w:tc>
        <w:tc>
          <w:tcPr>
            <w:tcW w:w="4876" w:type="dxa"/>
            <w:tcBorders>
              <w:top w:val="nil"/>
              <w:left w:val="nil"/>
              <w:bottom w:val="nil"/>
              <w:right w:val="nil"/>
            </w:tcBorders>
          </w:tcPr>
          <w:p>
            <w:pPr>
              <w:pStyle w:val="Normal6a"/>
            </w:pPr>
            <w:r>
              <w:t>22.</w:t>
            </w:r>
            <w:r>
              <w:tab/>
            </w:r>
            <w:r>
              <w:t xml:space="preserve">vyzývá </w:t>
            </w:r>
            <w:r>
              <w:rPr>
                <w:b/>
                <w:i/>
              </w:rPr>
              <w:t>Komisi a</w:t>
            </w:r>
            <w:r>
              <w:t xml:space="preserve"> členské státy, aby v souladu s doporučením Rady z roku 2012 </w:t>
            </w:r>
            <w:r>
              <w:rPr>
                <w:b/>
                <w:i/>
              </w:rPr>
              <w:t>vytvořily celounijní systém</w:t>
            </w:r>
            <w:r>
              <w:t xml:space="preserve"> uznávání neformálního a informálního učení; </w:t>
            </w:r>
            <w:r>
              <w:rPr>
                <w:b/>
                <w:i/>
              </w:rPr>
              <w:t>vybízí k</w:t>
            </w:r>
            <w:r>
              <w:t xml:space="preserve"> přizpůsobení těchto systémů tak, aby se </w:t>
            </w:r>
            <w:r>
              <w:rPr>
                <w:b/>
                <w:i/>
              </w:rPr>
              <w:t>vztahovaly i na mladé lidi, kteří nejsou zaměstnáni ani se neúčastní vzdělávání nebo odborné přípravy, zejména na ty, kteří jsou obtížně dosažitelní nebo zranitelní, a to zvýšením povědomí o postupech a jejich dostupnosti a posílením</w:t>
            </w:r>
            <w:r>
              <w:t xml:space="preserve"> kapacit osob odpovědných za </w:t>
            </w:r>
            <w:r>
              <w:rPr>
                <w:b/>
                <w:i/>
              </w:rPr>
              <w:t>validaci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zdůrazňuje potenciál mikrocertifikátů jako doplňkového nástroje k formálním systémům certifikace dovedností v rámci posílené záruky pro mladé lidi;</w:t>
            </w:r>
            <w:r>
              <w:t xml:space="preserve"> </w:t>
            </w:r>
            <w:r>
              <w:rPr>
                <w:b/>
                <w:i/>
              </w:rPr>
              <w:t>vyzývá Evropskou komisi a členské státy, aby vytvořily evropský referenční rámec pro mikrocertifikáty v odborném vzdělávání a přípravě, který by kombinoval stabilní úroveň – propojenou s vnitrostátními rejstříky kvalifikací a evropským rámcem kvalifikací – s dynamickou úrovní, kterou by bylo možné modernizovat podle nově vznikajících kvalifikačních profilů oznámených trhem práce;</w:t>
            </w:r>
            <w:r>
              <w:t xml:space="preserve"> </w:t>
            </w:r>
            <w:r>
              <w:rPr>
                <w:b/>
                <w:i/>
              </w:rPr>
              <w:t>zdůrazňuje, že mikrocertifikáty musí splňovat ověřitelné normy kvality, zahrnovat explicitní mechanismy uznávání zaměstnavatelů a být začleněny do vnitrostátních systémů identifikace, validace a certifikace dovedností;</w:t>
            </w:r>
            <w:r>
              <w:t xml:space="preserve"> </w:t>
            </w:r>
            <w:r>
              <w:rPr>
                <w:b/>
                <w:i/>
              </w:rPr>
              <w:t>vyzývá k tomu, aby údaje o navrhování, poskytování, používání a uznávání mikrocertifikátů byly systematicky shromažďovány a analyzovány na evropské úrovni jako nástroj pro získávání informací o trhu práce a pro posuzování relevantnosti systémů odborné přípravy;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vyzývá Komisi a členské státy, aby vybavily mladé lidi, kteří nejsou zaměstnaní ani se neúčastní vzdělávání nebo odborné přípravy, smysluplnou účastí na ekologické a digitální transformaci prostřednictvím horizontálně integrovaného rozvoje dovedností a rekvalifikace v rámci záruk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zdůrazňuje, že záruky pro mladé lidi nemohou dosáhnout svých cílů bez účinného řešení nedostatků v základních dovednostech a digitální propasti;</w:t>
            </w:r>
            <w:r>
              <w:t xml:space="preserve"> </w:t>
            </w:r>
            <w:r>
              <w:rPr>
                <w:b/>
                <w:i/>
              </w:rPr>
              <w:t>vyzývá Komisi a členské státy, aby přijaly koordinovaná opatření k odstranění přetrvávajících nedostatků ve funkční matematické gramotnosti, gramotnosti a digitálních dovednostech, které mladým lidem brání v přístupu ke kvalitnímu vzdělávání, odborné přípravě a zaměstnání;</w:t>
            </w:r>
            <w:r>
              <w:t xml:space="preserve"> </w:t>
            </w:r>
            <w:r>
              <w:rPr>
                <w:b/>
                <w:i/>
              </w:rPr>
              <w:t>naléhavě vyzývá členské státy, aby posílily inkluzivní a přístupné systémy vzdělávání a odborné přípravy se zvláštním zaměřením na včasnou intervenci a podporu osob ze znevýhodněného socioekonomického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vyzývá Komisi, aby provedla posouzení dopadu umělé inteligence na zaměstnanost mladých lidí a systémy záruk pro mladé lidi se zvláštním důrazem na nástupní pozice, jakož i na pracovní podmínky a podmínky zaměstnávání;</w:t>
            </w:r>
            <w:r>
              <w:t xml:space="preserve"> </w:t>
            </w:r>
            <w:r>
              <w:rPr>
                <w:b/>
                <w:i/>
              </w:rPr>
              <w:t>vyzývá v této souvislosti Komisi, aby ve všech nadcházejících iniciativách týkajících se umělé inteligence na pracovišti pečlivě zvážila situaci mladých pracovníků;</w:t>
            </w:r>
            <w:r>
              <w:t xml:space="preserve"> </w:t>
            </w:r>
            <w:r>
              <w:rPr>
                <w:b/>
                <w:i/>
              </w:rPr>
              <w:t>zdůrazňuje, že je třeba začlenit umělou inteligenci do učebních osnov vzdělávání a odborné přípravy s cílem připravit mladé lidi na trh práce v digitálním věku;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vyzývá členské státy, aby nalezly novou rovnováhu v rámci nabídek poskytovaných na základě systémů záruk pro mladé lidi směrem k rozvoji dovedností tím, že sníží spoléhání se na zaměstnanost a dotovaná pracovní místa coby standardní opatření;</w:t>
            </w:r>
          </w:p>
        </w:tc>
        <w:tc>
          <w:tcPr>
            <w:tcW w:w="4876" w:type="dxa"/>
            <w:tcBorders>
              <w:top w:val="nil"/>
              <w:left w:val="nil"/>
              <w:bottom w:val="nil"/>
              <w:right w:val="nil"/>
            </w:tcBorders>
          </w:tcPr>
          <w:p>
            <w:pPr>
              <w:pStyle w:val="Normal6a"/>
            </w:pPr>
            <w:r>
              <w:t>23.</w:t>
            </w:r>
            <w:r>
              <w:tab/>
            </w:r>
            <w:r>
              <w:t xml:space="preserve">vyzývá členské státy, aby nalezly novou rovnováhu v rámci nabídek poskytovaných na základě systémů záruk pro mladé lidi směrem k rozvoji dovedností tím, že sníží spoléhání se na zaměstnanost a dotovaná pracovní místa coby standardní opatření; </w:t>
            </w:r>
            <w:r>
              <w:rPr>
                <w:b/>
                <w:i/>
              </w:rPr>
              <w:t>připomíná, že volba mezi čtyřmi hlavními kategoriemi nabídek musí vycházet z individuálních ambicí a potřeb příjemců;</w:t>
            </w:r>
            <w:r>
              <w:t xml:space="preserve"> </w:t>
            </w:r>
            <w:r>
              <w:rPr>
                <w:b/>
                <w:i/>
              </w:rPr>
              <w:t>zastává názor, že stáže a učňovská příprava v rámci systémů záruk pro mladé lidi by měly být spojeny s náborovými závazky a že by bylo přínosné rozšířit nabídky vzdělávání nad rámec věkové skupiny 15–18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vyzývá členské státy, aby nalezly novou rovnováhu v rámci nabídek poskytovaných na základě systémů záruk pro mladé lidi směrem k rozvoji dovedností tím, že sníží spoléhání se na </w:t>
            </w:r>
            <w:r>
              <w:rPr>
                <w:b/>
                <w:i/>
              </w:rPr>
              <w:t>zaměstnanost a dotovaná pracovní místa</w:t>
            </w:r>
            <w:r>
              <w:t xml:space="preserve"> coby standardní opatření;</w:t>
            </w:r>
          </w:p>
        </w:tc>
        <w:tc>
          <w:tcPr>
            <w:tcW w:w="4876" w:type="dxa"/>
            <w:tcBorders>
              <w:top w:val="nil"/>
              <w:left w:val="nil"/>
              <w:bottom w:val="nil"/>
              <w:right w:val="nil"/>
            </w:tcBorders>
          </w:tcPr>
          <w:p>
            <w:pPr>
              <w:pStyle w:val="Normal6a"/>
            </w:pPr>
            <w:r>
              <w:t>23.</w:t>
            </w:r>
            <w:r>
              <w:tab/>
            </w:r>
            <w:r>
              <w:t>vyzývá členské státy, aby nalezly novou rovnováhu v rámci nabídek poskytovaných na základě systémů záruk pro mladé lidi směrem k rozvoji </w:t>
            </w:r>
            <w:r>
              <w:rPr>
                <w:b/>
                <w:i/>
              </w:rPr>
              <w:t>udržitelných</w:t>
            </w:r>
            <w:r>
              <w:t xml:space="preserve"> dovedností tím, že sníží spoléhání se na </w:t>
            </w:r>
            <w:r>
              <w:rPr>
                <w:b/>
                <w:i/>
              </w:rPr>
              <w:t>umístění na primárním trhu práce prostřednictvím zaměstnanosti a dotovaných pracovních míst</w:t>
            </w:r>
            <w:r>
              <w:t xml:space="preserve"> coby standardní opatření </w:t>
            </w:r>
            <w:r>
              <w:rPr>
                <w:b/>
                <w:i/>
              </w:rPr>
              <w:t>a místo toho podpoří dlouhodobou zaměstnatelnost prostřednictvím kvalitního vzdělávání, včetně duševní odolnosti a odolnosti umělé inteligence, vysoce kvalitní a spravedlivě placené učňovské přípravy a stáží a systémů, které motivují zaměstnavatele k přijetí následného zaměstnání, jako jsou poukázky na stáže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vyzývá členské státy, aby nalezly novou rovnováhu v rámci nabídek poskytovaných na základě systémů záruk pro mladé lidi směrem k rozvoji dovedností tím, že sníží spoléhání se na zaměstnanost a dotovaná pracovní místa coby standardní opatření;</w:t>
            </w:r>
          </w:p>
        </w:tc>
        <w:tc>
          <w:tcPr>
            <w:tcW w:w="4876" w:type="dxa"/>
            <w:tcBorders>
              <w:top w:val="nil"/>
              <w:left w:val="nil"/>
              <w:bottom w:val="nil"/>
              <w:right w:val="nil"/>
            </w:tcBorders>
          </w:tcPr>
          <w:p>
            <w:pPr>
              <w:pStyle w:val="Normal6a"/>
            </w:pPr>
            <w:r>
              <w:t>23.</w:t>
            </w:r>
            <w:r>
              <w:tab/>
            </w:r>
            <w:r>
              <w:t xml:space="preserve">vyzývá členské státy, aby nalezly novou rovnováhu v rámci nabídek poskytovaných na základě systémů záruk pro mladé lidi směrem k rozvoji dovedností tím, že sníží spoléhání se na zaměstnanost a dotovaná pracovní místa coby standardní opatření; </w:t>
            </w:r>
            <w:r>
              <w:rPr>
                <w:b/>
                <w:i/>
              </w:rPr>
              <w:t>zdůrazňuje, že je třeba upřednostnit vysoce kvalitní odbornou přípravu a profesní dráhy, které vybaví mladé lidi dovednostmi, po nichž je na trhu práce poptávka, zejména v technických, digitálních a průmyslových odvětvích, kde v mnoha členských státech přetrvává nedostatek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vyzývá členské státy, aby </w:t>
            </w:r>
            <w:r>
              <w:rPr>
                <w:b/>
                <w:i/>
              </w:rPr>
              <w:t>nalezly novou rovnováhu</w:t>
            </w:r>
            <w:r>
              <w:t xml:space="preserve"> v rámci </w:t>
            </w:r>
            <w:r>
              <w:rPr>
                <w:b/>
                <w:i/>
              </w:rPr>
              <w:t>nabídek poskytovaných na základě systémů</w:t>
            </w:r>
            <w:r>
              <w:t xml:space="preserve"> záruk pro mladé lidi </w:t>
            </w:r>
            <w:r>
              <w:rPr>
                <w:b/>
                <w:i/>
              </w:rPr>
              <w:t>směrem k rozvoji</w:t>
            </w:r>
            <w:r>
              <w:t xml:space="preserve"> dovedností </w:t>
            </w:r>
            <w:r>
              <w:rPr>
                <w:b/>
                <w:i/>
              </w:rPr>
              <w:t>tím, že sníží spoléhání</w:t>
            </w:r>
            <w:r>
              <w:t xml:space="preserve"> se na </w:t>
            </w:r>
            <w:r>
              <w:rPr>
                <w:b/>
                <w:i/>
              </w:rPr>
              <w:t>zaměstnanost a dotovaná pracovní místa coby standardní opatření</w:t>
            </w:r>
            <w:r>
              <w:t>;</w:t>
            </w:r>
          </w:p>
        </w:tc>
        <w:tc>
          <w:tcPr>
            <w:tcW w:w="4876" w:type="dxa"/>
            <w:tcBorders>
              <w:top w:val="nil"/>
              <w:left w:val="nil"/>
              <w:bottom w:val="nil"/>
              <w:right w:val="nil"/>
            </w:tcBorders>
          </w:tcPr>
          <w:p>
            <w:pPr>
              <w:pStyle w:val="Normal6a"/>
            </w:pPr>
            <w:r>
              <w:t>23.</w:t>
            </w:r>
            <w:r>
              <w:tab/>
            </w:r>
            <w:r>
              <w:t xml:space="preserve">vyzývá členské státy, aby v rámci </w:t>
            </w:r>
            <w:r>
              <w:rPr>
                <w:b/>
                <w:i/>
              </w:rPr>
              <w:t>režimů</w:t>
            </w:r>
            <w:r>
              <w:t xml:space="preserve"> záruk pro mladé lidi </w:t>
            </w:r>
            <w:r>
              <w:rPr>
                <w:b/>
                <w:i/>
              </w:rPr>
              <w:t>zajistily dostatečné poskytování nabídek rozvoje</w:t>
            </w:r>
            <w:r>
              <w:t xml:space="preserve"> dovedností </w:t>
            </w:r>
            <w:r>
              <w:rPr>
                <w:b/>
                <w:i/>
              </w:rPr>
              <w:t>v kombinaci se zaměstnaností a dotovanými pracovními místy;</w:t>
            </w:r>
            <w:r>
              <w:t xml:space="preserve"> </w:t>
            </w:r>
            <w:r>
              <w:rPr>
                <w:b/>
                <w:i/>
              </w:rPr>
              <w:t>vyzývá členské státy, aby zajistily, že stáže nabízené v rámci programu záruk pro mladé lidi, včetně stáží nabízených v rámci aktivních politik na trhu práce, budou v souladu s právem Unie vztahujícím</w:t>
            </w:r>
            <w:r>
              <w:t xml:space="preserve"> se na </w:t>
            </w:r>
            <w:r>
              <w:rPr>
                <w:b/>
                <w:i/>
              </w:rPr>
              <w:t>pracovníky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vyzývá členské státy, aby nalezly novou rovnováhu v rámci nabídek poskytovaných na základě systémů záruk pro mladé lidi směrem k rozvoji dovedností </w:t>
            </w:r>
            <w:r>
              <w:rPr>
                <w:b/>
                <w:i/>
              </w:rPr>
              <w:t>tím, že sníží spoléhání se na zaměstnanost a dotovaná</w:t>
            </w:r>
            <w:r>
              <w:t xml:space="preserve"> pracovní místa </w:t>
            </w:r>
            <w:r>
              <w:rPr>
                <w:b/>
                <w:i/>
              </w:rPr>
              <w:t>coby standardní opatření</w:t>
            </w:r>
            <w:r>
              <w:t>;</w:t>
            </w:r>
          </w:p>
        </w:tc>
        <w:tc>
          <w:tcPr>
            <w:tcW w:w="4876" w:type="dxa"/>
            <w:tcBorders>
              <w:top w:val="nil"/>
              <w:left w:val="nil"/>
              <w:bottom w:val="nil"/>
              <w:right w:val="nil"/>
            </w:tcBorders>
          </w:tcPr>
          <w:p>
            <w:pPr>
              <w:pStyle w:val="Normal6a"/>
            </w:pPr>
            <w:r>
              <w:t>23.</w:t>
            </w:r>
            <w:r>
              <w:tab/>
            </w:r>
            <w:r>
              <w:t xml:space="preserve">vyzývá členské státy, aby nalezly novou rovnováhu v rámci nabídek poskytovaných na základě systémů záruk pro mladé lidi směrem k rozvoji dovedností </w:t>
            </w:r>
            <w:r>
              <w:rPr>
                <w:b/>
                <w:i/>
              </w:rPr>
              <w:t>a zajistily kvalitní</w:t>
            </w:r>
            <w:r>
              <w:t xml:space="preserve"> pracovní místa</w:t>
            </w:r>
            <w:r>
              <w:rPr>
                <w:b/>
                <w:i/>
              </w:rPr>
              <w:t>, která jsou stabilní, plně odměňovaná a s plnými pracovními a sociálními právy</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vyzývá členské státy, aby </w:t>
            </w:r>
            <w:r>
              <w:rPr>
                <w:b/>
                <w:i/>
              </w:rPr>
              <w:t>nalezly novou rovnováhu v rámci</w:t>
            </w:r>
            <w:r>
              <w:t xml:space="preserve"> nabídek poskytovaných na základě systémů záruk pro mladé lidi </w:t>
            </w:r>
            <w:r>
              <w:rPr>
                <w:b/>
                <w:i/>
              </w:rPr>
              <w:t>směrem</w:t>
            </w:r>
            <w:r>
              <w:t xml:space="preserve"> k rozvoji dovedností </w:t>
            </w:r>
            <w:r>
              <w:rPr>
                <w:b/>
                <w:i/>
              </w:rPr>
              <w:t>tím, že sníží spoléhání se na zaměstnanost a dotovaná pracovní místa coby standardní opatření</w:t>
            </w:r>
            <w:r>
              <w:t>;</w:t>
            </w:r>
          </w:p>
        </w:tc>
        <w:tc>
          <w:tcPr>
            <w:tcW w:w="4876" w:type="dxa"/>
            <w:tcBorders>
              <w:top w:val="nil"/>
              <w:left w:val="nil"/>
              <w:bottom w:val="nil"/>
              <w:right w:val="nil"/>
            </w:tcBorders>
          </w:tcPr>
          <w:p>
            <w:pPr>
              <w:pStyle w:val="Normal6a"/>
            </w:pPr>
            <w:r>
              <w:t>23.</w:t>
            </w:r>
            <w:r>
              <w:tab/>
            </w:r>
            <w:r>
              <w:t xml:space="preserve">vyzývá členské státy, aby </w:t>
            </w:r>
            <w:r>
              <w:rPr>
                <w:b/>
                <w:i/>
              </w:rPr>
              <w:t>posílily kvalitu</w:t>
            </w:r>
            <w:r>
              <w:t xml:space="preserve"> nabídek poskytovaných na základě systémů záruk pro mladé lidi </w:t>
            </w:r>
            <w:r>
              <w:rPr>
                <w:b/>
                <w:i/>
              </w:rPr>
              <w:t>zlepšením přístupu</w:t>
            </w:r>
            <w:r>
              <w:t xml:space="preserve"> k rozvoji dovedností </w:t>
            </w:r>
            <w:r>
              <w:rPr>
                <w:b/>
                <w:i/>
              </w:rPr>
              <w:t>a možnostem odborné přípravy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zdůrazňuje význam cílených a monitorovaných pobídek, jako jsou mzdové dotace, pro zvýšení účasti zranitelných osob NEET na trhu práce;</w:t>
            </w:r>
            <w:r>
              <w:t xml:space="preserve"> </w:t>
            </w:r>
            <w:r>
              <w:rPr>
                <w:b/>
                <w:i/>
              </w:rPr>
              <w:t>doporučuje provést ex ante a ex post analýzu finančních pobídek poskytovaných zaměstnavatelům s cílem zabránit dotování pracovních míst, která by existovala bez veřejné podpory, a zajistit, aby umísťování v rámci režimů záruk pro mladé lidi nenahrazovalo smlouvy na dobu neurčitou;</w:t>
            </w:r>
            <w:r>
              <w:t xml:space="preserve"> </w:t>
            </w:r>
            <w:r>
              <w:rPr>
                <w:b/>
                <w:i/>
              </w:rPr>
              <w:t>zdůrazňuje sociální odpovědnost podniků, která by měla zahrnovat také opatření pro osoby, které nejsou zaměstnané ani se neúčastní vzdělávání nebo odborné přípravy, a partnerství se školami s cílem seznámit mladé lidi s různými kariérními příležitostmi;</w:t>
            </w:r>
            <w:r>
              <w:t xml:space="preserve"> </w:t>
            </w:r>
            <w:r>
              <w:rPr>
                <w:b/>
                <w:i/>
              </w:rPr>
              <w:t>zdůrazňuje, že je třeba pomáhat malým a středním podnikům, které potřebují více informací a podpory, aby se mohly zapojit do systémů záruk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zdůrazňuje, že je důležité podporovat a zajišťovat rovné uznávání a integraci učňovské přípravy a odborného vzdělávání a přípravy do vzdělávacích systémů v souladu s Evropským rámcem pro kvalitní a efektivní učňovskou přípravu;</w:t>
            </w:r>
            <w:r>
              <w:t xml:space="preserve"> </w:t>
            </w:r>
            <w:r>
              <w:rPr>
                <w:b/>
                <w:i/>
              </w:rPr>
              <w:t>zdůrazňuje jejich klíčovou úlohu při podpoře profesního rozvoje mladých lidí a při řešení nedostatku kvalifikovaných pracovníků a nesouladu mezi nabízenými a požadovanými dovednostmi na trhu práce;</w:t>
            </w:r>
            <w:r>
              <w:t xml:space="preserve"> </w:t>
            </w:r>
            <w:r>
              <w:rPr>
                <w:b/>
                <w:i/>
              </w:rPr>
              <w:t>vyzývá členské státy, aby aktivně podporovaly a rozšiřovaly přístup k vysoce kvalitní učňovské přípravě a odbornému vzdělávání a přípravě prostřednictvím nabídek programů pro mladé lidi s cílem zvýšit účast účast NEET v těchto programech;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vyzývá členské státy, aby zajistily postupnou personalizaci odborné přípravy anebo kvalitních pracovních nabídek v rámci systémů záruk pro mladé lidi, aby byly schopny oslovit nejzranitelnější anebo neaktivní skupiny, zejména mladé obyvatele odlehlých oblastí ve znevýhodněných regionech;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Maravillas Abadía Jover,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naléhavě vyzývá členské státy, aby neupřednostňovaly kvantitativní cíle (rychlé umísťování do zaměstnání) před kritérii kvality zaměřenými na dlouhodobé kariérní vyhlídky, přístup k odborné přípravě a příležitosti k hospodářskému pokroku;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vyzývá členské státy, aby zajistily, že nabídky stáží v rámci záruk pro mladé lidi zaručí rovné zacházení v pracovních podmínkách, včetně odměňování a sociální ochrany, a budou přístupné a přizpůsobené individuálním potřebám osob NEET, včetně osob ve zranitelném postavení, které čelí dalším překážkám, jako je zdravotní postižení, zdravotní stav nebo pečovatelské povinnosti;</w:t>
            </w:r>
            <w:r>
              <w:t xml:space="preserve"> </w:t>
            </w:r>
            <w:r>
              <w:rPr>
                <w:b/>
                <w:i/>
              </w:rPr>
              <w:t>zdůrazňuje, že je třeba zajistit, aby žádná stáž v rámci záruk pro mladé lidi nepřispívala k sociálnímu dumpingu, mzdovému dumpingu nebo chudobě pracujících mladých lidí a aby všechny nabídky byly navrženy a provedeny tak, aby byla zajištěna dostupnost a inkluzivnost;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naléhavě vyzývá členské státy, aby podporovaly hospodářský pokrok a udržitelnou a dlouhodobou kariéru;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vyzývá členské státy, aby zajistily, aby se odborná příprava a vzdělávání v oblasti záruk pro mladé lidi nezaměřovaly na statické pracovní profily, ale na průřezové „lidské dovednosti“, kritické myšlení, kreativitu, emoční inteligenci a interpersonální schopnosti, které umělá inteligence nemůže nahradit;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Niels Geuking, Pascal Arimont,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23d.</w:t>
            </w:r>
            <w:r>
              <w:tab/>
            </w:r>
            <w:r>
              <w:rPr>
                <w:b/>
                <w:i/>
              </w:rPr>
              <w:t>vyzývá k přístupné vzdělávací mobilitě pro mladé lidi s cílem podpořit celoživotní učení;</w:t>
            </w:r>
            <w:r>
              <w:t xml:space="preserve"> </w:t>
            </w:r>
            <w:r>
              <w:rPr>
                <w:b/>
                <w:i/>
              </w:rPr>
              <w:t>naléhavě vyzývá k cílenému financování s cílem oslovit a zapojit osoby s omezenými příležitostmi, zejména osoby NEET, které jsou často přehlíženy obecnými opatřeními v oblasti začleňování;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23e.</w:t>
            </w:r>
            <w:r>
              <w:tab/>
            </w:r>
            <w:r>
              <w:rPr>
                <w:b/>
                <w:i/>
              </w:rPr>
              <w:t>vyzývá členské státy, aby zavedly nebo rozšířily granty na podporu mobility mladých lidí, kteří se účastní vzdělávání, učňovské přípravy nebo odborné přípravy v jiných regionech, než je jejich místo bydliště;</w:t>
            </w:r>
            <w:r>
              <w:t xml:space="preserve"> </w:t>
            </w:r>
            <w:r>
              <w:rPr>
                <w:b/>
                <w:i/>
              </w:rPr>
              <w:t>konstatuje, že jak ukazují vnitrostátní osvědčené postupy, grant na mobilitu může pokrývat až dvě měsíční zpáteční cesty do domova rodiny během prvního roku odborné přípravy, čímž se podpoří geografická mobilita, sníží regionální rozdíly v poskytování odborné přípravy a zvýší účast na vysoce kvalitních programech odborného vzdělávání a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Niels Geuking, Romana Tomc,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23f.</w:t>
            </w:r>
            <w:r>
              <w:tab/>
            </w:r>
            <w:r>
              <w:rPr>
                <w:b/>
                <w:i/>
              </w:rPr>
              <w:t>vybízí členské státy, aby zavedly „fiskální bonusy za dokončení“ pro mladé lidi, kteří úspěšně dokončí učňovskou přípravu, stáže nebo certifikované programy odborného vzdělávání a přípravy, jako pobídku ke snížení míry předčasného ukončování školní docházky a k podpoře dosažení kvalifikace;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23g.</w:t>
            </w:r>
            <w:r>
              <w:tab/>
            </w:r>
            <w:r>
              <w:rPr>
                <w:b/>
                <w:i/>
              </w:rPr>
              <w:t>vyzývá Komisi a členské státy, aby zmírnily tlak na trh s bydlením tím, že poskytnou pobídky pro výstavbu sociálně dostupného bydlení pro mladé lidi do 30 let, „bydlení pro mladé lidi“, a to na základě norem inkluzivního a univerzálního designu;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doporučuje vytvořit pátou složku pro programy záruk pro mladé lidi, která se zaměří na dobrovolnické příležitosti;</w:t>
            </w:r>
            <w:r>
              <w:t xml:space="preserve"> </w:t>
            </w:r>
            <w:r>
              <w:rPr>
                <w:b/>
                <w:i/>
              </w:rPr>
              <w:t>zdůrazňuje, že dobrovolnictví má potenciál zlepšit dovednosti a uplatnitelnost na trhu práce mladých lidí ze skupiny NEET a flexibilněji se přizpůsobit potřebám zranitelných mladých lidí;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doporučuje vytvořit pátou složku pro programy záruk pro mladé lidi, která se zaměří na dobrovolnické příležitosti;</w:t>
            </w:r>
            <w:r>
              <w:t xml:space="preserve"> </w:t>
            </w:r>
            <w:r>
              <w:rPr>
                <w:b/>
                <w:i/>
              </w:rPr>
              <w:t>zdůrazňuje, že dobrovolnictví má potenciál zlepšit dovednosti a uplatnitelnost na trhu práce mladých lidí ze skupiny NEET a flexibilněji se přizpůsobit potřebám zranitelných mladých lidí;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doporučuje vytvořit pátou složku pro programy záruk pro mladé lidi, která se zaměří na dobrovolnické příležitosti;</w:t>
            </w:r>
            <w:r>
              <w:t xml:space="preserve"> </w:t>
            </w:r>
            <w:r>
              <w:rPr>
                <w:b/>
                <w:i/>
              </w:rPr>
              <w:t>zdůrazňuje, že dobrovolnictví má potenciál zlepšit dovednosti a uplatnitelnost na trhu práce mladých lidí ze skupiny NEET a flexibilněji se přizpůsobit potřebám zranitelných mladých lidí;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doporučuje vytvořit pátou složku pro programy záruk pro mladé lidi, která se zaměří na dobrovolnické příležitosti;</w:t>
            </w:r>
            <w:r>
              <w:t xml:space="preserve"> </w:t>
            </w:r>
            <w:r>
              <w:rPr>
                <w:b/>
                <w:i/>
              </w:rPr>
              <w:t>zdůrazňuje, že dobrovolnictví má potenciál zlepšit dovednosti a uplatnitelnost na trhu práce mladých lidí ze skupiny NEET a flexibilněji se přizpůsobit potřebám zranitelných mladých lidí;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doporučuje vytvořit pátou složku pro programy záruk pro mladé lidi, která se zaměří na dobrovolnické příležitosti;</w:t>
            </w:r>
            <w:r>
              <w:t xml:space="preserve"> </w:t>
            </w:r>
            <w:r>
              <w:rPr>
                <w:b/>
                <w:i/>
              </w:rPr>
              <w:t>zdůrazňuje, že dobrovolnictví má potenciál zlepšit dovednosti a uplatnitelnost na trhu práce mladých lidí ze skupiny NEET a flexibilněji se přizpůsobit potřebám zranitelných mladých lidí;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doporučuje vytvořit pátou složku pro programy záruk pro mladé lidi, která se zaměří na dobrovolnické příležitosti; zdůrazňuje, že dobrovolnictví má potenciál zlepšit dovednosti a uplatnitelnost na trhu práce mladých lidí ze skupiny NEET a flexibilněji se přizpůsobit potřebám zranitelných mladých lidí;</w:t>
            </w:r>
          </w:p>
        </w:tc>
        <w:tc>
          <w:tcPr>
            <w:tcW w:w="4876" w:type="dxa"/>
            <w:tcBorders>
              <w:top w:val="nil"/>
              <w:left w:val="nil"/>
              <w:bottom w:val="nil"/>
              <w:right w:val="nil"/>
            </w:tcBorders>
          </w:tcPr>
          <w:p>
            <w:pPr>
              <w:pStyle w:val="Normal6a"/>
            </w:pPr>
            <w:r>
              <w:t>24.</w:t>
            </w:r>
            <w:r>
              <w:tab/>
            </w:r>
            <w:r>
              <w:t xml:space="preserve">doporučuje vytvořit pátou složku pro programy záruk pro mladé lidi, která se zaměří na dobrovolnické příležitosti; zdůrazňuje, že dobrovolnictví má potenciál zlepšit dovednosti a uplatnitelnost na trhu práce mladých lidí ze skupiny NEET a flexibilněji se přizpůsobit potřebám zranitelných mladých lidí; </w:t>
            </w:r>
            <w:r>
              <w:rPr>
                <w:b/>
                <w:i/>
              </w:rPr>
              <w:t>domnívá se, že začlenění příležitostí k dobrovolnické činnosti do programů záruk pro mladé lidi by mohlo být dosaženo vytvořením synergií s Evropským sborem solidarity;</w:t>
            </w:r>
            <w:r>
              <w:t xml:space="preserve"> </w:t>
            </w:r>
            <w:r>
              <w:rPr>
                <w:b/>
                <w:i/>
              </w:rPr>
              <w:t>domnívá se, že tyto příležitosti k dobrovolnické činnosti by měly být doprovázeny dodatečnými zdroji pro poskytovatele programů pro mladé lidi na realizaci těchto nových příležitostí a na zajištění toho, aby stávající finanční prostředky na příležitosti v oblasti zaměstnanosti a odborné přípravy nebyly přerozdělovány;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doporučuje vytvořit pátou složku pro programy záruk pro mladé lidi, která se zaměří na dobrovolnické příležitosti; zdůrazňuje, že dobrovolnictví má potenciál zlepšit dovednosti a uplatnitelnost na trhu práce mladých lidí ze skupiny NEET a flexibilněji se přizpůsobit potřebám zranitelných mladých lidí;</w:t>
            </w:r>
          </w:p>
        </w:tc>
        <w:tc>
          <w:tcPr>
            <w:tcW w:w="4876" w:type="dxa"/>
            <w:tcBorders>
              <w:top w:val="nil"/>
              <w:left w:val="nil"/>
              <w:bottom w:val="nil"/>
              <w:right w:val="nil"/>
            </w:tcBorders>
          </w:tcPr>
          <w:p>
            <w:pPr>
              <w:pStyle w:val="Normal6a"/>
            </w:pPr>
            <w:r>
              <w:t>24.</w:t>
            </w:r>
            <w:r>
              <w:tab/>
            </w:r>
            <w:r>
              <w:t xml:space="preserve">doporučuje vytvořit pátou složku pro programy záruk pro mladé lidi, která se zaměří na dobrovolnické příležitosti </w:t>
            </w:r>
            <w:r>
              <w:rPr>
                <w:b/>
                <w:i/>
              </w:rPr>
              <w:t>ve spojení s Evropským sborem solidarity a programem Erasmus+</w:t>
            </w:r>
            <w:r>
              <w:t>; zdůrazňuje, že dobrovolnictví má potenciál zlepšit dovednosti a uplatnitelnost na trhu práce mladých lidí ze skupiny NEET a flexibilněji se přizpůsobit potřebám zranitelných mladých lidí;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zdůrazňuje, že je třeba vyvinout větší úsilí o provádění inkluzivní složky v rámci záruk pro mladé lidi;</w:t>
            </w:r>
            <w:r>
              <w:t xml:space="preserve"> </w:t>
            </w:r>
            <w:r>
              <w:rPr>
                <w:b/>
                <w:i/>
              </w:rPr>
              <w:t>vyzývá členské státy, aby šly příkladem a podporovaly nábor zranitelných osob NEET ve veřejné správě;</w:t>
            </w:r>
            <w:r>
              <w:t xml:space="preserve"> </w:t>
            </w:r>
            <w:r>
              <w:rPr>
                <w:b/>
                <w:i/>
              </w:rPr>
              <w:t>vybízí členské státy, aby příjemcům přidělily specializovaného správce případů na základě smlouvy na dobu neurčitou a aby v co největší míře rozvíjely smysluplnou individuální spolupráci s cílem účinně poskytovat nezbytné a vhodné služby po celou dobu trvání programu;</w:t>
            </w:r>
            <w:r>
              <w:t xml:space="preserve"> </w:t>
            </w:r>
            <w:r>
              <w:rPr>
                <w:b/>
                <w:i/>
              </w:rPr>
              <w:t>vyzývá Komisi a členské státy, aby konzultovaly a zvýšily smysluplnou účast mladých lidí na navrhování intervenčních modelů, které jsou na ně zaměřeny, a na hodnocení provádění záruk pro mladé lidi;</w:t>
            </w:r>
            <w:r>
              <w:t xml:space="preserve"> </w:t>
            </w:r>
            <w:r>
              <w:rPr>
                <w:b/>
                <w:i/>
              </w:rPr>
              <w:t>zdůrazňuje, že je důležité provádět strategie Unie rovnosti průřezovým způsobem a bojovat proti diskriminaci a stigmatizaci s cílem vytvořit nezbytný rámec pro začlenění mladých lidí, kteří nejsou zaměstnáni ani se neúčastní vzdělávání nebo odborné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vyzývá členské státy, aby posílily informační opatření zaměřená na zranitelné osoby, které nejsou zaměstnané ani se neúčastní vzdělávání nebo odborné přípravy, na vnitrostátní a místní úrovni a uznaly, že odrazení pracovníci a osoby s pečovatelskými povinnostmi vyžadují zásadně odlišné strategie zapojení než krátkodobě nezaměstnaní mladí lidé, a aby z aktivace této skupiny učinily hlavní prioritu provádění svých záruk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vyzývá EU a členské státy, aby zakázaly neplacené stáže;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vyzývá členské státy, aby přijaly cílené přístupy pro konkrétní podskupiny osob, které nejsou zaměstnané ani se neúčastní vzdělávání nebo odborné přípravy, jako jsou ženy, mladí lidé ve venkovských oblastech, mladí lidé se zdravotním postižením, mladí lidé žijící v ústavech a Romové, včetně systémů zaměstnanosti v kombinaci s odbornou přípravou;</w:t>
            </w:r>
            <w:r>
              <w:t xml:space="preserve"> </w:t>
            </w:r>
            <w:r>
              <w:rPr>
                <w:b/>
                <w:i/>
              </w:rPr>
              <w:t>zdůrazňuje význam zvláštních programů pro mladé lidi, kteří nejsou zaměstnaní ani se neúčastní vzdělávání nebo odborné přípravy, kteří se vracejí do této kategorie, s cílem prolomit kruh zranitelnosti a pomoci mladým lidem trvale opustit systémy záruk pro mladé lidi;</w:t>
            </w:r>
            <w:r>
              <w:t xml:space="preserve"> </w:t>
            </w:r>
            <w:r>
              <w:rPr>
                <w:b/>
                <w:i/>
              </w:rPr>
              <w:t>domnívá se, že tyto zásahy musí zohledňovat pohlaví, socioekonomický status, duševní zdraví a původ příjemců, aby bylo možné na ně odpovídajícím způsobem reagovat;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uznává, že Evropská záruka pro děti je účinným nástrojem v boji proti dětské chudobě a vyloučení tím, že zajišťuje všem dětem přístup ke zdravotní péči, vzdělávání, výživě a bydlení;</w:t>
            </w:r>
            <w:r>
              <w:t xml:space="preserve"> </w:t>
            </w:r>
            <w:r>
              <w:rPr>
                <w:b/>
                <w:i/>
              </w:rPr>
              <w:t>pokud by byla plně provedena, mohla by změnit nespočet životů a poskytnout každému dítěti spravedlivý start;</w:t>
            </w:r>
            <w:r>
              <w:t xml:space="preserve"> </w:t>
            </w:r>
            <w:r>
              <w:rPr>
                <w:b/>
                <w:i/>
              </w:rPr>
              <w:t>vyzývá v této souvislosti k vytvoření plně financované Evropské záruky pro děti s rozpočtem ve výši nejméně 20 miliard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vyzývá EU, aby zakázala všechny formy „stážistů“, jejichž mzdy jsou nižší než platná minimální mzda;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se znepokojením konstatuje, že mladé matky čelí výrazně vyššímu riziku vyloučení z trhu práce a statusu NEET z důvodu nepřiměřených pečovatelských povinností;</w:t>
            </w:r>
            <w:r>
              <w:t xml:space="preserve"> </w:t>
            </w:r>
            <w:r>
              <w:rPr>
                <w:b/>
                <w:i/>
              </w:rPr>
              <w:t>vyzývá členské státy, aby poskytovaly cílenou a integrovanou podporu mladým matkám ohroženým chudobou, včetně matek samoživitelek, zejména poskytováním bezplatného nebo dotovaného předškolního vzdělávání a péče a přednostním přístupem k veřejným službám péče o děti;</w:t>
            </w:r>
            <w:r>
              <w:t xml:space="preserve"> </w:t>
            </w:r>
            <w:r>
              <w:rPr>
                <w:b/>
                <w:i/>
              </w:rPr>
              <w:t>dále vyzývá členské státy, aby vypracovaly individualizované aktivační cesty kombinující flexibilní a modulární formáty vzdělávání a odborné přípravy, včetně možností částečného a distančního vzdělávání, placených stáží a učňovské přípravy s pružným uspořádáním pracovní doby, jakož i mentoringu a služeb profesního poradenství;</w:t>
            </w:r>
            <w:r>
              <w:t xml:space="preserve"> </w:t>
            </w:r>
            <w:r>
              <w:rPr>
                <w:b/>
                <w:i/>
              </w:rPr>
              <w:t>zdůrazňuje, že cenově dostupné, přístupné a vysoce kvalitní předškolní vzdělávání a péče jsou předpokladem pro účinnou a udržitelnou účast mladých matek na vzdělávání a trhu práce a prolomení cyklů mezigenerační chudoby;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zdůrazňuje, že mentorství je účinným a nákladově efektivním intervenčním mechanismem, který může pomoci budovat odolnost a bojovat proti sociálnímu vyloučení mezi příjemci záruk pro mladé lidi;</w:t>
            </w:r>
            <w:r>
              <w:t xml:space="preserve"> </w:t>
            </w:r>
            <w:r>
              <w:rPr>
                <w:b/>
                <w:i/>
              </w:rPr>
              <w:t>vyzývá členské státy, aby v rámci svých programů záruk pro mladé lidi poskytovaly mentorskou podporu s cílem propojit vyškolené dobrovolníky s mladými příjemci na dobrovolném základě;</w:t>
            </w:r>
            <w:r>
              <w:t xml:space="preserve"> </w:t>
            </w:r>
            <w:r>
              <w:rPr>
                <w:b/>
                <w:i/>
              </w:rPr>
              <w:t>poukazuje na to, že toto mentorství by mělo být k dispozici před umístěním, během přípravné fáze, ale také po umístění, aby bylo zajištěno udržitelné začlenění;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24e.</w:t>
            </w:r>
            <w:r>
              <w:tab/>
            </w:r>
            <w:r>
              <w:rPr>
                <w:b/>
                <w:i/>
              </w:rPr>
              <w:t>vyzývá členské státy, aby zlepšily kvalitu nabídek lepším sladěním profilů mladých lidí, kteří nejsou zaměstnaní ani se neúčastní vzdělávání nebo odborné přípravy, s obdrženými nabídkami a zlepšením monitorování umístění pomocí ukazatelů kvality;</w:t>
            </w:r>
            <w:r>
              <w:t xml:space="preserve"> </w:t>
            </w:r>
            <w:r>
              <w:rPr>
                <w:b/>
                <w:i/>
              </w:rPr>
              <w:t>vyzývá členské státy, aby prozkoumaly možnost certifikace nebo značek kvality pro zaměstnavatele nebo organizace, které dodržují nebo překračují evropské nebo vnitrostátní rámce kvality;</w:t>
            </w:r>
            <w:r>
              <w:t xml:space="preserve"> </w:t>
            </w:r>
            <w:r>
              <w:rPr>
                <w:b/>
                <w:i/>
              </w:rPr>
              <w:t>zdůrazňuje, že je třeba vytvořit mechanismus varování po umístění pro poskytovatele a příjemce záruk pro mladé lidi a posílit kontroly prováděné inspektoráty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vyzývá Komisi, aby zavedla otevřenou metodu koordinace kvality nabídek v rámci záruk pro mladé lidi;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vyzývá Komisi, aby zavedla otevřenou metodu koordinace </w:t>
            </w:r>
            <w:r>
              <w:rPr>
                <w:b/>
                <w:i/>
              </w:rPr>
              <w:t>kvality</w:t>
            </w:r>
            <w:r>
              <w:t xml:space="preserve"> nabídek v rámci záruk pro mladé lidi;</w:t>
            </w:r>
          </w:p>
        </w:tc>
        <w:tc>
          <w:tcPr>
            <w:tcW w:w="4876" w:type="dxa"/>
            <w:tcBorders>
              <w:top w:val="nil"/>
              <w:left w:val="nil"/>
              <w:bottom w:val="nil"/>
              <w:right w:val="nil"/>
            </w:tcBorders>
          </w:tcPr>
          <w:p>
            <w:pPr>
              <w:pStyle w:val="Normal6a"/>
            </w:pPr>
            <w:r>
              <w:t>25.</w:t>
            </w:r>
            <w:r>
              <w:tab/>
            </w:r>
            <w:r>
              <w:t xml:space="preserve">vyzývá Komisi, aby zavedla otevřenou metodu koordinace </w:t>
            </w:r>
            <w:r>
              <w:rPr>
                <w:b/>
                <w:i/>
              </w:rPr>
              <w:t>a přijala závazné normy pro kvalitu</w:t>
            </w:r>
            <w:r>
              <w:t xml:space="preserve"> nabídek v rámci záruk pro mladé lidi; </w:t>
            </w:r>
            <w:r>
              <w:rPr>
                <w:b/>
                <w:i/>
              </w:rPr>
              <w:t>tyto normy by zahrnovaly kritéria, jako jsou: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spravedlivé odměňování na základě životního minima,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přístup k důstojným pracovním podmínkám a bezpečnému a zdravému pracovišti,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přístup k odborné přípravě a rozvoji dovedností a uznávání získaných dovedností,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transparentní informace a postupy,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poskytovatelé jsou způsobilí pouze tehdy, pokud nevyužívají veřejné finanční prostředky k nahrazení pracovních míst,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upřednostnění individualizovaných nabídek a přístup zaměřený na člověka,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silné sociální záchranné sítě a přístup k sociální ochraně,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propojení veřejného financování s dodržováním norem kvality,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nezávislé monitorování.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vyzývá Komisi, aby zavedla otevřenou metodu koordinace kvality nabídek v rámci záruk pro mladé lidi;</w:t>
            </w:r>
          </w:p>
        </w:tc>
        <w:tc>
          <w:tcPr>
            <w:tcW w:w="4876" w:type="dxa"/>
            <w:tcBorders>
              <w:top w:val="nil"/>
              <w:left w:val="nil"/>
              <w:bottom w:val="nil"/>
              <w:right w:val="nil"/>
            </w:tcBorders>
          </w:tcPr>
          <w:p>
            <w:pPr>
              <w:pStyle w:val="Normal6a"/>
            </w:pPr>
            <w:r>
              <w:t>25.</w:t>
            </w:r>
            <w:r>
              <w:tab/>
            </w:r>
            <w:r>
              <w:t xml:space="preserve">vyzývá Komisi, aby zavedla otevřenou metodu koordinace kvality nabídek v rámci záruk pro mladé lidi </w:t>
            </w:r>
            <w:r>
              <w:rPr>
                <w:b/>
                <w:i/>
              </w:rPr>
              <w:t>zaměřenou na posílení nebo vytvoření vnitrostátních a regionálních rámců v souladu s evropskými rámci, ale také na vytvoření evropského rámce kvality pro dobrovolnictví</w:t>
            </w:r>
            <w:r>
              <w:t xml:space="preserve">; </w:t>
            </w:r>
            <w:r>
              <w:rPr>
                <w:b/>
                <w:i/>
              </w:rPr>
              <w:t>vyzývá Komisi, aby do aktu o kvalitních pracovních místech zahrnula konkrétní opatření pro zaměstnanost mladých lidí, zejména s cílem zajistit udržitelnost nových forem práce, v nichž jsou mladí lidé nadměrně zastoupeni;</w:t>
            </w:r>
            <w:r>
              <w:t xml:space="preserve"> </w:t>
            </w:r>
            <w:r>
              <w:rPr>
                <w:b/>
                <w:i/>
              </w:rPr>
              <w:t>vyzývá k uzavření jednání o směrnici o stážích s cílem poskytnout jasný a spolehlivý rámec kvality stáží nabízených v rámci systémů záruk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vyzývá Komisi, aby zavedla otevřenou metodu koordinace kvality nabídek v rámci záruk pro mladé lidi;</w:t>
            </w:r>
          </w:p>
        </w:tc>
        <w:tc>
          <w:tcPr>
            <w:tcW w:w="4876" w:type="dxa"/>
            <w:tcBorders>
              <w:top w:val="nil"/>
              <w:left w:val="nil"/>
              <w:bottom w:val="nil"/>
              <w:right w:val="nil"/>
            </w:tcBorders>
          </w:tcPr>
          <w:p>
            <w:pPr>
              <w:pStyle w:val="Normal6a"/>
            </w:pPr>
            <w:r>
              <w:t>25.</w:t>
            </w:r>
            <w:r>
              <w:tab/>
            </w:r>
            <w:r>
              <w:t>vyzývá Komisi, aby zavedla otevřenou metodu koordinace kvality nabídek v rámci záruk pro mladé lidi</w:t>
            </w:r>
            <w:r>
              <w:rPr>
                <w:b/>
                <w:i/>
              </w:rPr>
              <w:t>, která se zaměří na vypracování společných ukazatelů, minimálních norem kvality, včetně spravedlivého odměňování na základě životního minima a přístupu k ochraně sociálního zabezpečení, a monitorovacích rámců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vyzývá Komisi</w:t>
            </w:r>
            <w:r>
              <w:rPr>
                <w:b/>
                <w:i/>
              </w:rPr>
              <w:t>, aby zavedla otevřenou metodu koordinace</w:t>
            </w:r>
            <w:r>
              <w:t xml:space="preserve"> kvality nabídek v rámci záruk pro mladé lidi;</w:t>
            </w:r>
          </w:p>
        </w:tc>
        <w:tc>
          <w:tcPr>
            <w:tcW w:w="4876" w:type="dxa"/>
            <w:tcBorders>
              <w:top w:val="nil"/>
              <w:left w:val="nil"/>
              <w:bottom w:val="nil"/>
              <w:right w:val="nil"/>
            </w:tcBorders>
          </w:tcPr>
          <w:p>
            <w:pPr>
              <w:pStyle w:val="Normal6a"/>
            </w:pPr>
            <w:r>
              <w:t>25.</w:t>
            </w:r>
            <w:r>
              <w:tab/>
            </w:r>
            <w:r>
              <w:t xml:space="preserve">vyzývá Komisi </w:t>
            </w:r>
            <w:r>
              <w:rPr>
                <w:b/>
                <w:i/>
              </w:rPr>
              <w:t>a členské státy, aby po konzultaci se sociálními partnery zajistily pravidelnou výměnu osvědčených postupů týkajících se účinných opatření ke zlepšení</w:t>
            </w:r>
            <w:r>
              <w:t xml:space="preserve"> kvality nabídek v rámci záruk pro mladé lidi </w:t>
            </w:r>
            <w:r>
              <w:rPr>
                <w:b/>
                <w:i/>
              </w:rPr>
              <w:t>a zajistily, aby poskytovaly stabilní most ke kvalitnímu vzdělávání, odborné přípravě nebo zaměstnání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vyzývá Komisi, aby zavedla otevřenou metodu koordinace kvality nabídek v rámci záruk pro mladé lidi;</w:t>
            </w:r>
          </w:p>
        </w:tc>
        <w:tc>
          <w:tcPr>
            <w:tcW w:w="4876" w:type="dxa"/>
            <w:tcBorders>
              <w:top w:val="nil"/>
              <w:left w:val="nil"/>
              <w:bottom w:val="nil"/>
              <w:right w:val="nil"/>
            </w:tcBorders>
          </w:tcPr>
          <w:p>
            <w:pPr>
              <w:pStyle w:val="Normal6a"/>
            </w:pPr>
            <w:r>
              <w:t>25.</w:t>
            </w:r>
            <w:r>
              <w:tab/>
            </w:r>
            <w:r>
              <w:t xml:space="preserve">vyzývá Komisi, aby zavedla otevřenou metodu koordinace kvality nabídek v rámci záruk pro mladé lidi </w:t>
            </w:r>
            <w:r>
              <w:rPr>
                <w:b/>
                <w:i/>
              </w:rPr>
              <w:t>a určila konkrétní společné hodnotící ukazatele</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vyzývá Komisi a členské státy, aby zajistily, že stáže nabízené v rámci záruk pro mladé lidi budou spravedlivě odměňovány v souladu s platnými právními předpisy Unie a vnitrostátními rámci a na základě jasně definovaných cílů v oblasti vzdělávání a odborné přípravy a písemné dohody o stáži a neměly by trvat déle než šest měsíců ani umožňovat vícenásobné nebo po sobě jdoucí stáže vykonávané stejnou osobou u téhož zaměstnavatele způsobem, který by znamenal riziko, že mladí lidé padnou do pasti po sobě jdoucích umístěních bez odpovídajících pracovních práv nebo sociální ochrany;</w:t>
            </w:r>
            <w:r>
              <w:t xml:space="preserve"> </w:t>
            </w:r>
            <w:r>
              <w:rPr>
                <w:b/>
                <w:i/>
              </w:rPr>
              <w:t>zdůrazňuje, že neplacené stáže nesmí být součástí strukturovaných aktivních politik na trhu práce;</w:t>
            </w:r>
            <w:r>
              <w:t xml:space="preserve"> </w:t>
            </w:r>
            <w:r>
              <w:rPr>
                <w:b/>
                <w:i/>
              </w:rPr>
              <w:t>vyzývá k tomu, aby připravovaná směrnice o stážích byla ambiciózní a komplexní a aby zajistila plnou ochranu práv stážistů, včetně práva ukončit stáž bez újmy v případě porušení základních práv, a vyzývá k urychlenému uzavření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uznává model jediného kontaktního místa jako nejúčinnější způsob, jak poskytnout odpovídající podporu mladým lidem, kteří jsou příjemci podpory v rámci záruk pro mladé lidi, a zabránit tomu, aby se mladí lidé stali osobami, které nejsou zaměstnány ani se neúčastní vzdělávání nebo odborné přípravy;</w:t>
            </w:r>
            <w:r>
              <w:t xml:space="preserve"> </w:t>
            </w:r>
            <w:r>
              <w:rPr>
                <w:b/>
                <w:i/>
              </w:rPr>
              <w:t>vybízí členské státy, aby rozvíjely tato nízkoprahová střediska po celé zemi s cílem zlepšit dostupnost informací pro osoby, které nejsou zaměstnané ani se neúčastní vzdělávání nebo odborné přípravy, a aby poskytovaly celoživotní poradenství, poradenství v oblasti vzdělávání, zdraví, sociální podpory a práce s mládeží na jednom místě;</w:t>
            </w:r>
            <w:r>
              <w:t xml:space="preserve"> </w:t>
            </w:r>
            <w:r>
              <w:rPr>
                <w:b/>
                <w:i/>
              </w:rPr>
              <w:t>vybízí členské státy, které tuto kulturu integrovaného přístupu dosud nemají, aby zavedly zásadu postoupení, aby bylo možné postoupit žádost jinému příslušnému útvaru, pokud oslovený útvar není schopen ji zpracovat;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zdůrazňuje, že v některých členských státech neexistuje právní definice „stáže“, a vyzývá členské státy i Komisi, aby pracovaly na vytvoření společné definice;</w:t>
            </w:r>
            <w:r>
              <w:t xml:space="preserve"> </w:t>
            </w:r>
            <w:r>
              <w:rPr>
                <w:b/>
                <w:i/>
              </w:rPr>
              <w:t>v této souvislosti vyzývá k přijetí směrnice EU o stážích s cílem chránit mladé lidi hledající stáže před vykořisťováním a zajistit, aby byli dostatečně odměňováni, a tudíž plně placeni;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vyzývá Komisi, aby zintenzivnila cílenou podporu a koordinaci politik v zemích, které čelí strukturální nezaměstnanosti mladých lidí, a zajistila, aby nástroje EU účinně řešily dlouhodobá selhání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vyzývá Komisi, aby v souladu s doporučením Rady o mostu k pracovním místům – posílení záruk pro mladé lidi</w:t>
            </w:r>
            <w:r>
              <w:rPr>
                <w:b/>
                <w:i/>
                <w:vertAlign w:val="superscript"/>
              </w:rPr>
              <w:t>1a</w:t>
            </w:r>
            <w:r>
              <w:t xml:space="preserve"> </w:t>
            </w:r>
            <w:r>
              <w:rPr>
                <w:b/>
                <w:i/>
              </w:rPr>
              <w:t>zavedla závazný rámec kvality pro záruky pro mladé lidi se spolehlivými mechanismy monitorování a prosazování;</w:t>
            </w:r>
            <w:r>
              <w:t xml:space="preserve"> </w:t>
            </w:r>
            <w:r>
              <w:rPr>
                <w:b/>
                <w:i/>
              </w:rPr>
              <w:t>zdůrazňuje, že závazná kritéria kvality musí zajistit, aby všechny nabídky byly v souladu s příslušnými zásadami evropského pilíře sociálních práv, poskytovaly skutečné příležitosti k učení a odborné přípravě, které zlepší zaměstnatelnost a usnadní přechod na trh práce, a zahrnovaly transparentní nábor, uznávání a certifikaci získaných dovedností a dostupné mechanismy pro podávání stížností;</w:t>
            </w:r>
            <w:r>
              <w:t xml:space="preserve"> </w:t>
            </w:r>
            <w:r>
              <w:rPr>
                <w:b/>
                <w:i/>
              </w:rPr>
              <w:t>vyzývá k tomu, aby všechny nabídky zaměstnání a stáží zajistily důstojné pracovní podmínky, spravedlivou odměnu, přístup k sociální ochraně, odborné přípravě a profesnímu poradenství, přiměřené zkušební doby a zákaz zneužívání atypických smluv;</w:t>
            </w:r>
            <w:r>
              <w:t xml:space="preserve"> </w:t>
            </w:r>
            <w:r>
              <w:rPr>
                <w:b/>
                <w:i/>
              </w:rPr>
              <w:t>zdůrazňuje, že dodržování těchto norem by mělo být podmínkou pro využívání finančních prostředků Unie v rámci režimů záruk pro mladé lidi;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Doporučení Rady ze dne 30. října 2020 o mostu k pracovním místům – posílení záruk pro mladé lidi a o nahrazení doporučení Rady ze dne 22. dubna 2013 o zavedení záruk pro mladé lidi (2020/C 372/01)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vyzývá Komisi, aby posílila koordinaci na úrovni EU v oblasti duševního zdraví mládeže, přičemž by vycházela ze svých nedávných doporučení a poučila se z pandemie COVID-19, se zvláštním zaměřením na prevenci, včasnou intervenci a duševní pohodu mladých lidí;</w:t>
            </w:r>
            <w:r>
              <w:t xml:space="preserve"> </w:t>
            </w:r>
            <w:r>
              <w:rPr>
                <w:b/>
                <w:i/>
              </w:rPr>
              <w:t>naléhavě vyzývá Komisi a členské státy, aby zajistily mladým lidem včasný, dostupný a nediskriminační přístup ke službám v oblasti duševního zdraví v rámci systémů veřejného zdraví a při plném respektování vnitrostátních pravomocí a aby vypracovaly opatření týkající se připravenosti s konkrétním zaměřením na mládež, aby se zabránilo tomu, že budou mladí lidé v budoucích krizích nepřiměřeně zasaženi;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vyzývá Komisi a členské státy, aby vytvořily pevnější vazby mezi zárukami pro mladé lidi a dalšími politikami, jako je bydlení, zdraví a duševní zdraví, rodina, doprava a regionální rozvoj;</w:t>
            </w:r>
            <w:r>
              <w:t xml:space="preserve"> </w:t>
            </w:r>
            <w:r>
              <w:rPr>
                <w:b/>
                <w:i/>
              </w:rPr>
              <w:t>členské státy by mohly dále prozkoumat možnost vytvoření víceoborových týmů anebo modelů integrovaných služeb s nízkou prahovou hodnotou, jako jsou jednotná kontaktní místa;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vyzývá Komisi a členské státy, aby zavedly další přípravnou odbornou přípravu („předodbornou přípravu“) nebo překlenovací programy, které budou nabídnuty každému mladému člověku, který předčasně ukončil školní docházku nebo jehož vzdělávání bylo přerušeno z důvodu rodinných povinností, s cílem posílit připravenost na dovednosti a zlepšit možnosti vzdělávání, odborné přípravy a zaměstnání;</w:t>
            </w:r>
            <w:r>
              <w:t xml:space="preserve"> </w:t>
            </w:r>
            <w:r>
              <w:rPr>
                <w:b/>
                <w:i/>
              </w:rPr>
              <w:t>zdůrazňuje, že tyto programy musí být přístupné zejména mladým rodičům a svobodným mladým dospělým s přihlédnutím k jejich pečovatelským povinnostem prostřednictvím pružné pracovní doby a případně integrované péče o děti;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vyzývá členské státy, aby v rámci záruk pro mladé lidi zajistily, aby všichni mladí lidé bez ohledu na předchozí vzdělání nebo motivaci měli přístup k nízkoprahovému používání výukových nástrojů pro výuku umělé inteligence, etice, ochraně údajů a omezením umělé inteligence, zejména pro ty, kteří dříve nebyli technologicky zdatní, aby se zabránilo nové digitální propasti;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25e.</w:t>
            </w:r>
            <w:r>
              <w:tab/>
            </w:r>
            <w:r>
              <w:rPr>
                <w:b/>
                <w:i/>
              </w:rPr>
              <w:t>vyzývá členské státy, aby poskytovaly mentorství a psychosociální podporu mladým lidem, kteří považují umělou inteligenci za zastrašující, a pomohly jim překonat obavy a rozvíjet důvěru a schopnost jednat při používání těchto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25f.</w:t>
            </w:r>
            <w:r>
              <w:tab/>
            </w:r>
            <w:r>
              <w:rPr>
                <w:b/>
                <w:i/>
              </w:rPr>
              <w:t>vyzývá členské státy, aby podporovaly mladé lidi v tom, aby se stali "sólo podnikateli" nebo provozovali mikropodniky bez velkého počátečního kapitálu, a aby využívaly umělou inteligenci k nahrazení nákladné infrastruktury (např. účetnictví, marketing, programování) a podporovaly ekonomickou nezávislost, zejména mladých lidí z neakademických domácností;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vyzývá Komisi a členské státy, aby v příštím víceletém finančním rámci vyčlenily na záruky pro mladé lidi odpovídající finanční prostředky, zejména zachováním účelového vázání prostředků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vyzývá Komisi a členské státy, aby v příštím víceletém finančním rámci vyčlenily na záruky pro mladé lidi odpovídající finanční prostředky, zejména zachováním účelového vázání prostředků EU;</w:t>
            </w:r>
          </w:p>
        </w:tc>
        <w:tc>
          <w:tcPr>
            <w:tcW w:w="4876" w:type="dxa"/>
            <w:tcBorders>
              <w:top w:val="nil"/>
              <w:left w:val="nil"/>
              <w:bottom w:val="nil"/>
              <w:right w:val="nil"/>
            </w:tcBorders>
          </w:tcPr>
          <w:p>
            <w:pPr>
              <w:pStyle w:val="Normal6a"/>
            </w:pPr>
            <w:r>
              <w:t>26.</w:t>
            </w:r>
            <w:r>
              <w:tab/>
            </w:r>
            <w:r>
              <w:t xml:space="preserve">vyzývá Komisi a členské státy, aby v příštím víceletém finančním rámci vyčlenily na záruky pro mladé lidi odpovídající finanční prostředky, zejména zachováním účelového vázání prostředků EU; </w:t>
            </w:r>
            <w:r>
              <w:rPr>
                <w:b/>
                <w:i/>
              </w:rPr>
              <w:t>zdůrazňuje, že toto financování EU by mělo především podporovat rozvoj inovativních opatření a rozšiřování a nemělo by nahrazovat již existující vnitrostátní finanční prostředky;</w:t>
            </w:r>
            <w:r>
              <w:t xml:space="preserve"> </w:t>
            </w:r>
            <w:r>
              <w:rPr>
                <w:b/>
                <w:i/>
              </w:rPr>
              <w:t>vyzývá k zavedení sledování rozpočtu výdajů souvisejících se zárukami pro mladé lidi na úrovni EU spolu s vnitrostátním ukazatelem;</w:t>
            </w:r>
            <w:r>
              <w:t xml:space="preserve"> </w:t>
            </w:r>
            <w:r>
              <w:rPr>
                <w:b/>
                <w:i/>
              </w:rPr>
              <w:t>vyzývá členské státy, aby doplnily evropské fondy o vnitrostátní fondy odpovídající výzvám spojeným se souhrnnými ukazateli v jejich členském státě a aby poskytly jasný rozpis výdajů souvisejících se zárukami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vyzývá Komisi a členské státy, aby v příštím víceletém finančním rámci vyčlenily na záruky pro mladé lidi odpovídající finanční prostředky, zejména zachováním </w:t>
            </w:r>
            <w:r>
              <w:rPr>
                <w:b/>
                <w:i/>
              </w:rPr>
              <w:t>účelového vázání prostředků EU</w:t>
            </w:r>
            <w:r>
              <w:t>;</w:t>
            </w:r>
          </w:p>
        </w:tc>
        <w:tc>
          <w:tcPr>
            <w:tcW w:w="4876" w:type="dxa"/>
            <w:tcBorders>
              <w:top w:val="nil"/>
              <w:left w:val="nil"/>
              <w:bottom w:val="nil"/>
              <w:right w:val="nil"/>
            </w:tcBorders>
          </w:tcPr>
          <w:p>
            <w:pPr>
              <w:pStyle w:val="Normal6a"/>
            </w:pPr>
            <w:r>
              <w:t>26.</w:t>
            </w:r>
            <w:r>
              <w:tab/>
            </w:r>
            <w:r>
              <w:t xml:space="preserve">vyzývá Komisi a členské státy, aby v příštím víceletém finančním rámci vyčlenily na záruky pro mladé lidi odpovídající finanční prostředky, zejména zachováním </w:t>
            </w:r>
            <w:r>
              <w:rPr>
                <w:b/>
                <w:i/>
              </w:rPr>
              <w:t>stávajícího vyčlenění v rámci budoucího samostatného a samostatného ESF, včetně povinnosti členských států, u nichž je míra osob NEET vyšší než průměr EU, přidělit alespoň 12,5 % zdrojů ESF na opatření na podporu zaměstnanosti mladých lidí, odborného vzdělávání a přípravy a přechodu ze vzdělávání do zaměstnání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vyzývá Komisi a členské státy, aby v příštím víceletém finančním rámci vyčlenily na záruky pro mladé lidi odpovídající finanční prostředky, zejména zachováním účelového vázání prostředků EU;</w:t>
            </w:r>
          </w:p>
        </w:tc>
        <w:tc>
          <w:tcPr>
            <w:tcW w:w="4876" w:type="dxa"/>
            <w:tcBorders>
              <w:top w:val="nil"/>
              <w:left w:val="nil"/>
              <w:bottom w:val="nil"/>
              <w:right w:val="nil"/>
            </w:tcBorders>
          </w:tcPr>
          <w:p>
            <w:pPr>
              <w:pStyle w:val="Normal6a"/>
            </w:pPr>
            <w:r>
              <w:t>26.</w:t>
            </w:r>
            <w:r>
              <w:tab/>
            </w:r>
            <w:r>
              <w:t xml:space="preserve">vyzývá Komisi a členské státy, aby v příštím víceletém finančním rámci vyčlenily na záruky pro mladé lidi </w:t>
            </w:r>
            <w:r>
              <w:rPr>
                <w:b/>
                <w:i/>
              </w:rPr>
              <w:t>na období po roce 2027</w:t>
            </w:r>
            <w:r>
              <w:t xml:space="preserve"> odpovídající finanční prostředky, zejména zachováním účelového vázání prostředků EU </w:t>
            </w:r>
            <w:r>
              <w:rPr>
                <w:b/>
                <w:i/>
              </w:rPr>
              <w:t>s cílem zajistit soudržnost, podpořit synergie, doplnit vnitrostátní strategie a rozpočty a rozšířit pracovní příležitosti pro mladé lidi mladší 30 let v celé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vyzývá Komisi a členské státy, aby v příštím víceletém finančním rámci vyčlenily na záruky pro mladé lidi odpovídající finanční prostředky, zejména zachováním účelového vázání prostředků EU;</w:t>
            </w:r>
          </w:p>
        </w:tc>
        <w:tc>
          <w:tcPr>
            <w:tcW w:w="4876" w:type="dxa"/>
            <w:tcBorders>
              <w:top w:val="nil"/>
              <w:left w:val="nil"/>
              <w:bottom w:val="nil"/>
              <w:right w:val="nil"/>
            </w:tcBorders>
          </w:tcPr>
          <w:p>
            <w:pPr>
              <w:pStyle w:val="Normal6a"/>
            </w:pPr>
            <w:r>
              <w:t>26.</w:t>
            </w:r>
            <w:r>
              <w:tab/>
            </w:r>
            <w:r>
              <w:t xml:space="preserve">vyzývá Komisi a členské státy, aby v příštím víceletém finančním rámci vyčlenily na záruky pro mladé lidi odpovídající finanční prostředky, zejména zachováním účelového vázání prostředků EU; </w:t>
            </w:r>
            <w:r>
              <w:rPr>
                <w:b/>
                <w:i/>
              </w:rPr>
              <w:t>vyjadřuje v této souvislosti hluboké znepokojení nad snížením cíleného financování zaměstnanosti mladých lidí ve venkovských a příměstských oblastech v kontextu příštího víceletého finančního rámce;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vyzývá Komisi a členské státy, aby v příštím víceletém finančním rámci </w:t>
            </w:r>
            <w:r>
              <w:rPr>
                <w:b/>
                <w:i/>
              </w:rPr>
              <w:t>vyčlenily na záruky pro mladé lidi odpovídající finanční prostředky, zejména zachováním účelového vázání prostředků EU</w:t>
            </w:r>
            <w:r>
              <w:t>;</w:t>
            </w:r>
          </w:p>
        </w:tc>
        <w:tc>
          <w:tcPr>
            <w:tcW w:w="4876" w:type="dxa"/>
            <w:tcBorders>
              <w:top w:val="nil"/>
              <w:left w:val="nil"/>
              <w:bottom w:val="nil"/>
              <w:right w:val="nil"/>
            </w:tcBorders>
          </w:tcPr>
          <w:p>
            <w:pPr>
              <w:pStyle w:val="Normal6a"/>
            </w:pPr>
            <w:r>
              <w:t>26.</w:t>
            </w:r>
            <w:r>
              <w:tab/>
            </w:r>
            <w:r>
              <w:rPr>
                <w:b/>
                <w:i/>
              </w:rPr>
              <w:t>uznává, že záruky pro mladé lidi mohou být důležitým nástrojem na podporu mladých lidí při dosahování jejich plného potenciálu, a</w:t>
            </w:r>
            <w:r>
              <w:t xml:space="preserve"> vyzývá</w:t>
            </w:r>
            <w:r>
              <w:rPr>
                <w:b/>
                <w:i/>
              </w:rPr>
              <w:t> v této souvislosti</w:t>
            </w:r>
            <w:r>
              <w:t xml:space="preserve"> Komisi a členské státy, aby </w:t>
            </w:r>
            <w:r>
              <w:rPr>
                <w:b/>
                <w:i/>
              </w:rPr>
              <w:t>zajistily, že jejich finanční krytí</w:t>
            </w:r>
            <w:r>
              <w:t xml:space="preserve"> v příštím víceletém finančním rámci </w:t>
            </w:r>
            <w:r>
              <w:rPr>
                <w:b/>
                <w:i/>
              </w:rPr>
              <w:t>bude chráněno a navýšeno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vyzývá Komisi a členské státy, aby v příštím víceletém finančním rámci vyčlenily na záruky pro mladé lidi odpovídající finanční prostředky, </w:t>
            </w:r>
            <w:r>
              <w:rPr>
                <w:b/>
                <w:i/>
              </w:rPr>
              <w:t>zejména zachováním účelového vázání</w:t>
            </w:r>
            <w:r>
              <w:t xml:space="preserve"> prostředků EU;</w:t>
            </w:r>
          </w:p>
        </w:tc>
        <w:tc>
          <w:tcPr>
            <w:tcW w:w="4876" w:type="dxa"/>
            <w:tcBorders>
              <w:top w:val="nil"/>
              <w:left w:val="nil"/>
              <w:bottom w:val="nil"/>
              <w:right w:val="nil"/>
            </w:tcBorders>
          </w:tcPr>
          <w:p>
            <w:pPr>
              <w:pStyle w:val="Normal6a"/>
            </w:pPr>
            <w:r>
              <w:t>26.</w:t>
            </w:r>
            <w:r>
              <w:tab/>
            </w:r>
            <w:r>
              <w:t xml:space="preserve">vyzývá Komisi a členské státy, aby v příštím víceletém finančním rámci vyčlenily na záruky pro mladé lidi odpovídající finanční prostředky, </w:t>
            </w:r>
            <w:r>
              <w:rPr>
                <w:b/>
                <w:i/>
              </w:rPr>
              <w:t>a zároveň zajistily přísné sledování, transparentnost a hodnocení využívání</w:t>
            </w:r>
            <w:r>
              <w:t xml:space="preserve"> prostředků EU </w:t>
            </w:r>
            <w:r>
              <w:rPr>
                <w:b/>
                <w:i/>
              </w:rPr>
              <w:t>na základě výkonnosti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vyzývá Komisi a členské státy, aby v příštím víceletém finančním rámci </w:t>
            </w:r>
            <w:r>
              <w:rPr>
                <w:b/>
                <w:i/>
              </w:rPr>
              <w:t>vyčlenily</w:t>
            </w:r>
            <w:r>
              <w:t xml:space="preserve"> na záruky pro mladé lidi </w:t>
            </w:r>
            <w:r>
              <w:rPr>
                <w:b/>
                <w:i/>
              </w:rPr>
              <w:t>odpovídající finanční prostředky</w:t>
            </w:r>
            <w:r>
              <w:t>, zejména zachováním účelového vázání prostředků EU;</w:t>
            </w:r>
          </w:p>
        </w:tc>
        <w:tc>
          <w:tcPr>
            <w:tcW w:w="4876" w:type="dxa"/>
            <w:tcBorders>
              <w:top w:val="nil"/>
              <w:left w:val="nil"/>
              <w:bottom w:val="nil"/>
              <w:right w:val="nil"/>
            </w:tcBorders>
          </w:tcPr>
          <w:p>
            <w:pPr>
              <w:pStyle w:val="Normal6a"/>
            </w:pPr>
            <w:r>
              <w:t>26.</w:t>
            </w:r>
            <w:r>
              <w:tab/>
            </w:r>
            <w:r>
              <w:t xml:space="preserve">vyzývá Komisi a členské státy, aby v příštím víceletém finančním rámci </w:t>
            </w:r>
            <w:r>
              <w:rPr>
                <w:b/>
                <w:i/>
              </w:rPr>
              <w:t>výrazně zvýšily veřejné financování a finanční prostředky EU</w:t>
            </w:r>
            <w:r>
              <w:t xml:space="preserve"> na záruky pro mladé lidi, zejména zachováním účelového vázání prostředků EU;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zdůrazňuje, že část zdrojů by měla být použita na zlepšení správní kapacity pro absorpci zdrojů, a to zajištěním odborné přípravy pro poskytovatele záruk pro mladé lidi a vytvořením souboru nástrojů pro využívání finančních prostředků;</w:t>
            </w:r>
            <w:r>
              <w:t xml:space="preserve"> </w:t>
            </w:r>
            <w:r>
              <w:rPr>
                <w:b/>
                <w:i/>
              </w:rPr>
              <w:t>domnívá se, že toto zlepšení kapacity by mělo být ku prospěchu také sociálním partnerům, pracovníkům s mládeží a nevládním organizacím při vytváření projektů;</w:t>
            </w:r>
            <w:r>
              <w:t xml:space="preserve"> </w:t>
            </w:r>
            <w:r>
              <w:rPr>
                <w:b/>
                <w:i/>
              </w:rPr>
              <w:t>vyzývá Komisi, aby vytvořila nový program financování malého rozsahu pro zúčastněné strany, které pracují s osobami NEET na místní úrovni, s cílem rozšířit využívání a dosah finančních prostředků EU na všechna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vyzývá Evropskou komisi, aby prostřednictvím nástrojů financování EU, zejména Evropského sociálního fondu plus, podporovala opatření na informování a zvyšování povědomí mladých lidí o jejich právech na trhu práce, a to ve spolupráci se sociálními partnery, včetně odborů;</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připomíná, že zaměstnanost mladých lidí musí zůstat jednou z investičních priorit příštího ESF+, a zdůrazňuje, že záruky pro mladé lidi a dobře koncipované politiky v oblasti mládeže nejsou rozpočtovými náklady,</w:t>
            </w:r>
            <w:r>
              <w:t xml:space="preserve"> </w:t>
            </w:r>
            <w:r>
              <w:rPr>
                <w:b/>
                <w:i/>
              </w:rPr>
              <w:t>ale investicemi do lidí;</w:t>
            </w:r>
            <w:r>
              <w:t xml:space="preserve"> </w:t>
            </w:r>
            <w:r>
              <w:rPr>
                <w:b/>
                <w:i/>
              </w:rPr>
              <w:t>vyzývá Komisi a členské státy, aby zajistily, že v příštím víceletém finančním rámci bude chráněn a navýšen samostatný rozpočet ESF+;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naléhavě vyzývá členské státy, aby výrazně posílily své systémy monitorování provádění záruk pro mladé lidi, pokud jde o kvalitu a úplnost shromážděných údajů;</w:t>
            </w:r>
          </w:p>
        </w:tc>
        <w:tc>
          <w:tcPr>
            <w:tcW w:w="4876" w:type="dxa"/>
            <w:tcBorders>
              <w:top w:val="nil"/>
              <w:left w:val="nil"/>
              <w:bottom w:val="nil"/>
              <w:right w:val="nil"/>
            </w:tcBorders>
          </w:tcPr>
          <w:p>
            <w:pPr>
              <w:pStyle w:val="Normal6a"/>
            </w:pPr>
            <w:r>
              <w:t>27.</w:t>
            </w:r>
            <w:r>
              <w:tab/>
            </w:r>
            <w:r>
              <w:t>naléhavě vyzývá členské státy, aby výrazně posílily své systémy monitorování provádění záruk pro mladé lidi, pokud jde o kvalitu a úplnost shromážděných údajů</w:t>
            </w:r>
            <w:r>
              <w:rPr>
                <w:b/>
                <w:i/>
              </w:rPr>
              <w:t>, zejména s ohledem na následné ukazatele a v současnosti neznámé výsledky</w:t>
            </w:r>
            <w:r>
              <w:t xml:space="preserve">; </w:t>
            </w:r>
            <w:r>
              <w:rPr>
                <w:b/>
                <w:i/>
              </w:rPr>
              <w:t>vyzývá Komisi a členské státy, aby nalezly řešení k překonání právních a administrativních překážek pro sdílení informací mezi útvary a správními orgány a zároveň respektovaly soukromí dotčených mladých lidí, kteří nejsou zaměstnaní ani se neúčastní vzdělávání nebo odborné přípravy;</w:t>
            </w:r>
            <w:r>
              <w:t xml:space="preserve"> </w:t>
            </w:r>
            <w:r>
              <w:rPr>
                <w:b/>
                <w:i/>
              </w:rPr>
              <w:t>v této souvislosti vybízí k jasnému určení orgánu nebo orgánů odpovědných za shromažďování údajů v rámci systémů záruk pro mladé lidi, k interoperabilitě databází s jedinečným identifikátorem mezi správními orgány v rámci vnitrostátních systémů a ke zveřejnění sdělení o uplatňování obecného nařízení o ochraně osobních údajů, aby se zabránilo jakémukoli nesprávnému výkladu;</w:t>
            </w:r>
            <w:r>
              <w:t xml:space="preserve"> </w:t>
            </w:r>
            <w:r>
              <w:rPr>
                <w:b/>
                <w:i/>
              </w:rPr>
              <w:t>vyzývá Komisi, aby poskytla technickou pomoc členským státům s nejslabšími vnitrostátními nebo místními monitorovacími rámci za účelem jejich posílení a odborné přípravy specializovaným zaměstnancům s cílem zajistit srovnatelnost na úrovni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naléhavě vyzývá členské státy, aby výrazně posílily své systémy monitorování provádění záruk pro mladé lidi, pokud jde o kvalitu a </w:t>
            </w:r>
            <w:r>
              <w:rPr>
                <w:b/>
                <w:i/>
              </w:rPr>
              <w:t>úplnost shromážděných</w:t>
            </w:r>
            <w:r>
              <w:t xml:space="preserve"> údajů;</w:t>
            </w:r>
          </w:p>
        </w:tc>
        <w:tc>
          <w:tcPr>
            <w:tcW w:w="4876" w:type="dxa"/>
            <w:tcBorders>
              <w:top w:val="nil"/>
              <w:left w:val="nil"/>
              <w:bottom w:val="nil"/>
              <w:right w:val="nil"/>
            </w:tcBorders>
          </w:tcPr>
          <w:p>
            <w:pPr>
              <w:pStyle w:val="Normal6a"/>
            </w:pPr>
            <w:r>
              <w:t>27.</w:t>
            </w:r>
            <w:r>
              <w:tab/>
            </w:r>
            <w:r>
              <w:t xml:space="preserve">naléhavě vyzývá členské státy, aby výrazně posílily své systémy monitorování provádění záruk pro mladé lidi, pokud jde o </w:t>
            </w:r>
            <w:r>
              <w:rPr>
                <w:b/>
                <w:i/>
              </w:rPr>
              <w:t>údaje,</w:t>
            </w:r>
            <w:r>
              <w:t xml:space="preserve"> kvalitu a </w:t>
            </w:r>
            <w:r>
              <w:rPr>
                <w:b/>
                <w:i/>
              </w:rPr>
              <w:t>pokrytí;</w:t>
            </w:r>
            <w:r>
              <w:t xml:space="preserve"> </w:t>
            </w:r>
            <w:r>
              <w:rPr>
                <w:b/>
                <w:i/>
              </w:rPr>
              <w:t>vyzývá k přijetí cílených opatření k řešení strukturálních, administrativních a právních překážek, které brání účinnému sdílení</w:t>
            </w:r>
            <w:r>
              <w:t xml:space="preserve"> údajů</w:t>
            </w:r>
            <w:r>
              <w:rPr>
                <w:b/>
                <w:i/>
              </w:rPr>
              <w:t>, koordinaci mezi službami a transparentnosti při využívání veřejných zdrojů</w:t>
            </w:r>
            <w:r>
              <w:t xml:space="preserve">; </w:t>
            </w:r>
            <w:r>
              <w:rPr>
                <w:b/>
                <w:i/>
              </w:rPr>
              <w:t>požaduje shromažďování podrobnějších rozčleněných a kvalitativních údajů, které by zachycovaly nejen postavení v zaměstnání, ale také kvalitu pracovních míst, typ smlouvy, odměnu, přístup k sociální ochraně a socioekonomické zázemí, aby bylo možné lépe identifikovat podporované a opomíjené osoby;</w:t>
            </w:r>
            <w:r>
              <w:t xml:space="preserve"> </w:t>
            </w:r>
            <w:r>
              <w:rPr>
                <w:b/>
                <w:i/>
              </w:rPr>
              <w:t>vyzývá k posílenému monitorování následných opatření po ukončení programu, a to i pokud jde o pracovní podmínky;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naléhavě vyzývá členské státy, aby výrazně posílily své systémy monitorování provádění záruk pro mladé lidi, pokud jde o kvalitu a úplnost shromážděných údajů;</w:t>
            </w:r>
          </w:p>
        </w:tc>
        <w:tc>
          <w:tcPr>
            <w:tcW w:w="4876" w:type="dxa"/>
            <w:tcBorders>
              <w:top w:val="nil"/>
              <w:left w:val="nil"/>
              <w:bottom w:val="nil"/>
              <w:right w:val="nil"/>
            </w:tcBorders>
          </w:tcPr>
          <w:p>
            <w:pPr>
              <w:pStyle w:val="Normal6a"/>
            </w:pPr>
            <w:r>
              <w:t>27.</w:t>
            </w:r>
            <w:r>
              <w:tab/>
            </w:r>
            <w:r>
              <w:t xml:space="preserve">naléhavě vyzývá členské státy, aby výrazně posílily své systémy monitorování provádění záruk pro mladé lidi, pokud jde o kvalitu a úplnost shromážděných údajů; </w:t>
            </w:r>
            <w:r>
              <w:rPr>
                <w:b/>
                <w:i/>
              </w:rPr>
              <w:t>vyzývá členské státy a Komisi, aby posílily shromažďování srovnatelných údajů o dlouhodobých výsledcích programu záruk pro mladé lidi, zejména pokud jde o zachování pracovních míst, kvalitu pracovních míst, profesní rozvoj a riziko, že se člověk stane nezaměstnaným nebo bude opět spadat do kategorie NEET;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naléhavě vyzývá členské státy, aby výrazně posílily své systémy monitorování provádění záruk pro mladé lidi, pokud jde o kvalitu a úplnost shromážděných údajů;</w:t>
            </w:r>
          </w:p>
        </w:tc>
        <w:tc>
          <w:tcPr>
            <w:tcW w:w="4876" w:type="dxa"/>
            <w:tcBorders>
              <w:top w:val="nil"/>
              <w:left w:val="nil"/>
              <w:bottom w:val="nil"/>
              <w:right w:val="nil"/>
            </w:tcBorders>
          </w:tcPr>
          <w:p>
            <w:pPr>
              <w:pStyle w:val="Normal6a"/>
            </w:pPr>
            <w:r>
              <w:t>27.</w:t>
            </w:r>
            <w:r>
              <w:tab/>
            </w:r>
            <w:r>
              <w:t>naléhavě vyzývá členské státy, aby výrazně posílily své systémy monitorování provádění záruk pro mladé lidi, pokud jde o kvalitu a úplnost shromážděných údajů</w:t>
            </w:r>
            <w:r>
              <w:rPr>
                <w:b/>
                <w:i/>
              </w:rPr>
              <w:t>, a to prostřednictvím sběru komplexních, aktuálních a rozčleněných údajů o všech účastnících, které zohledňují pohlaví, přistěhovalecký původ, zdravotní postižení a odlehlost oblasti bydliště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naléhavě vyzývá členské státy, aby výrazně posílily své systémy monitorování provádění záruk pro mladé lidi, pokud jde o kvalitu a úplnost shromážděných údajů;</w:t>
            </w:r>
          </w:p>
        </w:tc>
        <w:tc>
          <w:tcPr>
            <w:tcW w:w="4876" w:type="dxa"/>
            <w:tcBorders>
              <w:top w:val="nil"/>
              <w:left w:val="nil"/>
              <w:bottom w:val="nil"/>
              <w:right w:val="nil"/>
            </w:tcBorders>
          </w:tcPr>
          <w:p>
            <w:pPr>
              <w:pStyle w:val="Normal6a"/>
            </w:pPr>
            <w:r>
              <w:t>27.</w:t>
            </w:r>
            <w:r>
              <w:tab/>
            </w:r>
            <w:r>
              <w:t>naléhavě vyzývá členské státy, aby výrazně posílily své systémy monitorování provádění záruk pro mladé lidi, pokud jde o kvalitu a úplnost shromážděných údajů</w:t>
            </w:r>
            <w:r>
              <w:rPr>
                <w:b/>
                <w:i/>
              </w:rPr>
              <w:t>,</w:t>
            </w:r>
            <w:r>
              <w:t xml:space="preserve"> </w:t>
            </w:r>
            <w:r>
              <w:rPr>
                <w:b/>
                <w:i/>
              </w:rPr>
              <w:t>zejména z hlediska úrovně následných opatření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vyzývá Komisi, aby posílila rámec pro monitorování záruk pro mladé lidi a vypracovala společný celounijní soubor kvantitativních i kvalitativních ukazatelů, včetně míry nedobrovolného dočasného zaměstnání a zaměstnání na částečný úvazek, míry ohrožení chudobou nebo sociálním vyloučením, druhu a doby trvání zaměstnání, stáží a učňovské přípravy rozčleněných podle druhu nabídky, měsíčních úrovní odměňování a kvalitativní zpětné vazby od mladých lidí o kvalitě nabídek;</w:t>
            </w:r>
            <w:r>
              <w:t xml:space="preserve"> </w:t>
            </w:r>
            <w:r>
              <w:rPr>
                <w:b/>
                <w:i/>
              </w:rPr>
              <w:t>vyzývá Komisi, aby před příštím politickým cyklem provedla komplexní hodnocení s cílem zvýšit využívání zranitelnými osobami, které nejsou zaměstnány ani se neúčastní vzdělávání nebo odborné přípravy, a zlepšit kvalitu nabídek poskytovaných v rámci záruk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vyzývá Evropskou komisi, aby aktualizovala rámec ukazatelů;</w:t>
            </w:r>
            <w:r>
              <w:t xml:space="preserve"> </w:t>
            </w:r>
            <w:r>
              <w:rPr>
                <w:b/>
                <w:i/>
              </w:rPr>
              <w:t>navrhuje, aby byl doplněn o souhrnné ukazatele míry nedobrovolného dočasného zaměstnání (ve věku 15 až 29 let) a míry ohrožení chudobou a sociálním vyloučením (ve věku 15 až 29 let);</w:t>
            </w:r>
            <w:r>
              <w:t xml:space="preserve"> </w:t>
            </w:r>
            <w:r>
              <w:rPr>
                <w:b/>
                <w:i/>
              </w:rPr>
              <w:t>pokud jde o přímé monitorování, navrhuje jeho aktualizaci o tyto ukazatele:</w:t>
            </w:r>
            <w:r>
              <w:t xml:space="preserve"> </w:t>
            </w:r>
            <w:r>
              <w:rPr>
                <w:b/>
                <w:i/>
              </w:rPr>
              <w:t>druh a délka stáže v zaměstnání a učňovské přípravy v členění podle druhu nabídky;</w:t>
            </w:r>
            <w:r>
              <w:t xml:space="preserve"> </w:t>
            </w:r>
            <w:r>
              <w:rPr>
                <w:b/>
                <w:i/>
              </w:rPr>
              <w:t>výše měsíční odměny v členění podle druhu nabídky a úrovně sociálního zabezpečení, které nabídka poskytuje;</w:t>
            </w:r>
            <w:r>
              <w:t xml:space="preserve"> </w:t>
            </w:r>
            <w:r>
              <w:rPr>
                <w:b/>
                <w:i/>
              </w:rPr>
              <w:t>a kvalitativní informace získané přímo od mladých lidí o kvalitě jejich zkušeností;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zdůrazňuje, že je důležité i nadále začleňovat záruky pro mladé lidi a strategie zaměstnanosti mladých lidí do procesu rozšíření;</w:t>
            </w:r>
            <w:r>
              <w:t xml:space="preserve"> </w:t>
            </w:r>
            <w:r>
              <w:rPr>
                <w:b/>
                <w:i/>
              </w:rPr>
              <w:t>vyzývá Evropskou komisi, aby pokračovala ve financování v rámci příštího VFR a zároveň sledovala důsledné využívání těchto finančních prostředků a kladla důraz na budování kapacit;</w:t>
            </w:r>
            <w:r>
              <w:t xml:space="preserve"> </w:t>
            </w:r>
            <w:r>
              <w:rPr>
                <w:b/>
                <w:i/>
              </w:rPr>
              <w:t>vyzývá kandidátské země na rozšíření, aby poskytly odpovídající vnitrostátní financování s cílem zajistit rozšíření a udržitelnost programů záruk pro mladé lidi, a podporuje vzájemné učení s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vyzývá Komisi a členské státy, aby posílily ověřovací mechanismy systému záruk pro mladé lidi, aby byla zajištěna přesná identifikace způsobilých příjemců, lepší transparentnost a sledovatelnost administrativních postupů a ochrana před nevhodnými pobídkami, jež mohou narušit cíl podporovat mladé lidi, kteří čelí skutečnému a trvalému vyloučení z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je přesvědčen, že provádění záruk pro mladé lidi vyžaduje nový impuls a obnovený dialog s členskými státy;</w:t>
            </w:r>
            <w:r>
              <w:t xml:space="preserve"> </w:t>
            </w:r>
            <w:r>
              <w:rPr>
                <w:b/>
                <w:i/>
              </w:rPr>
              <w:t>v této souvislosti zdůrazňuje příležitost, kterou nabízí nový akční plán EPRS na podporu provádění záruk pro mladé lidi a přijetí ambicióznějšího cíle pro snížení míry osob NEET;</w:t>
            </w:r>
            <w:r>
              <w:t xml:space="preserve"> </w:t>
            </w:r>
            <w:r>
              <w:rPr>
                <w:b/>
                <w:i/>
              </w:rPr>
              <w:t>vítá iniciativu na vytvoření záruky k získání dovedností a vyzývá k tomu, aby zahrnovala rozměr pro mladé lidi ze skupiny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vyzývá Komisi, aby v zemích, které čelí strukturální nezaměstnanosti mladých lidí, v případě potřeby zintenzivnila monitorování a zajistila tak, aby nástroje EU účinně řešily dlouhodobá selhání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Hristo Petrov, Irena Joveva,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vyzývá Komisi, aby plně využívala evropský semestr ke sledování provádění záruk pro mladé lidi, případně s využitím doporučení pro jednotlivé země, a aby využila rámec sociální konvergence k řízení jeho provádění v celé EU, včetně jeho správy a kapacity;</w:t>
            </w:r>
            <w:r>
              <w:t xml:space="preserve"> </w:t>
            </w:r>
            <w:r>
              <w:rPr>
                <w:b/>
                <w:i/>
              </w:rPr>
              <w:t>vyzývá Komisi, aby s ohledem na potenciální rizika pro makroekonomickou stabilitu znovu zařadila míru nezaměstnanosti mladých lidí jako hlavní ukazatel do hodnotící tabulky postupu v případě makroekonomické nerovnováhy;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vyzývá Komisi, aby zajistila posílení monitorování a hodnocení záruk pro mladé lidi v rámci stávajících struktur správy EU, včetně evropského semestru, a to proporcionálním a efektivním způsobem;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27d.</w:t>
            </w:r>
            <w:r>
              <w:tab/>
            </w:r>
            <w:r>
              <w:rPr>
                <w:b/>
                <w:i/>
              </w:rPr>
              <w:t>vyzývá Komisi a členské státy, aby zvyšovaly informovanost o zárukách pro mladé lidi a dostupných podpůrných službách mezi prováděcími veřejnými orgány, podniky a mladými lidmi, a to i prostřednictvím vnitrostátních komunikačních strategií s využitím různých kanálů, jako jsou kampaně v sociálních médiích, s cílem oslovit ty nejobtížněji dostupné;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konstatuje, že výsledky provádění</w:t>
            </w:r>
            <w:r>
              <w:t xml:space="preserve"> záruk pro mladé lidi </w:t>
            </w:r>
            <w:r>
              <w:rPr>
                <w:b/>
                <w:i/>
              </w:rPr>
              <w:t>jsou nerovnoměrné a že zjištěné problémy jsou aktuální i dnes;</w:t>
            </w:r>
            <w:r>
              <w:t xml:space="preserve"> </w:t>
            </w:r>
            <w:r>
              <w:rPr>
                <w:b/>
                <w:i/>
              </w:rPr>
              <w:t>vyzývá Komisi, aby</w:t>
            </w:r>
            <w:r>
              <w:t xml:space="preserve"> řádným legislativním postupem </w:t>
            </w:r>
            <w:r>
              <w:rPr>
                <w:b/>
                <w:i/>
              </w:rPr>
              <w:t>přijala rozhodnutí zaměřená na členské státy, jejichž míra nezaměstnanosti mladých lidí a podíl osob NEET je vyšší než průměr EU;</w:t>
            </w:r>
          </w:p>
        </w:tc>
        <w:tc>
          <w:tcPr>
            <w:tcW w:w="4876" w:type="dxa"/>
            <w:tcBorders>
              <w:top w:val="nil"/>
              <w:left w:val="nil"/>
              <w:bottom w:val="nil"/>
              <w:right w:val="nil"/>
            </w:tcBorders>
          </w:tcPr>
          <w:p>
            <w:pPr>
              <w:pStyle w:val="Normal6a"/>
            </w:pPr>
            <w:r>
              <w:t>28.</w:t>
            </w:r>
            <w:r>
              <w:tab/>
            </w:r>
            <w:r>
              <w:rPr>
                <w:b/>
                <w:i/>
              </w:rPr>
              <w:t>vyzývá Komisi, aby aktivně podporovala členské státy při dosahování cílů programu</w:t>
            </w:r>
            <w:r>
              <w:t xml:space="preserve"> záruk pro mladé lidi</w:t>
            </w:r>
            <w:r>
              <w:rPr>
                <w:b/>
                <w:i/>
              </w:rPr>
              <w:t>;</w:t>
            </w:r>
            <w:r>
              <w:t xml:space="preserve"> </w:t>
            </w:r>
            <w:r>
              <w:rPr>
                <w:b/>
                <w:i/>
              </w:rPr>
              <w:t>zdůrazňuje, že veškerá závazná opatření pro členské státy musí být přijímána</w:t>
            </w:r>
            <w:r>
              <w:t xml:space="preserve"> řádným legislativním postupem </w:t>
            </w:r>
            <w:r>
              <w:rPr>
                <w:b/>
                <w:i/>
              </w:rPr>
              <w:t>stanoveným v článku 294 Smlouvy o fungování EU za plné účasti Evropského parlamentu a Evropské rady v souladu se zásadou subsidiarity stanovenou v článku 5 Smlouvy o EU;</w:t>
            </w:r>
            <w:r>
              <w:t xml:space="preserve"> </w:t>
            </w:r>
            <w:r>
              <w:rPr>
                <w:b/>
                <w:i/>
              </w:rPr>
              <w:t>požaduje, aby veškeré závazné povinnosti členských států šly ruku v ruce s přidělováním finančních zdrojů Unie, které jsou úměrné stanoveným cílům;</w:t>
            </w:r>
            <w:r>
              <w:t xml:space="preserve"> </w:t>
            </w:r>
            <w:r>
              <w:rPr>
                <w:b/>
                <w:i/>
              </w:rPr>
              <w:t>žádá Komisi, aby při vypracovávání jakýchkoli podpůrných opatření nebo doporučení zohlednila strukturální, institucionální a územní specifika každého členského státu;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konstatuje, že výsledky provádění záruk pro mladé lidi jsou nerovnoměrné a že zjištěné problémy jsou aktuální i dnes; vyzývá Komisi, aby řádným legislativním postupem přijala rozhodnutí zaměřená na členské státy, jejichž míra nezaměstnanosti mladých lidí a podíl osob NEET je vyšší než průměr EU;</w:t>
            </w:r>
          </w:p>
        </w:tc>
        <w:tc>
          <w:tcPr>
            <w:tcW w:w="4876" w:type="dxa"/>
            <w:tcBorders>
              <w:top w:val="nil"/>
              <w:left w:val="nil"/>
              <w:bottom w:val="nil"/>
              <w:right w:val="nil"/>
            </w:tcBorders>
          </w:tcPr>
          <w:p>
            <w:pPr>
              <w:pStyle w:val="Normal6a"/>
            </w:pPr>
            <w:r>
              <w:t>28.</w:t>
            </w:r>
            <w:r>
              <w:tab/>
            </w:r>
            <w:r>
              <w:t>konstatuje, že výsledky provádění záruk pro mladé lidi jsou nerovnoměrné a že zjištěné problémy jsou aktuální i dnes</w:t>
            </w:r>
            <w:r>
              <w:rPr>
                <w:b/>
                <w:i/>
              </w:rPr>
              <w:t>, přičemž v některých členských státech se jedná o obzvláště kritickou situaci</w:t>
            </w:r>
            <w:r>
              <w:t xml:space="preserve">; vyzývá Komisi, aby řádným legislativním postupem přijala rozhodnutí zaměřená na členské státy, jejichž míra nezaměstnanosti mladých lidí a podíl osob NEET je vyšší než průměr EU; </w:t>
            </w:r>
            <w:r>
              <w:rPr>
                <w:b/>
                <w:i/>
              </w:rPr>
              <w:t>vyzývá Evropský účetní dvůr, aby vypracoval zvláštní zprávu o provádění záruk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konstatuje, že výsledky provádění záruk pro mladé lidi jsou nerovnoměrné a že zjištěné problémy jsou aktuální i dnes; vyzývá Komisi, aby </w:t>
            </w:r>
            <w:r>
              <w:rPr>
                <w:b/>
                <w:i/>
              </w:rPr>
              <w:t>řádným legislativním postupem přijala rozhodnutí zaměřená na členské státy, jejichž míra</w:t>
            </w:r>
            <w:r>
              <w:t xml:space="preserve"> nezaměstnanosti mladých lidí a podíl osob NEET je vyšší než průměr EU;</w:t>
            </w:r>
          </w:p>
        </w:tc>
        <w:tc>
          <w:tcPr>
            <w:tcW w:w="4876" w:type="dxa"/>
            <w:tcBorders>
              <w:top w:val="nil"/>
              <w:left w:val="nil"/>
              <w:bottom w:val="nil"/>
              <w:right w:val="nil"/>
            </w:tcBorders>
          </w:tcPr>
          <w:p>
            <w:pPr>
              <w:pStyle w:val="Normal6a"/>
            </w:pPr>
            <w:r>
              <w:t>28.</w:t>
            </w:r>
            <w:r>
              <w:tab/>
            </w:r>
            <w:r>
              <w:t xml:space="preserve">konstatuje, že výsledky provádění záruk pro mladé lidi jsou nerovnoměrné a že zjištěné problémy jsou aktuální i dnes; vyzývá Komisi, aby </w:t>
            </w:r>
            <w:r>
              <w:rPr>
                <w:b/>
                <w:i/>
              </w:rPr>
              <w:t>podporovala a koordinovala výměnu osvědčených postupů a poskytovala cílené, nezávazné pokyny členským státům, které čelí vyšší míře</w:t>
            </w:r>
            <w:r>
              <w:t xml:space="preserve"> nezaměstnanosti mladých lidí a</w:t>
            </w:r>
            <w:r>
              <w:rPr>
                <w:b/>
                <w:i/>
              </w:rPr>
              <w:t> jejichž</w:t>
            </w:r>
            <w:r>
              <w:t xml:space="preserve"> podíl osob NEET je vyšší než průměr EU</w:t>
            </w:r>
            <w:r>
              <w:rPr>
                <w:b/>
                <w:i/>
              </w:rPr>
              <w:t>, při plném respektování vnitrostátních pravomocí a zvláštností trhu práce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konstatuje, že výsledky provádění záruk pro mladé lidi jsou nerovnoměrné a že zjištěné problémy jsou aktuální i dnes; </w:t>
            </w:r>
            <w:r>
              <w:rPr>
                <w:b/>
                <w:i/>
              </w:rPr>
              <w:t>vyzývá Komisi, aby řádným legislativním postupem přijala</w:t>
            </w:r>
            <w:r>
              <w:t xml:space="preserve"> rozhodnutí </w:t>
            </w:r>
            <w:r>
              <w:rPr>
                <w:b/>
                <w:i/>
              </w:rPr>
              <w:t>zaměřená na</w:t>
            </w:r>
            <w:r>
              <w:t xml:space="preserve"> členské státy</w:t>
            </w:r>
            <w:r>
              <w:rPr>
                <w:b/>
                <w:i/>
              </w:rPr>
              <w:t>, jejichž míra nezaměstnanosti mladých lidí a podíl osob NEET je vyšší než průměr EU</w:t>
            </w:r>
            <w:r>
              <w:t>;</w:t>
            </w:r>
          </w:p>
        </w:tc>
        <w:tc>
          <w:tcPr>
            <w:tcW w:w="4876" w:type="dxa"/>
            <w:tcBorders>
              <w:top w:val="nil"/>
              <w:left w:val="nil"/>
              <w:bottom w:val="nil"/>
              <w:right w:val="nil"/>
            </w:tcBorders>
          </w:tcPr>
          <w:p>
            <w:pPr>
              <w:pStyle w:val="Normal6a"/>
            </w:pPr>
            <w:r>
              <w:t>28.</w:t>
            </w:r>
            <w:r>
              <w:tab/>
            </w:r>
            <w:r>
              <w:t xml:space="preserve">konstatuje, že výsledky provádění záruk pro mladé lidi jsou nerovnoměrné a že zjištěné problémy jsou aktuální i dnes; </w:t>
            </w:r>
            <w:r>
              <w:rPr>
                <w:b/>
                <w:i/>
              </w:rPr>
              <w:t>připomíná, že politika zaměstnanosti a vzdělávání zůstává v souladu se zásadou subsidiarity ve výlučné pravomoci členských států, a odmítá veškeré pokusy Komise ukládat</w:t>
            </w:r>
            <w:r>
              <w:t xml:space="preserve"> rozhodnutí </w:t>
            </w:r>
            <w:r>
              <w:rPr>
                <w:b/>
                <w:i/>
              </w:rPr>
              <w:t>shora dolů, která penalizují</w:t>
            </w:r>
            <w:r>
              <w:t xml:space="preserve"> členské státy;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zdůrazňuje, že záruky pro mladé lidi by měly rovněž pomoci snížit regionální nerovnosti a počet mladých lidí, kteří jsou nuceni opustit oblasti s omezenými pracovními příležitostmi;</w:t>
            </w:r>
            <w:r>
              <w:t xml:space="preserve"> </w:t>
            </w:r>
            <w:r>
              <w:rPr>
                <w:b/>
                <w:i/>
              </w:rPr>
              <w:t>vyzývá členské státy, aby vypracovaly cílená opatření pro venkovské, ostrovní, horské a odlehlé oblasti s cílem zajistit, aby zeměpisná poloha nesloužila jako faktor vyloučení mladých lidí;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vyzývá Komisi, aby sledovala výsledky záruk pro mladé rodiče (15–29), zejména rodiče samoživitele, a to samostatným sledováním míry zaměstnanosti, odborné přípravy a NEET a jejich každoročním podáváním zpráv s cílem posoudit účinnost a řídit cílené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178</w:t>
    </w:r>
    <w:r>
      <w:fldChar w:fldCharType="end"/>
    </w:r>
    <w:r>
      <w:t>/</w:t>
    </w:r>
    <w:r>
      <w:fldChar w:fldCharType="begin"/>
    </w:r>
    <w:r>
      <w:instrText xml:space="preserve"> NUMPAGES </w:instrText>
    </w:r>
    <w:r>
      <w:fldChar w:fldCharType="separate"/>
    </w:r>
    <w:r>
      <w:t>178</w:t>
    </w:r>
    <w:r>
      <w:fldChar w:fldCharType="end"/>
    </w:r>
    <w:r>
      <w:tab/>
    </w:r>
    <w:r>
      <w:rPr>
        <w:rStyle w:val="HideTWBExt"/>
      </w:rPr>
      <w:t>&lt;PathFdR&gt;</w:t>
    </w:r>
    <w:r>
      <w:t>AM\1342336CS.docx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AM\1342336CS.docx</w:t>
    </w:r>
    <w:r>
      <w:rPr>
        <w:rStyle w:val="HideTWBExt"/>
      </w:rPr>
      <w:t>&lt;/PathFdR&gt;</w:t>
    </w:r>
    <w:r>
      <w:tab/>
    </w:r>
    <w:r>
      <w:fldChar w:fldCharType="begin"/>
    </w:r>
    <w:r>
      <w:instrText xml:space="preserve"> PAGE </w:instrText>
    </w:r>
    <w:r>
      <w:fldChar w:fldCharType="separate"/>
    </w:r>
    <w:r>
      <w:t>177</w:t>
    </w:r>
    <w:r>
      <w:fldChar w:fldCharType="end"/>
    </w:r>
    <w:r>
      <w:t>/</w:t>
    </w:r>
    <w:r>
      <w:fldChar w:fldCharType="begin"/>
    </w:r>
    <w:r>
      <w:instrText xml:space="preserve"> NUMPAGES </w:instrText>
    </w:r>
    <w:r>
      <w:fldChar w:fldCharType="separate"/>
    </w:r>
    <w:r>
      <w:t>178</w:t>
    </w:r>
    <w:r>
      <w:fldChar w:fldCharType="end"/>
    </w:r>
    <w:r>
      <w:tab/>
    </w:r>
    <w:r>
      <w:t>PE</w:t>
    </w:r>
    <w:r>
      <w:rPr>
        <w:rStyle w:val="HideTWBExt"/>
      </w:rPr>
      <w:t>&lt;NoPE&gt;</w:t>
    </w:r>
    <w:r>
      <w:t>787.792</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AM\1342336CS.docx</w:t>
    </w:r>
    <w:r>
      <w:rPr>
        <w:rStyle w:val="HideTWBExt"/>
      </w:rPr>
      <w:t>&lt;/PathFdR&gt;</w:t>
    </w:r>
    <w:r>
      <w:tab/>
    </w:r>
    <w:r>
      <w:tab/>
    </w:r>
    <w:r>
      <w:t>PE</w:t>
    </w:r>
    <w:r>
      <w:rPr>
        <w:rStyle w:val="HideTWBExt"/>
      </w:rPr>
      <w:t>&lt;NoPE&gt;</w:t>
    </w:r>
    <w:r>
      <w:t>787.792</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178</Pages>
  <Words>35345</Words>
  <Characters>213475</Characters>
  <Application>Microsoft Office Word</Application>
  <DocSecurity>0</DocSecurity>
  <Lines>1</Lines>
  <Paragraphs>2856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508690</vt:lpwstr>
  </property>
  <property fmtid="{D5CDD505-2E9C-101B-9397-08002B2CF9AE}" pid="7" name="dmxml.render.traceId">
    <vt:lpwstr>6a16fdda9629176a4cc74127f4e8acbc</vt:lpwstr>
  </property>
  <property fmtid="{D5CDD505-2E9C-101B-9397-08002B2CF9AE}" pid="8" name="FooterPath">
    <vt:lpwstr>AM\1342336CS.docx</vt:lpwstr>
  </property>
  <property fmtid="{D5CDD505-2E9C-101B-9397-08002B2CF9AE}" pid="9" name="PE Number">
    <vt:lpwstr>787.792</vt:lpwstr>
  </property>
  <property fmtid="{D5CDD505-2E9C-101B-9397-08002B2CF9AE}" pid="10" name="UID">
    <vt:lpwstr>eu.europa.europarl-DIN1-2026-0000110654_01.00-cs-01.00_text-xml</vt:lpwstr>
  </property>
</Properties>
</file>