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Euroopa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Tööhõive- ja sotsiaalkomisjon</w:t>
      </w:r>
      <w:r>
        <w:rPr>
          <w:rStyle w:val="HideTWBExt"/>
        </w:rPr>
        <w:t>&lt;/Commission&gt;</w:t>
      </w:r>
    </w:p>
    <w:p>
      <w:pPr>
        <w:pStyle w:val="LineBottom"/>
      </w:pPr>
      <w:r>
        <w:t xml:space="preserve"> </w:t>
      </w:r>
    </w:p>
    <w:p>
      <w:pPr>
        <w:pStyle w:val="CoverReference"/>
      </w:pPr>
      <w:r>
        <w:rPr>
          <w:rStyle w:val="HideTWBExt"/>
        </w:rPr>
        <w:t>&lt;RefProc&gt;</w:t>
      </w:r>
      <w:r>
        <w:t>2025/2184</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{23/04/2026}</w:t>
      </w:r>
      <w:r>
        <w:t>23.4.2026</w:t>
      </w:r>
      <w:r>
        <w:rPr>
          <w:rStyle w:val="HideTWBExt"/>
        </w:rPr>
        <w:t>&lt;/Date&gt;</w:t>
      </w:r>
    </w:p>
    <w:p>
      <w:pPr>
        <w:pStyle w:val="CoverDocType"/>
      </w:pPr>
      <w:r>
        <w:rPr>
          <w:rStyle w:val="HideTWBExt"/>
        </w:rPr>
        <w:t>&lt;TypeAM&gt;</w:t>
      </w:r>
      <w:r>
        <w:t>MUUDATUSETTEPANEKUD</w:t>
      </w:r>
      <w:r>
        <w:rPr>
          <w:rStyle w:val="HideTWBExt"/>
        </w:rPr>
        <w:t>&lt;/TypeAM&gt;</w:t>
      </w:r>
    </w:p>
    <w:p>
      <w:pPr>
        <w:pStyle w:val="CoverDocType24a"/>
      </w:pPr>
      <w:r>
        <w:rPr>
          <w:rStyle w:val="HideTWBExt"/>
        </w:rPr>
        <w:t>&lt;RangeAM&gt;</w:t>
      </w:r>
      <w:r>
        <w:t>81</w:t>
      </w:r>
      <w:r>
        <w:t xml:space="preserve"> - </w:t>
      </w:r>
      <w:r>
        <w:t>408</w:t>
      </w:r>
      <w:r>
        <w:rPr>
          <w:rStyle w:val="HideTWBExt"/>
        </w:rPr>
        <w:t>&lt;/RangeAM&gt;</w:t>
      </w:r>
    </w:p>
    <w:p>
      <w:pPr>
        <w:pStyle w:val="CoverBold"/>
      </w:pPr>
      <w:r>
        <w:rPr>
          <w:rStyle w:val="HideTWBExt"/>
        </w:rPr>
        <w:t>&lt;TitreType&gt;</w:t>
      </w:r>
      <w:r>
        <w:t>Raporti projekt</w:t>
      </w:r>
      <w:r>
        <w:rPr>
          <w:rStyle w:val="HideTWBExt"/>
        </w:rPr>
        <w:t>&lt;/TitreType&gt;</w:t>
      </w:r>
    </w:p>
    <w:p>
      <w:pPr>
        <w:pStyle w:val="CoverBold"/>
      </w:pPr>
      <w:r>
        <w:rPr>
          <w:rStyle w:val="HideTWBExt"/>
        </w:rPr>
        <w:t>&lt;Rapporteur&gt;</w:t>
      </w:r>
      <w:r>
        <w:t>Hristo Petrov</w:t>
      </w:r>
      <w:r>
        <w:rPr>
          <w:rStyle w:val="HideTWBExt"/>
        </w:rPr>
        <w:t>&lt;/Rapporteur&gt;</w:t>
      </w:r>
    </w:p>
    <w:p>
      <w:pPr>
        <w:pStyle w:val="CoverNormal24a"/>
      </w:pPr>
      <w:r>
        <w:rPr>
          <w:rStyle w:val="HideTWBExt"/>
        </w:rPr>
        <w:t>&lt;DocRefPE&gt;</w:t>
      </w:r>
      <w:r>
        <w:t>(PE785.214v01-00)</w:t>
      </w:r>
      <w:r>
        <w:rPr>
          <w:rStyle w:val="HideTWBExt"/>
        </w:rPr>
        <w:t>&lt;/DocRefPE&gt;</w:t>
      </w:r>
    </w:p>
    <w:p>
      <w:pPr>
        <w:pStyle w:val="CoverNormal"/>
      </w:pPr>
      <w:r>
        <w:rPr>
          <w:rStyle w:val="HideTWBExt"/>
        </w:rPr>
        <w:t>&lt;Titre&gt;</w:t>
      </w:r>
      <w:r>
        <w:t>Nõukogu 30. oktoobri 2020. aasta soovituse (mis käsitleb algatust „Töösild – noorte tööhõive tugevdamine“ ja millega asendatakse nõukogu 22. aprilli 2013. aasta soovitus noortegarantii loomise kohta) rakendamine</w:t>
      </w:r>
      <w:r>
        <w:rPr>
          <w:rStyle w:val="HideTWBExt"/>
        </w:rPr>
        <w:t>&lt;/Titre&gt;</w:t>
      </w:r>
    </w:p>
    <w:p>
      <w:pPr>
        <w:pStyle w:val="CoverNormal24a"/>
      </w:pPr>
      <w:r>
        <w:rPr>
          <w:rStyle w:val="HideTWBExt"/>
        </w:rPr>
        <w:t>&lt;DocRef&gt;</w:t>
      </w:r>
      <w:r>
        <w:t>(2025/2184(INI))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Muudatusettepanek</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w:t>
            </w:r>
          </w:p>
        </w:tc>
        <w:tc>
          <w:tcPr>
            <w:tcW w:w="4876" w:type="dxa"/>
            <w:tcBorders>
              <w:top w:val="nil"/>
              <w:left w:val="nil"/>
              <w:bottom w:val="nil"/>
              <w:right w:val="nil"/>
            </w:tcBorders>
          </w:tcPr>
          <w:p>
            <w:pPr>
              <w:pStyle w:val="Normal6a"/>
            </w:pPr>
            <w:r>
              <w:t>1.</w:t>
            </w:r>
            <w:r>
              <w:tab/>
            </w:r>
            <w:r>
              <w:t xml:space="preserve">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 </w:t>
            </w:r>
            <w:r>
              <w:rPr>
                <w:b/>
                <w:i/>
              </w:rPr>
              <w:t>kutsub liikmesriike üles leidma noortekeskseid lähenemisviise, mis hõlbustavad üleminekut koolist tööellu, edendavad ettevõtlust ning tagavad, et haridus- ja koolitussüsteemid vastavad tööturu kiiresti muutuvatele vajadustele;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w:t>
            </w:r>
          </w:p>
        </w:tc>
        <w:tc>
          <w:tcPr>
            <w:tcW w:w="4876" w:type="dxa"/>
            <w:tcBorders>
              <w:top w:val="nil"/>
              <w:left w:val="nil"/>
              <w:bottom w:val="nil"/>
              <w:right w:val="nil"/>
            </w:tcBorders>
          </w:tcPr>
          <w:p>
            <w:pPr>
              <w:pStyle w:val="Normal6a"/>
            </w:pPr>
            <w:r>
              <w:t>1.</w:t>
            </w:r>
            <w:r>
              <w:tab/>
            </w:r>
            <w:r>
              <w:t xml:space="preserve">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 </w:t>
            </w:r>
            <w:r>
              <w:rPr>
                <w:b/>
                <w:i/>
              </w:rPr>
              <w:t>rõhutab lisaks, et üldiste tööhõivenäitajate parandamine ei tohi varjata ebakindla, madalapalgalise või lühiajalise töö levikut noorte seas;</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w:t>
            </w:r>
          </w:p>
        </w:tc>
        <w:tc>
          <w:tcPr>
            <w:tcW w:w="4876" w:type="dxa"/>
            <w:tcBorders>
              <w:top w:val="nil"/>
              <w:left w:val="nil"/>
              <w:bottom w:val="nil"/>
              <w:right w:val="nil"/>
            </w:tcBorders>
          </w:tcPr>
          <w:p>
            <w:pPr>
              <w:pStyle w:val="Normal6a"/>
            </w:pPr>
            <w:r>
              <w:t>1.</w:t>
            </w:r>
            <w:r>
              <w:tab/>
            </w:r>
            <w:r>
              <w:t>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w:t>
            </w:r>
            <w:r>
              <w:rPr>
                <w:b/>
                <w:i/>
                <w:vertAlign w:val="superscript"/>
              </w:rPr>
              <w:t>18a</w:t>
            </w:r>
            <w:r>
              <w:t xml:space="preserve">; </w:t>
            </w:r>
            <w:r>
              <w:rPr>
                <w:b/>
                <w:i/>
              </w:rPr>
              <w:t>märgib, et olukord on eriti murettekitav noorte naiste, puuetega noorte, noorte romade ja hooldekodus elavate noorte puhul;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18a</w:t>
            </w:r>
            <w:r>
              <w:t xml:space="preserve"> </w:t>
            </w:r>
            <w:r>
              <w:rPr>
                <w:b/>
                <w:i/>
              </w:rPr>
              <w:t>https://doi.org/10.2908/UNE_RT_A.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w:t>
            </w:r>
          </w:p>
        </w:tc>
        <w:tc>
          <w:tcPr>
            <w:tcW w:w="4876" w:type="dxa"/>
            <w:tcBorders>
              <w:top w:val="nil"/>
              <w:left w:val="nil"/>
              <w:bottom w:val="nil"/>
              <w:right w:val="nil"/>
            </w:tcBorders>
          </w:tcPr>
          <w:p>
            <w:pPr>
              <w:pStyle w:val="Normal6a"/>
            </w:pPr>
            <w:r>
              <w:t>1.</w:t>
            </w:r>
            <w:r>
              <w:tab/>
            </w:r>
            <w:r>
              <w:t xml:space="preserve">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 </w:t>
            </w:r>
            <w:r>
              <w:rPr>
                <w:b/>
                <w:i/>
              </w:rPr>
              <w:t>rõhutab siiski, et töötuse vähenemine ei tähenda tingimata töökohtade kvaliteedi paranemist, eriti noorte puhul;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väljendab heameelt ELi tööturgude heade tulemuste ja ajalooliselt madalate töötuse määrade üle; peab siiski kahetsusväärseks, et sellel suundumusel ei ole suuremat mõju noortele, kelle töötuse määr on umbes 15 %, mis on endiselt peaaegu kolm korda kõrgem kui kogu elanikkonna töötus;</w:t>
            </w:r>
          </w:p>
        </w:tc>
        <w:tc>
          <w:tcPr>
            <w:tcW w:w="4876" w:type="dxa"/>
            <w:tcBorders>
              <w:top w:val="nil"/>
              <w:left w:val="nil"/>
              <w:bottom w:val="nil"/>
              <w:right w:val="nil"/>
            </w:tcBorders>
          </w:tcPr>
          <w:p>
            <w:pPr>
              <w:pStyle w:val="Normal6a"/>
            </w:pPr>
            <w:r>
              <w:t>1.</w:t>
            </w:r>
            <w:r>
              <w:tab/>
            </w:r>
            <w:r>
              <w:t xml:space="preserve">väljendab heameelt ELi tööturgude heade tulemuste ja ajalooliselt madalate töötuse määrade üle; peab siiski kahetsusväärseks, et sellel suundumusel ei ole suuremat mõju noortele, kelle töötuse määr </w:t>
            </w:r>
            <w:r>
              <w:rPr>
                <w:b/>
                <w:i/>
              </w:rPr>
              <w:t>kogu liidus</w:t>
            </w:r>
            <w:r>
              <w:t xml:space="preserve"> on umbes 15 %, mis on endiselt peaaegu kolm korda kõrgem kui kogu elanikkonna töötus; </w:t>
            </w:r>
            <w:r>
              <w:rPr>
                <w:b/>
                <w:i/>
              </w:rPr>
              <w:t>rõhutab, et tugevdatud noortegarantii vähendab potentsiaalselt noorte töötust ja toimib ennetusmeetmena;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rõhutab, et lubadus pakkuda tööd nelja kuu jooksul on sisukas vaid juhul, kui pakutav töökoht on tõepoolest kvaliteetne ja toob kaasa jätkusuutliku tööelu, mis pakub tulevikuväljavaateid ning korralikku, äraelamist võimaldavat palka;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väljendab heameelt</w:t>
            </w:r>
            <w:r>
              <w:t xml:space="preserve">, et mittetöötavate ja mitteõppivate noorte (NEET-noored) määr on ELis </w:t>
            </w:r>
            <w:r>
              <w:rPr>
                <w:b/>
                <w:i/>
              </w:rPr>
              <w:t>alates noortegarantii kasutuselevõtust</w:t>
            </w:r>
            <w:r>
              <w:t xml:space="preserve"> kahanemas ning langes 2024. aastal 11,1 %-le; </w:t>
            </w:r>
            <w:r>
              <w:rPr>
                <w:b/>
                <w:i/>
              </w:rPr>
              <w:t>märgib</w:t>
            </w:r>
            <w:r>
              <w:t xml:space="preserve"> siiski</w:t>
            </w:r>
            <w:r>
              <w:rPr>
                <w:b/>
                <w:i/>
              </w:rPr>
              <w:t>, et</w:t>
            </w:r>
            <w:r>
              <w:t xml:space="preserve"> liikmesriikide vahel </w:t>
            </w:r>
            <w:r>
              <w:rPr>
                <w:b/>
                <w:i/>
              </w:rPr>
              <w:t>on erinevusi</w:t>
            </w:r>
            <w:r>
              <w:t>, kuna mõned on juba saavutanud 2030. aasta eesmärgi, aga teistes on NEET-noorte arv endiselt murettekitavalt suur;</w:t>
            </w:r>
          </w:p>
        </w:tc>
        <w:tc>
          <w:tcPr>
            <w:tcW w:w="4876" w:type="dxa"/>
            <w:tcBorders>
              <w:top w:val="nil"/>
              <w:left w:val="nil"/>
              <w:bottom w:val="nil"/>
              <w:right w:val="nil"/>
            </w:tcBorders>
          </w:tcPr>
          <w:p>
            <w:pPr>
              <w:pStyle w:val="Normal6a"/>
            </w:pPr>
            <w:r>
              <w:t>2.</w:t>
            </w:r>
            <w:r>
              <w:tab/>
            </w:r>
            <w:r>
              <w:rPr>
                <w:b/>
                <w:i/>
              </w:rPr>
              <w:t>märgib</w:t>
            </w:r>
            <w:r>
              <w:t xml:space="preserve">, et mittetöötavate ja mitteõppivate noorte (NEET-noored) määr on ELis kahanemas ning langes 2024. aastal 11,1 %-le; </w:t>
            </w:r>
            <w:r>
              <w:rPr>
                <w:b/>
                <w:i/>
              </w:rPr>
              <w:t>juhib</w:t>
            </w:r>
            <w:r>
              <w:t xml:space="preserve"> siiski </w:t>
            </w:r>
            <w:r>
              <w:rPr>
                <w:b/>
                <w:i/>
              </w:rPr>
              <w:t>tähelepanu sellele, et seda vähenemist ei saa seostada noortegarantii tõhususega, arvestades, et tööturule integreerimine sõltub peamiselt kodumaiste ettevõtete konkurentsivõimest ja demograafilistest muutustest;</w:t>
            </w:r>
            <w:r>
              <w:t xml:space="preserve"> </w:t>
            </w:r>
            <w:r>
              <w:rPr>
                <w:b/>
                <w:i/>
              </w:rPr>
              <w:t>märgib lisaks märkimisväärset territoriaalset lõhet ja erinevusi</w:t>
            </w:r>
            <w:r>
              <w:t xml:space="preserve"> liikmesriikide vahel, kuna mõned on juba saavutanud 2030. aasta eesmärgi, aga teistes on NEET-noorte arv endiselt murettekitavalt suur</w:t>
            </w:r>
            <w:r>
              <w:rPr>
                <w:b/>
                <w:i/>
              </w:rPr>
              <w:t>, eelkõige tähelepanuta jäetud maapiirkondades</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väljendab heameelt, et mittetöötavate ja mitteõppivate noorte (NEET-noored) määr on ELis alates noortegarantii kasutuselevõtust kahanemas ning langes 2024. aastal 11,1 %-le; märgib siiski, et liikmesriikide vahel on erinevusi, kuna mõned on juba saavutanud 2030. aasta eesmärgi, aga teistes on NEET-noorte arv endiselt murettekitavalt suur;</w:t>
            </w:r>
          </w:p>
        </w:tc>
        <w:tc>
          <w:tcPr>
            <w:tcW w:w="4876" w:type="dxa"/>
            <w:tcBorders>
              <w:top w:val="nil"/>
              <w:left w:val="nil"/>
              <w:bottom w:val="nil"/>
              <w:right w:val="nil"/>
            </w:tcBorders>
          </w:tcPr>
          <w:p>
            <w:pPr>
              <w:pStyle w:val="Normal6a"/>
            </w:pPr>
            <w:r>
              <w:t>2.</w:t>
            </w:r>
            <w:r>
              <w:tab/>
            </w:r>
            <w:r>
              <w:t xml:space="preserve">väljendab heameelt, et mittetöötavate ja mitteõppivate noorte (NEET-noored) määr on ELis alates noortegarantii kasutuselevõtust kahanemas ning langes 2024. aastal 11,1 %-le; märgib siiski, et liikmesriikide vahel on erinevusi, kuna mõned on juba saavutanud 2030. aasta eesmärgi, aga teistes on NEET-noorte arv endiselt murettekitavalt suur; </w:t>
            </w:r>
            <w:r>
              <w:rPr>
                <w:b/>
                <w:i/>
              </w:rPr>
              <w:t>toonitab seetõttu, et noortegarantii rakendamine peaks võimaldama liikmesriikidele ja piirkondlikele omavalitsustele piisavat paindlikkust, et kavandada meetmeid, mis on kohandatud nende tööturu vastava ajahetke konkreetsetele vajadustele;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väljendab heameelt, et mittetöötavate ja mitteõppivate noorte (NEET-noored) määr on ELis alates noortegarantii kasutuselevõtust kahanemas ning langes 2024. aastal 11,1 %-le; märgib siiski, et liikmesriikide vahel on erinevusi, kuna mõned on juba saavutanud </w:t>
            </w:r>
            <w:r>
              <w:rPr>
                <w:b/>
                <w:i/>
              </w:rPr>
              <w:t>2030. aasta</w:t>
            </w:r>
            <w:r>
              <w:t xml:space="preserve"> eesmärgi</w:t>
            </w:r>
            <w:r>
              <w:rPr>
                <w:b/>
                <w:i/>
              </w:rPr>
              <w:t>, aga</w:t>
            </w:r>
            <w:r>
              <w:t xml:space="preserve"> teistes on NEET-noorte arv endiselt murettekitavalt suur;</w:t>
            </w:r>
          </w:p>
        </w:tc>
        <w:tc>
          <w:tcPr>
            <w:tcW w:w="4876" w:type="dxa"/>
            <w:tcBorders>
              <w:top w:val="nil"/>
              <w:left w:val="nil"/>
              <w:bottom w:val="nil"/>
              <w:right w:val="nil"/>
            </w:tcBorders>
          </w:tcPr>
          <w:p>
            <w:pPr>
              <w:pStyle w:val="Normal6a"/>
            </w:pPr>
            <w:r>
              <w:t>2.</w:t>
            </w:r>
            <w:r>
              <w:tab/>
            </w:r>
            <w:r>
              <w:t xml:space="preserve">väljendab heameelt, et mittetöötavate ja mitteõppivate noorte (NEET-noored) määr on ELis alates noortegarantii kasutuselevõtust kahanemas ning langes 2024. aastal 11,1 %-le; märgib siiski, et liikmesriikide vahel on erinevusi, kuna mõned on juba saavutanud </w:t>
            </w:r>
            <w:r>
              <w:rPr>
                <w:b/>
                <w:i/>
              </w:rPr>
              <w:t>Euroopa sotsiaalõiguste samba tegevuskava</w:t>
            </w:r>
            <w:r>
              <w:t xml:space="preserve"> eesmärgi </w:t>
            </w:r>
            <w:r>
              <w:rPr>
                <w:b/>
                <w:i/>
              </w:rPr>
              <w:t>vähendada NEET-noorte määra 9 %-ni aastaks 2030, samas kui</w:t>
            </w:r>
            <w:r>
              <w:t xml:space="preserve"> teistes on NEET-noorte arv endiselt murettekitavalt suur;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väljendab heameelt, et mittetöötavate ja mitteõppivate noorte (NEET-noored) määr on ELis alates noortegarantii kasutuselevõtust kahanemas ning langes </w:t>
            </w:r>
            <w:r>
              <w:rPr>
                <w:b/>
                <w:i/>
              </w:rPr>
              <w:t>2024</w:t>
            </w:r>
            <w:r>
              <w:t xml:space="preserve">. aastal </w:t>
            </w:r>
            <w:r>
              <w:rPr>
                <w:b/>
                <w:i/>
              </w:rPr>
              <w:t>11,1</w:t>
            </w:r>
            <w:r>
              <w:t xml:space="preserve"> %-le; märgib siiski, et liikmesriikide vahel on erinevusi, kuna mõned on juba saavutanud 2030. aasta eesmärgi, aga teistes on NEET-noorte arv endiselt murettekitavalt suur;</w:t>
            </w:r>
          </w:p>
        </w:tc>
        <w:tc>
          <w:tcPr>
            <w:tcW w:w="4876" w:type="dxa"/>
            <w:tcBorders>
              <w:top w:val="nil"/>
              <w:left w:val="nil"/>
              <w:bottom w:val="nil"/>
              <w:right w:val="nil"/>
            </w:tcBorders>
          </w:tcPr>
          <w:p>
            <w:pPr>
              <w:pStyle w:val="Normal6a"/>
            </w:pPr>
            <w:r>
              <w:t>2.</w:t>
            </w:r>
            <w:r>
              <w:tab/>
            </w:r>
            <w:r>
              <w:t xml:space="preserve">väljendab heameelt, et mittetöötavate ja mitteõppivate noorte (NEET-noored) määr on ELis alates noortegarantii kasutuselevõtust kahanemas ning langes </w:t>
            </w:r>
            <w:r>
              <w:rPr>
                <w:b/>
                <w:i/>
              </w:rPr>
              <w:t>2025</w:t>
            </w:r>
            <w:r>
              <w:t xml:space="preserve">. aastal </w:t>
            </w:r>
            <w:r>
              <w:rPr>
                <w:b/>
                <w:i/>
              </w:rPr>
              <w:t>10,9</w:t>
            </w:r>
            <w:r>
              <w:t xml:space="preserve"> %-le; märgib siiski, et liikmesriikide vahel on erinevusi, kuna mõned on juba saavutanud 2030. aasta eesmärgi, aga teistes on NEET-noorte arv endiselt murettekitavalt suur;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tunnistab, et töökoha kvaliteet on noorte tööhõive valdkonnas endiselt peamine probleem ning et avalik poliitika peaks aitama võidelda ebakindlate töövormide vastu (sealhulgas tasustamata või alatasustatud praktika, mittevabatahtlik osalise tööajaga töö, renditöö ja deklareerimata töö), edendades samas õiglasi töötingimusi ning kestlikku haridust ja tööturule integreerimist;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rõhutab, et noortegarantii otsesed seirenäitajad viitavad märkimisväärsetele ja püsivatele probleemidele noortegarantii kavade kasutuselevõtmisel ja rakendamisel; </w:t>
            </w:r>
            <w:r>
              <w:rPr>
                <w:b/>
                <w:i/>
              </w:rPr>
              <w:t>rõhutab eelkõige, et 2024. aastal jäi rohkem kui pool osalejatest (54 %) ettevalmistusetappi kauemaks kui neljaks kuuks ning et ettevalmistusetapist lahkuti positiivselt ja õigeaegselt vähem kui pooltel juhtudel (45,1 %);</w:t>
            </w:r>
          </w:p>
        </w:tc>
        <w:tc>
          <w:tcPr>
            <w:tcW w:w="4876" w:type="dxa"/>
            <w:tcBorders>
              <w:top w:val="nil"/>
              <w:left w:val="nil"/>
              <w:bottom w:val="nil"/>
              <w:right w:val="nil"/>
            </w:tcBorders>
          </w:tcPr>
          <w:p>
            <w:pPr>
              <w:pStyle w:val="Normal6a"/>
            </w:pPr>
            <w:r>
              <w:t>3.</w:t>
            </w:r>
            <w:r>
              <w:tab/>
            </w:r>
            <w:r>
              <w:t>rõhutab, et noortegarantii otsesed seirenäitajad viitavad märkimisväärsetele ja püsivatele probleemidele noortegarantii kavade kasutuselevõtmisel ja rakendamisel;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rõhutab, et noortegarantii otsesed seirenäitajad viitavad märkimisväärsetele ja püsivatele probleemidele noortegarantii kavade kasutuselevõtmisel ja rakendamisel; rõhutab eelkõige, et 2024. aastal jäi rohkem kui pool osalejatest (54 %) ettevalmistusetappi kauemaks kui neljaks kuuks ning et ettevalmistusetapist lahkuti positiivselt ja õigeaegselt vähem kui pooltel juhtudel (45,1 %);</w:t>
            </w:r>
          </w:p>
        </w:tc>
        <w:tc>
          <w:tcPr>
            <w:tcW w:w="4876" w:type="dxa"/>
            <w:tcBorders>
              <w:top w:val="nil"/>
              <w:left w:val="nil"/>
              <w:bottom w:val="nil"/>
              <w:right w:val="nil"/>
            </w:tcBorders>
          </w:tcPr>
          <w:p>
            <w:pPr>
              <w:pStyle w:val="Normal6a"/>
            </w:pPr>
            <w:r>
              <w:t>3.</w:t>
            </w:r>
            <w:r>
              <w:tab/>
            </w:r>
            <w:r>
              <w:t xml:space="preserve">rõhutab, et noortegarantii otsesed seirenäitajad viitavad märkimisväärsetele ja püsivatele probleemidele noortegarantii kavade kasutuselevõtmisel ja rakendamisel; rõhutab eelkõige, et 2024. aastal jäi rohkem kui pool osalejatest (54 %) ettevalmistusetappi kauemaks kui neljaks kuuks ning et ettevalmistusetapist lahkuti positiivselt ja õigeaegselt vähem kui pooltel juhtudel (45,1 %); </w:t>
            </w:r>
            <w:r>
              <w:rPr>
                <w:b/>
                <w:i/>
              </w:rPr>
              <w:t>nõuab seetõttu menetluste lihtsustamist ning tööandjate ja kohalike osalejate mõjusamat kaasamist, et praktilisemate ja rohkem tööga seotud võimaluste kaudu kiirendada noorte liikumist ettevalmistusetapist tööellu;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rõhutab, et noortegarantii otsesed seirenäitajad viitavad märkimisväärsetele ja püsivatele probleemidele noortegarantii kavade kasutuselevõtmisel ja rakendamisel; rõhutab eelkõige, et 2024. aastal jäi rohkem kui pool osalejatest (54 %) ettevalmistusetappi kauemaks kui neljaks kuuks ning et ettevalmistusetapist lahkuti positiivselt ja õigeaegselt vähem kui pooltel juhtudel (45,1 %);</w:t>
            </w:r>
          </w:p>
        </w:tc>
        <w:tc>
          <w:tcPr>
            <w:tcW w:w="4876" w:type="dxa"/>
            <w:tcBorders>
              <w:top w:val="nil"/>
              <w:left w:val="nil"/>
              <w:bottom w:val="nil"/>
              <w:right w:val="nil"/>
            </w:tcBorders>
          </w:tcPr>
          <w:p>
            <w:pPr>
              <w:pStyle w:val="Normal6a"/>
            </w:pPr>
            <w:r>
              <w:t>3.</w:t>
            </w:r>
            <w:r>
              <w:tab/>
            </w:r>
            <w:r>
              <w:t xml:space="preserve">rõhutab, et noortegarantii otsesed seirenäitajad viitavad märkimisväärsetele ja püsivatele probleemidele noortegarantii kavade kasutuselevõtmisel ja rakendamisel; rõhutab eelkõige, et 2024. aastal jäi rohkem kui pool osalejatest (54 %) ettevalmistusetappi kauemaks kui neljaks kuuks ning et ettevalmistusetapist lahkuti positiivselt ja õigeaegselt vähem kui pooltel juhtudel (45,1 %); </w:t>
            </w:r>
            <w:r>
              <w:rPr>
                <w:b/>
                <w:i/>
              </w:rPr>
              <w:t>väljendab erilist muret selle pärast, et noored on kinni jäänud valmis pakendatud meetmete tsüklitesse, ilma et neil oleks juurdepääsu stabiilsele ja väärikale tööle;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rõhutab, et noortegarantii otsesed seirenäitajad viitavad märkimisväärsetele ja püsivatele probleemidele noortegarantii kavade kasutuselevõtmisel ja rakendamisel; rõhutab eelkõige, et 2024. aastal jäi rohkem kui pool osalejatest (54 %) ettevalmistusetappi kauemaks kui neljaks kuuks ning et ettevalmistusetapist lahkuti positiivselt ja õigeaegselt vähem kui pooltel juhtudel (45,1 %);</w:t>
            </w:r>
          </w:p>
        </w:tc>
        <w:tc>
          <w:tcPr>
            <w:tcW w:w="4876" w:type="dxa"/>
            <w:tcBorders>
              <w:top w:val="nil"/>
              <w:left w:val="nil"/>
              <w:bottom w:val="nil"/>
              <w:right w:val="nil"/>
            </w:tcBorders>
          </w:tcPr>
          <w:p>
            <w:pPr>
              <w:pStyle w:val="Normal6a"/>
            </w:pPr>
            <w:r>
              <w:t>3.</w:t>
            </w:r>
            <w:r>
              <w:tab/>
            </w:r>
            <w:r>
              <w:t xml:space="preserve">rõhutab, et noortegarantii otsesed seirenäitajad viitavad märkimisväärsetele ja püsivatele probleemidele noortegarantii kavade kasutuselevõtmisel ja rakendamisel; rõhutab eelkõige, et 2024. aastal jäi rohkem kui pool osalejatest (54 %) ettevalmistusetappi kauemaks kui neljaks kuuks ning et ettevalmistusetapist lahkuti positiivselt ja õigeaegselt vähem kui pooltel juhtudel (45,1 %); </w:t>
            </w:r>
            <w:r>
              <w:rPr>
                <w:b/>
                <w:i/>
              </w:rPr>
              <w:t>taunib asjaolu, et NEET-noorte tugevdatud noortegarantii kavadega hõlmatuse tase jäi paljudes liikmesriikides 2024. aastal alla 50 %</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Euroopa Parlamendi uuringuteenistuse 18. detsembri 2025. aasta detsembri Euroopa rakendamishinnang „The implementation of the reinforced Youth Guarantee – Trends in EU Member States, impact, EU funding and governance“ (Tugevdatud noortegarantii rakendamine – suundumused ELi liikmesriikides, mõju, ELi rahastamine ja juhtimine).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rõhutab, et noortegarantii otsesed seirenäitajad viitavad märkimisväärsetele ja püsivatele probleemidele noortegarantii kavade kasutuselevõtmisel ja rakendamisel; rõhutab eelkõige, et 2024. aastal jäi rohkem kui pool osalejatest (54 %) ettevalmistusetappi kauemaks kui neljaks kuuks ning et ettevalmistusetapist lahkuti positiivselt ja õigeaegselt vähem kui pooltel juhtudel (45,1 %);</w:t>
            </w:r>
          </w:p>
        </w:tc>
        <w:tc>
          <w:tcPr>
            <w:tcW w:w="4876" w:type="dxa"/>
            <w:tcBorders>
              <w:top w:val="nil"/>
              <w:left w:val="nil"/>
              <w:bottom w:val="nil"/>
              <w:right w:val="nil"/>
            </w:tcBorders>
          </w:tcPr>
          <w:p>
            <w:pPr>
              <w:pStyle w:val="Normal6a"/>
            </w:pPr>
            <w:r>
              <w:t>3.</w:t>
            </w:r>
            <w:r>
              <w:tab/>
            </w:r>
            <w:r>
              <w:t>rõhutab, et noortegarantii otsesed seirenäitajad viitavad märkimisväärsetele ja püsivatele probleemidele noortegarantii kavade kasutuselevõtmisel ja rakendamisel; rõhutab eelkõige, et 2024. aastal jäi rohkem kui pool osalejatest (54 %) ettevalmistusetappi kauemaks kui neljaks kuuks ning et ettevalmistusetapist lahkuti positiivselt ja õigeaegselt vähem kui pooltel juhtudel (45,1 %)</w:t>
            </w:r>
            <w:r>
              <w:rPr>
                <w:b/>
                <w:i/>
                <w:vertAlign w:val="superscript"/>
              </w:rPr>
              <w:t>19a</w:t>
            </w:r>
            <w:r>
              <w:rPr>
                <w:b/>
                <w:i/>
              </w:rPr>
              <w:t>, mis näitab, et noortegarantii kavad ei täida oma peamisi eesmärke tähtaegade ega tulemuslikkuse poolest</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19a</w:t>
            </w:r>
            <w:r>
              <w:t xml:space="preserve"> </w:t>
            </w:r>
            <w:r>
              <w:rPr>
                <w:b/>
                <w:i/>
              </w:rPr>
              <w:t>Euroopa Komisjon, tööhõive, sotsiaalküsimuste ja sotsiaalse kaasatuse peadirektoraat, „Data table on Youth Guarantee Direct indicators“ (Andmetabel noortegarantii otseste näitajate kohta), veebruar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märgib murelikult, et tugevdatud noortegarantii ei täida ikka veel oma põhieesmärki: tagada õigeaegselt tööpakkumine; üle poole registreeritud osalejatest ei ole nelja kuu jooksul tööpakkumist saanud ja seda vastu võtnud ning mõnedes liikmesriikides on viivitused olnud eriti pikad ja teatavatel juhtudel on pärast noortegarantii tugevdamist 2020. aastal tulemused isegi halvenenud</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Euroopa Parlamendi uuringuteenistuse 18. detsembri 2025. aasta detsembri Euroopa rakendamishinnang „The implementation of the reinforced Youth Guarantee – Trends in EU Member States, impact, EU funding and governance“ (Tugevdatud noortegarantii rakendamine – suundumused ELi liikmesriikides, mõju, ELi rahastamine ja juhtimine).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rõhutab, et praegu ei saa kõik noored nelja kuu jooksul pärast kooli või kutseõppeasutuse lõpetamist või töötuks jäämist kvaliteetset tööpakkumist, jätkuõppe või koolituse võimalust või praktikakohta;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rõhutab, et jälgimisnäitajad kannatavad mitmes liikmesriigis andmete puudumise ja metoodiliste nõrkuste tõttu;</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rõhutab, et jälgimisnäitajad kannatavad mitmes liikmesriigis andmete puudumise ja metoodiliste nõrkuste tõttu;</w:t>
            </w:r>
          </w:p>
        </w:tc>
        <w:tc>
          <w:tcPr>
            <w:tcW w:w="4876" w:type="dxa"/>
            <w:tcBorders>
              <w:top w:val="nil"/>
              <w:left w:val="nil"/>
              <w:bottom w:val="nil"/>
              <w:right w:val="nil"/>
            </w:tcBorders>
          </w:tcPr>
          <w:p>
            <w:pPr>
              <w:pStyle w:val="Normal6a"/>
            </w:pPr>
            <w:r>
              <w:t>4.</w:t>
            </w:r>
            <w:r>
              <w:tab/>
            </w:r>
            <w:r>
              <w:t>rõhutab, et jälgimisnäitajad kannatavad mitmes liikmesriigis andmete puudumise ja metoodiliste nõrkuste tõttu</w:t>
            </w:r>
            <w:r>
              <w:rPr>
                <w:b/>
                <w:i/>
              </w:rPr>
              <w:t>, võttes eelkõige arvesse vanuse ülempiiri tõstmist 29. eluaastani</w:t>
            </w:r>
            <w:r>
              <w:t xml:space="preserve">; </w:t>
            </w:r>
            <w:r>
              <w:rPr>
                <w:b/>
                <w:i/>
              </w:rPr>
              <w:t>juhib tähelepanu asjaolule, et puuduvad võrreldavad ja disagregeeritud (muuhulgas soo, vanuse, puude, rändetausta ja sotsiaal-majandusliku staatuse alusel) andmed;</w:t>
            </w:r>
            <w:r>
              <w:t xml:space="preserve"> </w:t>
            </w:r>
            <w:r>
              <w:rPr>
                <w:b/>
                <w:i/>
              </w:rPr>
              <w:t>märgib, et noored naised on ebaproportsionaalselt mõjutatud, kuna nende osakaal NEET-noorte hulgas ületab paljudes liikmesriikides samas olukorras olevate noorte meeste osakaalu, ning et olemasolevad noortegarantii kavad ei suuda tihtipeale hõlmata võrdselt kõiki sihtrühma kuuluvaid toetusesaajaid;</w:t>
            </w:r>
            <w:r>
              <w:t xml:space="preserve"> </w:t>
            </w:r>
            <w:r>
              <w:rPr>
                <w:b/>
                <w:i/>
              </w:rPr>
              <w:t>nõuab tugevamaid seireraamistikke, paremat andmete kogumist ja suuremat läbipaistvust ning et töötataks välja usaldusväärsed ühtlustatud näitajad, mille alusel tõhusalt hinnata noortegarantii kavade kvaliteeti, kaasavust ja pikaajalisi tulemusi;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rõhutab, et jälgimisnäitajad kannatavad mitmes liikmesriigis andmete puudumise ja metoodiliste nõrkuste tõttu;</w:t>
            </w:r>
          </w:p>
        </w:tc>
        <w:tc>
          <w:tcPr>
            <w:tcW w:w="4876" w:type="dxa"/>
            <w:tcBorders>
              <w:top w:val="nil"/>
              <w:left w:val="nil"/>
              <w:bottom w:val="nil"/>
              <w:right w:val="nil"/>
            </w:tcBorders>
          </w:tcPr>
          <w:p>
            <w:pPr>
              <w:pStyle w:val="Normal6a"/>
            </w:pPr>
            <w:r>
              <w:t>4.</w:t>
            </w:r>
            <w:r>
              <w:tab/>
            </w:r>
            <w:r>
              <w:t>rõhutab, et jälgimisnäitajad kannatavad mitmes liikmesriigis andmete puudumise ja metoodiliste nõrkuste tõttu</w:t>
            </w:r>
            <w:r>
              <w:rPr>
                <w:b/>
                <w:i/>
              </w:rPr>
              <w:t>, ning see takistab tugevdatud noortegarantii kavade kestlikkuse ja nende pikaajalise mõju põhjalikku hindamist ning liikmesriikide võrdlemist</w:t>
            </w:r>
            <w:r>
              <w:t>;</w:t>
            </w:r>
            <w:r>
              <w:rPr>
                <w:b/>
                <w:i/>
              </w:rPr>
              <w:t xml:space="preserve"> </w:t>
            </w:r>
            <w:r>
              <w:t xml:space="preserve"> </w:t>
            </w:r>
            <w:r>
              <w:rPr>
                <w:b/>
                <w:i/>
              </w:rPr>
              <w:t>rõhutab sellega seoses, et olemasolevatest andmetest nähtub, et 2024. aastal oli kuus kuud pärast tugevdatud noortegarantii kavast lahkumist positiivses olukorras suurem osa noortest (58,3 %), kuid see osakaal vähenes pärast 12 kuud (53,1 %) ja 18 kuud (30,3 %)</w:t>
            </w:r>
            <w:r>
              <w:rPr>
                <w:b/>
                <w:i/>
                <w:vertAlign w:val="superscript"/>
              </w:rPr>
              <w:t>20a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20a</w:t>
            </w:r>
            <w:r>
              <w:t xml:space="preserve"> </w:t>
            </w:r>
            <w:r>
              <w:rPr>
                <w:b/>
                <w:i/>
              </w:rPr>
              <w:t>Euroopa Komisjon, tööhõive, sotsiaalküsimuste ja sotsiaalse kaasatuse peadirektoraat, „Data table on Youth Guarantee Follow-up indicators“ (Andmetabel noortegarantii jälgimisnäitajate kohta), detsember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rõhutab, et </w:t>
            </w:r>
            <w:r>
              <w:rPr>
                <w:b/>
                <w:i/>
              </w:rPr>
              <w:t>jälgimisnäitajad kannatavad</w:t>
            </w:r>
            <w:r>
              <w:t xml:space="preserve"> mitmes liikmesriigis andmete </w:t>
            </w:r>
            <w:r>
              <w:rPr>
                <w:b/>
                <w:i/>
              </w:rPr>
              <w:t>puudumise ja metoodiliste nõrkuste tõttu</w:t>
            </w:r>
            <w:r>
              <w:t>;</w:t>
            </w:r>
          </w:p>
        </w:tc>
        <w:tc>
          <w:tcPr>
            <w:tcW w:w="4876" w:type="dxa"/>
            <w:tcBorders>
              <w:top w:val="nil"/>
              <w:left w:val="nil"/>
              <w:bottom w:val="nil"/>
              <w:right w:val="nil"/>
            </w:tcBorders>
          </w:tcPr>
          <w:p>
            <w:pPr>
              <w:pStyle w:val="Normal6a"/>
            </w:pPr>
            <w:r>
              <w:t>4.</w:t>
            </w:r>
            <w:r>
              <w:tab/>
            </w:r>
            <w:r>
              <w:t xml:space="preserve">rõhutab, et </w:t>
            </w:r>
            <w:r>
              <w:rPr>
                <w:b/>
                <w:i/>
              </w:rPr>
              <w:t>jälgimisnäitajate usaldusväärsust õõnestavad</w:t>
            </w:r>
            <w:r>
              <w:t xml:space="preserve"> mitmes liikmesriigis andmete </w:t>
            </w:r>
            <w:r>
              <w:rPr>
                <w:b/>
                <w:i/>
              </w:rPr>
              <w:t>puudumine ja metoodilised nõrkused;</w:t>
            </w:r>
            <w:r>
              <w:t xml:space="preserve"> </w:t>
            </w:r>
            <w:r>
              <w:rPr>
                <w:b/>
                <w:i/>
              </w:rPr>
              <w:t>peab kahetsusväärseks, et laiem andmete kogumine tugevdatud noortegarantii kohta on olnud ebapiisav, ning toonitab eelkõige andmete kogumise puudulikkust vanuserühma 25–29 puhul</w:t>
            </w:r>
            <w:r>
              <w:t xml:space="preserve">; </w:t>
            </w:r>
            <w:r>
              <w:rPr>
                <w:b/>
                <w:i/>
              </w:rPr>
              <w:t>juhib tähelepanu asjaolule, et liikmesriikidel puudub kohustus anda aru tugevdatud noortegarantii rakendamiseks võetavate meetmete riiklikust rahastamisest, mis piirab kogu liitu hõlmavat võrdlemist ja hindamist;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rõhutab, et jälgimisnäitajad kannatavad mitmes liikmesriigis andmete puudumise ja metoodiliste nõrkuste tõttu;</w:t>
            </w:r>
          </w:p>
        </w:tc>
        <w:tc>
          <w:tcPr>
            <w:tcW w:w="4876" w:type="dxa"/>
            <w:tcBorders>
              <w:top w:val="nil"/>
              <w:left w:val="nil"/>
              <w:bottom w:val="nil"/>
              <w:right w:val="nil"/>
            </w:tcBorders>
          </w:tcPr>
          <w:p>
            <w:pPr>
              <w:pStyle w:val="Normal6a"/>
            </w:pPr>
            <w:r>
              <w:t>4.</w:t>
            </w:r>
            <w:r>
              <w:tab/>
            </w:r>
            <w:r>
              <w:t>rõhutab, et jälgimisnäitajad kannatavad mitmes liikmesriigis andmete puudumise ja metoodiliste nõrkuste tõttu</w:t>
            </w:r>
            <w:r>
              <w:rPr>
                <w:b/>
                <w:i/>
              </w:rPr>
              <w:t>, võttes eelkõige arvesse vanuse tõstmist 29. eluaastani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leiab, et tugevdatud noortegarantii kehtiva näitajate raamistiku puhul keskendutakse eelkõige kvantitatiivsetele tulemusnäitajatele nagu NEET-noorte osakaal, noorte töötus ja õigeaegne ettevalmistusetapist lahkumine;</w:t>
            </w:r>
            <w:r>
              <w:t xml:space="preserve"> </w:t>
            </w:r>
            <w:r>
              <w:rPr>
                <w:b/>
                <w:i/>
              </w:rPr>
              <w:t>toonitab, et selline lähenemisviis ei võimalda arvesse võtta pakkumiste kvaliteeti või noorte tööhõive ebakindluse määra;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rõhutab vajadust suurema läbipaistvuse, vastutavuse ja hindamismehhanismide järele, et tagada, et noortegarantii kavadele eraldatud ELi ja riiklikke rahalisi vahendeid kasutatakse tõhusalt ja saavutatakse mõõdetavaid tulemusi;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rõhutab, et </w:t>
            </w:r>
            <w:r>
              <w:rPr>
                <w:b/>
                <w:i/>
              </w:rPr>
              <w:t>mõned</w:t>
            </w:r>
            <w:r>
              <w:t xml:space="preserve"> noored on eriti haavatavas </w:t>
            </w:r>
            <w:r>
              <w:rPr>
                <w:b/>
                <w:i/>
              </w:rPr>
              <w:t>sotsiaalses</w:t>
            </w:r>
            <w:r>
              <w:t xml:space="preserve"> olukorras ja suuremas töötuse ohus ning neil on struktuursed takistused juurdepääsul koolitusele ja oskuste arendamisele;</w:t>
            </w:r>
          </w:p>
        </w:tc>
        <w:tc>
          <w:tcPr>
            <w:tcW w:w="4876" w:type="dxa"/>
            <w:tcBorders>
              <w:top w:val="nil"/>
              <w:left w:val="nil"/>
              <w:bottom w:val="nil"/>
              <w:right w:val="nil"/>
            </w:tcBorders>
          </w:tcPr>
          <w:p>
            <w:pPr>
              <w:pStyle w:val="Normal6a"/>
            </w:pPr>
            <w:r>
              <w:t>5.</w:t>
            </w:r>
            <w:r>
              <w:tab/>
            </w:r>
            <w:r>
              <w:t>rõhutab, et noored</w:t>
            </w:r>
            <w:r>
              <w:rPr>
                <w:b/>
                <w:i/>
              </w:rPr>
              <w:t>, eriti need, kellel on vähem võimalusi,</w:t>
            </w:r>
            <w:r>
              <w:t xml:space="preserve"> on eriti haavatavas </w:t>
            </w:r>
            <w:r>
              <w:rPr>
                <w:b/>
                <w:i/>
              </w:rPr>
              <w:t>sotsiaal-majanduslikus</w:t>
            </w:r>
            <w:r>
              <w:t xml:space="preserve"> olukorras ja suuremas töötuse ohus ning neil on struktuursed takistused juurdepääsul koolitusele ja oskuste arendamisele</w:t>
            </w:r>
            <w:r>
              <w:rPr>
                <w:b/>
                <w:i/>
              </w:rPr>
              <w:t>, kusjuures juurdepääs on veelgi keerulisem haavatavatel rühmadel, näiteks naistel, rassistatud noortel, puuetega noortel, kõrvalistest või maapiirkondadest pärit või rändetaustaga noortel</w:t>
            </w:r>
            <w:r>
              <w:t xml:space="preserve">; </w:t>
            </w:r>
            <w:r>
              <w:rPr>
                <w:b/>
                <w:i/>
              </w:rPr>
              <w:t>toonitab, et tugevdatud noortegarantii edu sõltub tegevusest teistes valdkondades, sealhulgas perekonna- ja eluasemepoliitika ning lastehoiu valdkonnas, ning võitlemisest soo, rahvuse või rassi, puude või seksuaalse sättumusega seotud intersektsionaalse diskrimineerimise vastu;</w:t>
            </w:r>
            <w:r>
              <w:t xml:space="preserve"> </w:t>
            </w:r>
            <w:r>
              <w:rPr>
                <w:b/>
                <w:i/>
              </w:rPr>
              <w:t>tõstab esile, et sellise struktuurse ebavõrdsuse puhul on vaja sihipäraseid ja kaasavaid meetmeid, et ebavõrdsuse vastu võidelda ning tagada kõikidele võrdsed võimalused.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rõhutab, et mõned noored on eriti haavatavas sotsiaalses olukorras ja suuremas töötuse ohus ning neil on struktuursed takistused juurdepääsul koolitusele ja oskuste arendamisele;</w:t>
            </w:r>
          </w:p>
        </w:tc>
        <w:tc>
          <w:tcPr>
            <w:tcW w:w="4876" w:type="dxa"/>
            <w:tcBorders>
              <w:top w:val="nil"/>
              <w:left w:val="nil"/>
              <w:bottom w:val="nil"/>
              <w:right w:val="nil"/>
            </w:tcBorders>
          </w:tcPr>
          <w:p>
            <w:pPr>
              <w:pStyle w:val="Normal6a"/>
            </w:pPr>
            <w:r>
              <w:t>5.</w:t>
            </w:r>
            <w:r>
              <w:tab/>
            </w:r>
            <w:r>
              <w:t xml:space="preserve">rõhutab, et mõned noored on eriti haavatavas sotsiaalses olukorras ja suuremas töötuse ohus ning neil on struktuursed takistused juurdepääsul koolitusele ja oskuste arendamisele; </w:t>
            </w:r>
            <w:r>
              <w:rPr>
                <w:b/>
                <w:i/>
              </w:rPr>
              <w:t>rõhutab, et nendesse rühmadesse kuuluvad muu hulgas puuetega noored, maapiirkondades, saartel, äärealadel või mahajäänud linnapiirkondades elavad noored, asendushooldusasutustest või -süsteemidest väljunud noored ning vaimse tervise probleemidega noored;</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rõhutab, et mõned noored on </w:t>
            </w:r>
            <w:r>
              <w:rPr>
                <w:b/>
                <w:i/>
              </w:rPr>
              <w:t>eriti haavatavas sotsiaalses olukorras ja suuremas töötuse ohus ning neil on</w:t>
            </w:r>
            <w:r>
              <w:t xml:space="preserve"> struktuursed takistused </w:t>
            </w:r>
            <w:r>
              <w:rPr>
                <w:b/>
                <w:i/>
              </w:rPr>
              <w:t>juurdepääsul koolitusele ja oskuste arendamisele</w:t>
            </w:r>
            <w:r>
              <w:t>;</w:t>
            </w:r>
          </w:p>
        </w:tc>
        <w:tc>
          <w:tcPr>
            <w:tcW w:w="4876" w:type="dxa"/>
            <w:tcBorders>
              <w:top w:val="nil"/>
              <w:left w:val="nil"/>
              <w:bottom w:val="nil"/>
              <w:right w:val="nil"/>
            </w:tcBorders>
          </w:tcPr>
          <w:p>
            <w:pPr>
              <w:pStyle w:val="Normal6a"/>
            </w:pPr>
            <w:r>
              <w:t>5.</w:t>
            </w:r>
            <w:r>
              <w:tab/>
            </w:r>
            <w:r>
              <w:t xml:space="preserve">rõhutab, et </w:t>
            </w:r>
            <w:r>
              <w:rPr>
                <w:b/>
                <w:i/>
              </w:rPr>
              <w:t>NEET-noored moodustavad mitmekesise rühma, milles</w:t>
            </w:r>
            <w:r>
              <w:t xml:space="preserve"> mõned noored on </w:t>
            </w:r>
            <w:r>
              <w:rPr>
                <w:b/>
                <w:i/>
              </w:rPr>
              <w:t>haavatavamad või nendeni on raskem jõuda, ning seetõttu ähvardab neid teistest enam tööturult kõrvalejäämise ja sotsiaalse tõrjutuse oht;</w:t>
            </w:r>
            <w:r>
              <w:t xml:space="preserve"> </w:t>
            </w:r>
            <w:r>
              <w:rPr>
                <w:b/>
                <w:i/>
              </w:rPr>
              <w:t>märgib, et häbimärgistamine, umbusk ametiasutuste vastu ja sotsiaalse toe puudumine võivad olla tugevdatud noortegarantiis osalemise</w:t>
            </w:r>
            <w:r>
              <w:t xml:space="preserve"> struktuursed takistused</w:t>
            </w:r>
            <w:r>
              <w:rPr>
                <w:b/>
                <w:i/>
              </w:rPr>
              <w:t>;</w:t>
            </w:r>
            <w:r>
              <w:t xml:space="preserve"> </w:t>
            </w:r>
            <w:r>
              <w:rPr>
                <w:b/>
                <w:i/>
              </w:rPr>
              <w:t>on mures selle pärast, et tugevdatud noortegarantii kavad tegelevad tihti esmajärjekorras noortega, kes on juba tööturule lähemal, jättes seetõttu tähelepanuta teised, kes vajaksid sihipärasemaid, ennetavaid ja individuaalseid meetmeid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rõhutab, et mõned noored on eriti haavatavas sotsiaalses olukorras ja suuremas töötuse ohus ning neil on struktuursed takistused juurdepääsul koolitusele ja oskuste arendamisele;</w:t>
            </w:r>
          </w:p>
        </w:tc>
        <w:tc>
          <w:tcPr>
            <w:tcW w:w="4876" w:type="dxa"/>
            <w:tcBorders>
              <w:top w:val="nil"/>
              <w:left w:val="nil"/>
              <w:bottom w:val="nil"/>
              <w:right w:val="nil"/>
            </w:tcBorders>
          </w:tcPr>
          <w:p>
            <w:pPr>
              <w:pStyle w:val="Normal6a"/>
            </w:pPr>
            <w:r>
              <w:t>5.</w:t>
            </w:r>
            <w:r>
              <w:tab/>
            </w:r>
            <w:r>
              <w:t xml:space="preserve">rõhutab, et mõned noored on eriti haavatavas sotsiaalses olukorras ja suuremas töötuse ohus ning neil on struktuursed takistused juurdepääsul koolitusele ja oskuste arendamisele; </w:t>
            </w:r>
            <w:r>
              <w:rPr>
                <w:b/>
                <w:i/>
              </w:rPr>
              <w:t>tuletab sellega seoses meelde, kui oluline on toetada mitteaktiivseid NEET-noori samaväärselt töötute NEET-noortega;</w:t>
            </w:r>
            <w:r>
              <w:t xml:space="preserve"> </w:t>
            </w:r>
            <w:r>
              <w:rPr>
                <w:b/>
                <w:i/>
              </w:rPr>
              <w:t>väljendab muret selle pärast, et osa noori satub mingil hetkel pärast noortegarantii kavast lahkumist uuesti NEET-noorte kategooriasse;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rõhutab, et mõned noored on eriti haavatavas sotsiaalses olukorras ja suuremas töötuse ohus ning neil on struktuursed takistused juurdepääsul koolitusele ja oskuste arendamisele;</w:t>
            </w:r>
          </w:p>
        </w:tc>
        <w:tc>
          <w:tcPr>
            <w:tcW w:w="4876" w:type="dxa"/>
            <w:tcBorders>
              <w:top w:val="nil"/>
              <w:left w:val="nil"/>
              <w:bottom w:val="nil"/>
              <w:right w:val="nil"/>
            </w:tcBorders>
          </w:tcPr>
          <w:p>
            <w:pPr>
              <w:pStyle w:val="Normal6a"/>
            </w:pPr>
            <w:r>
              <w:t>5.</w:t>
            </w:r>
            <w:r>
              <w:tab/>
            </w:r>
            <w:r>
              <w:t xml:space="preserve">rõhutab, et mõned noored on </w:t>
            </w:r>
            <w:r>
              <w:rPr>
                <w:b/>
                <w:i/>
              </w:rPr>
              <w:t>koolis ja kutseõppes ebasoodsas olukorras,</w:t>
            </w:r>
            <w:r>
              <w:t xml:space="preserve"> eriti haavatavas sotsiaalses olukorras </w:t>
            </w:r>
            <w:r>
              <w:rPr>
                <w:b/>
                <w:i/>
              </w:rPr>
              <w:t>vaesuse, terviseprobleemide vms tõttu</w:t>
            </w:r>
            <w:r>
              <w:t xml:space="preserve"> ja suuremas töötuse ohus ning neil on struktuursed takistused juurdepääsul koolitusele ja oskuste arendamisele </w:t>
            </w:r>
            <w:r>
              <w:rPr>
                <w:b/>
                <w:i/>
              </w:rPr>
              <w:t>näiteks seetõttu, et nad elavad maa- või kõrvalistes piirkondades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rõhutab, et mõned noored on eriti haavatavas sotsiaalses olukorras ja suuremas töötuse ohus ning neil on struktuursed takistused juurdepääsul koolitusele ja oskuste arendamisele;</w:t>
            </w:r>
          </w:p>
        </w:tc>
        <w:tc>
          <w:tcPr>
            <w:tcW w:w="4876" w:type="dxa"/>
            <w:tcBorders>
              <w:top w:val="nil"/>
              <w:left w:val="nil"/>
              <w:bottom w:val="nil"/>
              <w:right w:val="nil"/>
            </w:tcBorders>
          </w:tcPr>
          <w:p>
            <w:pPr>
              <w:pStyle w:val="Normal6a"/>
            </w:pPr>
            <w:r>
              <w:t>5.</w:t>
            </w:r>
            <w:r>
              <w:tab/>
            </w:r>
            <w:r>
              <w:t>rõhutab, et mõned noored on eriti haavatavas sotsiaalses olukorras</w:t>
            </w:r>
            <w:r>
              <w:rPr>
                <w:b/>
                <w:i/>
              </w:rPr>
              <w:t>, sealhulgas puuetega noored, LGBTIQ+ noored, noored rändajad ja ebakindlas eluasemeolukorras olevad noored,</w:t>
            </w:r>
            <w:r>
              <w:t xml:space="preserve"> ja suuremas töötuse ohus ning neil on struktuursed takistused juurdepääsul koolitusele ja oskuste arendamisele;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rõhutab, et mõned noored on eriti haavatavas sotsiaalses olukorras ja suuremas töötuse ohus ning neil on struktuursed takistused juurdepääsul koolitusele ja oskuste arendamisele;</w:t>
            </w:r>
          </w:p>
        </w:tc>
        <w:tc>
          <w:tcPr>
            <w:tcW w:w="4876" w:type="dxa"/>
            <w:tcBorders>
              <w:top w:val="nil"/>
              <w:left w:val="nil"/>
              <w:bottom w:val="nil"/>
              <w:right w:val="nil"/>
            </w:tcBorders>
          </w:tcPr>
          <w:p>
            <w:pPr>
              <w:pStyle w:val="Normal6a"/>
            </w:pPr>
            <w:r>
              <w:t>5.</w:t>
            </w:r>
            <w:r>
              <w:tab/>
            </w:r>
            <w:r>
              <w:t xml:space="preserve">rõhutab, et </w:t>
            </w:r>
            <w:r>
              <w:rPr>
                <w:b/>
                <w:i/>
              </w:rPr>
              <w:t>NEET-noored on heterogeenne rühm ning</w:t>
            </w:r>
            <w:r>
              <w:t xml:space="preserve"> mõned noored on eriti haavatavas sotsiaalses olukorras ja suuremas töötuse ohus ning neil on struktuursed takistused juurdepääsul </w:t>
            </w:r>
            <w:r>
              <w:rPr>
                <w:b/>
                <w:i/>
              </w:rPr>
              <w:t>tööturu</w:t>
            </w:r>
            <w:r>
              <w:t xml:space="preserve"> koolitusele ja oskuste arendamisele; </w:t>
            </w:r>
            <w:r>
              <w:rPr>
                <w:b/>
                <w:i/>
              </w:rPr>
              <w:t>tulemuslikuks poliitikakujundamiseks on vaja põhjalikke teadmisi sihtrühmadest;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rõhutab, et mõned noored on eriti haavatavas sotsiaalses olukorras ja suuremas töötuse ohus ning neil on struktuursed takistused juurdepääsul koolitusele ja oskuste arendamisele;</w:t>
            </w:r>
          </w:p>
        </w:tc>
        <w:tc>
          <w:tcPr>
            <w:tcW w:w="4876" w:type="dxa"/>
            <w:tcBorders>
              <w:top w:val="nil"/>
              <w:left w:val="nil"/>
              <w:bottom w:val="nil"/>
              <w:right w:val="nil"/>
            </w:tcBorders>
          </w:tcPr>
          <w:p>
            <w:pPr>
              <w:pStyle w:val="Normal6a"/>
            </w:pPr>
            <w:r>
              <w:t>5.</w:t>
            </w:r>
            <w:r>
              <w:tab/>
            </w:r>
            <w:r>
              <w:t>rõhutab, et mõned noored</w:t>
            </w:r>
            <w:r>
              <w:rPr>
                <w:b/>
                <w:i/>
              </w:rPr>
              <w:t>, näiteks puuetega noored ja noored, kes on pärit ebasoodsas olukorras olevatest piirkondadest,</w:t>
            </w:r>
            <w:r>
              <w:t xml:space="preserve"> on eriti haavatavas sotsiaalses olukorras ja suuremas töötuse ohus ning neil on struktuursed takistused juurdepääsul koolitusele ja oskuste arendamisele;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juhib tähelepanu maapiirkondades elavate NEET-noorte keerulisele olukorrale, kuna nende juurdepääs teenustele, eelkõige avalikele tööturuasutustele, aga ka transpordivõimalustele ning töö- ja koolitusvõimalustele, on piiratum;</w:t>
            </w:r>
            <w:r>
              <w:t xml:space="preserve"> </w:t>
            </w:r>
            <w:r>
              <w:rPr>
                <w:b/>
                <w:i/>
              </w:rPr>
              <w:t>väljendab kahetsust, et maapiirkondades elavaid NEET-noori ei peeta paljudes liikmesriikides prioriteetseks rühmaks, mistõttu on neile suunatud meetmeid vähem ja nad on vähem teadlikud noortegarantii programmidest ja toetusvõimalustest;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toonitab, et noortel vanematel ja eelkõige noortel emadel on suurem oht muutuda või jääda NEET-nooreks hoolduskohustuste ning piiratud juurdepääsu tõttu taskukohastele ja kvaliteetsetele lapsehoiuteenustele, samuti paindlike haridus-, koolitus- ja töövõimaluste vähesuse tõttu;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toonitab vajadust korraldada teabekampaaniaid, et tõsta teadlikkust noortegarantiist kõikide noorte hulgas ja eelkõige selliste noorte hulgas, kes võivad jääda kõrvale tugevdatud noortegarantii pakutavatest võimalustest;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tõstab esile COVID-19 pandeemia ebaproportsionaalset mõju noortele ja noortegarantii tähtsat stabiliseerivat rolli uue noorte töötuse kriisi ennetamisel selles kontekstis;</w:t>
            </w:r>
            <w:r>
              <w:t xml:space="preserve"> </w:t>
            </w:r>
            <w:r>
              <w:rPr>
                <w:b/>
                <w:i/>
              </w:rPr>
              <w:t>leiab, et selle perioodi mõju arvesse võttes peaks tugevdatud noortegarantii uus eesmärk olema vähendada töötust ja mitteaktiivsust nende noorte hulgas, kelleni on eriti raske jõuda;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tuletab meelde, et Rahvusvaheline Tööorganisatsioon (ILO) on rõhutanud, et isegi suure sissetulekuga riikides on tööturult välja jäävatel NEET-noortel ja eelkõige hoolduskohustustega noortel naistel suurem oht jääda pikema aja jooksul majanduslikult ja sotsiaalselt tõrjutuks, mis aja jooksul suurendab soolist ebavõrdsust NEET-noorte hulgas veelgi enam;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täheldab ebakõla tugevdatud noortegarantii kavade raames pakutavate võimaluste puhul: keskendutakse tööhõivele koolitusvõimaluste arvelt, mis on vastuolus tugevdatud noortegarantii strateegilise eesmärgiga edendada oskusi;</w:t>
            </w:r>
            <w:r>
              <w:t xml:space="preserve"> </w:t>
            </w:r>
            <w:r>
              <w:rPr>
                <w:b/>
                <w:i/>
              </w:rPr>
              <w:t>rõhutab, et puuduvad märgid, et sellist ebakõla õigustaks NEET-noorte profiil või eesmärk neid kestlikult tööturule lõimida;</w:t>
            </w:r>
            <w:r>
              <w:t xml:space="preserve"> </w:t>
            </w:r>
            <w:r>
              <w:rPr>
                <w:b/>
                <w:i/>
              </w:rPr>
              <w:t>märgib sellega seoses, et mõnede riiklike kavade puhul on täheldatud, et subsideeritud töökohtadel töötavad noored lahkuvad selliselt töökohalt tõenäolisemalt kui noored, kes töötavad mittesubsideeritud töökohal või kelle töö puhul on lõimitud koolitus ja töö</w:t>
            </w:r>
            <w:r>
              <w:rPr>
                <w:b/>
                <w:i/>
                <w:vertAlign w:val="superscript"/>
              </w:rPr>
              <w:t>21a</w:t>
            </w:r>
            <w:r>
              <w:rPr>
                <w:b/>
                <w:i/>
              </w:rPr>
              <w:t>;</w:t>
            </w:r>
            <w:r>
              <w:t xml:space="preserve"> </w:t>
            </w:r>
            <w:r>
              <w:rPr>
                <w:b/>
                <w:i/>
              </w:rPr>
              <w:t>väljendab lisaks kahetsust, et paljudes liikmesriikides väheneb töökohapõhise õppe populaarsus;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21a</w:t>
            </w:r>
            <w:r>
              <w:t xml:space="preserve"> </w:t>
            </w:r>
            <w:r>
              <w:rPr>
                <w:b/>
                <w:i/>
              </w:rPr>
              <w:t>Cabasés, M. À. ja Úbeda, M., „The Youth Guarantee in Spain:</w:t>
            </w:r>
            <w:r>
              <w:t xml:space="preserve"> </w:t>
            </w:r>
            <w:r>
              <w:rPr>
                <w:b/>
                <w:i/>
              </w:rPr>
              <w:t>A worrying situation after its implementation“ (Noortegarantii Hispaanias: muret tekitav olukord pärast selle rakendamist), 2021, lk 96–97.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toonitab, et haridus- ja koolitussüsteemist varakult lahkujaid ähvardab tunduvalt suurem oht sattuda NEET-noorte hulka ning olla pikema aja jooksul sotsiaalselt tõrjutud, ning ühiskonna kantav kulu on majanduslik koormus, mis avaldab igal aastal negatiivset mõju tööhõive määrale, sotsiaalsele sidususele ja liidu pikaajalisele konkurentsivõimele;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5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5d.</w:t>
            </w:r>
            <w:r>
              <w:tab/>
            </w:r>
            <w:r>
              <w:rPr>
                <w:b/>
                <w:i/>
              </w:rPr>
              <w:t>juhib tähelepanu asjaolule, et laste ja noorte vaesusel on elukestev mõju haridusele, tervisele ja tööhõivele ning märkimisväärne iga-aastane mõju SKP-le</w:t>
            </w:r>
            <w:r>
              <w:t xml:space="preserve"> </w:t>
            </w:r>
            <w:r>
              <w:rPr>
                <w:b/>
                <w:i/>
              </w:rPr>
              <w:t>ning et laste ja noorte vaesus pärandub ühelt põlvkonnalt teisele;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peab äärmiselt kahetsusväärseks, et see noorte tööhõive algatusest pärinev sihtotstarbeliste vahendite määramine ei sisaldu komisjoni ettepanekus mitmeaastase finantsraamistiku 2028–2034 kohta;</w:t>
            </w:r>
          </w:p>
        </w:tc>
        <w:tc>
          <w:tcPr>
            <w:tcW w:w="4876" w:type="dxa"/>
            <w:tcBorders>
              <w:top w:val="nil"/>
              <w:left w:val="nil"/>
              <w:bottom w:val="nil"/>
              <w:right w:val="nil"/>
            </w:tcBorders>
          </w:tcPr>
          <w:p>
            <w:pPr>
              <w:pStyle w:val="Normal6a"/>
            </w:pPr>
            <w:r>
              <w:t>6.</w:t>
            </w:r>
            <w:r>
              <w:tab/>
            </w:r>
            <w:r>
              <w:rPr>
                <w:b/>
                <w:i/>
              </w:rPr>
              <w:t>toob esile, et tagasiside noorte tööhõive algatuse integreerimisele ESF+i on olnud üldiselt positiivne, ning märgib ära parema juurdepääsu ja lihtsustamise;</w:t>
            </w:r>
            <w:r>
              <w:t xml:space="preserve"> 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peab äärmiselt kahetsusväärseks, et see noorte tööhõive algatusest pärinev sihtotstarbeliste vahendite määramine ei sisaldu komisjoni ettepanekus mitmeaastase finantsraamistiku 2028–2034 kohta; </w:t>
            </w:r>
            <w:r>
              <w:rPr>
                <w:b/>
                <w:i/>
              </w:rPr>
              <w:t>usub, et noorte tööhõivega seotud sihtotstarbeliste eraldiste puudumine võib tuua kaasa ebapiisava rahastamise, nagu Euroopa Kontrollikoda on toonitanud enne selle vastuvõtmist</w:t>
            </w:r>
            <w:r>
              <w:rPr>
                <w:b/>
                <w:i/>
                <w:vertAlign w:val="superscript"/>
              </w:rPr>
              <w:t>22a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22a</w:t>
            </w:r>
            <w:r>
              <w:t xml:space="preserve"> </w:t>
            </w:r>
            <w:r>
              <w:rPr>
                <w:b/>
                <w:i/>
              </w:rPr>
              <w:t>Euroopa Kontrollikoja 24. märtsi 2015. aasta eriaruanne nr 3/2015 „ELi noortegarantii: esimesed sammud on tehtud, kuid ees ootavad rakendamisega seotud riskid“, lk 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w:t>
            </w:r>
            <w:r>
              <w:rPr>
                <w:b/>
                <w:i/>
              </w:rPr>
              <w:t>peab äärmiselt kahetsusväärseks</w:t>
            </w:r>
            <w:r>
              <w:t>, et see noorte tööhõive algatusest pärinev sihtotstarbeliste vahendite määramine ei sisaldu komisjoni ettepanekus mitmeaastase finantsraamistiku 2028–2034 kohta;</w:t>
            </w:r>
          </w:p>
        </w:tc>
        <w:tc>
          <w:tcPr>
            <w:tcW w:w="4876" w:type="dxa"/>
            <w:tcBorders>
              <w:top w:val="nil"/>
              <w:left w:val="nil"/>
              <w:bottom w:val="nil"/>
              <w:right w:val="nil"/>
            </w:tcBorders>
          </w:tcPr>
          <w:p>
            <w:pPr>
              <w:pStyle w:val="Normal6a"/>
            </w:pPr>
            <w:r>
              <w:t>6.</w:t>
            </w:r>
            <w:r>
              <w:tab/>
            </w:r>
            <w:r>
              <w:t xml:space="preserve">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w:t>
            </w:r>
            <w:r>
              <w:rPr>
                <w:b/>
                <w:i/>
              </w:rPr>
              <w:t>märgib</w:t>
            </w:r>
            <w:r>
              <w:t xml:space="preserve">, et see noorte tööhõive algatusest pärinev sihtotstarbeliste vahendite määramine ei sisaldu komisjoni ettepanekus mitmeaastase finantsraamistiku 2028–2034 kohta; </w:t>
            </w:r>
            <w:r>
              <w:rPr>
                <w:b/>
                <w:i/>
              </w:rPr>
              <w:t>rõhutab, et liikmesriigid üksi vastutavad oma noorte toetamiseks kasutatavate rahaliste vahendite ja strateegiliste prioriteetide kindlaksmääramise eest ning neid ei tohiks sundida järgima ELi tasandil tsentraliseeritud siduvaid eelarvenõudeid;</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w:t>
            </w:r>
            <w:r>
              <w:rPr>
                <w:b/>
                <w:i/>
              </w:rPr>
              <w:t>peab äärmiselt kahetsusväärseks</w:t>
            </w:r>
            <w:r>
              <w:t>, et see noorte tööhõive algatusest pärinev sihtotstarbeliste vahendite määramine ei sisaldu komisjoni ettepanekus mitmeaastase finantsraamistiku 2028–2034 kohta;</w:t>
            </w:r>
          </w:p>
        </w:tc>
        <w:tc>
          <w:tcPr>
            <w:tcW w:w="4876" w:type="dxa"/>
            <w:tcBorders>
              <w:top w:val="nil"/>
              <w:left w:val="nil"/>
              <w:bottom w:val="nil"/>
              <w:right w:val="nil"/>
            </w:tcBorders>
          </w:tcPr>
          <w:p>
            <w:pPr>
              <w:pStyle w:val="Normal6a"/>
            </w:pPr>
            <w:r>
              <w:t>6.</w:t>
            </w:r>
            <w:r>
              <w:tab/>
            </w:r>
            <w:r>
              <w:t xml:space="preserve">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w:t>
            </w:r>
            <w:r>
              <w:rPr>
                <w:b/>
                <w:i/>
              </w:rPr>
              <w:t>taunib asjaolu</w:t>
            </w:r>
            <w:r>
              <w:t xml:space="preserve">, et see noorte tööhõive algatusest pärinev sihtotstarbeliste vahendite määramine ei sisaldu komisjoni ettepanekus mitmeaastase finantsraamistiku 2028–2034 kohta; </w:t>
            </w:r>
            <w:r>
              <w:rPr>
                <w:b/>
                <w:i/>
              </w:rPr>
              <w:t>nõuab, et mitmeaastane finantsraamistik 2028–2034 sisaldaks eraldiseisvat ESFi, et tagada piisav, prognoositav ja sihtotstarbeline rahastamine tugevdatud noortegarantii tulemuslikuks rakendamiseks kõigis liikmesriikides ja eelkõige nendes, kus ei ole saavutatud vähemalt 2030. aasta eesmärki;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peab äärmiselt kahetsusväärseks, et see noorte tööhõive algatusest pärinev sihtotstarbeliste vahendite määramine ei sisaldu komisjoni ettepanekus mitmeaastase finantsraamistiku 2028–2034 kohta;</w:t>
            </w:r>
          </w:p>
        </w:tc>
        <w:tc>
          <w:tcPr>
            <w:tcW w:w="4876" w:type="dxa"/>
            <w:tcBorders>
              <w:top w:val="nil"/>
              <w:left w:val="nil"/>
              <w:bottom w:val="nil"/>
              <w:right w:val="nil"/>
            </w:tcBorders>
          </w:tcPr>
          <w:p>
            <w:pPr>
              <w:pStyle w:val="Normal6a"/>
            </w:pPr>
            <w:r>
              <w:t>6.</w:t>
            </w:r>
            <w:r>
              <w:tab/>
            </w:r>
            <w:r>
              <w:t xml:space="preserve">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peab äärmiselt kahetsusväärseks, et see noorte tööhõive algatusest pärinev sihtotstarbeliste vahendite määramine ei sisaldu komisjoni ettepanekus mitmeaastase finantsraamistiku 2028–2034 kohta; </w:t>
            </w:r>
            <w:r>
              <w:rPr>
                <w:b/>
                <w:i/>
              </w:rPr>
              <w:t>nõuab sellise sihtotstarbeliste vahendite määramise taastamist ja noorte tööhõive tunnustamist investeerimisprioriteedina järgmise rahastamistsükli raames;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peab äärmiselt kahetsusväärseks, et see noorte tööhõive algatusest pärinev sihtotstarbeliste vahendite määramine ei sisaldu komisjoni ettepanekus mitmeaastase finantsraamistiku 2028–2034 kohta;</w:t>
            </w:r>
          </w:p>
        </w:tc>
        <w:tc>
          <w:tcPr>
            <w:tcW w:w="4876" w:type="dxa"/>
            <w:tcBorders>
              <w:top w:val="nil"/>
              <w:left w:val="nil"/>
              <w:bottom w:val="nil"/>
              <w:right w:val="nil"/>
            </w:tcBorders>
          </w:tcPr>
          <w:p>
            <w:pPr>
              <w:pStyle w:val="Normal6a"/>
            </w:pPr>
            <w:r>
              <w:t>6.</w:t>
            </w:r>
            <w:r>
              <w:tab/>
            </w:r>
            <w:r>
              <w:t>rõhutab, et noorte tööhõive algatuse integreerimine ESF+i on toonud kaasa kohustuse eraldada 12,5 % ESF+ist meetmetele ja reformidele, millega edendatakse noorte tööhõivet, kutseharidust ja -õpet ning koolist tööle üleminekut liikmesriikides, kus NEET-noorte määr on üle ELi keskmise; peab äärmiselt kahetsusväärseks, et see noorte tööhõive algatusest pärinev sihtotstarbeliste vahendite määramine ei sisaldu komisjoni ettepanekus mitmeaastase finantsraamistiku 2028–2034 kohta</w:t>
            </w:r>
            <w:r>
              <w:rPr>
                <w:b/>
                <w:i/>
              </w:rPr>
              <w:t>, ning rõhutab, et selle puudumine võib kahjustada saavutatud tulemusi</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 xml:space="preserve">toonitab, et noortegarantii rakendamisel esineb jätkuvalt pikaajalisi probleeme, mida on keeruline lahendada, näiteks toetus neile, kelleni on raske jõuda, instrumendi katvuse tase, pakkumiste kvaliteet, noortegarantii pakkujate suutlikkus või ebapiisav seireraamistik; </w:t>
            </w:r>
            <w:r>
              <w:t xml:space="preserve"> </w:t>
            </w:r>
            <w:r>
              <w:rPr>
                <w:b/>
                <w:i/>
              </w:rPr>
              <w:t>võtab teadmiseks tööhõivekomitee (EMCO) hiljutised analüüsid ja tähelepanu juhtimise püsivatele probleemidele noorte kestlikku lõimimist pärssivate struktuursete ja institutsiooniliste takistuste ületamisel, mitteaktiivsete ja haavatavate NEET-noorteni jõudmisel, riikide eelarvete kasutamisel programmide kestlikkuse tagamiseks ning andmete jälgimisel ja kogumisel</w:t>
            </w:r>
            <w:r>
              <w:rPr>
                <w:b/>
                <w:i/>
                <w:vertAlign w:val="superscript"/>
              </w:rPr>
              <w:t>23a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23a</w:t>
            </w:r>
            <w:r>
              <w:t xml:space="preserve"> </w:t>
            </w:r>
            <w:r>
              <w:rPr>
                <w:b/>
                <w:i/>
              </w:rPr>
              <w:t>6184/26.</w:t>
            </w:r>
            <w:r>
              <w:t xml:space="preserve"> </w:t>
            </w:r>
            <w:r>
              <w:rPr>
                <w:b/>
                <w:i/>
              </w:rPr>
              <w:t>6831/24.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toonitab, et ESF+, millest noortegarantiid rahastatakse, on tööturu ja sotsiaalpoliitika valdkonnas Euroopa Liidu tähtsaim rahastamisvahend, millega aidatakse eelkõige noortel pääseda ligi haridusele ja koolitusele, alustada karjääri, leida hea töökoht, edendatakse ettevõtlust, rahastatakse vaesusevastase võitluse programme ning suurendatakse sotsiaal-majanduslikke võimalusi;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väljendab muret kooli lõpetanute tööhõive vähenemise pärast teatavates liikmesriikides;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 xml:space="preserve">märgib, et Euroopa poolaasta raames on noortegarantiile viimastel aastatel vähem tähelepanu pööratud, eelkõige seoses riigipõhiste soovitustega, milles on vahendit mainitud vaid soovituste avaldamise aastatel ja nendega seotud poliitilise olukorra kontekstis; </w:t>
            </w:r>
            <w:r>
              <w:t xml:space="preserve"> </w:t>
            </w:r>
            <w:r>
              <w:rPr>
                <w:b/>
                <w:i/>
              </w:rPr>
              <w:t>rõhutab, arvestades tööturu olukorda mõnedes liikmesriikides, et nimetatud olukordade ja riigipõhiste soovituste koostamise vahel on vastuolu;</w:t>
            </w:r>
            <w:r>
              <w:t xml:space="preserve"> </w:t>
            </w:r>
            <w:r>
              <w:rPr>
                <w:b/>
                <w:i/>
              </w:rPr>
              <w:t>kahetseb, et makromajandusliku tasakaalustamatuse menetluse raames tehti otsus alandada noorte töötuse määr täiendavaks näitajaks, ehkki see on paljudes liikmesriikides endiselt tõsine probleem;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tõstab esile nähtuse, et nooremad töötajad on oma ametikoha jaoks ülekvalifitseeritud ning rõhutab, et selline ebakõla võib negatiivselt mõjutada pikaajalisi sissetulekuvõimalusi ja lõppkokkuvõttes vähendada pensioni;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tuletab meelde, et noortegarantii kuulub laiemasse ELi ja liikmesriikide poliitikaraamistikku ning et selle edu sõltub ühtlasi poliitikast sellistes valdkondades nagu perekond, eluase, lastehoid, transport, vaimne tervis ja diskrimineerimise vastane võitlus;</w:t>
            </w:r>
            <w:r>
              <w:t xml:space="preserve"> </w:t>
            </w:r>
            <w:r>
              <w:rPr>
                <w:b/>
                <w:i/>
              </w:rPr>
              <w:t>rõhutab, et noored seisavad silmitsi mitmesuguste probleemidega, mida ei saa lahendada üheainsa tööhõivele keskenduva vahendiga;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tunnustab vaeghõivatud isikuid ja võtab teadmiseks vaeghõive võimaliku pikaajalise mõju nende sissetulekuvõimalustele ja võimalikule pensionile;</w:t>
            </w:r>
            <w:r>
              <w:t xml:space="preserve"> </w:t>
            </w:r>
            <w:r>
              <w:rPr>
                <w:b/>
                <w:i/>
              </w:rPr>
              <w:t>kutsub sellega seoses üles töötama noortestrateegia puhul selle nimel, et pakkuda vaeghõivatud noortele võimaluse korral täistööajaga tööd;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6d.</w:t>
            </w:r>
            <w:r>
              <w:tab/>
            </w:r>
            <w:r>
              <w:rPr>
                <w:b/>
                <w:i/>
              </w:rPr>
              <w:t>väljendab heameelt 2021. aasta Lääne-Balkani deklaratsiooni</w:t>
            </w:r>
            <w:r>
              <w:rPr>
                <w:b/>
                <w:i/>
                <w:vertAlign w:val="superscript"/>
              </w:rPr>
              <w:t>24a</w:t>
            </w:r>
            <w:r>
              <w:t xml:space="preserve"> </w:t>
            </w:r>
            <w:r>
              <w:rPr>
                <w:b/>
                <w:i/>
              </w:rPr>
              <w:t>üle ja selle üle, et asjaomased riigid võtsid vastu oma riiklikud noortegarantii strateegiad, mis annab tunnistust vahendi atraktiivsusest;</w:t>
            </w:r>
            <w:r>
              <w:t xml:space="preserve"> </w:t>
            </w:r>
            <w:r>
              <w:rPr>
                <w:b/>
                <w:i/>
              </w:rPr>
              <w:t>rõhutab, et sellised pingutused aitavad edendada ELiga ühinemise protsessi, kuid tunnistab, et raskused on samad nagu liikmesriikideski: haavatavate rühmadeni jõudmine, avalike tööturuasutuste suutlikkus ja pakkumiste kvaliteet;</w:t>
            </w:r>
            <w:r>
              <w:t xml:space="preserve"> </w:t>
            </w:r>
            <w:r>
              <w:rPr>
                <w:b/>
                <w:i/>
              </w:rPr>
              <w:t>toonitab ühinemiseelse abi rahastamisvahendi (IPA) olulist rolli noortegarantii rakendamise toetamisel Lääne-Balkani riikides;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24a</w:t>
            </w:r>
            <w:r>
              <w:t xml:space="preserve"> </w:t>
            </w:r>
            <w:r>
              <w:rPr>
                <w:b/>
                <w:i/>
              </w:rPr>
              <w:t>https://www.esap.online/docs/141/western-balkans-declaration-on-ensuring-sustainable-labour-market-integration-of-young-people.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6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6d.</w:t>
            </w:r>
            <w:r>
              <w:tab/>
            </w:r>
            <w:r>
              <w:rPr>
                <w:b/>
                <w:i/>
              </w:rPr>
              <w:t>väljendab muret ebakindlate töösuhete ja ebatüüpilise töö leviku pärast tööturul, eelkõige noorte puhul, ning tunnistab, et sellel võivad olla pikaajalised tagajärjed noorte sissetulekuvõimalustele ja võimalikule pensionile;</w:t>
            </w:r>
            <w:r>
              <w:t xml:space="preserve"> </w:t>
            </w:r>
            <w:r>
              <w:rPr>
                <w:b/>
                <w:i/>
              </w:rPr>
              <w:t>kutsub sellega seoses üles töötama tugevdatud noortegarantii raames selle nimel, et pakkuda vaeghõivatud noortele võimaluse korral täistööajaga tööd;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tunnistab, et tugevdatud noortegarantii on toiminud liikmesriikides institutsiooniliste reformide ja poliitiliste uuenduste katalüsaatorina ning on ajendanud mõtlema ka noortele suunatud aktiivse tööturupoliitika ümberkorraldamisele;</w:t>
            </w:r>
          </w:p>
        </w:tc>
        <w:tc>
          <w:tcPr>
            <w:tcW w:w="4876" w:type="dxa"/>
            <w:tcBorders>
              <w:top w:val="nil"/>
              <w:left w:val="nil"/>
              <w:bottom w:val="nil"/>
              <w:right w:val="nil"/>
            </w:tcBorders>
          </w:tcPr>
          <w:p>
            <w:pPr>
              <w:pStyle w:val="Normal6a"/>
            </w:pPr>
            <w:r>
              <w:t>7.</w:t>
            </w:r>
            <w:r>
              <w:tab/>
            </w:r>
            <w:r>
              <w:t xml:space="preserve">tunnistab, et tugevdatud noortegarantii on toiminud liikmesriikides institutsiooniliste reformide ja poliitiliste uuenduste katalüsaatorina ning on ajendanud mõtlema ka noortele suunatud aktiivse tööturupoliitika ümberkorraldamisele; </w:t>
            </w:r>
            <w:r>
              <w:rPr>
                <w:b/>
                <w:i/>
              </w:rPr>
              <w:t>rõhutab, et tugevdatud noortegarantii on praktikas üks ambitsioonikamaid poliitikavaldkondi, ehkki see ei ole liikmesriikidele siduv ning võimaldab kavasid riiklikul tasandil kohandada;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tunnistab, et tugevdatud</w:t>
            </w:r>
            <w:r>
              <w:t xml:space="preserve"> noortegarantii on </w:t>
            </w:r>
            <w:r>
              <w:rPr>
                <w:b/>
                <w:i/>
              </w:rPr>
              <w:t>toiminud</w:t>
            </w:r>
            <w:r>
              <w:t xml:space="preserve"> liikmesriikides </w:t>
            </w:r>
            <w:r>
              <w:rPr>
                <w:b/>
                <w:i/>
              </w:rPr>
              <w:t>institutsiooniliste reformide ja poliitiliste uuenduste katalüsaatorina ning on ajendanud mõtlema ka noortele suunatud</w:t>
            </w:r>
            <w:r>
              <w:t xml:space="preserve"> aktiivse tööturupoliitika </w:t>
            </w:r>
            <w:r>
              <w:rPr>
                <w:b/>
                <w:i/>
              </w:rPr>
              <w:t>ümberkorraldamisele</w:t>
            </w:r>
            <w:r>
              <w:t>;</w:t>
            </w:r>
          </w:p>
        </w:tc>
        <w:tc>
          <w:tcPr>
            <w:tcW w:w="4876" w:type="dxa"/>
            <w:tcBorders>
              <w:top w:val="nil"/>
              <w:left w:val="nil"/>
              <w:bottom w:val="nil"/>
              <w:right w:val="nil"/>
            </w:tcBorders>
          </w:tcPr>
          <w:p>
            <w:pPr>
              <w:pStyle w:val="Normal6a"/>
            </w:pPr>
            <w:r>
              <w:t>7.</w:t>
            </w:r>
            <w:r>
              <w:tab/>
            </w:r>
            <w:r>
              <w:rPr>
                <w:b/>
                <w:i/>
              </w:rPr>
              <w:t>märgib, et</w:t>
            </w:r>
            <w:r>
              <w:t xml:space="preserve"> noortegarantii on </w:t>
            </w:r>
            <w:r>
              <w:rPr>
                <w:b/>
                <w:i/>
              </w:rPr>
              <w:t>sageli toonud</w:t>
            </w:r>
            <w:r>
              <w:t xml:space="preserve"> liikmesriikides </w:t>
            </w:r>
            <w:r>
              <w:rPr>
                <w:b/>
                <w:i/>
              </w:rPr>
              <w:t>kaasa lisabürokraatiat, vähendamata tegelikult struktuurset tööpuudust;</w:t>
            </w:r>
            <w:r>
              <w:t xml:space="preserve"> </w:t>
            </w:r>
            <w:r>
              <w:rPr>
                <w:b/>
                <w:i/>
              </w:rPr>
              <w:t>rõhutab, et mis tahes arutelu</w:t>
            </w:r>
            <w:r>
              <w:t xml:space="preserve"> aktiivse tööturupoliitika </w:t>
            </w:r>
            <w:r>
              <w:rPr>
                <w:b/>
                <w:i/>
              </w:rPr>
              <w:t>ümberkorraldamise üle peaks tagama liikmesriikide sotsiaalse suveräänsuse täieliku austamise ning püüdma vähendada VKEde koormust, selle asemel et peale suruda ELi institutsioonide kavandatud korraldust</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tunnistab, et tugevdatud noortegarantii on toiminud liikmesriikides institutsiooniliste reformide ja poliitiliste uuenduste katalüsaatorina ning on ajendanud mõtlema ka noortele suunatud aktiivse tööturupoliitika ümberkorraldamisele;</w:t>
            </w:r>
          </w:p>
        </w:tc>
        <w:tc>
          <w:tcPr>
            <w:tcW w:w="4876" w:type="dxa"/>
            <w:tcBorders>
              <w:top w:val="nil"/>
              <w:left w:val="nil"/>
              <w:bottom w:val="nil"/>
              <w:right w:val="nil"/>
            </w:tcBorders>
          </w:tcPr>
          <w:p>
            <w:pPr>
              <w:pStyle w:val="Normal6a"/>
            </w:pPr>
            <w:r>
              <w:t>7.</w:t>
            </w:r>
            <w:r>
              <w:tab/>
            </w:r>
            <w:r>
              <w:t xml:space="preserve">tunnistab, et tugevdatud noortegarantii on toiminud liikmesriikides institutsiooniliste reformide ja poliitiliste uuenduste katalüsaatorina ning on ajendanud mõtlema ka noortele suunatud aktiivse tööturupoliitika ümberkorraldamisele; </w:t>
            </w:r>
            <w:r>
              <w:rPr>
                <w:b/>
                <w:i/>
              </w:rPr>
              <w:t>märgib siiski, et need reformid keskendusid sageli tööturu paindlikkuse suurendamisele, mitte kvaliteetsete ja stabiilsete töökohtade tagamisele;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7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on arvamusel, et tugevdatud noortegarantii rakendamisel on pahatihti liiga kitsalt keskendutud aktiivsemale tööturul osalemisele, ehkki selle põhieesmärkide saavutamiseks on vaja terviklikumat lähenemisviisi, milles aktiivne ja passiivne tööturupoliitika põimuvad tõhusa juurdepääsuga sotsiaalse kaasamise meetmetele ja elutähtsatele teenustele, sealhulgas sotsiaal-, tervise- ja eluasemetoetustele, tagamaks stabiilsed, kaasavad ja pikaajalised tulemused NEET-noorte puhul;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7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võtab murega teadmiseks, et paljud liikmesriigid pole oma rakendamiskavu viimase kümne aasta jooksul ajakohastanud ning seetõttu ei kajasta need enam tööturu praegust olukorda, näiteks ebakindlate töösuhete kasvu, digi- ja rohepööret ja järjest suurenevat vaeghõivet;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rõhutab, et tugevdatud noortegarantii mõju on selle rakendamise ja tugevdamise konkreetsete elementide osas liikmesriigiti ebaühtlane;</w:t>
            </w:r>
          </w:p>
        </w:tc>
        <w:tc>
          <w:tcPr>
            <w:tcW w:w="4876" w:type="dxa"/>
            <w:tcBorders>
              <w:top w:val="nil"/>
              <w:left w:val="nil"/>
              <w:bottom w:val="nil"/>
              <w:right w:val="nil"/>
            </w:tcBorders>
          </w:tcPr>
          <w:p>
            <w:pPr>
              <w:pStyle w:val="Normal6a"/>
            </w:pPr>
            <w:r>
              <w:t>8.</w:t>
            </w:r>
            <w:r>
              <w:tab/>
            </w:r>
            <w:r>
              <w:t xml:space="preserve">rõhutab, et tugevdatud noortegarantii mõju on selle rakendamise ja tugevdamise konkreetsete elementide osas </w:t>
            </w:r>
            <w:r>
              <w:rPr>
                <w:b/>
                <w:i/>
              </w:rPr>
              <w:t>nii</w:t>
            </w:r>
            <w:r>
              <w:t xml:space="preserve"> liikmesriigiti </w:t>
            </w:r>
            <w:r>
              <w:rPr>
                <w:b/>
                <w:i/>
              </w:rPr>
              <w:t>kui ka liikmesriikide sees</w:t>
            </w:r>
            <w:r>
              <w:t xml:space="preserve"> ebaühtlane; </w:t>
            </w:r>
            <w:r>
              <w:rPr>
                <w:b/>
                <w:i/>
              </w:rPr>
              <w:t>toonitab, et sotsiaal-majandusliku arengu erinevast tasemest, kohaliku tööturu tingimustest ja juurdepääsust teenustele tulenevad noorte töötuse ja mitteaktiivsuse valdkonnas märkimisväärsed piirkondlikud ja kohalikud erinevused;</w:t>
            </w:r>
            <w:r>
              <w:t xml:space="preserve"> </w:t>
            </w:r>
            <w:r>
              <w:rPr>
                <w:b/>
                <w:i/>
              </w:rPr>
              <w:t>rõhutab, et tulemuslikuks teavitustegevuseks tuleb arvesse võtta kohalikke olusid ning kaasata usaldusväärseid kohalikke teenusepakkujaid ja organisatsioone, kes töötavad vahetult noortega;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rõhutab, et tugevdatud noortegarantii mõju on selle rakendamise ja tugevdamise konkreetsete elementide osas liikmesriigiti ebaühtlane;</w:t>
            </w:r>
          </w:p>
        </w:tc>
        <w:tc>
          <w:tcPr>
            <w:tcW w:w="4876" w:type="dxa"/>
            <w:tcBorders>
              <w:top w:val="nil"/>
              <w:left w:val="nil"/>
              <w:bottom w:val="nil"/>
              <w:right w:val="nil"/>
            </w:tcBorders>
          </w:tcPr>
          <w:p>
            <w:pPr>
              <w:pStyle w:val="Normal6a"/>
            </w:pPr>
            <w:r>
              <w:t>8.</w:t>
            </w:r>
            <w:r>
              <w:tab/>
            </w:r>
            <w:r>
              <w:t xml:space="preserve">rõhutab, et tugevdatud noortegarantii mõju on selle rakendamise ja tugevdamise konkreetsete elementide osas liikmesriigiti ebaühtlane; </w:t>
            </w:r>
            <w:r>
              <w:rPr>
                <w:b/>
                <w:i/>
              </w:rPr>
              <w:t>märgib, et lähenemisviisid noortegarantii rakendamisele ja tehtavate pakkumiste ulatusele on väga erinevad ning kõiki rakendatavaid riiklikke mudeleid oleks võimalik täiustada;</w:t>
            </w:r>
            <w:r>
              <w:t xml:space="preserve"> </w:t>
            </w:r>
            <w:r>
              <w:rPr>
                <w:b/>
                <w:i/>
              </w:rPr>
              <w:t>tunnistab, et igal liikmesriigil on erinev lähtepositsioon ning et mõned liikmesriigid seisavad silmitsi demograafiliste probleemidega ja aktiivsete noorte väljarändega;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väljendab heameelt, et tugevdatud noortegarantiiga hõlmatud vanuserühma kaasati 25–29-aastased noored, kuna üleminek koolist tööturule võtab rohkem aega kui varem;</w:t>
            </w:r>
            <w:r>
              <w:t xml:space="preserve"> </w:t>
            </w:r>
            <w:r>
              <w:rPr>
                <w:b/>
                <w:i/>
              </w:rPr>
              <w:t>märgib, et vanuserühma laiendamine on suurendanud osalemist tugevdatud noortegarantii kavades ning nimetatud vanuserühm moodustas 2024. aastal umbes kolmandiku kõigist osalejatest</w:t>
            </w:r>
            <w:r>
              <w:rPr>
                <w:b/>
                <w:i/>
                <w:vertAlign w:val="superscript"/>
              </w:rPr>
              <w:t>25a</w:t>
            </w:r>
            <w:r>
              <w:rPr>
                <w:b/>
                <w:i/>
              </w:rPr>
              <w:t>;</w:t>
            </w:r>
            <w:r>
              <w:t xml:space="preserve"> </w:t>
            </w:r>
            <w:r>
              <w:rPr>
                <w:b/>
                <w:i/>
              </w:rPr>
              <w:t>rõhutab, et suurema osalejate arvuga ei ole alati kaasnenud avalike tööturuasutuste (kes peavad tegelema suurema arvu juhtumitega, millest mõned on keerukamad) suutlikkuse suurenemine;</w:t>
            </w:r>
            <w:r>
              <w:t xml:space="preserve"> </w:t>
            </w:r>
            <w:r>
              <w:rPr>
                <w:b/>
                <w:i/>
              </w:rPr>
              <w:t>väljendab kahetsust, et mõned liikmesriigid on otsustanud, et nad ei ei laienda tugevdatud noortegarantii puhul vanuserühma;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25a</w:t>
            </w:r>
            <w:r>
              <w:t xml:space="preserve"> </w:t>
            </w:r>
            <w:r>
              <w:rPr>
                <w:b/>
                <w:i/>
              </w:rPr>
              <w:t>Euroopa Komisjon, tööhõive, sotsiaalküsimuste ja sotsiaalse kaasatuse peadirektoraat, „Data collection for monitoring of Youth Guarantee schemes:</w:t>
            </w:r>
            <w:r>
              <w:t xml:space="preserve"> </w:t>
            </w:r>
            <w:r>
              <w:rPr>
                <w:b/>
                <w:i/>
              </w:rPr>
              <w:t>2024“ (Andmete kogumine noortegarantii kavade järelevalve eesmärgil: 2024), detsember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toonitab, et hiljutistest uuringutest kogukonna kaasamise kohta ilmneb, et koostööl põhinev lähenemisviis – sealhulgas integreeritud mudelid, mille puhul tööhõive edendamise asutused teevad kohalikul tasandil koostööd tööotsijatele sotsiaalkindlustuse pakkujatega – on hädavajalik, et üleminek koolist tööle oleks edukas;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rõhutab, et see, kas tugevdatud noortegarantii aitab edukalt võidelda noorte töötuse ja NEET-noorte staatuse vastu, sõltub tööhõive-, haridus- ja noortepoliitika tulemuslikust lõimimisest, tõhusast koostööst valitsuste, tööturu osapoolte ja noorteorganisatsioonidega ning ulatuslikest meetmetest, mille eesmärk on tegeleda perede toetamise, eluasemepoliitika, lapsehoiu, soolise ebavõrdsuse vastu võitlemise, tööturul osalemise, vanemate õiguste, töö- ja eraelu tasakaalu, taskukohasele tervishoiule juurdepääsu ning üldise solidaarsusel põhineva sotsiaalkaitsesüsteemiga;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tuletab meelde, et perekonna sotsiaal-majanduslik stabiilsus, juurdepääs kvaliteetsele haridusele ja koolitusele ning kaasav tööturg on peamised tegurid, mis võimaldavad noortel edukalt haridussüsteemist tööellu siirduda, ning need on olemuslikult seotud noortegarantii eesmärkidega;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Niels Geuking, Pascal Arimont, Romana Tomc, David Casa, Isabelle Le Callennec,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8d.</w:t>
            </w:r>
            <w:r>
              <w:tab/>
            </w:r>
            <w:r>
              <w:rPr>
                <w:b/>
                <w:i/>
              </w:rPr>
              <w:t>tuletab meelde, et Euroopa Parlamendi 2023. aasta novembri resolutsioon laste ja nende perede ebavõrdsuse vähendamise ja sotsiaalse kaasatuse edendamise kohta koostoimes Euroopa lastegarantiiga oli aluseks tugevamate perekondade (Stronger Families)</w:t>
            </w:r>
            <w:r>
              <w:rPr>
                <w:b/>
                <w:i/>
                <w:vertAlign w:val="superscript"/>
              </w:rPr>
              <w:t>2a</w:t>
            </w:r>
            <w:r>
              <w:rPr>
                <w:b/>
                <w:i/>
              </w:rPr>
              <w:t> algatusele ja Euroopa pereleppele (European Family Contract)</w:t>
            </w:r>
            <w:r>
              <w:rPr>
                <w:b/>
                <w:i/>
                <w:vertAlign w:val="superscript"/>
              </w:rPr>
              <w:t>3a</w:t>
            </w:r>
            <w:r>
              <w:rPr>
                <w:b/>
                <w:i/>
              </w:rPr>
              <w:t>, mis ühendab garanteeritud lapsetoetused, vanemapuhkuse ja juurdepääsu kvaliteetsele lapsehoiule, mis on noortegarantii tulemuslikkuse peamine tingimus, kuna see tagab töö- ja pereelu tasakaalu NEET-noortele, eelkõige noortele vanematele, ning aitab vältida pikaajalist majanduslikku tõrjutust;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https://www.nielsgeuking.eu/stronger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https://www.nielsgeuking.eu/en/scientificstudy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8e.</w:t>
            </w:r>
            <w:r>
              <w:tab/>
            </w:r>
            <w:r>
              <w:rPr>
                <w:b/>
                <w:i/>
              </w:rPr>
              <w:t>toonitab, et võitlus laste saamise edasilükkamise vastu, (haavatavate) noorte pereplaneerimise toetamine ning sotsiaalkindlustusepõhise vanemahüvitise olemasolu võivad aidata tegeleda demograafiliste probleemide ja oskuste nappusega ning tugevdada noori peresid ja põlvkondadevahelist õiglust;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 f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8f.</w:t>
            </w:r>
            <w:r>
              <w:tab/>
            </w:r>
            <w:r>
              <w:rPr>
                <w:b/>
                <w:i/>
              </w:rPr>
              <w:t>toonitab, et perekeskse ja kõiki vanuserühmi hõlmava lähenemisviisi lisamine komisjoni teatisesse tugevdatud noortegarantii kohta võib aidata ennetada noorte tööpuudust, haridus- ja koolitussüsteemist varakult lahkumist, NEET-noore staatust, palgavaesust ja sotsiaalset tõrjutust, soodustades seega pikaajalist sotsiaalset ühtekuuluvust ja põlvkondadevahelist õiglust ELis;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8 g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8g.</w:t>
            </w:r>
            <w:r>
              <w:tab/>
            </w:r>
            <w:r>
              <w:rPr>
                <w:b/>
                <w:i/>
              </w:rPr>
              <w:t>rõhutab, et põlvkondadevaheline solidaarsus on ELi heaolumudeli nurgakivi ning oluline sotsiaalse ühtekuuluvuse säilitamiseks demograafiliste muutuste ja majanduse ümberkujundamise kontekstis;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peab kahetsusväärseks, et teadlikkus tugevdatud noortegarantii kavadest on endiselt madal noorte seas ja teataval määral ka ametiasutuste seas, kes ei vastuta otseselt kavade või tööhõiveküsimuste eest;</w:t>
            </w:r>
          </w:p>
        </w:tc>
        <w:tc>
          <w:tcPr>
            <w:tcW w:w="4876" w:type="dxa"/>
            <w:tcBorders>
              <w:top w:val="nil"/>
              <w:left w:val="nil"/>
              <w:bottom w:val="nil"/>
              <w:right w:val="nil"/>
            </w:tcBorders>
          </w:tcPr>
          <w:p>
            <w:pPr>
              <w:pStyle w:val="Normal6a"/>
            </w:pPr>
            <w:r>
              <w:t>9.</w:t>
            </w:r>
            <w:r>
              <w:tab/>
            </w:r>
            <w:r>
              <w:t xml:space="preserve">peab kahetsusväärseks, et teadlikkus tugevdatud noortegarantii kavadest on endiselt madal noorte seas ja teataval määral ka ametiasutuste seas, kes ei vastuta otseselt kavade või tööhõiveküsimuste eest; </w:t>
            </w:r>
            <w:r>
              <w:rPr>
                <w:b/>
                <w:i/>
              </w:rPr>
              <w:t>rõhutab, et noortegarantii lisamine laiematesse programmidesse võib jätta varju võimalused, mida need programmid pakuvad NEET-noortele;</w:t>
            </w:r>
            <w:r>
              <w:t xml:space="preserve"> </w:t>
            </w:r>
            <w:r>
              <w:rPr>
                <w:b/>
                <w:i/>
              </w:rPr>
              <w:t>märgib, et endiselt on kõige raskem jõuda NEET-noorteni, kes on kõige vähem teadlikud kõnealustest programmidest ja nende toetamiseks ette nähtud teenustest;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peab kahetsusväärseks, et teadlikkus tugevdatud noortegarantii kavadest on endiselt madal noorte seas ja teataval määral ka ametiasutuste seas, kes ei vastuta otseselt kavade või tööhõiveküsimuste eest;</w:t>
            </w:r>
          </w:p>
        </w:tc>
        <w:tc>
          <w:tcPr>
            <w:tcW w:w="4876" w:type="dxa"/>
            <w:tcBorders>
              <w:top w:val="nil"/>
              <w:left w:val="nil"/>
              <w:bottom w:val="nil"/>
              <w:right w:val="nil"/>
            </w:tcBorders>
          </w:tcPr>
          <w:p>
            <w:pPr>
              <w:pStyle w:val="Normal6a"/>
            </w:pPr>
            <w:r>
              <w:t>9.</w:t>
            </w:r>
            <w:r>
              <w:tab/>
            </w:r>
            <w:r>
              <w:t xml:space="preserve">peab kahetsusväärseks, et teadlikkus tugevdatud noortegarantii kavadest on endiselt madal noorte seas ja teataval määral ka ametiasutuste seas, kes ei vastuta otseselt kavade või tööhõiveküsimuste eest; </w:t>
            </w:r>
            <w:r>
              <w:rPr>
                <w:b/>
                <w:i/>
              </w:rPr>
              <w:t>toonitab, et vähene teadlikkus on osaliselt tingitud ligipääsetavate, eelkõige puuetega noortele ja ebasoodsas olukorras olevatest piirkondadest pärit noortele suunatud teabekampaaniate puudumisest;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peab kahetsusväärseks, et teadlikkus tugevdatud noortegarantii kavadest on endiselt madal </w:t>
            </w:r>
            <w:r>
              <w:rPr>
                <w:b/>
                <w:i/>
              </w:rPr>
              <w:t>noorte</w:t>
            </w:r>
            <w:r>
              <w:t xml:space="preserve"> seas ja teataval määral ka </w:t>
            </w:r>
            <w:r>
              <w:rPr>
                <w:b/>
                <w:i/>
              </w:rPr>
              <w:t>ametiasutuste</w:t>
            </w:r>
            <w:r>
              <w:t xml:space="preserve"> seas, kes ei </w:t>
            </w:r>
            <w:r>
              <w:rPr>
                <w:b/>
                <w:i/>
              </w:rPr>
              <w:t>vastuta</w:t>
            </w:r>
            <w:r>
              <w:t xml:space="preserve"> otseselt </w:t>
            </w:r>
            <w:r>
              <w:rPr>
                <w:b/>
                <w:i/>
              </w:rPr>
              <w:t>kavade või tööhõiveküsimuste eest</w:t>
            </w:r>
            <w:r>
              <w:t>;</w:t>
            </w:r>
          </w:p>
        </w:tc>
        <w:tc>
          <w:tcPr>
            <w:tcW w:w="4876" w:type="dxa"/>
            <w:tcBorders>
              <w:top w:val="nil"/>
              <w:left w:val="nil"/>
              <w:bottom w:val="nil"/>
              <w:right w:val="nil"/>
            </w:tcBorders>
          </w:tcPr>
          <w:p>
            <w:pPr>
              <w:pStyle w:val="Normal6a"/>
            </w:pPr>
            <w:r>
              <w:t>9.</w:t>
            </w:r>
            <w:r>
              <w:tab/>
            </w:r>
            <w:r>
              <w:t xml:space="preserve">peab kahetsusväärseks, et teadlikkus tugevdatud noortegarantii kavadest on endiselt madal </w:t>
            </w:r>
            <w:r>
              <w:rPr>
                <w:b/>
                <w:i/>
              </w:rPr>
              <w:t>NEET-noorte</w:t>
            </w:r>
            <w:r>
              <w:t xml:space="preserve"> seas ja teataval määral ka </w:t>
            </w:r>
            <w:r>
              <w:rPr>
                <w:b/>
                <w:i/>
              </w:rPr>
              <w:t>asjaomaste sidusrühmade</w:t>
            </w:r>
            <w:r>
              <w:t xml:space="preserve"> seas, kes ei </w:t>
            </w:r>
            <w:r>
              <w:rPr>
                <w:b/>
                <w:i/>
              </w:rPr>
              <w:t>ole</w:t>
            </w:r>
            <w:r>
              <w:t xml:space="preserve"> otseselt </w:t>
            </w:r>
            <w:r>
              <w:rPr>
                <w:b/>
                <w:i/>
              </w:rPr>
              <w:t>seotud selle rakendamisega, näiteks haridus- või koolitusteenuse osutajad, noorteorganisatsioonid, kodanikuühiskond ning muud ametlikud ja mitteametlikud osalejad</w:t>
            </w:r>
            <w:r>
              <w:t xml:space="preserve">; </w:t>
            </w:r>
            <w:r>
              <w:rPr>
                <w:b/>
                <w:i/>
              </w:rPr>
              <w:t>leiab, et vähene teadlikkus takistab oluliselt tugevdatud noortegarantii kasutuselevõttu ja vähendab selle tulemuslikkust;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peab kahetsusväärseks, et teadlikkus tugevdatud noortegarantii kavadest on endiselt madal noorte seas ja teataval määral ka ametiasutuste seas, kes ei vastuta otseselt kavade või tööhõiveküsimuste eest;</w:t>
            </w:r>
          </w:p>
        </w:tc>
        <w:tc>
          <w:tcPr>
            <w:tcW w:w="4876" w:type="dxa"/>
            <w:tcBorders>
              <w:top w:val="nil"/>
              <w:left w:val="nil"/>
              <w:bottom w:val="nil"/>
              <w:right w:val="nil"/>
            </w:tcBorders>
          </w:tcPr>
          <w:p>
            <w:pPr>
              <w:pStyle w:val="Normal6a"/>
            </w:pPr>
            <w:r>
              <w:t>9.</w:t>
            </w:r>
            <w:r>
              <w:tab/>
            </w:r>
            <w:r>
              <w:t xml:space="preserve">peab kahetsusväärseks, et teadlikkus tugevdatud noortegarantii kavadest on endiselt madal noorte </w:t>
            </w:r>
            <w:r>
              <w:rPr>
                <w:b/>
                <w:i/>
              </w:rPr>
              <w:t>ettevõtjate</w:t>
            </w:r>
            <w:r>
              <w:t xml:space="preserve"> seas ja teataval määral ka ametiasutuste seas, kes ei vastuta otseselt kavade või tööhõiveküsimuste eest</w:t>
            </w:r>
            <w:r>
              <w:rPr>
                <w:b/>
                <w:i/>
              </w:rPr>
              <w:t>, samuti on teadlikkus märkimisväärselt erinev liikmesriigiti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märgib, et teavitustegevus on endiselt üks peamisi takistusi tugevdatud noortegarantii rakendamisel; peab kahetsusväärseks, et </w:t>
            </w:r>
            <w:r>
              <w:rPr>
                <w:b/>
                <w:i/>
              </w:rPr>
              <w:t>meetmed</w:t>
            </w:r>
            <w:r>
              <w:t xml:space="preserve"> on peamiselt passiivsed ja põhinevad üksnes avalikes tööturuasutustes registreeritud NEET-noortel;</w:t>
            </w:r>
          </w:p>
        </w:tc>
        <w:tc>
          <w:tcPr>
            <w:tcW w:w="4876" w:type="dxa"/>
            <w:tcBorders>
              <w:top w:val="nil"/>
              <w:left w:val="nil"/>
              <w:bottom w:val="nil"/>
              <w:right w:val="nil"/>
            </w:tcBorders>
          </w:tcPr>
          <w:p>
            <w:pPr>
              <w:pStyle w:val="Normal6a"/>
            </w:pPr>
            <w:r>
              <w:t>10.</w:t>
            </w:r>
            <w:r>
              <w:tab/>
            </w:r>
            <w:r>
              <w:t xml:space="preserve">märgib </w:t>
            </w:r>
            <w:r>
              <w:rPr>
                <w:b/>
                <w:i/>
              </w:rPr>
              <w:t>sügava murega</w:t>
            </w:r>
            <w:r>
              <w:t xml:space="preserve">, et teavitustegevus on endiselt üks peamisi takistusi tugevdatud noortegarantii </w:t>
            </w:r>
            <w:r>
              <w:rPr>
                <w:b/>
                <w:i/>
              </w:rPr>
              <w:t>tulemuslikul</w:t>
            </w:r>
            <w:r>
              <w:t xml:space="preserve"> rakendamisel; peab kahetsusväärseks, et </w:t>
            </w:r>
            <w:r>
              <w:rPr>
                <w:b/>
                <w:i/>
              </w:rPr>
              <w:t>teavitusmeetmed</w:t>
            </w:r>
            <w:r>
              <w:t xml:space="preserve"> on peamiselt passiivsed ja põhinevad üksnes avalikes tööturuasutustes registreeritud NEET-noortel; </w:t>
            </w:r>
            <w:r>
              <w:rPr>
                <w:b/>
                <w:i/>
              </w:rPr>
              <w:t xml:space="preserve">toonitab, et see tekitab süsteemseid takistusi NEET-noortele, kes on sotsiaalselt tõrjutud, ei usalda ametiasutusi, on digitaalselt tõrjutud või kellel on praktilisi takistusi ametlikele teenustele juurdepääsul; </w:t>
            </w:r>
            <w:r>
              <w:t xml:space="preserve"> </w:t>
            </w:r>
            <w:r>
              <w:rPr>
                <w:b/>
                <w:i/>
              </w:rPr>
              <w:t>märgib, et see õõnestab sotsiaalset sidusust ja põlvkondadevahelist õiglust ning süvendab, mitte ei vähenda olemasolevat ebavõrdsust;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märgib, et teavitustegevus on endiselt üks peamisi takistusi tugevdatud noortegarantii rakendamisel; peab kahetsusväärseks, et meetmed on peamiselt passiivsed ja põhinevad üksnes avalikes tööturuasutustes registreeritud NEET-noortel;</w:t>
            </w:r>
          </w:p>
        </w:tc>
        <w:tc>
          <w:tcPr>
            <w:tcW w:w="4876" w:type="dxa"/>
            <w:tcBorders>
              <w:top w:val="nil"/>
              <w:left w:val="nil"/>
              <w:bottom w:val="nil"/>
              <w:right w:val="nil"/>
            </w:tcBorders>
          </w:tcPr>
          <w:p>
            <w:pPr>
              <w:pStyle w:val="Normal6a"/>
            </w:pPr>
            <w:r>
              <w:t>10.</w:t>
            </w:r>
            <w:r>
              <w:tab/>
            </w:r>
            <w:r>
              <w:t xml:space="preserve">märgib, et teavitustegevus on endiselt üks peamisi takistusi tugevdatud noortegarantii rakendamisel; peab kahetsusväärseks, et meetmed on peamiselt passiivsed ja põhinevad üksnes avalikes tööturuasutustes registreeritud NEET-noortel; </w:t>
            </w:r>
            <w:r>
              <w:rPr>
                <w:b/>
                <w:i/>
              </w:rPr>
              <w:t>kutsub seetõttu liikmesriike üles töötama välja aktiivseid teavitusstrateegiaid koolide, sotsiaalteenuste, kohalike omavalitsuste, noorteorganisatsioonide ja digivahendite kaudu, et teha kindlaks noored, kes ei ole registreeritud, ja need, kelleni on kõige raskem jõuda;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märgib, et teavitustegevus on endiselt üks peamisi takistusi tugevdatud noortegarantii rakendamisel; peab kahetsusväärseks, et meetmed on peamiselt passiivsed ja põhinevad üksnes avalikes tööturuasutustes registreeritud NEET-noortel;</w:t>
            </w:r>
          </w:p>
        </w:tc>
        <w:tc>
          <w:tcPr>
            <w:tcW w:w="4876" w:type="dxa"/>
            <w:tcBorders>
              <w:top w:val="nil"/>
              <w:left w:val="nil"/>
              <w:bottom w:val="nil"/>
              <w:right w:val="nil"/>
            </w:tcBorders>
          </w:tcPr>
          <w:p>
            <w:pPr>
              <w:pStyle w:val="Normal6a"/>
            </w:pPr>
            <w:r>
              <w:t>10.</w:t>
            </w:r>
            <w:r>
              <w:tab/>
            </w:r>
            <w:r>
              <w:t xml:space="preserve">märgib, et teavitustegevus on endiselt üks peamisi takistusi tugevdatud noortegarantii rakendamisel; peab kahetsusväärseks, et meetmed on peamiselt passiivsed ja põhinevad üksnes avalikes tööturuasutustes registreeritud NEET-noortel </w:t>
            </w:r>
            <w:r>
              <w:rPr>
                <w:b/>
                <w:i/>
              </w:rPr>
              <w:t>ning et tööturuasutustel puudub suutlikkus rakendada ennetavat lähenemisviisi kogukonnasiseseks teavitamiseks</w:t>
            </w:r>
            <w:r>
              <w:t xml:space="preserve">; </w:t>
            </w:r>
            <w:r>
              <w:rPr>
                <w:b/>
                <w:i/>
              </w:rPr>
              <w:t>märgib, et selline lähenemisviis tekitab takistusi neile, kellel on praktilisi raskusi või kes ei usalda ametiasutusi;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märgib, et teavitustegevus on endiselt üks peamisi takistusi tugevdatud noortegarantii rakendamisel; peab kahetsusväärseks, et meetmed on peamiselt passiivsed ja põhinevad üksnes avalikes tööturuasutustes registreeritud NEET-noortel;</w:t>
            </w:r>
          </w:p>
        </w:tc>
        <w:tc>
          <w:tcPr>
            <w:tcW w:w="4876" w:type="dxa"/>
            <w:tcBorders>
              <w:top w:val="nil"/>
              <w:left w:val="nil"/>
              <w:bottom w:val="nil"/>
              <w:right w:val="nil"/>
            </w:tcBorders>
          </w:tcPr>
          <w:p>
            <w:pPr>
              <w:pStyle w:val="Normal6a"/>
            </w:pPr>
            <w:r>
              <w:t>10.</w:t>
            </w:r>
            <w:r>
              <w:tab/>
            </w:r>
            <w:r>
              <w:t xml:space="preserve">märgib, et teavitustegevus on endiselt üks peamisi takistusi tugevdatud noortegarantii rakendamisel; peab kahetsusväärseks, et meetmed on peamiselt passiivsed ja põhinevad üksnes avalikes tööturuasutustes registreeritud NEET-noortel; </w:t>
            </w:r>
            <w:r>
              <w:rPr>
                <w:b/>
                <w:i/>
              </w:rPr>
              <w:t>kutsub liikmesriike ja komisjoni üles tegema sihipäraseid jõupingutusi, et saavutada noorte hulgas igakülgne teadlikkuse suurenemine noortegarantiist, pöörates erilist tähelepanu haavatavatele ja tõrjutud rühmadele;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märgib, et teavitustegevus on endiselt üks peamisi takistusi tugevdatud noortegarantii rakendamisel; peab kahetsusväärseks, et meetmed on peamiselt passiivsed ja põhinevad üksnes avalikes tööturuasutustes registreeritud NEET-noortel;</w:t>
            </w:r>
          </w:p>
        </w:tc>
        <w:tc>
          <w:tcPr>
            <w:tcW w:w="4876" w:type="dxa"/>
            <w:tcBorders>
              <w:top w:val="nil"/>
              <w:left w:val="nil"/>
              <w:bottom w:val="nil"/>
              <w:right w:val="nil"/>
            </w:tcBorders>
          </w:tcPr>
          <w:p>
            <w:pPr>
              <w:pStyle w:val="Normal6a"/>
            </w:pPr>
            <w:r>
              <w:t>10.</w:t>
            </w:r>
            <w:r>
              <w:tab/>
            </w:r>
            <w:r>
              <w:t>märgib, et teavitustegevus on endiselt üks peamisi takistusi tugevdatud noortegarantii rakendamisel; peab kahetsusväärseks, et meetmed on peamiselt passiivsed ja põhinevad üksnes avalikes tööturuasutustes registreeritud NEET-noortel</w:t>
            </w:r>
            <w:r>
              <w:rPr>
                <w:b/>
                <w:i/>
              </w:rPr>
              <w:t>, ning rõhutab vajadust näha ette ka individuaalsed suunamis- ja juhendamismeetmed, et jõuda kõige haavatavamate isikuteni ja nendeni, kellel on raskem teenustele juurde pääseda, ning neid toetada</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märgib, et </w:t>
            </w:r>
            <w:r>
              <w:rPr>
                <w:b/>
                <w:i/>
              </w:rPr>
              <w:t>teavitustegevus</w:t>
            </w:r>
            <w:r>
              <w:t xml:space="preserve"> on endiselt üks peamisi takistusi tugevdatud noortegarantii rakendamisel; peab kahetsusväärseks, et meetmed on peamiselt passiivsed ja põhinevad üksnes avalikes tööturuasutustes registreeritud NEET-noortel;</w:t>
            </w:r>
          </w:p>
        </w:tc>
        <w:tc>
          <w:tcPr>
            <w:tcW w:w="4876" w:type="dxa"/>
            <w:tcBorders>
              <w:top w:val="nil"/>
              <w:left w:val="nil"/>
              <w:bottom w:val="nil"/>
              <w:right w:val="nil"/>
            </w:tcBorders>
          </w:tcPr>
          <w:p>
            <w:pPr>
              <w:pStyle w:val="Normal6a"/>
            </w:pPr>
            <w:r>
              <w:t>10.</w:t>
            </w:r>
            <w:r>
              <w:tab/>
            </w:r>
            <w:r>
              <w:t xml:space="preserve">märgib, et </w:t>
            </w:r>
            <w:r>
              <w:rPr>
                <w:b/>
                <w:i/>
              </w:rPr>
              <w:t>ennetava ja kogukonnapõhise teavitustegevuse suutlikkuse puudumine</w:t>
            </w:r>
            <w:r>
              <w:t xml:space="preserve"> on endiselt üks peamisi takistusi tugevdatud noortegarantii rakendamisel; peab kahetsusväärseks, et meetmed on peamiselt passiivsed ja põhinevad üksnes avalikes tööturuasutustes registreeritud NEET-noortel; </w:t>
            </w:r>
            <w:r>
              <w:rPr>
                <w:b/>
                <w:i/>
              </w:rPr>
              <w:t>see tekitab takistusi neile, kes ei usalda ametiasutusi või kellel on praktilisi probleeme, näiteks piiratud ligipääs transpordile või digivahenditele.</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10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juhib tähelepanu asjaolule, et detsentraliseeritud, kohapeal tegutsevad avalikud tööturuasutused ja kogukonna juhitud struktuurid võivad aidata parandada selliste NEET-noorte ja haavatavate alarühmade teavitamist, kaasamist ja toetamist, kelleni on raske jõuda;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väljendab muret tugevdatud noortegarantii kavade õigluse pärast, pidades silmas nende suutlikkust jõuda haavatavate ja mitteaktiivsete rühmadeni, eelkõige äärealadel, näiteks roma kogukondadeni;</w:t>
            </w:r>
          </w:p>
        </w:tc>
        <w:tc>
          <w:tcPr>
            <w:tcW w:w="4876" w:type="dxa"/>
            <w:tcBorders>
              <w:top w:val="nil"/>
              <w:left w:val="nil"/>
              <w:bottom w:val="nil"/>
              <w:right w:val="nil"/>
            </w:tcBorders>
          </w:tcPr>
          <w:p>
            <w:pPr>
              <w:pStyle w:val="Normal6a"/>
            </w:pPr>
            <w:r>
              <w:t>11.</w:t>
            </w:r>
            <w:r>
              <w:tab/>
            </w:r>
            <w:r>
              <w:t xml:space="preserve">väljendab muret tugevdatud noortegarantii kavade õigluse pärast, pidades silmas nende suutlikkust jõuda haavatavate ja mitteaktiivsete rühmadeni, eelkõige äärealadel, näiteks roma kogukondadeni; </w:t>
            </w:r>
            <w:r>
              <w:rPr>
                <w:b/>
                <w:i/>
              </w:rPr>
              <w:t>võtab teadmiseks mõnedelt sidusrühmadelt saadud tagasiside, et kavadest on kasu peamiselt noortel, kes on juba tööturule lähedal;</w:t>
            </w:r>
            <w:r>
              <w:t xml:space="preserve"> </w:t>
            </w:r>
            <w:r>
              <w:rPr>
                <w:b/>
                <w:i/>
              </w:rPr>
              <w:t>tuletab meelde, et tõenditel põhineva teavitustegevuse puudumine tähendab, et puuduvad teadmised NEET-noorte alarühmade kohta, kelleni tuleks jõuda, ning see takistab täpsemate strateegiate väljatöötamist;</w:t>
            </w:r>
            <w:r>
              <w:t xml:space="preserve"> </w:t>
            </w:r>
            <w:r>
              <w:rPr>
                <w:b/>
                <w:i/>
              </w:rPr>
              <w:t>on arvamusel, et noortegarantii tugevdamise raames on vaja edaspidi keskenduda haavatavetele rühmadele, kasutades selleks tulemuslikku teavitustegevust kõikides liikmesriikides ning tehes täiendavaid jõupingutusi selle eesmärgi saavutamiseks;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väljendab muret tugevdatud noortegarantii kavade õigluse pärast</w:t>
            </w:r>
            <w:r>
              <w:rPr>
                <w:b/>
                <w:i/>
              </w:rPr>
              <w:t>, pidades silmas</w:t>
            </w:r>
            <w:r>
              <w:t xml:space="preserve"> nende </w:t>
            </w:r>
            <w:r>
              <w:rPr>
                <w:b/>
                <w:i/>
              </w:rPr>
              <w:t>suutlikkust</w:t>
            </w:r>
            <w:r>
              <w:t xml:space="preserve"> jõuda haavatavate ja mitteaktiivsete </w:t>
            </w:r>
            <w:r>
              <w:rPr>
                <w:b/>
                <w:i/>
              </w:rPr>
              <w:t>rühmadeni</w:t>
            </w:r>
            <w:r>
              <w:t>, eelkõige äärealadel</w:t>
            </w:r>
            <w:r>
              <w:rPr>
                <w:b/>
                <w:i/>
              </w:rPr>
              <w:t>, näiteks roma kogukondadeni</w:t>
            </w:r>
            <w:r>
              <w:t>;</w:t>
            </w:r>
          </w:p>
        </w:tc>
        <w:tc>
          <w:tcPr>
            <w:tcW w:w="4876" w:type="dxa"/>
            <w:tcBorders>
              <w:top w:val="nil"/>
              <w:left w:val="nil"/>
              <w:bottom w:val="nil"/>
              <w:right w:val="nil"/>
            </w:tcBorders>
          </w:tcPr>
          <w:p>
            <w:pPr>
              <w:pStyle w:val="Normal6a"/>
            </w:pPr>
            <w:r>
              <w:t>11.</w:t>
            </w:r>
            <w:r>
              <w:tab/>
            </w:r>
            <w:r>
              <w:t xml:space="preserve">väljendab </w:t>
            </w:r>
            <w:r>
              <w:rPr>
                <w:b/>
                <w:i/>
              </w:rPr>
              <w:t>suurt</w:t>
            </w:r>
            <w:r>
              <w:t xml:space="preserve"> muret tugevdatud noortegarantii kavade õigluse pärast </w:t>
            </w:r>
            <w:r>
              <w:rPr>
                <w:b/>
                <w:i/>
              </w:rPr>
              <w:t>ja</w:t>
            </w:r>
            <w:r>
              <w:t xml:space="preserve"> nende </w:t>
            </w:r>
            <w:r>
              <w:rPr>
                <w:b/>
                <w:i/>
              </w:rPr>
              <w:t>suutlikkuse pärast</w:t>
            </w:r>
            <w:r>
              <w:t xml:space="preserve"> jõuda haavatavate ja mitteaktiivsete </w:t>
            </w:r>
            <w:r>
              <w:rPr>
                <w:b/>
                <w:i/>
              </w:rPr>
              <w:t>noorteni</w:t>
            </w:r>
            <w:r>
              <w:t xml:space="preserve">, eelkõige </w:t>
            </w:r>
            <w:r>
              <w:rPr>
                <w:b/>
                <w:i/>
              </w:rPr>
              <w:t>nendeni, kes elavad</w:t>
            </w:r>
            <w:r>
              <w:t xml:space="preserve"> äärealadel </w:t>
            </w:r>
            <w:r>
              <w:rPr>
                <w:b/>
                <w:i/>
              </w:rPr>
              <w:t>ja ebasoodsas olukorras olevates piirkondades;</w:t>
            </w:r>
            <w:r>
              <w:t xml:space="preserve"> </w:t>
            </w:r>
            <w:r>
              <w:rPr>
                <w:b/>
                <w:i/>
              </w:rPr>
              <w:t>rõhutab, et tugevdatud noortegarantii rakendamine on endiselt ebapiisavalt lõimitud eluaseme-, hooldus-, sotsiaalkaitse- ja tervishoiupoliitikaga</w:t>
            </w:r>
            <w:r>
              <w:t xml:space="preserve">; </w:t>
            </w:r>
            <w:r>
              <w:rPr>
                <w:b/>
                <w:i/>
              </w:rPr>
              <w:t>need täiendavad üksteist ja on hädavajalikud, et toetada haavatavate NEET-noorte kestlikku tööturule integreerimist;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väljendab muret tugevdatud noortegarantii kavade õigluse pärast, pidades silmas nende suutlikkust jõuda haavatavate ja mitteaktiivsete rühmadeni, eelkõige äärealadel, </w:t>
            </w:r>
            <w:r>
              <w:rPr>
                <w:b/>
                <w:i/>
              </w:rPr>
              <w:t>näiteks roma kogukondadeni</w:t>
            </w:r>
            <w:r>
              <w:t>;</w:t>
            </w:r>
          </w:p>
        </w:tc>
        <w:tc>
          <w:tcPr>
            <w:tcW w:w="4876" w:type="dxa"/>
            <w:tcBorders>
              <w:top w:val="nil"/>
              <w:left w:val="nil"/>
              <w:bottom w:val="nil"/>
              <w:right w:val="nil"/>
            </w:tcBorders>
          </w:tcPr>
          <w:p>
            <w:pPr>
              <w:pStyle w:val="Normal6a"/>
            </w:pPr>
            <w:r>
              <w:t>11.</w:t>
            </w:r>
            <w:r>
              <w:tab/>
            </w:r>
            <w:r>
              <w:t xml:space="preserve">väljendab muret tugevdatud noortegarantii kavade õigluse pärast, pidades silmas nende suutlikkust jõuda haavatavate ja mitteaktiivsete rühmadeni, eelkõige </w:t>
            </w:r>
            <w:r>
              <w:rPr>
                <w:b/>
                <w:i/>
              </w:rPr>
              <w:t>mägi- ja maapiirkondades ning</w:t>
            </w:r>
            <w:r>
              <w:t xml:space="preserve"> äärealadel, </w:t>
            </w:r>
            <w:r>
              <w:rPr>
                <w:b/>
                <w:i/>
              </w:rPr>
              <w:t>ja rõhutab vajadust täiustada digitaristut, et tagada võrdne ligipääs programmidele ja teabeteenustele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väljendab muret tugevdatud noortegarantii kavade õigluse pärast, pidades silmas nende suutlikkust jõuda </w:t>
            </w:r>
            <w:r>
              <w:rPr>
                <w:b/>
                <w:i/>
              </w:rPr>
              <w:t>haavatavate</w:t>
            </w:r>
            <w:r>
              <w:t xml:space="preserve"> ja mitteaktiivsete rühmadeni, </w:t>
            </w:r>
            <w:r>
              <w:rPr>
                <w:b/>
                <w:i/>
              </w:rPr>
              <w:t>eelkõige</w:t>
            </w:r>
            <w:r>
              <w:t xml:space="preserve"> äärealadel</w:t>
            </w:r>
            <w:r>
              <w:rPr>
                <w:b/>
                <w:i/>
              </w:rPr>
              <w:t>, näiteks roma kogukondadeni</w:t>
            </w:r>
            <w:r>
              <w:t>;</w:t>
            </w:r>
          </w:p>
        </w:tc>
        <w:tc>
          <w:tcPr>
            <w:tcW w:w="4876" w:type="dxa"/>
            <w:tcBorders>
              <w:top w:val="nil"/>
              <w:left w:val="nil"/>
              <w:bottom w:val="nil"/>
              <w:right w:val="nil"/>
            </w:tcBorders>
          </w:tcPr>
          <w:p>
            <w:pPr>
              <w:pStyle w:val="Normal6a"/>
            </w:pPr>
            <w:r>
              <w:t>11.</w:t>
            </w:r>
            <w:r>
              <w:tab/>
            </w:r>
            <w:r>
              <w:t xml:space="preserve">väljendab muret tugevdatud noortegarantii kavade õigluse pärast, pidades silmas nende suutlikkust jõuda </w:t>
            </w:r>
            <w:r>
              <w:rPr>
                <w:b/>
                <w:i/>
              </w:rPr>
              <w:t>kõige haavatavamate</w:t>
            </w:r>
            <w:r>
              <w:t xml:space="preserve"> ja mitteaktiivsete rühmadeni, </w:t>
            </w:r>
            <w:r>
              <w:rPr>
                <w:b/>
                <w:i/>
              </w:rPr>
              <w:t>nagu puuetega noored ja</w:t>
            </w:r>
            <w:r>
              <w:t xml:space="preserve"> äärealadel </w:t>
            </w:r>
            <w:r>
              <w:rPr>
                <w:b/>
                <w:i/>
              </w:rPr>
              <w:t>elavad noored</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väljendab muret tugevdatud noortegarantii kavade õigluse pärast, pidades silmas nende suutlikkust jõuda haavatavate ja mitteaktiivsete rühmadeni, eelkõige äärealadel, </w:t>
            </w:r>
            <w:r>
              <w:rPr>
                <w:b/>
                <w:i/>
              </w:rPr>
              <w:t>näiteks roma kogukondadeni</w:t>
            </w:r>
            <w:r>
              <w:t>;</w:t>
            </w:r>
          </w:p>
        </w:tc>
        <w:tc>
          <w:tcPr>
            <w:tcW w:w="4876" w:type="dxa"/>
            <w:tcBorders>
              <w:top w:val="nil"/>
              <w:left w:val="nil"/>
              <w:bottom w:val="nil"/>
              <w:right w:val="nil"/>
            </w:tcBorders>
          </w:tcPr>
          <w:p>
            <w:pPr>
              <w:pStyle w:val="Normal6a"/>
            </w:pPr>
            <w:r>
              <w:t>11.</w:t>
            </w:r>
            <w:r>
              <w:tab/>
            </w:r>
            <w:r>
              <w:t xml:space="preserve">väljendab muret tugevdatud noortegarantii kavade õigluse pärast, pidades silmas nende suutlikkust jõuda haavatavate ja mitteaktiivsete rühmadeni, eelkõige äärealadel, </w:t>
            </w:r>
            <w:r>
              <w:rPr>
                <w:b/>
                <w:i/>
              </w:rPr>
              <w:t>nagu äärepoolsed piirkonnad või ülemeredepartemangud ja -piirkonnad</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toonitab murelikult, et noortegarantii kavadega hõlmatuse tase on pärast garantii tugevdamist mõningal määral vähenenud ja mõnedes liikmesriikides on tase murettekitavalt madal: see jääb enamikus liikmesriikides 1,1 % ja 50 % vahele</w:t>
            </w:r>
            <w:r>
              <w:rPr>
                <w:b/>
                <w:i/>
                <w:vertAlign w:val="superscript"/>
              </w:rPr>
              <w:t>26a</w:t>
            </w:r>
            <w:r>
              <w:rPr>
                <w:b/>
                <w:i/>
              </w:rPr>
              <w:t>;</w:t>
            </w:r>
            <w:r>
              <w:t xml:space="preserve"> </w:t>
            </w:r>
            <w:r>
              <w:rPr>
                <w:b/>
                <w:i/>
              </w:rPr>
              <w:t>märgib, et hõlmatuse tase on suurim 20–24-aastaste vanuserühmas, järgnevad 15–19-aastased ja seejärel 25–29-aastased;</w:t>
            </w:r>
            <w:r>
              <w:t xml:space="preserve"> </w:t>
            </w:r>
            <w:r>
              <w:rPr>
                <w:b/>
                <w:i/>
              </w:rPr>
              <w:t>tunnistab, et keerulises eelarveolukorras tuleks prioriteediks seada mitteaktiivsete või haavatavate NEET-noorte integreerimine tugevdatud noortegarantii kavadesse;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26a</w:t>
            </w:r>
            <w:r>
              <w:t xml:space="preserve"> </w:t>
            </w:r>
            <w:r>
              <w:rPr>
                <w:b/>
                <w:i/>
              </w:rPr>
              <w:t>Euroopa Komisjon, tööhõive, sotsiaalküsimuste ja sotsiaalse kaasatuse peadirektoraat, „Data table on Youth Guarantee Direct indicators“ (Andmetabel noortegarantii otseste näitajate kohta), veebruar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toob esile, et vaatamata soolise mõõtme laiendamisele tugevdatud noortegarantiis on naised ja eelkõige üksikemad NEET-noorte hulgas üleesindatud;</w:t>
            </w:r>
            <w:r>
              <w:t xml:space="preserve"> </w:t>
            </w:r>
            <w:r>
              <w:rPr>
                <w:b/>
                <w:i/>
              </w:rPr>
              <w:t>rõhutab, et tugevdatud noortegarantii rakendamisel tuleb rohkem arvesse võtta soolisi mustreid, mille kohaselt naised muutuvad tõenäolisemalt mitteaktiivseteks NEET-noorteks ning jäävad tööturult kõrvale, samas kui mehed on tõenäolisemalt töötud NEET-noored;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rõhutab koolide ja ülikoolide olulist rolli: olla sild haridussüsteemi ja tööturu vahel, ennetada haridussüsteemist varakult lahkumist ja talentide äravoolu EList ning levitada teavet tugevdatud noortegarantii pakutavatest võimalustest;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märgib, et neljaetapilise rakendamise lähenemisviis realiseerub liikmesriigiti ebaühtlaselt;</w:t>
            </w:r>
            <w:r>
              <w:t xml:space="preserve"> </w:t>
            </w:r>
            <w:r>
              <w:rPr>
                <w:b/>
                <w:i/>
              </w:rPr>
              <w:t>rõhutab eelkõige, et tugiteenuste ja sihtrühmade kaardistamine on liikmesriikides endiselt piiratud ning see võib isegi kaasa tuua olukordi, kus noored ei tea, et nad osalevad noortegarantii kavades;</w:t>
            </w:r>
            <w:r>
              <w:t xml:space="preserve"> </w:t>
            </w:r>
            <w:r>
              <w:rPr>
                <w:b/>
                <w:i/>
              </w:rPr>
              <w:t>märgib, et tugevdatud noortegarantii rakendamise eest vastutavate asutuste ja teenistuste vahel killustunud lähenemisviisi põhjendatakse tihtipeale andmekaitsenormidega, aegunud registritega või sellega, et vastutavat asutust ei ole määratud, mistõttu ei ole võimalik isikuandmeid jagada;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rõhutab, et avalike tööturuasutuste suutlikkuse ja vahendite ebapiisavus on endiselt oluline ja püsiv takistus tugevdatud noortegarantii tulemuslikul rakendamisel;</w:t>
            </w:r>
            <w:r>
              <w:t xml:space="preserve"> </w:t>
            </w:r>
            <w:r>
              <w:rPr>
                <w:b/>
                <w:i/>
              </w:rPr>
              <w:t>väljendab muret selle pärast, et avalike tööturuasutuste töötajatele ei pakuta sageli piisavat koolitust ega vahendeid, mida on vaja, et NEET-noored, eelkõige need, kes on kõige haavatavamad ja kelleni on kõige raskem jõuda, tulemuslikult kindlaks teha, nendeni jõuda ja pakkuda neile kohandatud tuge;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11c.</w:t>
            </w:r>
            <w:r>
              <w:tab/>
            </w:r>
            <w:r>
              <w:rPr>
                <w:b/>
                <w:i/>
              </w:rPr>
              <w:t>juhib tähelepanu täheldatud institutsioonilistele ja haldustõketele, millega noored rändajad silmitsi seisavad, kui nad püüavad pääseda juurde tugevdatud noortegarantiile, haridusele ja tööturule üldiselt;</w:t>
            </w:r>
            <w:r>
              <w:t xml:space="preserve"> </w:t>
            </w:r>
            <w:r>
              <w:rPr>
                <w:b/>
                <w:i/>
              </w:rPr>
              <w:t>rõhutab kvalifikatsioonide aeglast ja keerukat tunnustamist, bürokraatlikke tööloamenetlusi ja piiratud juurdepääsu avalikele tööturuasutustele;</w:t>
            </w:r>
            <w:r>
              <w:t xml:space="preserve"> </w:t>
            </w:r>
            <w:r>
              <w:rPr>
                <w:b/>
                <w:i/>
              </w:rPr>
              <w:t>märgib, et selliseid probleeme süvendavad sageli jäigad institutsioonilised raamistikud, keelebarjäär ja kohandatud toe puudumine, mille tõttu võivad noored rändajad jääda mitteametliku töö või pikaajalise töötuse lõksu ja mis võib takistada nende tõhusat tööturule integreerimist;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11c.</w:t>
            </w:r>
            <w:r>
              <w:tab/>
            </w:r>
            <w:r>
              <w:rPr>
                <w:b/>
                <w:i/>
              </w:rPr>
              <w:t>rõhutab tungivat vajadust võtta kiiresti ja pidevalt NEET-noortele mõeldud meetmeid, et nad ei jääks haavatavasse olukorda;</w:t>
            </w:r>
            <w:r>
              <w:t xml:space="preserve"> </w:t>
            </w:r>
            <w:r>
              <w:rPr>
                <w:b/>
                <w:i/>
              </w:rPr>
              <w:t>peab sellega seoses kahetsusväärseks tugevdatud noortegarantii pakkumiste üldiselt liiga pikki ooteaegu ning seda, et õigeaegsete ja positiivsete lahkumiste osakaal on pärast noortegarantii tugevdamist veidi vähenenud;</w:t>
            </w:r>
            <w:r>
              <w:t xml:space="preserve"> </w:t>
            </w:r>
            <w:r>
              <w:rPr>
                <w:b/>
                <w:i/>
              </w:rPr>
              <w:t>märgib siiski, et töökoha leidmise tulemuslikkust mõõdetakse peamiselt positiivsete tulemuste abil, mis kuue kuu pärast veidi vähenesid, mis näitab, et töölesuunamisjärgset toetust ei ole suurendatud;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11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11d.</w:t>
            </w:r>
            <w:r>
              <w:tab/>
            </w:r>
            <w:r>
              <w:rPr>
                <w:b/>
                <w:i/>
              </w:rPr>
              <w:t>toob esile mõnes liikmesriigis tehtud pingutused, et analüüsida NEET-noorte digioskusi avalike tööturuasutuste või enesehindamise kaudu, kuid rõhutab, et paljud noored on digitaalselt kirjaoskamatud hoolimata sellest, et kasutavad digivahendeid;</w:t>
            </w:r>
            <w:r>
              <w:t xml:space="preserve"> </w:t>
            </w:r>
            <w:r>
              <w:rPr>
                <w:b/>
                <w:i/>
              </w:rPr>
              <w:t>peab kahetsusväärseks, et enamikul juhtudel ei kajastu noortegarantii tugevdamisel oskustele seatud rõhuasetus selgemalt analüüsitud tulemustes ning et nende kavade kohased oskuste arendamise algatused ei ole tihedamalt integreeritud muude ELi ja liikmesriikide oskuste algatustega;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tunneb muret tugevdatud noortegarantii kavades täheldatud suundumuse pärast minna individuaalsetelt teenustelt üle üldteenustele;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tunneb muret tugevdatud noortegarantii kavades täheldatud suundumuse pärast minna individuaalsetelt teenustelt üle üldteenustele;</w:t>
            </w:r>
          </w:p>
        </w:tc>
        <w:tc>
          <w:tcPr>
            <w:tcW w:w="4876" w:type="dxa"/>
            <w:tcBorders>
              <w:top w:val="nil"/>
              <w:left w:val="nil"/>
              <w:bottom w:val="nil"/>
              <w:right w:val="nil"/>
            </w:tcBorders>
          </w:tcPr>
          <w:p>
            <w:pPr>
              <w:pStyle w:val="Normal6a"/>
            </w:pPr>
            <w:r>
              <w:t>12.</w:t>
            </w:r>
            <w:r>
              <w:tab/>
            </w:r>
            <w:r>
              <w:t>tunneb muret tugevdatud noortegarantii kavades täheldatud suundumuse pärast minna individuaalsetelt teenustelt üle üldteenustele</w:t>
            </w:r>
            <w:r>
              <w:rPr>
                <w:b/>
                <w:i/>
                <w:vertAlign w:val="superscript"/>
              </w:rPr>
              <w:t>27a</w:t>
            </w:r>
            <w:r>
              <w:t xml:space="preserve">; </w:t>
            </w:r>
            <w:r>
              <w:rPr>
                <w:b/>
                <w:i/>
              </w:rPr>
              <w:t>rõhutab, et individuaalne lähenemisviis on üks noortegarantii tugevdamise põhielemente ning et see lähenemisviis on vajalik NEET-noortele, kellel on mitmesugused vajadused ja kelle alarühmad võivad muutuda;</w:t>
            </w:r>
            <w:r>
              <w:t xml:space="preserve"> </w:t>
            </w:r>
            <w:r>
              <w:rPr>
                <w:b/>
                <w:i/>
              </w:rPr>
              <w:t>tuletab meelde, et noorte vajadustele kohandatud meetmed on sageli tulemuslikumad ja kulutõhusamad, kuna üldteenuste osutamise madalad kulud ei kompenseeri selle lähenemisviisi vähest tõhusust;</w:t>
            </w:r>
            <w:r>
              <w:t xml:space="preserve"> </w:t>
            </w:r>
            <w:r>
              <w:rPr>
                <w:b/>
                <w:i/>
              </w:rPr>
              <w:t>toob siiski esile jõupingutused, mida mitu liikmesriiki on teinud, et tõhustada oma tugevdatud noortegarantii kavade individuaalset lähenemisviisi, eelkõige lisades ettevalmistava etapi keskmesse individuaalse tegevuskava, mis põhineb toetusesaaja profiilil;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27a</w:t>
            </w:r>
            <w:r>
              <w:t xml:space="preserve"> </w:t>
            </w:r>
            <w:r>
              <w:rPr>
                <w:b/>
                <w:i/>
              </w:rPr>
              <w:t>Tööhõivekomitee ülevaade noortegarantii rakendamisest – põhisõnumid (6831/24).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tunneb muret tugevdatud noortegarantii kavades </w:t>
            </w:r>
            <w:r>
              <w:rPr>
                <w:b/>
                <w:i/>
              </w:rPr>
              <w:t>täheldatud</w:t>
            </w:r>
            <w:r>
              <w:t xml:space="preserve"> suundumuse pärast </w:t>
            </w:r>
            <w:r>
              <w:rPr>
                <w:b/>
                <w:i/>
              </w:rPr>
              <w:t>minna individuaalsetelt teenustelt üle üldteenustele</w:t>
            </w:r>
            <w:r>
              <w:t>;</w:t>
            </w:r>
          </w:p>
        </w:tc>
        <w:tc>
          <w:tcPr>
            <w:tcW w:w="4876" w:type="dxa"/>
            <w:tcBorders>
              <w:top w:val="nil"/>
              <w:left w:val="nil"/>
              <w:bottom w:val="nil"/>
              <w:right w:val="nil"/>
            </w:tcBorders>
          </w:tcPr>
          <w:p>
            <w:pPr>
              <w:pStyle w:val="Normal6a"/>
            </w:pPr>
            <w:r>
              <w:t>12.</w:t>
            </w:r>
            <w:r>
              <w:tab/>
            </w:r>
            <w:r>
              <w:t xml:space="preserve">tunneb </w:t>
            </w:r>
            <w:r>
              <w:rPr>
                <w:b/>
                <w:i/>
              </w:rPr>
              <w:t>suurt</w:t>
            </w:r>
            <w:r>
              <w:t xml:space="preserve"> muret </w:t>
            </w:r>
            <w:r>
              <w:rPr>
                <w:b/>
                <w:i/>
              </w:rPr>
              <w:t>selle pärast, et</w:t>
            </w:r>
            <w:r>
              <w:t xml:space="preserve"> tugevdatud noortegarantii kavades </w:t>
            </w:r>
            <w:r>
              <w:rPr>
                <w:b/>
                <w:i/>
              </w:rPr>
              <w:t>ei suudeta jätkuvalt pakkuda individuaalseid teenuseid, ning</w:t>
            </w:r>
            <w:r>
              <w:t xml:space="preserve"> suundumuse pärast </w:t>
            </w:r>
            <w:r>
              <w:rPr>
                <w:b/>
                <w:i/>
              </w:rPr>
              <w:t>üha üldisemate lähenemisviiside poole;</w:t>
            </w:r>
            <w:r>
              <w:t xml:space="preserve"> </w:t>
            </w:r>
            <w:r>
              <w:rPr>
                <w:b/>
                <w:i/>
              </w:rPr>
              <w:t>rõhutab, et kõigile sobiva ühtse lähenemisviisi tõttu on levinud sellised tugevdatud noortegarantii pakkumised, mis ei vasta toetusesaajate oskustele ja individuaalsetele profiilidele</w:t>
            </w:r>
            <w:r>
              <w:t xml:space="preserve">; </w:t>
            </w:r>
            <w:r>
              <w:rPr>
                <w:b/>
                <w:i/>
              </w:rPr>
              <w:t>rõhutab, et see lähenemisviis jätab süstemaatiliselt kõrvale pikaajalised ja haavatavad NEET-noored, kes seisavad silmitsi mitmete ja omavahel läbipõimunud takistustega, seades samal ajal esikohale need, kelleni on lihtsam jõuda ja keda lihtsam toetada;</w:t>
            </w:r>
            <w:r>
              <w:t xml:space="preserve"> </w:t>
            </w:r>
            <w:r>
              <w:rPr>
                <w:b/>
                <w:i/>
              </w:rPr>
              <w:t>toonitab, et NEET-noorte heterogeensuse ning piirkondlike ja kohalike tööturutingimuste märkimisväärsete erinevuste tõttu on vaja kohandatud ja individuaalseid lähenemisviise;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tunneb muret tugevdatud noortegarantii kavades täheldatud suundumuse pärast minna individuaalsetelt teenustelt üle üldteenustele;</w:t>
            </w:r>
          </w:p>
        </w:tc>
        <w:tc>
          <w:tcPr>
            <w:tcW w:w="4876" w:type="dxa"/>
            <w:tcBorders>
              <w:top w:val="nil"/>
              <w:left w:val="nil"/>
              <w:bottom w:val="nil"/>
              <w:right w:val="nil"/>
            </w:tcBorders>
          </w:tcPr>
          <w:p>
            <w:pPr>
              <w:pStyle w:val="Normal6a"/>
            </w:pPr>
            <w:r>
              <w:t>12.</w:t>
            </w:r>
            <w:r>
              <w:tab/>
            </w:r>
            <w:r>
              <w:rPr>
                <w:b/>
                <w:i/>
              </w:rPr>
              <w:t>märgib, et NEET-noored on mitmekesine rühm, kellel on eri vajadused, ning et poliitikaalgatused peaksid seda mitmekesisust kajastama;</w:t>
            </w:r>
            <w:r>
              <w:t xml:space="preserve"> tunneb muret</w:t>
            </w:r>
            <w:r>
              <w:rPr>
                <w:b/>
                <w:i/>
              </w:rPr>
              <w:t> mõne liikmesriigi</w:t>
            </w:r>
            <w:r>
              <w:t xml:space="preserve"> tugevdatud noortegarantii kavades täheldatud suundumuse pärast minna individuaalsetelt teenustelt üle üldteenustele</w:t>
            </w:r>
            <w:r>
              <w:rPr>
                <w:b/>
                <w:i/>
              </w:rPr>
              <w:t>, mis on osutunud vähem tulemuslikuks vähemate võimalustega ja registreerimata NEET-noorte kaasamisel ega võta arvesse mitmekihilisi ja kaasnevaid raskusi, millega puutuvad kokku läbipõimunud identiteediga noored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rPr>
                <w:b/>
                <w:i/>
              </w:rPr>
              <w:t>tunneb muret</w:t>
            </w:r>
            <w:r>
              <w:t xml:space="preserve"> tugevdatud noortegarantii kavades </w:t>
            </w:r>
            <w:r>
              <w:rPr>
                <w:b/>
                <w:i/>
              </w:rPr>
              <w:t>täheldatud suundumuse pärast minna individuaalsetelt teenustelt üle üldteenustele</w:t>
            </w:r>
            <w:r>
              <w:t>;</w:t>
            </w:r>
          </w:p>
        </w:tc>
        <w:tc>
          <w:tcPr>
            <w:tcW w:w="4876" w:type="dxa"/>
            <w:tcBorders>
              <w:top w:val="nil"/>
              <w:left w:val="nil"/>
              <w:bottom w:val="nil"/>
              <w:right w:val="nil"/>
            </w:tcBorders>
          </w:tcPr>
          <w:p>
            <w:pPr>
              <w:pStyle w:val="Normal6a"/>
            </w:pPr>
            <w:r>
              <w:t>12.</w:t>
            </w:r>
            <w:r>
              <w:tab/>
            </w:r>
            <w:r>
              <w:rPr>
                <w:b/>
                <w:i/>
              </w:rPr>
              <w:t>rõhutab, kui oluline on pakkuda</w:t>
            </w:r>
            <w:r>
              <w:t xml:space="preserve"> tugevdatud noortegarantii kavades </w:t>
            </w:r>
            <w:r>
              <w:rPr>
                <w:b/>
                <w:i/>
              </w:rPr>
              <w:t>võimalikult individuaalseid teenuseid, vältides võimaluse korral üldisemaid lähenemisviise, et pakkuda noortele nende profiili jaoks kõige sobivamaid töövõimalusi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märgib, et komisjon leiab, et individuaalselt kohandatud meetmed on üldiselt tulemuslikumad, eelkõige ebasoodsas olukorras olevate ja tööturult enim tõrjutud rühmade jaoks, ning võivad olla ka kulutõhusamad;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rõhutab, et puudulik horisontaalne koordineerimine riigi tasandi, piirkondlike ja kohalike osalejate vahel on osutunud püsivaks probleemiks tugevdatud noortegarantii tegelikul elluviimisel;</w:t>
            </w:r>
            <w:r>
              <w:t xml:space="preserve"> </w:t>
            </w:r>
            <w:r>
              <w:rPr>
                <w:b/>
                <w:i/>
              </w:rPr>
              <w:t>märgib murega, et ebapiisav vertikaalne koordineerimine riikide ja liidu tasandi vahel on neid probleeme veelgi süvendanud, kusjuures riiklikel ametiasutustel on märkimisväärseid raskusi kättesaadavatele liidu vahenditele juurdepääsul ja nende kasutamisel;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tuletab meelde, et kõige tulemuslikumad noorte tööalase konkurentsivõime parandamise meetmed on need, mis on seotud töökohapõhise õppe ja kutseoskustega, millesse tööandja on otseselt kaasatud, sealhulgas kvaliteetne ja õiglaselt tasustatud praktika, õpipoisiõpe ning kutseharidus ja -õpe;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12c.</w:t>
            </w:r>
            <w:r>
              <w:tab/>
            </w:r>
            <w:r>
              <w:rPr>
                <w:b/>
                <w:i/>
              </w:rPr>
              <w:t>peab kahetsusväärseks, et paljud avaliku sektori asutused ei ole piisavalt kaasanud sotsiaalpartnereid, kodanikuühiskonna organisatsioone ja noorteorganisatsioone tõhustatud noortegarantii kavandamisse, rakendamisse ja hindamisse, mis vähendab selle tulemuslikkust;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12c.</w:t>
            </w:r>
            <w:r>
              <w:tab/>
            </w:r>
            <w:r>
              <w:rPr>
                <w:b/>
                <w:i/>
              </w:rPr>
              <w:t>rõhutab, et tegelikus töökeskkonnas õppimise suur osakaal on oluline tööalast konkurentsivõimet, oskuste arendamist ja innovatsiooni mõjutav tegur;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12d.</w:t>
            </w:r>
            <w:r>
              <w:tab/>
            </w:r>
            <w:r>
              <w:rPr>
                <w:b/>
                <w:i/>
              </w:rPr>
              <w:t>tuletab meelde, et duaalõpe, mis ühendab klassiruumis õppimise praktilise töökogemusega, on eriti tõhus stabiilsele töökohale sujuva ülemineku hõlbustamisel;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12e.</w:t>
            </w:r>
            <w:r>
              <w:tab/>
            </w:r>
            <w:r>
              <w:rPr>
                <w:b/>
                <w:i/>
              </w:rPr>
              <w:t>toonitab, et kvaliteetsel kutseharidusel ja -õppel on noorte tööalase konkurentsivõime suurendamisel ja tööturu vajaduste rahuldamisel oluline roll;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f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12f.</w:t>
            </w:r>
            <w:r>
              <w:tab/>
            </w:r>
            <w:r>
              <w:rPr>
                <w:b/>
                <w:i/>
              </w:rPr>
              <w:t>tuletab meelde, et kutsehariduse ja -õppe programmide õppekavasid tuleks pidevalt kohandada, et need hõlmaksid tööheaolu, tööalase konkurentsivõime, digioskuste, innovatsiooni, tehisintellekti ja kujunemisjärgus sektorite valdkondi;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g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12g.</w:t>
            </w:r>
            <w:r>
              <w:tab/>
            </w:r>
            <w:r>
              <w:rPr>
                <w:b/>
                <w:i/>
              </w:rPr>
              <w:t>märgib, et hariduse, koolituse ja ümberõppe vastavusse viimine tööturu vajadustega on väga oluline, et noored ja täiskasvanud omandaksid tööks vajalikud oskused;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h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12h.</w:t>
            </w:r>
            <w:r>
              <w:tab/>
            </w:r>
            <w:r>
              <w:rPr>
                <w:b/>
                <w:i/>
              </w:rPr>
              <w:t>rõhutab, et digi- ja rohepöördest mõjutatud noored vajavad oskusi ja võimalusi innovatsiooni, konkurentsivõime, tootlikkuse ja majanduskasvu edendamiseks;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i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12i.</w:t>
            </w:r>
            <w:r>
              <w:tab/>
            </w:r>
            <w:r>
              <w:rPr>
                <w:b/>
                <w:i/>
              </w:rPr>
              <w:t>rõhutab, et liiga paljud noored lahkuvad kohustuslikust haridussüsteemist ilma kutsehariduse ja ‑õppe või kvaliteetse töökoha jaoks vajalike oskusteta, mis suurendab nende tööturult tõrjutuse ohtu ja süvendab oskuste nappust;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j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12j.</w:t>
            </w:r>
            <w:r>
              <w:tab/>
            </w:r>
            <w:r>
              <w:rPr>
                <w:b/>
                <w:i/>
              </w:rPr>
              <w:t>rõhutab, et koolituseks valmisoleku tugevdamine ning kutsehariduse ja -õppe kui võrdse ja atraktiivse võimaluse edendamine on olulised, et tagada liidus õiglased võimalused ning kvalifitseeritud ja vastupanuvõimeline tööjõud;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k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12k.</w:t>
            </w:r>
            <w:r>
              <w:tab/>
            </w:r>
            <w:r>
              <w:rPr>
                <w:b/>
                <w:i/>
              </w:rPr>
              <w:t>rõhutab, et kutsehariduse ja -õppe võimaluste parandamine, tehniliste kutsealade atraktiivsemaks muutmine ning koolituse vastavusse viimine rohe- ja digipöördega on noorte tööhõive ning liidu kliima-, eluaseme- ja taristueesmärkide jaoks keskse tähtsusega;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l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12l.</w:t>
            </w:r>
            <w:r>
              <w:tab/>
            </w:r>
            <w:r>
              <w:rPr>
                <w:b/>
                <w:i/>
              </w:rPr>
              <w:t>kordab, et noortele, eelkõige tulevastele lapsevanematele ja hoolduskohustust täitvatele noortele naistele tööajal tasuta individuaalse koolituse tagamine võib aidata ületada ajalisi, perekondlikke ja rahalisi takistusi, toetades elukestvat õpet ja tööturule kaasamist;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m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12m.</w:t>
            </w:r>
            <w:r>
              <w:tab/>
            </w:r>
            <w:r>
              <w:rPr>
                <w:b/>
                <w:i/>
              </w:rPr>
              <w:t>rõhutab, et mitteametlikud hoolduskohustused, sealhulgas lapsevanemaks olemine, arendavad väärtuslikke ülekantavaid oskusi, mis on otseselt seotud tänapäeva tööturu vajadustega, kuid mida ei tunnustata ametlikes süsteemides;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n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12n.</w:t>
            </w:r>
            <w:r>
              <w:tab/>
            </w:r>
            <w:r>
              <w:rPr>
                <w:b/>
                <w:i/>
              </w:rPr>
              <w:t>rõhutab, et pädevust, mille noored on omandanud formaalse, mitteformaalse ja informaalse õppe kaudu, tuleks täielikult tunnustada ja väärtustada karjääri ja kutsealase arengu eesmärgil;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o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12o.</w:t>
            </w:r>
            <w:r>
              <w:tab/>
            </w:r>
            <w:r>
              <w:rPr>
                <w:b/>
                <w:i/>
              </w:rPr>
              <w:t>rõhutab, et hoolduspädevuse tunnustamine aitab vältida emade ja hooldajate puhul karjääriga seotud ebavõrdsust, aitab kaasa kutsealasele arengule ja vähendab takistusi tööturule naasmisel, vähendades seeläbi NEET-noorte staatuse ja pikaajalise majandusliku tõrjutuse ohtu;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p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12p.</w:t>
            </w:r>
            <w:r>
              <w:tab/>
            </w:r>
            <w:r>
              <w:rPr>
                <w:b/>
                <w:i/>
              </w:rPr>
              <w:t>rõhutab, et liikuvust toetavad meetmed on olulised, et tagada võrdne juurdepääs kvaliteetsele kutseharidusele ja -koolitusele kõigis piirkondades;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q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12q.</w:t>
            </w:r>
            <w:r>
              <w:tab/>
            </w:r>
            <w:r>
              <w:rPr>
                <w:b/>
                <w:i/>
              </w:rPr>
              <w:t>rõhutab, et noorte kaasamise poliitika, mis keskendub kvaliteetsele haridusele, tööle, tööjõu liikuvusele ja ettevõtlusele juurdepääsu tagamisele, võib aidata noortel panustada oma kogukondadesse ning ELi majanduslikku ja sotsiaalsesse arengusse;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12 r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12r.</w:t>
            </w:r>
            <w:r>
              <w:tab/>
            </w:r>
            <w:r>
              <w:rPr>
                <w:b/>
                <w:i/>
              </w:rPr>
              <w:t>tuletab tungivalt meelde, et tervislik toitumine parandab kõigi noorte, sealhulgas 15–18-aastaste ja vanemate noorte sooritus- ja õppimisvõimet;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märgib, et hoolimata rõhuasetusest kvaliteedikriteeriumide ühtlustamisele ELi raamistikega, on pakkumiste kvaliteet alates tugevdatud noortegarantii kasutuselevõtust väga vähe paranenud;</w:t>
            </w:r>
          </w:p>
        </w:tc>
        <w:tc>
          <w:tcPr>
            <w:tcW w:w="4876" w:type="dxa"/>
            <w:tcBorders>
              <w:top w:val="nil"/>
              <w:left w:val="nil"/>
              <w:bottom w:val="nil"/>
              <w:right w:val="nil"/>
            </w:tcBorders>
          </w:tcPr>
          <w:p>
            <w:pPr>
              <w:pStyle w:val="Normal6a"/>
            </w:pPr>
            <w:r>
              <w:t>13.</w:t>
            </w:r>
            <w:r>
              <w:tab/>
            </w:r>
            <w:r>
              <w:t xml:space="preserve">märgib, et hoolimata rõhuasetusest kvaliteedikriteeriumide ühtlustamisele ELi raamistikega, on pakkumiste kvaliteet alates tugevdatud noortegarantii kasutuselevõtust väga vähe paranenud; </w:t>
            </w:r>
            <w:r>
              <w:rPr>
                <w:b/>
                <w:i/>
              </w:rPr>
              <w:t>väljendab muret sidusrühmade tagasiside pärast, mis näitab tuginemist subsideeritud tööpakkumistele, mille tulemuseks on tähtajalised lepingud, selgete õpieesmärkideta praktika või seose puudumine osalejate kvalifikatsiooni ja saadud pakkumiste ning vajaduste ja kättesaadavate teenuste vahel;</w:t>
            </w:r>
            <w:r>
              <w:t xml:space="preserve"> </w:t>
            </w:r>
            <w:r>
              <w:rPr>
                <w:b/>
                <w:i/>
              </w:rPr>
              <w:t>tuletab meelde, et soovituses rõhutatakse, et pakkumise kvaliteet tuleks tagada töölesuunamisjärgse toetuse ja tagasiside kaudu;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märgib, et hoolimata rõhuasetusest kvaliteedikriteeriumide ühtlustamisele ELi raamistikega, on pakkumiste kvaliteet alates tugevdatud noortegarantii kasutuselevõtust väga vähe paranenud;</w:t>
            </w:r>
          </w:p>
        </w:tc>
        <w:tc>
          <w:tcPr>
            <w:tcW w:w="4876" w:type="dxa"/>
            <w:tcBorders>
              <w:top w:val="nil"/>
              <w:left w:val="nil"/>
              <w:bottom w:val="nil"/>
              <w:right w:val="nil"/>
            </w:tcBorders>
          </w:tcPr>
          <w:p>
            <w:pPr>
              <w:pStyle w:val="Normal6a"/>
            </w:pPr>
            <w:r>
              <w:t>13.</w:t>
            </w:r>
            <w:r>
              <w:tab/>
            </w:r>
            <w:r>
              <w:t xml:space="preserve">märgib, et hoolimata rõhuasetusest kvaliteedikriteeriumide ühtlustamisele ELi raamistikega, on pakkumiste kvaliteet alates tugevdatud noortegarantii kasutuselevõtust väga vähe paranenud; </w:t>
            </w:r>
            <w:r>
              <w:rPr>
                <w:b/>
                <w:i/>
              </w:rPr>
              <w:t>rõhutab, et noortegarantii kavade raames tehtavad pakkumised peaksid olema tõeliselt kvaliteetsed, viima praegu vajalike oskuste tegeliku omandamiseni või stabiilse tööturule integreerimiseni ning need ei tohiks hõlmata tavapärase töösuhte asendamist, praktikavõimaluste kuritarvitamist ega noorte ringlussevõttu ajutistes ja ebakindlates tingimustes;</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märgib, et hoolimata rõhuasetusest kvaliteedikriteeriumide ühtlustamisele ELi raamistikega, on pakkumiste kvaliteet alates tugevdatud noortegarantii kasutuselevõtust väga vähe paranenud;</w:t>
            </w:r>
          </w:p>
        </w:tc>
        <w:tc>
          <w:tcPr>
            <w:tcW w:w="4876" w:type="dxa"/>
            <w:tcBorders>
              <w:top w:val="nil"/>
              <w:left w:val="nil"/>
              <w:bottom w:val="nil"/>
              <w:right w:val="nil"/>
            </w:tcBorders>
          </w:tcPr>
          <w:p>
            <w:pPr>
              <w:pStyle w:val="Normal6a"/>
            </w:pPr>
            <w:r>
              <w:t>13.</w:t>
            </w:r>
            <w:r>
              <w:tab/>
            </w:r>
            <w:r>
              <w:t xml:space="preserve">märgib, et hoolimata rõhuasetusest kvaliteedikriteeriumide ühtlustamisele ELi raamistikega, on pakkumiste kvaliteet alates tugevdatud noortegarantii kasutuselevõtust väga vähe paranenud; </w:t>
            </w:r>
            <w:r>
              <w:rPr>
                <w:b/>
                <w:i/>
              </w:rPr>
              <w:t>rõhutab, et noored vajavad konkreetseid ja kvaliteetseid võimalusi, eelkõige tööga seotud õpet, õpipoisiõpet, praktikat ja esimesi töökogemusi, mis vastavad tööturu vajadustele ning aitavad vältida oskuste mittevastavust tööturu vajadustele ja talentide võimalikku väljavoolu;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rPr>
                <w:b/>
                <w:i/>
              </w:rPr>
              <w:t>märgib</w:t>
            </w:r>
            <w:r>
              <w:t>, et hoolimata rõhuasetusest kvaliteedikriteeriumide ühtlustamisele ELi raamistikega, on pakkumiste kvaliteet alates tugevdatud noortegarantii kasutuselevõtust väga vähe paranenud;</w:t>
            </w:r>
          </w:p>
        </w:tc>
        <w:tc>
          <w:tcPr>
            <w:tcW w:w="4876" w:type="dxa"/>
            <w:tcBorders>
              <w:top w:val="nil"/>
              <w:left w:val="nil"/>
              <w:bottom w:val="nil"/>
              <w:right w:val="nil"/>
            </w:tcBorders>
          </w:tcPr>
          <w:p>
            <w:pPr>
              <w:pStyle w:val="Normal6a"/>
            </w:pPr>
            <w:r>
              <w:t>13.</w:t>
            </w:r>
            <w:r>
              <w:tab/>
            </w:r>
            <w:r>
              <w:rPr>
                <w:b/>
                <w:i/>
              </w:rPr>
              <w:t>peab kahetsusväärseks</w:t>
            </w:r>
            <w:r>
              <w:t xml:space="preserve">, et hoolimata rõhuasetusest kvaliteedikriteeriumide ühtlustamisele ELi raamistikega, on pakkumiste kvaliteet alates tugevdatud noortegarantii kasutuselevõtust väga vähe paranenud; </w:t>
            </w:r>
            <w:r>
              <w:rPr>
                <w:b/>
                <w:i/>
              </w:rPr>
              <w:t>rõhutab, et tugevdatud noortegarantii pakkumiste kvaliteedi parandamine tuleb seada prioriteediks;</w:t>
            </w:r>
            <w:r>
              <w:t xml:space="preserve"> </w:t>
            </w:r>
            <w:r>
              <w:rPr>
                <w:b/>
                <w:i/>
              </w:rPr>
              <w:t>rõhutab, et on vastuvõetamatu, et tasustamata pakkumised või vabatahtlik tegevus võivad kuuluda tugevdatud noortegarantii kohaldamisalasse;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märgib, et hoolimata rõhuasetusest kvaliteedikriteeriumide ühtlustamisele ELi raamistikega</w:t>
            </w:r>
            <w:r>
              <w:rPr>
                <w:b/>
                <w:i/>
              </w:rPr>
              <w:t>, on pakkumiste kvaliteet alates tugevdatud noortegarantii kasutuselevõtust väga vähe paranenud</w:t>
            </w:r>
            <w:r>
              <w:t>;</w:t>
            </w:r>
          </w:p>
        </w:tc>
        <w:tc>
          <w:tcPr>
            <w:tcW w:w="4876" w:type="dxa"/>
            <w:tcBorders>
              <w:top w:val="nil"/>
              <w:left w:val="nil"/>
              <w:bottom w:val="nil"/>
              <w:right w:val="nil"/>
            </w:tcBorders>
          </w:tcPr>
          <w:p>
            <w:pPr>
              <w:pStyle w:val="Normal6a"/>
            </w:pPr>
            <w:r>
              <w:t>13.</w:t>
            </w:r>
            <w:r>
              <w:tab/>
            </w:r>
            <w:r>
              <w:t xml:space="preserve">märgib, et hoolimata rõhuasetusest kvaliteedikriteeriumide ühtlustamisele ELi raamistikega </w:t>
            </w:r>
            <w:r>
              <w:rPr>
                <w:b/>
                <w:i/>
              </w:rPr>
              <w:t>on pakutavad töökohad paljudel juhtudel halva kvaliteediga, halvasti tasustatud ja seal puuduvad karjäärivõimalused</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rõhutab, et tugevdatud noortegarantiiga ei ole suudetud aktiivselt võidelda vanuselise diskrimineerimise ja ebakindla töö sagenemise vastu, jättes NEET-noored ja eelkõige haavatavad NEET-noored madalate palkade, sotsiaalkaitse ja tööhõivekindluse puudumise ning ebavõrdse kohtlemise tõttu ärakasutamise ja palgavaesuse ohtu;</w:t>
            </w:r>
            <w:r>
              <w:t xml:space="preserve"> </w:t>
            </w:r>
            <w:r>
              <w:rPr>
                <w:b/>
                <w:i/>
              </w:rPr>
              <w:t>on mures, et see võib soodustada ebakindlate ja ebapiisava kvaliteediga töökohtade normaliseerimist tööturul, asendades sealjuures stabiilsed ja inimväärsed töökohad praktika ning ebakindlate ja mittestandardsete töövormidega;</w:t>
            </w:r>
            <w:r>
              <w:t xml:space="preserve"> </w:t>
            </w:r>
            <w:r>
              <w:rPr>
                <w:b/>
                <w:i/>
              </w:rPr>
              <w:t>rõhutab sellega seoses vajadust tuvastada tavad, millega hoitakse kõrvale praktika eesmärgist ja esitatakse praktikana standardseid töösuhteid, ning vajadust selliste tavade vastu võidelda;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tunnistab ebasoodsas olukorras olevatele NEET-noortele suunatud algatuse ALMA (Aim, Learn, Master, Achieve – eesmärk, õpingud, oskused, edu) innovatsioonipotentsiaali pakkuda vähekaitstud sihtrühmadele tugevdatud noortegarantii kavade raames täiendavat toetust ja töökohal õppimise kogemust välismaal;</w:t>
            </w:r>
            <w:r>
              <w:t xml:space="preserve"> </w:t>
            </w:r>
            <w:r>
              <w:rPr>
                <w:b/>
                <w:i/>
              </w:rPr>
              <w:t>rõhutab, et esialgne tagasiside selle programmi kohta osutab raskustele selle toimimises ja märkimisväärse arvu osalejate väljalangemisele, mis näitab vajadust suurema toetuse järele ALMA projekte rakendavatele või rakendada soovivatele organisatsioonidele ning sihipärase toetuse järele toetusesaajatele</w:t>
            </w:r>
            <w:r>
              <w:rPr>
                <w:b/>
                <w:i/>
                <w:vertAlign w:val="superscript"/>
              </w:rPr>
              <w:t>28a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28a</w:t>
            </w:r>
            <w:r>
              <w:t xml:space="preserve"> </w:t>
            </w:r>
            <w:r>
              <w:rPr>
                <w:b/>
                <w:i/>
              </w:rPr>
              <w:t>Algatuse ALMA raames rakendatud projektide mõjuhinnang, lõplik hindamisaruanne, sotsiaalse innovatsiooni+ algatus,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peab kahetsusväärseks, et tugevdatud noortegarantii rakendamine ei ole endiselt piisavalt seotud sotsiaalkaitsesüsteemidega, mille tagajärjeks on juhtumid, kus tugevdatud noortegarantii kavades osalemine võib kaasa tuua sotsiaaltoetuste vähendamise või lõpetamise nii NEET-noorte kui ka nende leibkondade jaoks;</w:t>
            </w:r>
            <w:r>
              <w:t xml:space="preserve"> </w:t>
            </w:r>
            <w:r>
              <w:rPr>
                <w:b/>
                <w:i/>
              </w:rPr>
              <w:t>on seisukohal, et see võib tekitada vaesuslõksu, kus haavatavad NEET-noored võivad loobuda töö-, haridus-, koolitus- ja oskuste täiendamise pakkumistest;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väljendab heameelt teatavates liikmesriikides tugevdatud noortegarantii kavade raames välja töötatud programmide üle, mille eesmärk on arendada noorte ettevõtlust ja stiimuleid idufirmadele;</w:t>
            </w:r>
            <w:r>
              <w:t xml:space="preserve"> </w:t>
            </w:r>
            <w:r>
              <w:rPr>
                <w:b/>
                <w:i/>
              </w:rPr>
              <w:t>on seisukohal, et idufirmade algatused vajavad tõhusamat ja spetsialiseeritud toetust, et töötada välja jätkusuutlik äriplaan, mis võib aidata jõuda elujõulise ettevõtteni;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väljendab heameelt asjaolu üle, et noortegarantii sidusrühmad leiavad, et selle rahastamiseks kättesaadavad ELi vahendid on üldiselt piisavad ja kättesaadavad;</w:t>
            </w:r>
            <w:r>
              <w:t xml:space="preserve"> </w:t>
            </w:r>
            <w:r>
              <w:rPr>
                <w:b/>
                <w:i/>
              </w:rPr>
              <w:t>märgib siiski, et mõnes liikmesriigis kaldutakse peaaegu täielikult tuginema tugevdatud noortegarantii kavade rahastamisel ESF+-ile, mis tekitab küsimusi nende programmide kestlikkuse kohta või ELi vahendite kasutamise kohta olemasolevate riiklike vahendite asendamiseks, piirates seeläbi programmide suutlikkust nõudlusele vastavalt laieneda;</w:t>
            </w:r>
            <w:r>
              <w:t xml:space="preserve"> </w:t>
            </w:r>
            <w:r>
              <w:rPr>
                <w:b/>
                <w:i/>
              </w:rPr>
              <w:t>on mures tagasiside pärast, mis näitab, et ELi rahaliste vahendite kasutamise probleemide põhjus on püsiv inimeste suutlikkuse puudumine, puudulik koordineerimine mõnes liikmesriigis ja ebaselged menetlused, mis takistavad olemasolevate vahendite tulemuslikku kasutamist;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13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peab kiiduväärseks näitajate raamistikku, mida tööhõivekomitee kasutab noortegarantii seireks ja selle rakendamise iga-aastaseks seireks, ning toob esile ELi tasandil koondatud näitajate andmete usaldusväärsuse ja võrreldavuse;</w:t>
            </w:r>
            <w:r>
              <w:t xml:space="preserve"> </w:t>
            </w:r>
            <w:r>
              <w:rPr>
                <w:b/>
                <w:i/>
              </w:rPr>
              <w:t>peab siiski kahetsusväärseks, et seireraamistik, mis sisaldab liikmesriikide esitatud andmeid, ei ole sama kvaliteetne andmete kogumise, seiresüsteemi ja noortegarantii tulemustes tundmatute olukordade suure osakaalu seisukohast;</w:t>
            </w:r>
            <w:r>
              <w:t xml:space="preserve"> </w:t>
            </w:r>
            <w:r>
              <w:rPr>
                <w:b/>
                <w:i/>
              </w:rPr>
              <w:t>juhib eelkõige tähelepanu sellele, et riiklikest seireraamistikest jäetakse sageli välja mitteaktiivsed NEET-noored, kes ei ole registreeritud avalikes teenustes, mis muudab suure osa tugevdatud noortegarantii sihtrühmast nähtamatuks;</w:t>
            </w:r>
            <w:r>
              <w:t xml:space="preserve"> </w:t>
            </w:r>
            <w:r>
              <w:rPr>
                <w:b/>
                <w:i/>
              </w:rPr>
              <w:t>väljendab muret selle pärast, et mitmes liikmesriigis puuduvad täielikult edasise seire näitajad ja nendes ei võeta arvesse pakkumiste kvaliteeti;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on seisukohal, et tugevdatud noortegarantii ei ole oma eesmärke täielikult saavutanud ja seda tuleb veel parandada, et ületada lõhe selle vahendi eesmärgi ja selle praktilise rakendamise vahel;</w:t>
            </w:r>
          </w:p>
        </w:tc>
        <w:tc>
          <w:tcPr>
            <w:tcW w:w="4876" w:type="dxa"/>
            <w:tcBorders>
              <w:top w:val="nil"/>
              <w:left w:val="nil"/>
              <w:bottom w:val="nil"/>
              <w:right w:val="nil"/>
            </w:tcBorders>
          </w:tcPr>
          <w:p>
            <w:pPr>
              <w:pStyle w:val="Normal6a"/>
            </w:pPr>
            <w:r>
              <w:t>14.</w:t>
            </w:r>
            <w:r>
              <w:tab/>
            </w:r>
            <w:r>
              <w:t xml:space="preserve">on seisukohal, et tugevdatud noortegarantii ei ole oma eesmärke täielikult saavutanud ja seda tuleb veel parandada, et ületada lõhe selle vahendi eesmärgi ja selle praktilise rakendamise vahel; </w:t>
            </w:r>
            <w:r>
              <w:rPr>
                <w:b/>
                <w:i/>
              </w:rPr>
              <w:t>rõhutab, et tugevdatud noortegarantii meetmed vastavad kriitikale esialgse rahastamisvahendi kohta, kuid ei ole veel ajakavas püsivate tegevusprobleemide, kindlaksmääratud eesmärkide puudumise ja kavade hindamise tõttu;</w:t>
            </w:r>
            <w:r>
              <w:t xml:space="preserve"> </w:t>
            </w:r>
            <w:r>
              <w:rPr>
                <w:b/>
                <w:i/>
              </w:rPr>
              <w:t>tunnistab, et enamik neist on liikmesriikide tasandi probleemid, kuid EL peab jätkuvalt täitma oma täielikku rolli liikmesriikide toetamisel, heade tavade edendamisel ja vajaduse korral tehnilise abi andmisel;</w:t>
            </w:r>
            <w:r>
              <w:t xml:space="preserve"> </w:t>
            </w:r>
            <w:r>
              <w:rPr>
                <w:b/>
                <w:i/>
              </w:rPr>
              <w:t>peab kahetsusväärseks, et Euroopa Kontrollikoja 2017. aasta järeldus, mille kohaselt ei vasta noortegarantii edusammud ootustele, vastab peaaegu kümme aastat hiljem endiselt osaliselt tõele;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rPr>
                <w:b/>
                <w:i/>
              </w:rPr>
              <w:t>on seisukohal, et</w:t>
            </w:r>
            <w:r>
              <w:t xml:space="preserve"> tugevdatud noortegarantii ei ole </w:t>
            </w:r>
            <w:r>
              <w:rPr>
                <w:b/>
                <w:i/>
              </w:rPr>
              <w:t>oma eesmärke</w:t>
            </w:r>
            <w:r>
              <w:t xml:space="preserve"> täielikult </w:t>
            </w:r>
            <w:r>
              <w:rPr>
                <w:b/>
                <w:i/>
              </w:rPr>
              <w:t>saavutanud ja seda tuleb veel parandada</w:t>
            </w:r>
            <w:r>
              <w:t>, et ületada lõhe selle vahendi eesmärgi ja selle praktilise rakendamise vahel;</w:t>
            </w:r>
          </w:p>
        </w:tc>
        <w:tc>
          <w:tcPr>
            <w:tcW w:w="4876" w:type="dxa"/>
            <w:tcBorders>
              <w:top w:val="nil"/>
              <w:left w:val="nil"/>
              <w:bottom w:val="nil"/>
              <w:right w:val="nil"/>
            </w:tcBorders>
          </w:tcPr>
          <w:p>
            <w:pPr>
              <w:pStyle w:val="Normal6a"/>
            </w:pPr>
            <w:r>
              <w:t>14.</w:t>
            </w:r>
            <w:r>
              <w:tab/>
            </w:r>
            <w:r>
              <w:rPr>
                <w:b/>
                <w:i/>
              </w:rPr>
              <w:t>rõhutab</w:t>
            </w:r>
            <w:r>
              <w:t xml:space="preserve"> tugevdatud noortegarantii </w:t>
            </w:r>
            <w:r>
              <w:rPr>
                <w:b/>
                <w:i/>
              </w:rPr>
              <w:t>ümberkujundavat potentsiaali noorte töötuse, vaeghõive ja sotsiaalse tõrjutuse vähendamisel;</w:t>
            </w:r>
            <w:r>
              <w:t xml:space="preserve"> </w:t>
            </w:r>
            <w:r>
              <w:rPr>
                <w:b/>
                <w:i/>
              </w:rPr>
              <w:t>peab kahetsusväärseks, et liikmesriigid</w:t>
            </w:r>
            <w:r>
              <w:t xml:space="preserve"> ei ole </w:t>
            </w:r>
            <w:r>
              <w:rPr>
                <w:b/>
                <w:i/>
              </w:rPr>
              <w:t>seda potentsiaali veel</w:t>
            </w:r>
            <w:r>
              <w:t xml:space="preserve"> täielikult </w:t>
            </w:r>
            <w:r>
              <w:rPr>
                <w:b/>
                <w:i/>
              </w:rPr>
              <w:t>ära kasutanud ning seetõttu ei ole veel saavutatud vahendi põhieesmärke vähendada pikaajalist mitteaktiivsust ja taasintegreerida NEET-noori, kes on tööturult enim tõrjutud;</w:t>
            </w:r>
            <w:r>
              <w:t xml:space="preserve"> </w:t>
            </w:r>
            <w:r>
              <w:rPr>
                <w:b/>
                <w:i/>
              </w:rPr>
              <w:t>rõhutab tungivat vajadust ambitsioonika reformi ja edasiste paranduste järele</w:t>
            </w:r>
            <w:r>
              <w:t>, et ületada lõhe selle vahendi eesmärgi ja selle praktilise rakendamise vahel;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on seisukohal, et tugevdatud noortegarantii ei ole oma eesmärke täielikult saavutanud ja seda tuleb veel parandada, et ületada lõhe selle vahendi eesmärgi ja selle praktilise rakendamise vahel;</w:t>
            </w:r>
          </w:p>
        </w:tc>
        <w:tc>
          <w:tcPr>
            <w:tcW w:w="4876" w:type="dxa"/>
            <w:tcBorders>
              <w:top w:val="nil"/>
              <w:left w:val="nil"/>
              <w:bottom w:val="nil"/>
              <w:right w:val="nil"/>
            </w:tcBorders>
          </w:tcPr>
          <w:p>
            <w:pPr>
              <w:pStyle w:val="Normal6a"/>
            </w:pPr>
            <w:r>
              <w:t>14.</w:t>
            </w:r>
            <w:r>
              <w:tab/>
            </w:r>
            <w:r>
              <w:t xml:space="preserve">on seisukohal, et tugevdatud noortegarantii ei ole oma eesmärke täielikult saavutanud ja seda tuleb veel parandada, et ületada lõhe selle vahendi eesmärgi ja selle praktilise rakendamise vahel; </w:t>
            </w:r>
            <w:r>
              <w:rPr>
                <w:b/>
                <w:i/>
              </w:rPr>
              <w:t>võtab teadmiseks Eurofoundi hiljutised järeldused, et ebakõla noorte tööhõivepüüdluste ja konkreetsete tööturutulemuste vahel on seotud suurema depressiooni ja sotsiaalse tõrjutuse ohuga;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on seisukohal, et </w:t>
            </w:r>
            <w:r>
              <w:rPr>
                <w:b/>
                <w:i/>
              </w:rPr>
              <w:t>tugevdatud</w:t>
            </w:r>
            <w:r>
              <w:t xml:space="preserve"> noortegarantii ei ole oma eesmärke täielikult saavutanud </w:t>
            </w:r>
            <w:r>
              <w:rPr>
                <w:b/>
                <w:i/>
              </w:rPr>
              <w:t>ja seda tuleb veel parandada, et ületada lõhe selle vahendi eesmärgi ja selle praktilise rakendamise vahel</w:t>
            </w:r>
            <w:r>
              <w:t>;</w:t>
            </w:r>
          </w:p>
        </w:tc>
        <w:tc>
          <w:tcPr>
            <w:tcW w:w="4876" w:type="dxa"/>
            <w:tcBorders>
              <w:top w:val="nil"/>
              <w:left w:val="nil"/>
              <w:bottom w:val="nil"/>
              <w:right w:val="nil"/>
            </w:tcBorders>
          </w:tcPr>
          <w:p>
            <w:pPr>
              <w:pStyle w:val="Normal6a"/>
            </w:pPr>
            <w:r>
              <w:t>14.</w:t>
            </w:r>
            <w:r>
              <w:tab/>
            </w:r>
            <w:r>
              <w:t>on seisukohal, et noortegarantii ei ole oma eesmärke täielikult saavutanud;</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on seisukohal, et tugevdatud noortegarantii ei ole oma eesmärke täielikult saavutanud </w:t>
            </w:r>
            <w:r>
              <w:rPr>
                <w:b/>
                <w:i/>
              </w:rPr>
              <w:t>ja seda tuleb veel parandada, et ületada lõhe selle vahendi eesmärgi ja selle praktilise rakendamise vahel</w:t>
            </w:r>
            <w:r>
              <w:t>;</w:t>
            </w:r>
          </w:p>
        </w:tc>
        <w:tc>
          <w:tcPr>
            <w:tcW w:w="4876" w:type="dxa"/>
            <w:tcBorders>
              <w:top w:val="nil"/>
              <w:left w:val="nil"/>
              <w:bottom w:val="nil"/>
              <w:right w:val="nil"/>
            </w:tcBorders>
          </w:tcPr>
          <w:p>
            <w:pPr>
              <w:pStyle w:val="Normal6a"/>
            </w:pPr>
            <w:r>
              <w:t>14.</w:t>
            </w:r>
            <w:r>
              <w:tab/>
            </w:r>
            <w:r>
              <w:t>on seisukohal, et tugevdatud noortegarantii ei ole oma eesmärke täielikult saavutanud;</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rõhutab, et eluasememeetmed, mis on kohandatud piirkondadele, kus räägitakse piirkondlikke keeli, vähemuskeeli või vähemkasutatavaid riigikeeli, tuleb välja töötada täielikus koostöös kohalike kogukondadega, sest nad mõistavad oma vajadusi ja teravaid probleeme kõige paremini;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rõhutab, kui oluline on tugevdatud noortegarantii rakendamist toetav poliitikaraamistik, nagu tööhõive, töötingimuste, hariduse, praktika ja õpipoisiõppe kvaliteedistandardid, täiendavate lastehoiuasutuste arendamine, et võimaldada lapsevanematel oma potentsiaali ära kasutada, puuetega inimeste kaasamise poliitika, tõhus transpordipoliitika, eluaseme taskukohasuse tagamise meetmed ja asjakohased oskuste omandamise võimalused;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rPr>
                <w:b/>
                <w:i/>
              </w:rPr>
              <w:t>kutsub liikmesriike üles parandama sihipäraselt avalike tööturuasutuste ja muude</w:t>
            </w:r>
            <w:r>
              <w:t xml:space="preserve"> tugevdatud noortegarantii rakendamise eest vastutavate </w:t>
            </w:r>
            <w:r>
              <w:rPr>
                <w:b/>
                <w:i/>
              </w:rPr>
              <w:t>riiklike üksuste konkreetset haldussuutlikkust</w:t>
            </w:r>
            <w:r>
              <w:t>;</w:t>
            </w:r>
          </w:p>
        </w:tc>
        <w:tc>
          <w:tcPr>
            <w:tcW w:w="4876" w:type="dxa"/>
            <w:tcBorders>
              <w:top w:val="nil"/>
              <w:left w:val="nil"/>
              <w:bottom w:val="nil"/>
              <w:right w:val="nil"/>
            </w:tcBorders>
          </w:tcPr>
          <w:p>
            <w:pPr>
              <w:pStyle w:val="Normal6a"/>
            </w:pPr>
            <w:r>
              <w:t>15.</w:t>
            </w:r>
            <w:r>
              <w:tab/>
            </w:r>
            <w:r>
              <w:rPr>
                <w:b/>
                <w:i/>
              </w:rPr>
              <w:t>ergutab Euroopa Komisjoni toetama</w:t>
            </w:r>
            <w:r>
              <w:t xml:space="preserve"> tugevdatud noortegarantii rakendamise eest vastutavate </w:t>
            </w:r>
            <w:r>
              <w:rPr>
                <w:b/>
                <w:i/>
              </w:rPr>
              <w:t>pädevate asutuste suutlikkuse suurendamist, sealhulgas tugevdades noorte tööhõive toetamisele spetsialiseerunud haldus- ja inimressursse viisil, mis vastab praegustele probleemidele</w:t>
            </w:r>
            <w:r>
              <w:t xml:space="preserve">; </w:t>
            </w:r>
            <w:r>
              <w:rPr>
                <w:b/>
                <w:i/>
              </w:rPr>
              <w:t>rõhutab, et liikmesriikides, kus aktiivne tööhõivepoliitika ja kutseõpe kuuluvad kohalike ja piirkondlike omavalitsuste pädevusse, peab pädevatel piirkondlikel ja kohalikel omavalitsustel olema juurdepääs suutlikkuse suurendamise programmidele võrdsetel alustel keskasutustega;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kutsub liikmesriike üles parandama sihipäraselt avalike tööturuasutuste ja muude tugevdatud noortegarantii rakendamise eest vastutavate riiklike üksuste konkreetset haldussuutlikkust;</w:t>
            </w:r>
          </w:p>
        </w:tc>
        <w:tc>
          <w:tcPr>
            <w:tcW w:w="4876" w:type="dxa"/>
            <w:tcBorders>
              <w:top w:val="nil"/>
              <w:left w:val="nil"/>
              <w:bottom w:val="nil"/>
              <w:right w:val="nil"/>
            </w:tcBorders>
          </w:tcPr>
          <w:p>
            <w:pPr>
              <w:pStyle w:val="Normal6a"/>
            </w:pPr>
            <w:r>
              <w:t>15.</w:t>
            </w:r>
            <w:r>
              <w:tab/>
            </w:r>
            <w:r>
              <w:t xml:space="preserve">kutsub liikmesriike üles parandama sihipäraselt avalike tööturuasutuste ja muude tugevdatud noortegarantii rakendamise eest vastutavate riiklike üksuste konkreetset haldussuutlikkust; </w:t>
            </w:r>
            <w:r>
              <w:rPr>
                <w:b/>
                <w:i/>
              </w:rPr>
              <w:t>on veendunud, et avalike tööturuasutuste ajakohastamise ja digiüleminekuga peavad kaasnema investeeringud spetsialiseerunud töötajate koolitusse, et võimaldada tulemuslike ja individuaalsete teenuste osutamist;</w:t>
            </w:r>
            <w:r>
              <w:t xml:space="preserve"> </w:t>
            </w:r>
            <w:r>
              <w:rPr>
                <w:b/>
                <w:i/>
              </w:rPr>
              <w:t>kutsub komisjoni üles tagama, et avalikud tööturuasutused oleksid paremini varustatud, et jõuda NEET-noorteni, kes peavad toime tulema keeruliste tõketega;</w:t>
            </w:r>
            <w:r>
              <w:t xml:space="preserve"> </w:t>
            </w:r>
            <w:r>
              <w:rPr>
                <w:b/>
                <w:i/>
              </w:rPr>
              <w:t>rõhutab avalike tööturuasutuste ja eratööhõivebüroode vahelise koostöö potentsiaali;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kutsub liikmesriike üles </w:t>
            </w:r>
            <w:r>
              <w:rPr>
                <w:b/>
                <w:i/>
              </w:rPr>
              <w:t>parandama sihipäraselt</w:t>
            </w:r>
            <w:r>
              <w:t xml:space="preserve"> avalike tööturuasutuste ja muude tugevdatud noortegarantii </w:t>
            </w:r>
            <w:r>
              <w:rPr>
                <w:b/>
                <w:i/>
              </w:rPr>
              <w:t>rakendamise eest vastutavate riiklike üksuste konkreetset haldussuutlikkust</w:t>
            </w:r>
            <w:r>
              <w:t>;</w:t>
            </w:r>
          </w:p>
        </w:tc>
        <w:tc>
          <w:tcPr>
            <w:tcW w:w="4876" w:type="dxa"/>
            <w:tcBorders>
              <w:top w:val="nil"/>
              <w:left w:val="nil"/>
              <w:bottom w:val="nil"/>
              <w:right w:val="nil"/>
            </w:tcBorders>
          </w:tcPr>
          <w:p>
            <w:pPr>
              <w:pStyle w:val="Normal6a"/>
            </w:pPr>
            <w:r>
              <w:t>15.</w:t>
            </w:r>
            <w:r>
              <w:tab/>
            </w:r>
            <w:r>
              <w:t xml:space="preserve">kutsub liikmesriike üles </w:t>
            </w:r>
            <w:r>
              <w:rPr>
                <w:b/>
                <w:i/>
              </w:rPr>
              <w:t>eraldama sihtotstarbelisi vahendeid spetsiaalselt</w:t>
            </w:r>
            <w:r>
              <w:t xml:space="preserve"> avalike tööturuasutuste ja muude </w:t>
            </w:r>
            <w:r>
              <w:rPr>
                <w:b/>
                <w:i/>
              </w:rPr>
              <w:t>asjaomaste riiklike üksuste haldussuutlikkuse tugevdamiseks, et tagada</w:t>
            </w:r>
            <w:r>
              <w:t xml:space="preserve"> tugevdatud noortegarantii </w:t>
            </w:r>
            <w:r>
              <w:rPr>
                <w:b/>
                <w:i/>
              </w:rPr>
              <w:t>tulemuslik rakendamine ning pakkuda õigeaegset, personaalset ja tulemuslikku toetust neljakuulise sekkumistähtaja jooksul ning pidevat järeltoetust</w:t>
            </w:r>
            <w:r>
              <w:t xml:space="preserve">; </w:t>
            </w:r>
            <w:r>
              <w:rPr>
                <w:b/>
                <w:i/>
              </w:rPr>
              <w:t>nõuab avalike tööturuasutuste töötajatele ja muudele asjaomastele töötajatele kohustuslikku ja struktureeritud koolitust alateadlike eelarvamuste ja mittediskrimineerimise teemal, selliste NEET-noorte ennetavat tuvastamist, kelleni on raske jõuda, ning haavatavate NEET-noorte tulemuslikku teavitamist ja toetamist;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kutsub liikmesriike üles parandama sihipäraselt avalike tööturuasutuste ja muude tugevdatud noortegarantii rakendamise eest vastutavate riiklike üksuste </w:t>
            </w:r>
            <w:r>
              <w:rPr>
                <w:b/>
                <w:i/>
              </w:rPr>
              <w:t>konkreetset</w:t>
            </w:r>
            <w:r>
              <w:t xml:space="preserve"> haldussuutlikkust;</w:t>
            </w:r>
          </w:p>
        </w:tc>
        <w:tc>
          <w:tcPr>
            <w:tcW w:w="4876" w:type="dxa"/>
            <w:tcBorders>
              <w:top w:val="nil"/>
              <w:left w:val="nil"/>
              <w:bottom w:val="nil"/>
              <w:right w:val="nil"/>
            </w:tcBorders>
          </w:tcPr>
          <w:p>
            <w:pPr>
              <w:pStyle w:val="Normal6a"/>
            </w:pPr>
            <w:r>
              <w:t>15.</w:t>
            </w:r>
            <w:r>
              <w:tab/>
            </w:r>
            <w:r>
              <w:t xml:space="preserve">kutsub liikmesriike üles parandama sihipäraselt avalike tööturuasutuste ja muude tugevdatud noortegarantii rakendamise eest vastutavate riiklike üksuste haldussuutlikkust; </w:t>
            </w:r>
            <w:r>
              <w:rPr>
                <w:b/>
                <w:i/>
              </w:rPr>
              <w:t>rõhutab vajadust tugevdada avalike tööturuasutuste vahendeid ja koolitust, sealhulgas piisava personali, digiülemineku ja teavitustegevuse suutlikkuse kaudu, et pakkuda noortele, eelkõige haavatavas olukorras olevatele noortele individuaalset ja kaasavat toetust;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kutsub liikmesriike üles </w:t>
            </w:r>
            <w:r>
              <w:rPr>
                <w:b/>
                <w:i/>
              </w:rPr>
              <w:t>parandama sihipäraselt</w:t>
            </w:r>
            <w:r>
              <w:t xml:space="preserve"> avalike tööturuasutuste ja muude tugevdatud noortegarantii rakendamise eest vastutavate riiklike </w:t>
            </w:r>
            <w:r>
              <w:rPr>
                <w:b/>
                <w:i/>
              </w:rPr>
              <w:t>üksuste konkreetset haldussuutlikkust</w:t>
            </w:r>
            <w:r>
              <w:t>;</w:t>
            </w:r>
          </w:p>
        </w:tc>
        <w:tc>
          <w:tcPr>
            <w:tcW w:w="4876" w:type="dxa"/>
            <w:tcBorders>
              <w:top w:val="nil"/>
              <w:left w:val="nil"/>
              <w:bottom w:val="nil"/>
              <w:right w:val="nil"/>
            </w:tcBorders>
          </w:tcPr>
          <w:p>
            <w:pPr>
              <w:pStyle w:val="Normal6a"/>
            </w:pPr>
            <w:r>
              <w:t>15.</w:t>
            </w:r>
            <w:r>
              <w:tab/>
            </w:r>
            <w:r>
              <w:t xml:space="preserve">kutsub liikmesriike üles </w:t>
            </w:r>
            <w:r>
              <w:rPr>
                <w:b/>
                <w:i/>
              </w:rPr>
              <w:t>tugevdama</w:t>
            </w:r>
            <w:r>
              <w:t xml:space="preserve"> avalike tööturuasutuste ja muude tugevdatud noortegarantii rakendamise eest vastutavate riiklike </w:t>
            </w:r>
            <w:r>
              <w:rPr>
                <w:b/>
                <w:i/>
              </w:rPr>
              <w:t>asutuste haldus- ja tegevussuutlikkust, sealhulgas tihedama koostöö kaudu koolide, ülikoolide, kutseõppeasutuste ja tööandjatega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kutsub liikmesriike üles parandama sihipäraselt avalike tööturuasutuste ja muude tugevdatud noortegarantii rakendamise eest vastutavate riiklike üksuste konkreetset haldussuutlikkust;</w:t>
            </w:r>
          </w:p>
        </w:tc>
        <w:tc>
          <w:tcPr>
            <w:tcW w:w="4876" w:type="dxa"/>
            <w:tcBorders>
              <w:top w:val="nil"/>
              <w:left w:val="nil"/>
              <w:bottom w:val="nil"/>
              <w:right w:val="nil"/>
            </w:tcBorders>
          </w:tcPr>
          <w:p>
            <w:pPr>
              <w:pStyle w:val="Normal6a"/>
            </w:pPr>
            <w:r>
              <w:t>15.</w:t>
            </w:r>
            <w:r>
              <w:tab/>
            </w:r>
            <w:r>
              <w:t>kutsub liikmesriike üles parandama sihipäraselt avalike tööturuasutuste ja muude tugevdatud noortegarantii rakendamise eest vastutavate riiklike üksuste konkreetset haldussuutlikkust</w:t>
            </w:r>
            <w:r>
              <w:rPr>
                <w:b/>
                <w:i/>
              </w:rPr>
              <w:t>,</w:t>
            </w:r>
            <w:r>
              <w:t xml:space="preserve"> </w:t>
            </w:r>
            <w:r>
              <w:rPr>
                <w:b/>
                <w:i/>
              </w:rPr>
              <w:t>et muuta see vahend alaliseks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kutsub liikmesriike üles parandama sihipäraselt avalike tööturuasutuste ja muude tugevdatud noortegarantii rakendamise eest vastutavate riiklike üksuste konkreetset haldussuutlikkust;</w:t>
            </w:r>
          </w:p>
        </w:tc>
        <w:tc>
          <w:tcPr>
            <w:tcW w:w="4876" w:type="dxa"/>
            <w:tcBorders>
              <w:top w:val="nil"/>
              <w:left w:val="nil"/>
              <w:bottom w:val="nil"/>
              <w:right w:val="nil"/>
            </w:tcBorders>
          </w:tcPr>
          <w:p>
            <w:pPr>
              <w:pStyle w:val="Normal6a"/>
            </w:pPr>
            <w:r>
              <w:t>15.</w:t>
            </w:r>
            <w:r>
              <w:tab/>
            </w:r>
            <w:r>
              <w:t xml:space="preserve">kutsub liikmesriike üles parandama sihipäraselt avalike tööturuasutuste ja muude tugevdatud noortegarantii rakendamise eest vastutavate riiklike üksuste konkreetset haldussuutlikkust </w:t>
            </w:r>
            <w:r>
              <w:rPr>
                <w:b/>
                <w:i/>
              </w:rPr>
              <w:t>suuremate avaliku sektori investeeringute abil</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kutsub liikmesriike üles andma riiklikele tööinspektsioonidele ja pädevatele asutustele õigused teha tulemuslikult kindlaks tavad, millega hoitakse kõrvale praktika eesmärgist ja esitatakse praktikana standardseid töösuhteid, ja nende tavade vastu võidelda, tagama töötajate suhtes kohaldatavate liidu õigusaktide täieliku täitmise ning selle, et praktikantidel on juurdepääs anonüümsetele, turvalistele ja tulemuslikele kanalitele kuritarvitustest ja halbadest töötingimustest ning õiguste ja kohustuste väidetavast rikkumisest teatamiseks, ning andma nende kanalite kohta teavet;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kutsub liikmesriike üles tagama, et tugevdatud noortegarantii rakendamine kajastaks tööhõivekomitee põhisõnumeid, mille nõukogu kiitis heaks 2018., 2019., 2021., 2023., 2025. ja 2026. aastal, tugevdades ennetamist ja varajast sekkumist, edendades tulemuslikke partnerlusi kõigil tasanditel ning tugevdades avalike tööturuasutuste suutlikkust ja koordineerivat rolli;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rõhutab, kui oluline on kasutada täielikult ära Euroopa avalike tööturuasutuste võrgustikku, et edendada parimate tavade vahetamist, soodustada vastastikust õppimist ja võrdlusanalüüse ning toetada tulemuste ühtlustamist liikmesriikides;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kutsub liikmesriike üles eraldama sihipäraselt ja rohkem rahalisi vahendeid tugevdatud noortegarantii rakendamiseks piirkondades, kus noorte töötuse ja mitteaktiivsuse määr on kõrge ning kus struktuursed ebasoodsad tingimused ja rakendamisprobleemid on suuremad;</w:t>
            </w:r>
            <w:r>
              <w:t xml:space="preserve"> </w:t>
            </w:r>
            <w:r>
              <w:rPr>
                <w:b/>
                <w:i/>
              </w:rPr>
              <w:t>nõuab avalike tööturuasutuste haldus-, teavitus- ja rakendamissuutlikkuse suurendamist nendes piirkondades, et tagada mõjus toetus haavatavatele ja nendele NEET-noortele, kelleni on raske jõuda;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kutsub komisjoni ja liikmesriike üles tagama avalike tööturuasutuste töötajatele vajalikud vahendid, tunnustades neid eesliinil tegutsejatena, kellel on oluline roll keerukate takistustega silmitsi seisvate noorte kaasamisel;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15c.</w:t>
            </w:r>
            <w:r>
              <w:tab/>
            </w:r>
            <w:r>
              <w:rPr>
                <w:b/>
                <w:i/>
              </w:rPr>
              <w:t>kutsub liikmesriike üles investeerima detsentraliseeritud, kogukonna juhitud avalike tööturuasutuste teavitustaristutesse ning looma ametlikke partnerlusi avalike tööturuasutuste, sotsiaalteenuste osutajate ja kohalike kogukonnaorganisatsioonide vahel, et kaasata paremini NEET-noori, kelleni on raske jõuda, ja eelkõige maapiirkondade noori;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15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15d.</w:t>
            </w:r>
            <w:r>
              <w:tab/>
            </w:r>
            <w:r>
              <w:rPr>
                <w:b/>
                <w:i/>
              </w:rPr>
              <w:t>kutsub liikmesriike üles tagama, et kõigi noortegarantii mudelitega, olgu need siis sihipärased ja kohandatud või universaalsemad, jõutaks aktiivselt noorteni, mitte ei tuginetaks üksnes registreerimisele, et pakkuda õiglast toetust, olenemata asjaoludest või asukohast;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kutsub komisjoni ja liikmesriike üles pakkuma igakülgset toetust NEET-noorte ees seisvate keeruliste takistuste kõrvaldamiseks, et tegeleda sotsiaalse tõrjutuse juurpõhjustega enne NEET-noorte tööhõiveolukorraga tegelemist;</w:t>
            </w:r>
          </w:p>
        </w:tc>
        <w:tc>
          <w:tcPr>
            <w:tcW w:w="4876" w:type="dxa"/>
            <w:tcBorders>
              <w:top w:val="nil"/>
              <w:left w:val="nil"/>
              <w:bottom w:val="nil"/>
              <w:right w:val="nil"/>
            </w:tcBorders>
          </w:tcPr>
          <w:p>
            <w:pPr>
              <w:pStyle w:val="Normal6a"/>
            </w:pPr>
            <w:r>
              <w:t>16.</w:t>
            </w:r>
            <w:r>
              <w:tab/>
            </w:r>
            <w:r>
              <w:t xml:space="preserve">kutsub komisjoni ja liikmesriike üles pakkuma igakülgset toetust NEET-noorte ees seisvate keeruliste takistuste kõrvaldamiseks, et tegeleda sotsiaalse tõrjutuse juurpõhjustega enne NEET-noorte tööhõiveolukorraga tegelemist; </w:t>
            </w:r>
            <w:r>
              <w:rPr>
                <w:b/>
                <w:i/>
              </w:rPr>
              <w:t>rõhutab, et seda toetust tuleb anda avalike tööturuasutuste ja muude asjaomaste sotsiaalteenuste osutajate meetmete kogumina, mille eesmärk on aidata lapsehoiu ja perekondlike kohustustega, parandada pereplaneerimist, toetada juurdepääsu eluasemele ja tervishoiu, sealhulgas vaimse tervise teenustele, ning võidelda sõltuvuse vastu;</w:t>
            </w:r>
            <w:r>
              <w:t xml:space="preserve"> </w:t>
            </w:r>
            <w:r>
              <w:rPr>
                <w:b/>
                <w:i/>
              </w:rPr>
              <w:t>kutsub lisaks liikmesriike, kelle positiivse ja õigeaegse lahkumise määr või hõlmatuse määr on alla ELi keskmise, üles hindama põhjalikult oma tugevdatud noortegarantii kavasid, et teha kindlaks nende puuduste põhjused ja need kõrvaldada, kujundades need kavad tulemuste põhjal ümber;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kutsub komisjoni ja liikmesriike üles pakkuma igakülgset toetust NEET-noorte ees seisvate keeruliste takistuste kõrvaldamiseks, et tegeleda sotsiaalse tõrjutuse juurpõhjustega enne NEET-noorte tööhõiveolukorraga tegelemist;</w:t>
            </w:r>
          </w:p>
        </w:tc>
        <w:tc>
          <w:tcPr>
            <w:tcW w:w="4876" w:type="dxa"/>
            <w:tcBorders>
              <w:top w:val="nil"/>
              <w:left w:val="nil"/>
              <w:bottom w:val="nil"/>
              <w:right w:val="nil"/>
            </w:tcBorders>
          </w:tcPr>
          <w:p>
            <w:pPr>
              <w:pStyle w:val="Normal6a"/>
            </w:pPr>
            <w:r>
              <w:t>16.</w:t>
            </w:r>
            <w:r>
              <w:tab/>
            </w:r>
            <w:r>
              <w:t xml:space="preserve">kutsub komisjoni ja liikmesriike üles pakkuma igakülgset toetust NEET-noorte ees seisvate keeruliste takistuste kõrvaldamiseks, </w:t>
            </w:r>
            <w:r>
              <w:rPr>
                <w:b/>
                <w:i/>
              </w:rPr>
              <w:t>eelkõige tegelema eluaseme, vaimse tervise ja rahaliste raskuste küsimustega, mis on kindlaks tehtud noorte sõltumatust pärssivate peamiste takistustena,</w:t>
            </w:r>
            <w:r>
              <w:t xml:space="preserve"> et tegeleda sotsiaalse tõrjutuse juurpõhjustega enne NEET-noorte tööhõiveolukorraga tegelemist;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kutsub komisjoni ja liikmesriike üles pakkuma igakülgset toetust NEET-noorte ees seisvate keeruliste takistuste kõrvaldamiseks, et tegeleda sotsiaalse tõrjutuse juurpõhjustega enne NEET-noorte tööhõiveolukorraga tegelemist;</w:t>
            </w:r>
          </w:p>
        </w:tc>
        <w:tc>
          <w:tcPr>
            <w:tcW w:w="4876" w:type="dxa"/>
            <w:tcBorders>
              <w:top w:val="nil"/>
              <w:left w:val="nil"/>
              <w:bottom w:val="nil"/>
              <w:right w:val="nil"/>
            </w:tcBorders>
          </w:tcPr>
          <w:p>
            <w:pPr>
              <w:pStyle w:val="Normal6a"/>
            </w:pPr>
            <w:r>
              <w:t>16.</w:t>
            </w:r>
            <w:r>
              <w:tab/>
            </w:r>
            <w:r>
              <w:t>kutsub komisjoni ja liikmesriike üles pakkuma igakülgset toetust NEET-noorte ees seisvate keeruliste takistuste kõrvaldamiseks, et tegeleda sotsiaalse tõrjutuse juurpõhjustega enne NEET-noorte tööhõiveolukorraga tegelemist</w:t>
            </w:r>
            <w:r>
              <w:rPr>
                <w:b/>
                <w:i/>
              </w:rPr>
              <w:t>, sealhulgas juurdepääs eluasemele, tervishoiule ja sissetulekutoetusele</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kutsub komisjoni ja liikmesriike üles pakkuma igakülgset toetust NEET-noorte ees seisvate keeruliste takistuste kõrvaldamiseks, et tegeleda sotsiaalse tõrjutuse juurpõhjustega enne </w:t>
            </w:r>
            <w:r>
              <w:rPr>
                <w:b/>
                <w:i/>
              </w:rPr>
              <w:t>NEET-noorte tööhõiveolukorraga tegelemist</w:t>
            </w:r>
            <w:r>
              <w:t>;</w:t>
            </w:r>
          </w:p>
        </w:tc>
        <w:tc>
          <w:tcPr>
            <w:tcW w:w="4876" w:type="dxa"/>
            <w:tcBorders>
              <w:top w:val="nil"/>
              <w:left w:val="nil"/>
              <w:bottom w:val="nil"/>
              <w:right w:val="nil"/>
            </w:tcBorders>
          </w:tcPr>
          <w:p>
            <w:pPr>
              <w:pStyle w:val="Normal6a"/>
            </w:pPr>
            <w:r>
              <w:t>16.</w:t>
            </w:r>
            <w:r>
              <w:tab/>
            </w:r>
            <w:r>
              <w:t xml:space="preserve">kutsub komisjoni ja liikmesriike üles pakkuma igakülgset toetust </w:t>
            </w:r>
            <w:r>
              <w:rPr>
                <w:b/>
                <w:i/>
              </w:rPr>
              <w:t>haavatavate</w:t>
            </w:r>
            <w:r>
              <w:t xml:space="preserve"> NEET-noorte ees seisvate </w:t>
            </w:r>
            <w:r>
              <w:rPr>
                <w:b/>
                <w:i/>
              </w:rPr>
              <w:t>struktuursete ja sageli</w:t>
            </w:r>
            <w:r>
              <w:t xml:space="preserve"> keeruliste takistuste kõrvaldamiseks, et tegeleda </w:t>
            </w:r>
            <w:r>
              <w:rPr>
                <w:b/>
                <w:i/>
              </w:rPr>
              <w:t>tööturult eemalejäämise ja</w:t>
            </w:r>
            <w:r>
              <w:t xml:space="preserve"> sotsiaalse tõrjutuse juurpõhjustega enne </w:t>
            </w:r>
            <w:r>
              <w:rPr>
                <w:b/>
                <w:i/>
              </w:rPr>
              <w:t>nende tööhõiveolukorra parandamist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kutsub </w:t>
            </w:r>
            <w:r>
              <w:rPr>
                <w:b/>
                <w:i/>
              </w:rPr>
              <w:t>komisjoni ja</w:t>
            </w:r>
            <w:r>
              <w:t xml:space="preserve"> liikmesriike üles pakkuma igakülgset toetust NEET-noorte ees seisvate keeruliste takistuste kõrvaldamiseks, et tegeleda sotsiaalse tõrjutuse juurpõhjustega enne NEET-noorte tööhõiveolukorraga tegelemist;</w:t>
            </w:r>
          </w:p>
        </w:tc>
        <w:tc>
          <w:tcPr>
            <w:tcW w:w="4876" w:type="dxa"/>
            <w:tcBorders>
              <w:top w:val="nil"/>
              <w:left w:val="nil"/>
              <w:bottom w:val="nil"/>
              <w:right w:val="nil"/>
            </w:tcBorders>
          </w:tcPr>
          <w:p>
            <w:pPr>
              <w:pStyle w:val="Normal6a"/>
            </w:pPr>
            <w:r>
              <w:t>16.</w:t>
            </w:r>
            <w:r>
              <w:tab/>
            </w:r>
            <w:r>
              <w:t>kutsub liikmesriike üles pakkuma igakülgset toetust NEET-noorte ees seisvate keeruliste takistuste kõrvaldamiseks, et tegeleda sotsiaalse tõrjutuse juurpõhjustega enne NEET-noorte tööhõiveolukorraga tegelemist;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kutsub komisjoni ja liikmesriike üles pakkuma igakülgset toetust NEET-noorte ees seisvate keeruliste takistuste kõrvaldamiseks, et tegeleda sotsiaalse tõrjutuse juurpõhjustega </w:t>
            </w:r>
            <w:r>
              <w:rPr>
                <w:b/>
                <w:i/>
              </w:rPr>
              <w:t>enne NEET-noorte tööhõiveolukorraga tegelemist</w:t>
            </w:r>
            <w:r>
              <w:t>;</w:t>
            </w:r>
          </w:p>
        </w:tc>
        <w:tc>
          <w:tcPr>
            <w:tcW w:w="4876" w:type="dxa"/>
            <w:tcBorders>
              <w:top w:val="nil"/>
              <w:left w:val="nil"/>
              <w:bottom w:val="nil"/>
              <w:right w:val="nil"/>
            </w:tcBorders>
          </w:tcPr>
          <w:p>
            <w:pPr>
              <w:pStyle w:val="Normal6a"/>
            </w:pPr>
            <w:r>
              <w:t>16.</w:t>
            </w:r>
            <w:r>
              <w:tab/>
            </w:r>
            <w:r>
              <w:t xml:space="preserve">kutsub komisjoni ja liikmesriike üles pakkuma igakülgset toetust NEET-noorte ees seisvate keeruliste takistuste kõrvaldamiseks, et tegeleda </w:t>
            </w:r>
            <w:r>
              <w:rPr>
                <w:b/>
                <w:i/>
              </w:rPr>
              <w:t>nende tööhõiveolukorraga ja</w:t>
            </w:r>
            <w:r>
              <w:t xml:space="preserve"> sotsiaalse tõrjutuse juurpõhjustega;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rõhutab, et halb vaimne tervis, sotsiaalne eraldatus ja kohandatud psühhosotsiaalse toe puudumine takistavad märkimisväärselt paljude noorte integreerimist haridusse, koolitusse ja tööturule;</w:t>
            </w:r>
            <w:r>
              <w:t xml:space="preserve"> </w:t>
            </w:r>
            <w:r>
              <w:rPr>
                <w:b/>
                <w:i/>
              </w:rPr>
              <w:t>kutsub liikmesriike üles lisama noortegarantii rakendusmeetmetesse asjakohased psühhosotsiaalsed tugiteenused;</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kutsub liikmesriike üles tagama, et kõik tugevdatud noortegarantii kavade raames pakutavad töökohad pakuksid inimväärset palka, vähemalt miinimumpalga või kollektiivlepingute tasemel;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16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16b.</w:t>
            </w:r>
            <w:r>
              <w:tab/>
            </w:r>
            <w:r>
              <w:rPr>
                <w:b/>
                <w:i/>
              </w:rPr>
              <w:t>rõhutab, et saartel ja äärealadel, eelkõige Egeuse mere saartel ja liidu äärealadel, mis piirnevad kolmandate riikidega, samuti ELi idapoolse välispiiri lähedastes piirkondades elavad noored seisavad silmitsi ainulaadsete ja püsivate probleemidega seoses juurdepääsuga haridusele, koolitusele ja töökohtadele;</w:t>
            </w:r>
            <w:r>
              <w:t xml:space="preserve"> </w:t>
            </w:r>
            <w:r>
              <w:rPr>
                <w:b/>
                <w:i/>
              </w:rPr>
              <w:t>rõhutab, et neid probleeme süvendavad geograafiline eraldatus, suured transpordikulud ja jätkuv rahvastiku vähenemine;</w:t>
            </w:r>
            <w:r>
              <w:t xml:space="preserve"> </w:t>
            </w:r>
            <w:r>
              <w:rPr>
                <w:b/>
                <w:i/>
              </w:rPr>
              <w:t>kutsub komisjoni ja liikmesriike üles kehtestama noortegarantii raames nende piirkondade jaoks sihipäraseid erimeetmeid, et toetada kohalikku tööhõivet ja vältida noorte väljarännet;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rõhutab, et tugevdatud noortegarantii eduka rakendamise tagamiseks on oluline koostööl põhinev lähenemisviis; kutsub liikmesriike üles tugevdama koostööd ministeeriumide, avalike tööturuasutuste, sotsiaalpartnerite, tööturu osaliste, riiklike noortenõukogude ja kodanikuühiskonna vahel kesk- ja kohalikul tasandil, tagamaks, et kõik töötavad NEET-noortele mõeldud teenuste integreeritud võrgustikus;</w:t>
            </w:r>
          </w:p>
        </w:tc>
        <w:tc>
          <w:tcPr>
            <w:tcW w:w="4876" w:type="dxa"/>
            <w:tcBorders>
              <w:top w:val="nil"/>
              <w:left w:val="nil"/>
              <w:bottom w:val="nil"/>
              <w:right w:val="nil"/>
            </w:tcBorders>
          </w:tcPr>
          <w:p>
            <w:pPr>
              <w:pStyle w:val="Normal6a"/>
            </w:pPr>
            <w:r>
              <w:t>17.</w:t>
            </w:r>
            <w:r>
              <w:tab/>
            </w:r>
            <w:r>
              <w:t xml:space="preserve">rõhutab, et tugevdatud noortegarantii eduka rakendamise tagamiseks on oluline koostööl põhinev lähenemisviis </w:t>
            </w:r>
            <w:r>
              <w:rPr>
                <w:b/>
                <w:i/>
              </w:rPr>
              <w:t>selle kõigis etappides</w:t>
            </w:r>
            <w:r>
              <w:t>; kutsub liikmesriike üles tugevdama koostööd ministeeriumide, avalike tööturuasutuste, sotsiaalpartnerite, tööturu osaliste</w:t>
            </w:r>
            <w:r>
              <w:rPr>
                <w:b/>
                <w:i/>
              </w:rPr>
              <w:t>, haridus- ja koolitusasutuste</w:t>
            </w:r>
            <w:r>
              <w:t xml:space="preserve">, riiklike noortenõukogude ja kodanikuühiskonna vahel kesk- ja kohalikul tasandil, tagamaks, et kõik töötavad NEET-noortele mõeldud teenuste integreeritud võrgustikus; </w:t>
            </w:r>
            <w:r>
              <w:rPr>
                <w:b/>
                <w:i/>
              </w:rPr>
              <w:t>rõhutab, kui oluline on selle eesmärgi saavutamiseks ametlik koostöö, nagu kolmepoolsed komisjonid, koostöölepingud või riikliku tasandi protokollid koolide, avalike tööturuasutuste ja sotsiaalpartnerite vahel;</w:t>
            </w:r>
            <w:r>
              <w:t xml:space="preserve"> </w:t>
            </w:r>
            <w:r>
              <w:rPr>
                <w:b/>
                <w:i/>
              </w:rPr>
              <w:t>rõhutab vajadust suurendada usaldust tugevdatud noortegarantii pakkujate ja kohalike kogukondade vahel, näiteks viies haridus- ja koolituspakkumised kooskõlla tööturu vajadustega ning suunates noored töökohale alles siis, kui nad on tööturule sisenemiseks hästi ette valmistatud;</w:t>
            </w:r>
            <w:r>
              <w:t xml:space="preserve"> </w:t>
            </w:r>
            <w:r>
              <w:rPr>
                <w:b/>
                <w:i/>
              </w:rPr>
              <w:t>innustab liikmesriike laiendama häid tavasid, nagu koolitusalgatused otseses partnerluses tööandjatega, et tagada töölevõtmine pärast koolitust, samuti töömessid, teabepäevad või muud tööandjate ja noorte kokkuviimise üritused;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rõhutab</w:t>
            </w:r>
            <w:r>
              <w:rPr>
                <w:b/>
                <w:i/>
              </w:rPr>
              <w:t>, et</w:t>
            </w:r>
            <w:r>
              <w:t xml:space="preserve"> tugevdatud noortegarantii </w:t>
            </w:r>
            <w:r>
              <w:rPr>
                <w:b/>
                <w:i/>
              </w:rPr>
              <w:t>eduka rakendamise tagamiseks on oluline koostööl põhinev lähenemisviis;</w:t>
            </w:r>
            <w:r>
              <w:t xml:space="preserve"> </w:t>
            </w:r>
            <w:r>
              <w:rPr>
                <w:b/>
                <w:i/>
              </w:rPr>
              <w:t>kutsub liikmesriike üles tugevdama koostööd ministeeriumide</w:t>
            </w:r>
            <w:r>
              <w:t xml:space="preserve">, avalike tööturuasutuste, sotsiaalpartnerite, </w:t>
            </w:r>
            <w:r>
              <w:rPr>
                <w:b/>
                <w:i/>
              </w:rPr>
              <w:t>tööturu osaliste, riiklike noortenõukogude ja kodanikuühiskonna</w:t>
            </w:r>
            <w:r>
              <w:t xml:space="preserve"> vahel </w:t>
            </w:r>
            <w:r>
              <w:rPr>
                <w:b/>
                <w:i/>
              </w:rPr>
              <w:t>kesk- ja kohalikul tasandil</w:t>
            </w:r>
            <w:r>
              <w:t>, tagamaks, et kõik töötavad NEET-noortele mõeldud teenuste integreeritud võrgustikus;</w:t>
            </w:r>
          </w:p>
        </w:tc>
        <w:tc>
          <w:tcPr>
            <w:tcW w:w="4876" w:type="dxa"/>
            <w:tcBorders>
              <w:top w:val="nil"/>
              <w:left w:val="nil"/>
              <w:bottom w:val="nil"/>
              <w:right w:val="nil"/>
            </w:tcBorders>
          </w:tcPr>
          <w:p>
            <w:pPr>
              <w:pStyle w:val="Normal6a"/>
            </w:pPr>
            <w:r>
              <w:t>17.</w:t>
            </w:r>
            <w:r>
              <w:tab/>
            </w:r>
            <w:r>
              <w:t xml:space="preserve">rõhutab </w:t>
            </w:r>
            <w:r>
              <w:rPr>
                <w:b/>
                <w:i/>
              </w:rPr>
              <w:t>vajadust tõhustada</w:t>
            </w:r>
            <w:r>
              <w:t xml:space="preserve"> tugevdatud noortegarantii </w:t>
            </w:r>
            <w:r>
              <w:rPr>
                <w:b/>
                <w:i/>
              </w:rPr>
              <w:t>juhtimist, suurendades koordineerimist pädevate riiklike, piirkondlike ja kohalike ametiasutuste, kutseõppe sidusrühmade, koolide ja koolitusasutuste</w:t>
            </w:r>
            <w:r>
              <w:t xml:space="preserve">, avalike tööturuasutuste, sotsiaalpartnerite, </w:t>
            </w:r>
            <w:r>
              <w:rPr>
                <w:b/>
                <w:i/>
              </w:rPr>
              <w:t>ettevõtjate ja kolmanda sektori asutuste</w:t>
            </w:r>
            <w:r>
              <w:t xml:space="preserve"> vahel, tagamaks, et kõik töötavad NEET-noortele mõeldud teenuste integreeritud võrgustikus</w:t>
            </w:r>
            <w:r>
              <w:rPr>
                <w:b/>
                <w:i/>
              </w:rPr>
              <w:t>, ning pakkumaks noortele koolitus- ja töövõimalusi, mis põhinevad kohalikel majanduslikel vajadustel</w:t>
            </w:r>
            <w:r>
              <w:t xml:space="preserve">; </w:t>
            </w:r>
            <w:r>
              <w:rPr>
                <w:b/>
                <w:i/>
              </w:rPr>
              <w:t>rõhutab, et liikmesriikides, kus kutseõpe ja aktiivne tööhõivepoliitika kuuluvad kohalike ja piirkondlike omavalitsuste pädevusse, tuleb piirkondlikke ja kohalikke ametiasutusi pidada peamisteks partneriteks tugevdatud noortegarantii rakendamisel ning neil peab olema otsene juurdepääs nende käsutuses olevatele ELi rahastamisprogrammidele;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rõhutab, et tugevdatud noortegarantii </w:t>
            </w:r>
            <w:r>
              <w:rPr>
                <w:b/>
                <w:i/>
              </w:rPr>
              <w:t>eduka rakendamise tagamiseks on oluline koostööl põhinev lähenemisviis</w:t>
            </w:r>
            <w:r>
              <w:t xml:space="preserve">; kutsub liikmesriike üles tugevdama koostööd </w:t>
            </w:r>
            <w:r>
              <w:rPr>
                <w:b/>
                <w:i/>
              </w:rPr>
              <w:t>ministeeriumide</w:t>
            </w:r>
            <w:r>
              <w:t xml:space="preserve">, avalike tööturuasutuste, sotsiaalpartnerite, tööturu osaliste, riiklike noortenõukogude ja kodanikuühiskonna vahel </w:t>
            </w:r>
            <w:r>
              <w:rPr>
                <w:b/>
                <w:i/>
              </w:rPr>
              <w:t>kesk-</w:t>
            </w:r>
            <w:r>
              <w:t xml:space="preserve"> ja kohalikul tasandil, </w:t>
            </w:r>
            <w:r>
              <w:rPr>
                <w:b/>
                <w:i/>
              </w:rPr>
              <w:t>tagamaks, et kõik töötavad NEET-noortele mõeldud</w:t>
            </w:r>
            <w:r>
              <w:t xml:space="preserve"> teenuste integreeritud </w:t>
            </w:r>
            <w:r>
              <w:rPr>
                <w:b/>
                <w:i/>
              </w:rPr>
              <w:t>võrgustikus</w:t>
            </w:r>
            <w:r>
              <w:t>;</w:t>
            </w:r>
          </w:p>
        </w:tc>
        <w:tc>
          <w:tcPr>
            <w:tcW w:w="4876" w:type="dxa"/>
            <w:tcBorders>
              <w:top w:val="nil"/>
              <w:left w:val="nil"/>
              <w:bottom w:val="nil"/>
              <w:right w:val="nil"/>
            </w:tcBorders>
          </w:tcPr>
          <w:p>
            <w:pPr>
              <w:pStyle w:val="Normal6a"/>
            </w:pPr>
            <w:r>
              <w:t>17.</w:t>
            </w:r>
            <w:r>
              <w:tab/>
            </w:r>
            <w:r>
              <w:t xml:space="preserve">rõhutab, et </w:t>
            </w:r>
            <w:r>
              <w:rPr>
                <w:b/>
                <w:i/>
              </w:rPr>
              <w:t>koostöö- ja kogukonnapõhine lähenemisviis, mis on kohandatud kohalikele ja piirkondlikele oludele, on oluline, et tagada</w:t>
            </w:r>
            <w:r>
              <w:t xml:space="preserve"> tugevdatud noortegarantii </w:t>
            </w:r>
            <w:r>
              <w:rPr>
                <w:b/>
                <w:i/>
              </w:rPr>
              <w:t>edukas rakendamine ja jõuda kõige haavatavamate NEET-noorteni</w:t>
            </w:r>
            <w:r>
              <w:t xml:space="preserve">; kutsub liikmesriike üles tugevdama koostööd </w:t>
            </w:r>
            <w:r>
              <w:rPr>
                <w:b/>
                <w:i/>
              </w:rPr>
              <w:t>ja looma ametlikke partnerlusi haridus- ja koolitusasutuste</w:t>
            </w:r>
            <w:r>
              <w:t xml:space="preserve">, avalike tööturuasutuste, sotsiaalpartnerite, </w:t>
            </w:r>
            <w:r>
              <w:rPr>
                <w:b/>
                <w:i/>
              </w:rPr>
              <w:t>asjaomaste</w:t>
            </w:r>
            <w:r>
              <w:t xml:space="preserve"> tööturu osaliste, riiklike noortenõukogude ja kodanikuühiskonna vahel </w:t>
            </w:r>
            <w:r>
              <w:rPr>
                <w:b/>
                <w:i/>
              </w:rPr>
              <w:t>riiklikul, piirkondlikul</w:t>
            </w:r>
            <w:r>
              <w:t xml:space="preserve"> ja kohalikul tasandil, </w:t>
            </w:r>
            <w:r>
              <w:rPr>
                <w:b/>
                <w:i/>
              </w:rPr>
              <w:t>et luua</w:t>
            </w:r>
            <w:r>
              <w:t xml:space="preserve"> teenuste integreeritud </w:t>
            </w:r>
            <w:r>
              <w:rPr>
                <w:b/>
                <w:i/>
              </w:rPr>
              <w:t>võrgustikud ning võimaldada NEET-noorte varajast tuvastamist ja toetamist</w:t>
            </w:r>
            <w:r>
              <w:t xml:space="preserve">; </w:t>
            </w:r>
            <w:r>
              <w:rPr>
                <w:b/>
                <w:i/>
              </w:rPr>
              <w:t>nõuab sellega seoses selliste partnerite sisulist kaasamist kvaliteetsete praktikapakkumiste kavandamisse, seiresse ja rakendamise tagamisse;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rõhutab, et tugevdatud noortegarantii eduka rakendamise tagamiseks on oluline koostööl põhinev lähenemisviis; kutsub liikmesriike üles tugevdama koostööd ministeeriumide, avalike tööturuasutuste, sotsiaalpartnerite, tööturu osaliste, riiklike noortenõukogude ja kodanikuühiskonna vahel kesk- ja kohalikul tasandil, tagamaks, et kõik töötavad NEET-noortele mõeldud teenuste integreeritud võrgustikus;</w:t>
            </w:r>
          </w:p>
        </w:tc>
        <w:tc>
          <w:tcPr>
            <w:tcW w:w="4876" w:type="dxa"/>
            <w:tcBorders>
              <w:top w:val="nil"/>
              <w:left w:val="nil"/>
              <w:bottom w:val="nil"/>
              <w:right w:val="nil"/>
            </w:tcBorders>
          </w:tcPr>
          <w:p>
            <w:pPr>
              <w:pStyle w:val="Normal6a"/>
            </w:pPr>
            <w:r>
              <w:t>17.</w:t>
            </w:r>
            <w:r>
              <w:tab/>
            </w:r>
            <w:r>
              <w:t xml:space="preserve">rõhutab, et tugevdatud noortegarantii eduka rakendamise tagamiseks on oluline koostööl põhinev lähenemisviis; kutsub liikmesriike üles tugevdama koostööd ministeeriumide, </w:t>
            </w:r>
            <w:r>
              <w:rPr>
                <w:b/>
                <w:i/>
              </w:rPr>
              <w:t>kohalike omavalitsuste,</w:t>
            </w:r>
            <w:r>
              <w:t xml:space="preserve"> avalike tööturuasutuste, sotsiaalpartnerite, </w:t>
            </w:r>
            <w:r>
              <w:rPr>
                <w:b/>
                <w:i/>
              </w:rPr>
              <w:t>sotsiaal- ja tervishoiuteenuste osutajate,</w:t>
            </w:r>
            <w:r>
              <w:t xml:space="preserve"> tööturu osaliste</w:t>
            </w:r>
            <w:r>
              <w:rPr>
                <w:b/>
                <w:i/>
              </w:rPr>
              <w:t>, haridus- ja koolitusasutuste</w:t>
            </w:r>
            <w:r>
              <w:t xml:space="preserve">, riiklike noortenõukogude ja </w:t>
            </w:r>
            <w:r>
              <w:rPr>
                <w:b/>
                <w:i/>
              </w:rPr>
              <w:t>‑organisatsioonide ning</w:t>
            </w:r>
            <w:r>
              <w:t xml:space="preserve"> kodanikuühiskonna vahel kesk- ja kohalikul tasandil</w:t>
            </w:r>
            <w:r>
              <w:rPr>
                <w:b/>
                <w:i/>
              </w:rPr>
              <w:t>, sealhulgas kogukonnapõhiste, rohujuuretasandi ja noorte juhitud organisatsioonide või noortesaadikute vahel, kes töötavad otseselt alateenindatud noortega</w:t>
            </w:r>
            <w:r>
              <w:t>, tagamaks, et kõik töötavad NEET-noortele mõeldud teenuste integreeritud võrgustikus;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rõhutab, et </w:t>
            </w:r>
            <w:r>
              <w:rPr>
                <w:b/>
                <w:i/>
              </w:rPr>
              <w:t>tugevdatud noortegarantii eduka rakendamise</w:t>
            </w:r>
            <w:r>
              <w:t xml:space="preserve"> tagamiseks on </w:t>
            </w:r>
            <w:r>
              <w:rPr>
                <w:b/>
                <w:i/>
              </w:rPr>
              <w:t>oluline koostööl põhinev lähenemisviis;</w:t>
            </w:r>
            <w:r>
              <w:t xml:space="preserve"> </w:t>
            </w:r>
            <w:r>
              <w:rPr>
                <w:b/>
                <w:i/>
              </w:rPr>
              <w:t>kutsub liikmesriike üles tugevdama</w:t>
            </w:r>
            <w:r>
              <w:t xml:space="preserve"> koostööd </w:t>
            </w:r>
            <w:r>
              <w:rPr>
                <w:b/>
                <w:i/>
              </w:rPr>
              <w:t>ministeeriumide, avalike tööturuasutuste</w:t>
            </w:r>
            <w:r>
              <w:t>, sotsiaalpartnerite</w:t>
            </w:r>
            <w:r>
              <w:rPr>
                <w:b/>
                <w:i/>
              </w:rPr>
              <w:t>, tööturu osaliste, riiklike noortenõukogude ja kodanikuühiskonna</w:t>
            </w:r>
            <w:r>
              <w:t xml:space="preserve"> vahel kesk- ja kohalikul tasandil</w:t>
            </w:r>
            <w:r>
              <w:rPr>
                <w:b/>
                <w:i/>
              </w:rPr>
              <w:t>, tagamaks, et kõik töötavad NEET-noortele mõeldud teenuste integreeritud võrgustikus</w:t>
            </w:r>
            <w:r>
              <w:t>;</w:t>
            </w:r>
          </w:p>
        </w:tc>
        <w:tc>
          <w:tcPr>
            <w:tcW w:w="4876" w:type="dxa"/>
            <w:tcBorders>
              <w:top w:val="nil"/>
              <w:left w:val="nil"/>
              <w:bottom w:val="nil"/>
              <w:right w:val="nil"/>
            </w:tcBorders>
          </w:tcPr>
          <w:p>
            <w:pPr>
              <w:pStyle w:val="Normal6a"/>
            </w:pPr>
            <w:r>
              <w:t>17.</w:t>
            </w:r>
            <w:r>
              <w:tab/>
            </w:r>
            <w:r>
              <w:t xml:space="preserve">rõhutab, et </w:t>
            </w:r>
            <w:r>
              <w:rPr>
                <w:b/>
                <w:i/>
              </w:rPr>
              <w:t>NEET-noortele igakülgse toetuse</w:t>
            </w:r>
            <w:r>
              <w:t xml:space="preserve"> tagamiseks on </w:t>
            </w:r>
            <w:r>
              <w:rPr>
                <w:b/>
                <w:i/>
              </w:rPr>
              <w:t>vaja tõhustatud</w:t>
            </w:r>
            <w:r>
              <w:t xml:space="preserve"> koostööd </w:t>
            </w:r>
            <w:r>
              <w:rPr>
                <w:b/>
                <w:i/>
              </w:rPr>
              <w:t>pädevate asutuste</w:t>
            </w:r>
            <w:r>
              <w:t xml:space="preserve">, sotsiaalpartnerite </w:t>
            </w:r>
            <w:r>
              <w:rPr>
                <w:b/>
                <w:i/>
              </w:rPr>
              <w:t>ja noorteorganisatsioonide</w:t>
            </w:r>
            <w:r>
              <w:t xml:space="preserve"> vahel kesk- ja kohalikul tasandil;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rõhutab, et tugevdatud noortegarantii eduka rakendamise tagamiseks on oluline koostööl põhinev lähenemisviis; kutsub liikmesriike üles tugevdama koostööd ministeeriumide, avalike tööturuasutuste, sotsiaalpartnerite, tööturu osaliste, riiklike noortenõukogude ja kodanikuühiskonna vahel kesk- ja kohalikul tasandil, tagamaks, et kõik töötavad NEET-noortele mõeldud teenuste integreeritud võrgustikus;</w:t>
            </w:r>
          </w:p>
        </w:tc>
        <w:tc>
          <w:tcPr>
            <w:tcW w:w="4876" w:type="dxa"/>
            <w:tcBorders>
              <w:top w:val="nil"/>
              <w:left w:val="nil"/>
              <w:bottom w:val="nil"/>
              <w:right w:val="nil"/>
            </w:tcBorders>
          </w:tcPr>
          <w:p>
            <w:pPr>
              <w:pStyle w:val="Normal6a"/>
            </w:pPr>
            <w:r>
              <w:t>17.</w:t>
            </w:r>
            <w:r>
              <w:tab/>
            </w:r>
            <w:r>
              <w:t xml:space="preserve">rõhutab, et tugevdatud noortegarantii eduka rakendamise tagamiseks on oluline koostööl põhinev lähenemisviis; kutsub liikmesriike üles tugevdama koostööd ministeeriumide, avalike tööturuasutuste, sotsiaalpartnerite, tööturu osaliste, riiklike noortenõukogude ja kodanikuühiskonna vahel kesk- ja kohalikul tasandil, tagamaks, et kõik töötavad NEET-noortele mõeldud teenuste integreeritud võrgustikus; </w:t>
            </w:r>
            <w:r>
              <w:rPr>
                <w:b/>
                <w:i/>
              </w:rPr>
              <w:t>innustab arendama duaalõpet, õpipoisiõpet ja töökohapõhist õpet kui peamisi vahendeid noorte tööalase konkurentsivõime parandamiseks;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rõhutab, et tugevdatud noortegarantii eduka rakendamise tagamiseks on oluline koostööl põhinev lähenemisviis; kutsub liikmesriike üles tugevdama koostööd ministeeriumide, avalike tööturuasutuste, sotsiaalpartnerite, tööturu osaliste, riiklike noortenõukogude ja kodanikuühiskonna vahel kesk- ja kohalikul tasandil, tagamaks, et kõik töötavad NEET-noortele mõeldud teenuste integreeritud võrgustikus;</w:t>
            </w:r>
          </w:p>
        </w:tc>
        <w:tc>
          <w:tcPr>
            <w:tcW w:w="4876" w:type="dxa"/>
            <w:tcBorders>
              <w:top w:val="nil"/>
              <w:left w:val="nil"/>
              <w:bottom w:val="nil"/>
              <w:right w:val="nil"/>
            </w:tcBorders>
          </w:tcPr>
          <w:p>
            <w:pPr>
              <w:pStyle w:val="Normal6a"/>
            </w:pPr>
            <w:r>
              <w:t>17.</w:t>
            </w:r>
            <w:r>
              <w:tab/>
            </w:r>
            <w:r>
              <w:t>rõhutab, et tugevdatud noortegarantii eduka rakendamise tagamiseks on oluline koostööl põhinev lähenemisviis; kutsub liikmesriike üles tugevdama koostööd ministeeriumide, avalike tööturuasutuste</w:t>
            </w:r>
            <w:r>
              <w:rPr>
                <w:b/>
                <w:i/>
              </w:rPr>
              <w:t>, koos sisulise osalemisega ametiühingute otsuste tegemises</w:t>
            </w:r>
            <w:r>
              <w:t>, sotsiaalpartnerite, tööturu osaliste, riiklike noortenõukogude ja kodanikuühiskonna vahel kesk- ja kohalikul tasandil, tagamaks, et kõik töötavad NEET-noortele mõeldud teenuste integreeritud võrgustikus;</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rõhutab, et tugevdatud noortegarantii eduka rakendamise tagamiseks on oluline koostööl põhinev lähenemisviis; kutsub liikmesriike üles tugevdama koostööd ministeeriumide, avalike tööturuasutuste, sotsiaalpartnerite, tööturu osaliste, riiklike noortenõukogude ja kodanikuühiskonna vahel kesk- ja kohalikul tasandil, tagamaks, et kõik töötavad NEET-noortele mõeldud teenuste integreeritud võrgustikus;</w:t>
            </w:r>
          </w:p>
        </w:tc>
        <w:tc>
          <w:tcPr>
            <w:tcW w:w="4876" w:type="dxa"/>
            <w:tcBorders>
              <w:top w:val="nil"/>
              <w:left w:val="nil"/>
              <w:bottom w:val="nil"/>
              <w:right w:val="nil"/>
            </w:tcBorders>
          </w:tcPr>
          <w:p>
            <w:pPr>
              <w:pStyle w:val="Normal6a"/>
            </w:pPr>
            <w:r>
              <w:t>17.</w:t>
            </w:r>
            <w:r>
              <w:tab/>
            </w:r>
            <w:r>
              <w:t xml:space="preserve">rõhutab, et tugevdatud noortegarantii eduka rakendamise tagamiseks on oluline koostööl põhinev lähenemisviis; kutsub liikmesriike üles tugevdama koostööd ministeeriumide, avalike tööturuasutuste, sotsiaalpartnerite, </w:t>
            </w:r>
            <w:r>
              <w:rPr>
                <w:b/>
                <w:i/>
              </w:rPr>
              <w:t>sotsiaalkindlustusteenuste osutajate,</w:t>
            </w:r>
            <w:r>
              <w:t xml:space="preserve"> tööturu osaliste, riiklike noortenõukogude ja kodanikuühiskonna vahel kesk- ja kohalikul tasandil, tagamaks, et kõik töötavad NEET-noortele mõeldud teenuste </w:t>
            </w:r>
            <w:r>
              <w:rPr>
                <w:b/>
                <w:i/>
              </w:rPr>
              <w:t>koordineeritud ja</w:t>
            </w:r>
            <w:r>
              <w:t xml:space="preserve"> integreeritud võrgustikus;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rõhutab, et tugevdatud noortegarantii eduka rakendamise tagamiseks on oluline koostööl põhinev lähenemisviis; kutsub liikmesriike üles tugevdama koostööd ministeeriumide, avalike tööturuasutuste, sotsiaalpartnerite, tööturu osaliste, riiklike noortenõukogude ja kodanikuühiskonna vahel kesk- ja kohalikul tasandil, tagamaks, et kõik töötavad NEET-noortele mõeldud teenuste integreeritud võrgustikus;</w:t>
            </w:r>
          </w:p>
        </w:tc>
        <w:tc>
          <w:tcPr>
            <w:tcW w:w="4876" w:type="dxa"/>
            <w:tcBorders>
              <w:top w:val="nil"/>
              <w:left w:val="nil"/>
              <w:bottom w:val="nil"/>
              <w:right w:val="nil"/>
            </w:tcBorders>
          </w:tcPr>
          <w:p>
            <w:pPr>
              <w:pStyle w:val="Normal6a"/>
            </w:pPr>
            <w:r>
              <w:t>17.</w:t>
            </w:r>
            <w:r>
              <w:tab/>
            </w:r>
            <w:r>
              <w:t>rõhutab, et tugevdatud noortegarantii eduka rakendamise tagamiseks on oluline koostööl põhinev lähenemisviis; kutsub liikmesriike üles tugevdama koostööd ministeeriumide, avalike tööturuasutuste, sotsiaalpartnerite, tööturu osaliste, riiklike noortenõukogude ja kodanikuühiskonna</w:t>
            </w:r>
            <w:r>
              <w:rPr>
                <w:b/>
                <w:i/>
              </w:rPr>
              <w:t>, sealhulgas noorteorganisatsioonide</w:t>
            </w:r>
            <w:r>
              <w:t xml:space="preserve"> vahel kesk- ja kohalikul tasandil, tagamaks, et kõik töötavad NEET-noortele mõeldud teenuste integreeritud võrgustikus;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 – lõik 1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rõhutab, kui oluline on arendada valdkondlikke partnerlusi ja kohalikke tööandjate võrgustikke, sealhulgas VKEde ja sotsiaalmajanduses osalejatega, et suurendada teadlikkust, kavandada ühiselt noortegarantii pakkumisi ning parandada töövahendust ja töövõimalusi noortele;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innustab liikmesriike võtma tugevdatud noortegarantii rakendamisel piirkondliku ja territoriaalse lähenemisviisi, mis on suunatud NUTS 2 piirkondadele, kus NEET-noorte ja noorte töötuse määr on kõige kõrgem;</w:t>
            </w:r>
            <w:r>
              <w:t xml:space="preserve"> </w:t>
            </w:r>
            <w:r>
              <w:rPr>
                <w:b/>
                <w:i/>
              </w:rPr>
              <w:t>rõhutab, et see territoriaalne lähenemisviis peab olema seotud eelarveeraldisega ja selle suhtes tuleb kohaldada riiklikku järelevalvet, et tagada kogu riigis võrdsed toetuse ja pakkumise nõuded;</w:t>
            </w:r>
            <w:r>
              <w:t xml:space="preserve"> </w:t>
            </w:r>
            <w:r>
              <w:rPr>
                <w:b/>
                <w:i/>
              </w:rPr>
              <w:t>rõhutab lisaks, et see lähenemisviis peaks hõlmama erimeetmeid maapiirkondade jaoks, nagu maapiirkondade NEET-noortele spetsiifilise koolituse pakkumine ning avalike tööturuasutuste füüsilise taristu parandamine koos digi- ja mobiilsete lahendustega;</w:t>
            </w:r>
            <w:r>
              <w:t xml:space="preserve"> </w:t>
            </w:r>
            <w:r>
              <w:rPr>
                <w:b/>
                <w:i/>
              </w:rPr>
              <w:t>kutsub lisaks liikmesriike üles kaasama kohalikke omavalitsusi tihedamalt tugevdatud noortegarantii kavade kavandamisse, et suurendada nende isevastutust ja tagada nende järjepidev rakendamine kogu oma territooriumil kooskõlas riikliku tegevuskavaga;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rõhutab, kui oluline on viia noortegarantii meetmed kooskõlla riiklike tööturu prioriteetide ja valdkondlike oskuste strateegiatega, eelkõige sektorites, kus valitseb struktuurne tööjõupuudus, nagu tootmine, digitehnoloogia, tervishoiuteenused ja tehnilised kutsealad;</w:t>
            </w:r>
            <w:r>
              <w:t xml:space="preserve"> </w:t>
            </w:r>
            <w:r>
              <w:rPr>
                <w:b/>
                <w:i/>
              </w:rPr>
              <w:t>rõhutab, et noorte tööhõivepoliitika peab vastama tegelikule majanduslikule nõudlusele ning aitama tugevdada Euroopa tootmisvõimsust ja konkurentsivõimet;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kutsub komisjoni ja liikmesriike üles kaasama noorteorganisatsioone sisuliselt tugevdatud noortegarantii rakendamisse, seiresse ja hindamisse ning poliitika tulevasse läbivaatamisse;</w:t>
            </w:r>
            <w:r>
              <w:t xml:space="preserve"> </w:t>
            </w:r>
            <w:r>
              <w:rPr>
                <w:b/>
                <w:i/>
              </w:rPr>
              <w:t>rõhutab, et konsulteerimine noortega, eelkõige NEET-noorte ja haavatavate NEET-noortega, tagab, et nende kogemused aitavad otseselt kaasa tulemuslikumale teadlikkuse suurendamisele, teavitustegevusele ja tulemuste saavutamisele, eelkõige tööturult enim tõrjutud inimeste jaoks;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tunnustab noortegarantii teadmuskeskust</w:t>
            </w:r>
            <w:r>
              <w:rPr>
                <w:b/>
                <w:i/>
                <w:vertAlign w:val="superscript"/>
              </w:rPr>
              <w:t>29a</w:t>
            </w:r>
            <w:r>
              <w:t xml:space="preserve"> </w:t>
            </w:r>
            <w:r>
              <w:rPr>
                <w:b/>
                <w:i/>
              </w:rPr>
              <w:t>ja kutsub komisjoni üles seda andmebaasi ajakohastama, keskendudes varasematele algatustele, mis on osutunud edukaks NEET-noorte toetamisel ja nende kestlikul tööturule integreerimisel;</w:t>
            </w:r>
            <w:r>
              <w:t xml:space="preserve"> </w:t>
            </w:r>
            <w:r>
              <w:rPr>
                <w:b/>
                <w:i/>
              </w:rPr>
              <w:t>on veendunud, et see teadmuskeskus peaks olema liikmesriikide vahel heade tavade sagedasema vahetamise alus, eelkõige seoses seire, aruandluse, juhtimise ja koostööga;</w:t>
            </w:r>
            <w:r>
              <w:t xml:space="preserve"> </w:t>
            </w:r>
            <w:r>
              <w:rPr>
                <w:b/>
                <w:i/>
              </w:rPr>
              <w:t>innustab liikmesriike tegema vastastikuseid hindamisi ja korraldama piiriüleseid projekte tugevdatud noortegarantii rakendamiseks;</w:t>
            </w:r>
            <w:r>
              <w:t xml:space="preserve"> </w:t>
            </w:r>
            <w:r>
              <w:rPr>
                <w:b/>
                <w:i/>
              </w:rPr>
              <w:t>kutsub komisjoni üles tagama noortegarantii koordinaatorite koosolekute suurema läbipaistvuse ja laiendama asjakohasel juhul nendel osalemist, et kaasata muid sidusrühmi, näiteks kodanikuühiskonda;</w:t>
            </w:r>
            <w:r>
              <w:t xml:space="preserve"> </w:t>
            </w:r>
            <w:r>
              <w:rPr>
                <w:b/>
                <w:i/>
              </w:rPr>
              <w:t>on seisukohal, et selle Euroopa tasandi koostööga peaksid kaasnema tihedamad parlamentidevahelised suhted;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29a</w:t>
            </w:r>
            <w:r>
              <w:t xml:space="preserve"> </w:t>
            </w:r>
            <w:r>
              <w:rPr>
                <w:b/>
                <w:i/>
              </w:rPr>
              <w:t>https://employment-social-affairs.ec.europa.eu/policies-and-activities/eu-employment-policies/youth-employment-support/reinforced-youth-guarantee/youth-guarantee-knowledge-centre_en.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17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kutsub komisjoni ja liikmesriike üles suurendama teadlikkust tugevdatud noortegarantiist ning parandama selle kättesaadavust ja kasutatavust;</w:t>
            </w:r>
            <w:r>
              <w:t xml:space="preserve"> </w:t>
            </w:r>
            <w:r>
              <w:rPr>
                <w:b/>
                <w:i/>
              </w:rPr>
              <w:t>nõuab koostööd noorterühmadega, et töötada välja kaasavamad suhtluskanalid ning tagada lihtsustatud, selge ja kasutajasõbralik keelekasutus ja kord;</w:t>
            </w:r>
            <w:r>
              <w:t xml:space="preserve"> </w:t>
            </w:r>
            <w:r>
              <w:rPr>
                <w:b/>
                <w:i/>
              </w:rPr>
              <w:t>rõhutab, kui oluline on ühtne ja pidev kuvandi kujundamine, sealhulgas äratuntav visuaalne identiteet, et teavitada sellest selgelt kui ELi rahastatavast algatusest, et suurendada üldsuse teadlikkust;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kutsub komisjoni ja liikmesriike üles lisama tugevdatud noortegarantii kavadesse ennetavate meetmete kogumi, mis keskendub haridussüsteemist varakult </w:t>
            </w:r>
            <w:r>
              <w:rPr>
                <w:b/>
                <w:i/>
              </w:rPr>
              <w:t>lahkumisele, et vältida hilisemat mõju noorte elule</w:t>
            </w:r>
            <w:r>
              <w:t>;</w:t>
            </w:r>
          </w:p>
        </w:tc>
        <w:tc>
          <w:tcPr>
            <w:tcW w:w="4876" w:type="dxa"/>
            <w:tcBorders>
              <w:top w:val="nil"/>
              <w:left w:val="nil"/>
              <w:bottom w:val="nil"/>
              <w:right w:val="nil"/>
            </w:tcBorders>
          </w:tcPr>
          <w:p>
            <w:pPr>
              <w:pStyle w:val="Normal6a"/>
            </w:pPr>
            <w:r>
              <w:t>18.</w:t>
            </w:r>
            <w:r>
              <w:tab/>
            </w:r>
            <w:r>
              <w:rPr>
                <w:b/>
                <w:i/>
              </w:rPr>
              <w:t>selleks et vältida hilisemat mõju noorte elule,</w:t>
            </w:r>
            <w:r>
              <w:t xml:space="preserve"> kutsub komisjoni ja liikmesriike üles lisama tugevdatud noortegarantii kavadesse ennetavate meetmete kogumi, mis keskendub </w:t>
            </w:r>
            <w:r>
              <w:rPr>
                <w:b/>
                <w:i/>
              </w:rPr>
              <w:t>individuaalsele nõustamisele ja juhendamisele, et võidelda</w:t>
            </w:r>
            <w:r>
              <w:t xml:space="preserve"> haridussüsteemist varakult </w:t>
            </w:r>
            <w:r>
              <w:rPr>
                <w:b/>
                <w:i/>
              </w:rPr>
              <w:t>lahkumise vastu, ning psühhosotsiaalsed toetavad meetmed seoses täiendusõppe ja tööturule kaasamisega;</w:t>
            </w:r>
            <w:r>
              <w:t xml:space="preserve"> </w:t>
            </w:r>
            <w:r>
              <w:rPr>
                <w:b/>
                <w:i/>
              </w:rPr>
              <w:t>ergutab liikmesriike töötama tugevdatud noortegarantii raames välja digi- ja tehisintellektiga seotud oskuste koolitusprogramme, tagamaks, et noored toetusesaajad omandavad põhilised tegevusoskused digivahendite ja tehisintellektisüsteemide kasutamiseks ning kriitilise mõtlemise võime nendega seotud riskide ja eetiliste mõjude hindamiseks kooskõlas määruse (EL) 2024/1689 (tehisintellekti käsitlev määrus) artiklis 4 sätestatud tehisintellektipädevust käsitlevate sätetega</w:t>
            </w:r>
            <w:r>
              <w:t xml:space="preserve">; </w:t>
            </w:r>
            <w:r>
              <w:rPr>
                <w:b/>
                <w:i/>
              </w:rPr>
              <w:t>rõhutab, et digi- ja tehisintellektialased oskused tuleb integreerida kutsehariduse ja -õppe võimalustesse ning neid ei tohiks käsitada täiendavate valikuliste moodulitena;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kutsub komisjoni ja liikmesriike üles lisama tugevdatud noortegarantii kavadesse ennetavate meetmete kogumi, mis keskendub haridussüsteemist varakult lahkumisele, et vältida hilisemat mõju noorte elule;</w:t>
            </w:r>
          </w:p>
        </w:tc>
        <w:tc>
          <w:tcPr>
            <w:tcW w:w="4876" w:type="dxa"/>
            <w:tcBorders>
              <w:top w:val="nil"/>
              <w:left w:val="nil"/>
              <w:bottom w:val="nil"/>
              <w:right w:val="nil"/>
            </w:tcBorders>
          </w:tcPr>
          <w:p>
            <w:pPr>
              <w:pStyle w:val="Normal6a"/>
            </w:pPr>
            <w:r>
              <w:t>18.</w:t>
            </w:r>
            <w:r>
              <w:tab/>
            </w:r>
            <w:r>
              <w:t xml:space="preserve">kutsub komisjoni ja liikmesriike üles lisama tugevdatud noortegarantii kavadesse ennetavate meetmete kogumi, mis keskendub haridussüsteemist varakult lahkumisele, et vältida hilisemat mõju noorte elule; </w:t>
            </w:r>
            <w:r>
              <w:rPr>
                <w:b/>
                <w:i/>
              </w:rPr>
              <w:t>on seisukohal, et need programmid peaksid hõlmama mehhanisme, mille kaudu koolid saaksid teatada kooliskäimise või õpitulemuste põhjal riskijuhtumitest tugevdatud noortegarantii eest vastutavatele teenistustele kaardistamise parandamise eesmärgil, koolist väljalangemise ohus olevate noorte juhendamise meetmeid, koostööd, et suurendada perede suutlikkust ning arendada kodanikuõpet ja oma karjääriotsuste eest vastutamise tunnet, ning nõuet korraldada madala haridustasemega noortega vestlusi, et edendada individuaalset strateegiat seoses edasise õppimise, töö või muude elu eesmärkidega;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kutsub komisjoni ja liikmesriike üles lisama tugevdatud noortegarantii kavadesse ennetavate meetmete kogumi, mis keskendub haridussüsteemist varakult lahkumisele, et vältida hilisemat mõju noorte elule;</w:t>
            </w:r>
          </w:p>
        </w:tc>
        <w:tc>
          <w:tcPr>
            <w:tcW w:w="4876" w:type="dxa"/>
            <w:tcBorders>
              <w:top w:val="nil"/>
              <w:left w:val="nil"/>
              <w:bottom w:val="nil"/>
              <w:right w:val="nil"/>
            </w:tcBorders>
          </w:tcPr>
          <w:p>
            <w:pPr>
              <w:pStyle w:val="Normal6a"/>
            </w:pPr>
            <w:r>
              <w:t>18.</w:t>
            </w:r>
            <w:r>
              <w:tab/>
            </w:r>
            <w:r>
              <w:t xml:space="preserve">kutsub komisjoni ja liikmesriike üles lisama tugevdatud noortegarantii kavadesse ennetavate meetmete kogumi, mis keskendub haridussüsteemist varakult lahkumisele, et vältida hilisemat mõju noorte elule; </w:t>
            </w:r>
            <w:r>
              <w:rPr>
                <w:b/>
                <w:i/>
              </w:rPr>
              <w:t>need poliitikameetmed peaksid hõlmama ka tugevamaid karjäärinõustamisteenuseid ja mentorlusprogramme, millesse on kaasatud tööandjad ja spetsialistid, et aidata noortel teha teadlikke haridus- ja koolitusvalikuid;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kutsub komisjoni ja liikmesriike üles </w:t>
            </w:r>
            <w:r>
              <w:rPr>
                <w:b/>
                <w:i/>
              </w:rPr>
              <w:t>lisama</w:t>
            </w:r>
            <w:r>
              <w:t xml:space="preserve"> tugevdatud noortegarantii </w:t>
            </w:r>
            <w:r>
              <w:rPr>
                <w:b/>
                <w:i/>
              </w:rPr>
              <w:t>kavadesse ennetavate meetmete kogumi, mis keskendub</w:t>
            </w:r>
            <w:r>
              <w:t xml:space="preserve"> haridussüsteemist varakult </w:t>
            </w:r>
            <w:r>
              <w:rPr>
                <w:b/>
                <w:i/>
              </w:rPr>
              <w:t>lahkumisele, et vältida hilisemat mõju noorte elule</w:t>
            </w:r>
            <w:r>
              <w:t>;</w:t>
            </w:r>
          </w:p>
        </w:tc>
        <w:tc>
          <w:tcPr>
            <w:tcW w:w="4876" w:type="dxa"/>
            <w:tcBorders>
              <w:top w:val="nil"/>
              <w:left w:val="nil"/>
              <w:bottom w:val="nil"/>
              <w:right w:val="nil"/>
            </w:tcBorders>
          </w:tcPr>
          <w:p>
            <w:pPr>
              <w:pStyle w:val="Normal6a"/>
            </w:pPr>
            <w:r>
              <w:t>18.</w:t>
            </w:r>
            <w:r>
              <w:tab/>
            </w:r>
            <w:r>
              <w:t xml:space="preserve">kutsub komisjoni ja liikmesriike üles </w:t>
            </w:r>
            <w:r>
              <w:rPr>
                <w:b/>
                <w:i/>
              </w:rPr>
              <w:t>veelgi tugevdama varajase hoiatamise süsteeme</w:t>
            </w:r>
            <w:r>
              <w:t xml:space="preserve"> tugevdatud noortegarantii </w:t>
            </w:r>
            <w:r>
              <w:rPr>
                <w:b/>
                <w:i/>
              </w:rPr>
              <w:t>kavade raames, et teha kindlaks noored, kellel on oht muutuda NEET-noorteks;</w:t>
            </w:r>
            <w:r>
              <w:t xml:space="preserve"> </w:t>
            </w:r>
            <w:r>
              <w:rPr>
                <w:b/>
                <w:i/>
              </w:rPr>
              <w:t>nõuab ennetavaid meetmeid, nagu oskuste hindamine ning karjääri- ja kutsenõustamine, et tegeleda</w:t>
            </w:r>
            <w:r>
              <w:t xml:space="preserve"> haridussüsteemist varakult </w:t>
            </w:r>
            <w:r>
              <w:rPr>
                <w:b/>
                <w:i/>
              </w:rPr>
              <w:t>lahkumise probleemiga, et vähendada pikaajalise tööturult tõrjutuse tõenäosust ja selle negatiivset mõju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kutsub komisjoni ja liikmesriike üles lisama tugevdatud noortegarantii kavadesse ennetavate meetmete kogumi, mis keskendub haridussüsteemist varakult lahkumisele, et vältida </w:t>
            </w:r>
            <w:r>
              <w:rPr>
                <w:b/>
                <w:i/>
              </w:rPr>
              <w:t>hilisemat</w:t>
            </w:r>
            <w:r>
              <w:t xml:space="preserve"> mõju noorte elule;</w:t>
            </w:r>
          </w:p>
        </w:tc>
        <w:tc>
          <w:tcPr>
            <w:tcW w:w="4876" w:type="dxa"/>
            <w:tcBorders>
              <w:top w:val="nil"/>
              <w:left w:val="nil"/>
              <w:bottom w:val="nil"/>
              <w:right w:val="nil"/>
            </w:tcBorders>
          </w:tcPr>
          <w:p>
            <w:pPr>
              <w:pStyle w:val="Normal6a"/>
            </w:pPr>
            <w:r>
              <w:t>18.</w:t>
            </w:r>
            <w:r>
              <w:tab/>
            </w:r>
            <w:r>
              <w:t xml:space="preserve">kutsub komisjoni ja liikmesriike üles lisama tugevdatud noortegarantii kavadesse ennetavate meetmete kogumi, mis keskendub haridussüsteemist varakult lahkumisele, </w:t>
            </w:r>
            <w:r>
              <w:rPr>
                <w:b/>
                <w:i/>
              </w:rPr>
              <w:t>sealhulgas tugevdatud tugiteenuste, juhendamise ja nõustamise ning tihedama koostöö kaudu haridus-, sotsiaal- ja tööturuasutuste vahel,</w:t>
            </w:r>
            <w:r>
              <w:t xml:space="preserve"> et vältida </w:t>
            </w:r>
            <w:r>
              <w:rPr>
                <w:b/>
                <w:i/>
              </w:rPr>
              <w:t>pikaajalist</w:t>
            </w:r>
            <w:r>
              <w:t xml:space="preserve"> mõju noorte elule;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kutsub </w:t>
            </w:r>
            <w:r>
              <w:rPr>
                <w:b/>
                <w:i/>
              </w:rPr>
              <w:t>komisjoni ja</w:t>
            </w:r>
            <w:r>
              <w:t xml:space="preserve"> liikmesriike üles lisama tugevdatud noortegarantii kavadesse ennetavate meetmete kogumi, mis keskendub haridussüsteemist varakult lahkumisele, et vältida hilisemat mõju noorte elule;</w:t>
            </w:r>
          </w:p>
        </w:tc>
        <w:tc>
          <w:tcPr>
            <w:tcW w:w="4876" w:type="dxa"/>
            <w:tcBorders>
              <w:top w:val="nil"/>
              <w:left w:val="nil"/>
              <w:bottom w:val="nil"/>
              <w:right w:val="nil"/>
            </w:tcBorders>
          </w:tcPr>
          <w:p>
            <w:pPr>
              <w:pStyle w:val="Normal6a"/>
            </w:pPr>
            <w:r>
              <w:t>18.</w:t>
            </w:r>
            <w:r>
              <w:tab/>
            </w:r>
            <w:r>
              <w:t>kutsub liikmesriike üles lisama tugevdatud noortegarantii kavadesse ennetavate meetmete kogumi, mis keskendub haridussüsteemist varakult lahkumisele, et vältida hilisemat mõju noorte elule;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on seisukohal, et need ennetusmeetmed peaksid hõlmama elukestvat nõustamist, mis võimaldab inimestel alates noorest east mõista oma õpiteekonda ja karjäärivajadusi, samuti teavet võimaluste kohta ajakohastada oma oskusi vastavalt tööturule, et anda neile võimalus haarata kontroll oma elu ja karjääri üle;</w:t>
            </w:r>
            <w:r>
              <w:t xml:space="preserve"> </w:t>
            </w:r>
            <w:r>
              <w:rPr>
                <w:b/>
                <w:i/>
              </w:rPr>
              <w:t>rõhutab, et elukestev nõustamine võib toimuda ka mitteformaalses või informaalses vormis, et jõuda haavatavate rühmadeni;</w:t>
            </w:r>
            <w:r>
              <w:t xml:space="preserve"> </w:t>
            </w:r>
            <w:r>
              <w:rPr>
                <w:b/>
                <w:i/>
              </w:rPr>
              <w:t>ergutab liikmesriike töötama välja tõenditel põhineva elukestva nõustamise poliitika, mis põhineb kvaliteedistandarditel, sealhulgas karjäärinõustamine koolide õppekavades ning põhioskuste ja pehmete oskuste taasintegreerimise moodulid pikaajalistele töötutele või mitteaktiivsetele noortele;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kutsub komisjoni ja liikmesriike üles parandama NEET-noorte profiilianalüüsi ning seirevahendeid ja tavasid, võttes kasutusele sootundliku lähenemisviisi, et viia vajadused ja reageerimine paremini vastavusse ning vähendada soolist lõhet;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18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nõuab tungivalt, et madala kvalifikatsiooniga NEET-noorte oskusi täiendataks nende vajadustele kohandatud pakkumistega, nagu mikrokraadiga tõendatud lühikesed veebipõhised digi-, keele-, põhi- ja ettevõtlusoskuste ning finantskirjaoskuse teemalised kursused;</w:t>
            </w:r>
            <w:r>
              <w:t xml:space="preserve"> </w:t>
            </w:r>
            <w:r>
              <w:rPr>
                <w:b/>
                <w:i/>
              </w:rPr>
              <w:t>tunnustab jõupingutusi, mida liikmesriigid on teinud seoses täiend- ja ümberõppe programmidega;</w:t>
            </w:r>
            <w:r>
              <w:t xml:space="preserve"> </w:t>
            </w:r>
            <w:r>
              <w:rPr>
                <w:b/>
                <w:i/>
              </w:rPr>
              <w:t>rõhutab, et enamikul juhtudel ei ole vaja luua tugevdatud noortegarantii jaoks konkreetseid oskuste omandamise programme, vaid pigem luua toetusesaajatele sihtotstarbelisi võimalusi olemasolevate riiklike süsteemide raames;</w:t>
            </w:r>
            <w:r>
              <w:t xml:space="preserve"> </w:t>
            </w:r>
            <w:r>
              <w:rPr>
                <w:b/>
                <w:i/>
              </w:rPr>
              <w:t>on veendunud, et haavatavaid noori tuleks rohkem toetada õpipoisiõppele ja kutseõppele juurdepääsul, eelkõige üleminekuetapis olevates sektorites;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kutsub liikmesriike üles tugevdama kutsehariduse ja -õppe </w:t>
            </w:r>
            <w:r>
              <w:rPr>
                <w:b/>
                <w:i/>
              </w:rPr>
              <w:t>pakkumist</w:t>
            </w:r>
            <w:r>
              <w:t xml:space="preserve"> ning ajakohastama elukestva õppe süsteeme, eelkõige uurides võimalusi isiklike koolituskontode </w:t>
            </w:r>
            <w:r>
              <w:rPr>
                <w:b/>
                <w:i/>
              </w:rPr>
              <w:t>või</w:t>
            </w:r>
            <w:r>
              <w:t xml:space="preserve"> koolitusfondide loomiseks kooskõlas riiklike mudelitega;</w:t>
            </w:r>
          </w:p>
        </w:tc>
        <w:tc>
          <w:tcPr>
            <w:tcW w:w="4876" w:type="dxa"/>
            <w:tcBorders>
              <w:top w:val="nil"/>
              <w:left w:val="nil"/>
              <w:bottom w:val="nil"/>
              <w:right w:val="nil"/>
            </w:tcBorders>
          </w:tcPr>
          <w:p>
            <w:pPr>
              <w:pStyle w:val="Normal6a"/>
            </w:pPr>
            <w:r>
              <w:t>19.</w:t>
            </w:r>
            <w:r>
              <w:tab/>
            </w:r>
            <w:r>
              <w:rPr>
                <w:b/>
                <w:i/>
              </w:rPr>
              <w:t>tuletab meelde, et direktiivis (EL) 2019/1152 on juba sätestatud, et kohustuslikku koolitust tuleb pakkuda tasuta, seda tuleb lugeda tööajaks ja see peab toimuma töötajate tööajal, märkides samas, et nende sätete ülevõtmine ja täitmise tagamine on liikmesriigiti endiselt ebaühtlane;</w:t>
            </w:r>
            <w:r>
              <w:t xml:space="preserve"> </w:t>
            </w:r>
            <w:r>
              <w:rPr>
                <w:b/>
                <w:i/>
              </w:rPr>
              <w:t>rõhutab, et NEET-noored jäävad selle kaitse alt täielikult välja;</w:t>
            </w:r>
            <w:r>
              <w:t xml:space="preserve"> </w:t>
            </w:r>
            <w:r>
              <w:rPr>
                <w:b/>
                <w:i/>
              </w:rPr>
              <w:t>kutsub liikmesriike üles tunnustama kõigi noorte individuaalset õigust koolitusele ja elukestvale õppele, olenemata nende tööalasest staatusest, ning töötavate noorte õigust tasuta ja tööajana arvestatavale koolitusele, et tagada täiend- ja ümberõpe ning karjääri arendamise toetus;</w:t>
            </w:r>
            <w:r>
              <w:t xml:space="preserve"> kutsub liikmesriike üles tugevdama </w:t>
            </w:r>
            <w:r>
              <w:rPr>
                <w:b/>
                <w:i/>
              </w:rPr>
              <w:t>oma</w:t>
            </w:r>
            <w:r>
              <w:t xml:space="preserve"> kutsehariduse ja -õppe </w:t>
            </w:r>
            <w:r>
              <w:rPr>
                <w:b/>
                <w:i/>
              </w:rPr>
              <w:t>pakkumisi</w:t>
            </w:r>
            <w:r>
              <w:t xml:space="preserve"> ning ajakohastama</w:t>
            </w:r>
            <w:r>
              <w:rPr>
                <w:b/>
                <w:i/>
              </w:rPr>
              <w:t> tihedas koostöös sotsiaalpartnerite ning haridus- ja koolitusasutustega</w:t>
            </w:r>
            <w:r>
              <w:t xml:space="preserve"> elukestva õppe süsteeme, eelkõige uurides võimalusi isiklike koolituskontode </w:t>
            </w:r>
            <w:r>
              <w:rPr>
                <w:b/>
                <w:i/>
              </w:rPr>
              <w:t>ja</w:t>
            </w:r>
            <w:r>
              <w:t xml:space="preserve"> koolitusfondide loomiseks kooskõlas riiklike mudelitega</w:t>
            </w:r>
            <w:r>
              <w:rPr>
                <w:b/>
                <w:i/>
              </w:rPr>
              <w:t>, ning tagama, et tugevdatud noortegarantii kavade raames pakutavat koolitust võetakse tunnustatud kvalifikatsioonide arvestamisel arvesse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kutsub liikmesriike üles tugevdama kutsehariduse ja -õppe pakkumist ning ajakohastama elukestva õppe süsteeme, eelkõige uurides võimalusi isiklike koolituskontode või koolitusfondide loomiseks kooskõlas riiklike mudelitega;</w:t>
            </w:r>
          </w:p>
        </w:tc>
        <w:tc>
          <w:tcPr>
            <w:tcW w:w="4876" w:type="dxa"/>
            <w:tcBorders>
              <w:top w:val="nil"/>
              <w:left w:val="nil"/>
              <w:bottom w:val="nil"/>
              <w:right w:val="nil"/>
            </w:tcBorders>
          </w:tcPr>
          <w:p>
            <w:pPr>
              <w:pStyle w:val="Normal6a"/>
            </w:pPr>
            <w:r>
              <w:t>19.</w:t>
            </w:r>
            <w:r>
              <w:tab/>
            </w:r>
            <w:r>
              <w:t xml:space="preserve">kutsub liikmesriike üles tugevdama kutsehariduse ja -õppe pakkumist ning ajakohastama elukestva õppe süsteeme, eelkõige uurides võimalusi isiklike koolituskontode või koolitusfondide loomiseks kooskõlas riiklike mudelitega; </w:t>
            </w:r>
            <w:r>
              <w:rPr>
                <w:b/>
                <w:i/>
              </w:rPr>
              <w:t>kutsub komisjoni üles tuginema tulevases ELi kutsehariduse ja -õppe strateegias Herningi deklaratsioonile</w:t>
            </w:r>
            <w:r>
              <w:rPr>
                <w:b/>
                <w:i/>
                <w:vertAlign w:val="superscript"/>
              </w:rPr>
              <w:t>30a</w:t>
            </w:r>
            <w:r>
              <w:rPr>
                <w:b/>
                <w:i/>
              </w:rPr>
              <w:t>, et parandada noorte jaoks nende võimaluste atraktiivsust, kvaliteeti, ülekantavust ja kaasavust ning näidata konkreetselt nende pakutavaid karjäärivõimalusi, eelkõige rohe- ja digipöörde ning tööturu nõudluse kontekstis;</w:t>
            </w:r>
            <w:r>
              <w:t xml:space="preserve"> </w:t>
            </w:r>
            <w:r>
              <w:rPr>
                <w:b/>
                <w:i/>
              </w:rPr>
              <w:t>väljendab sellega seoses heameelt Euroopa oskuste prognoosimise vaatluskeskuse loomist käsitleva teate üle, eelkõige selleks, et parandada oskuste prognoosimise alast suutlikkust;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30a</w:t>
            </w:r>
            <w:r>
              <w:t xml:space="preserve"> </w:t>
            </w:r>
            <w:r>
              <w:rPr>
                <w:b/>
                <w:i/>
              </w:rPr>
              <w:t>Herningi deklaratsioon atraktiivse ja kaasava kutsehariduse ja -koolituse kohta konkurentsivõime suurendamiseks ja kvaliteetsete töökohtade loomiseks aastatel 2026–2030 (september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kutsub liikmesriike üles </w:t>
            </w:r>
            <w:r>
              <w:rPr>
                <w:b/>
                <w:i/>
              </w:rPr>
              <w:t>tugevdama</w:t>
            </w:r>
            <w:r>
              <w:t xml:space="preserve"> kutsehariduse ja -õppe </w:t>
            </w:r>
            <w:r>
              <w:rPr>
                <w:b/>
                <w:i/>
              </w:rPr>
              <w:t>pakkumist ning ajakohastama</w:t>
            </w:r>
            <w:r>
              <w:t xml:space="preserve"> elukestva õppe </w:t>
            </w:r>
            <w:r>
              <w:rPr>
                <w:b/>
                <w:i/>
              </w:rPr>
              <w:t>süsteeme, eelkõige uurides võimalusi isiklike koolituskontode või koolitusfondide loomiseks kooskõlas riiklike mudelitega</w:t>
            </w:r>
            <w:r>
              <w:t>;</w:t>
            </w:r>
          </w:p>
        </w:tc>
        <w:tc>
          <w:tcPr>
            <w:tcW w:w="4876" w:type="dxa"/>
            <w:tcBorders>
              <w:top w:val="nil"/>
              <w:left w:val="nil"/>
              <w:bottom w:val="nil"/>
              <w:right w:val="nil"/>
            </w:tcBorders>
          </w:tcPr>
          <w:p>
            <w:pPr>
              <w:pStyle w:val="Normal6a"/>
            </w:pPr>
            <w:r>
              <w:t>19.</w:t>
            </w:r>
            <w:r>
              <w:tab/>
            </w:r>
            <w:r>
              <w:t xml:space="preserve">kutsub liikmesriike üles </w:t>
            </w:r>
            <w:r>
              <w:rPr>
                <w:b/>
                <w:i/>
              </w:rPr>
              <w:t>investeerima kvaliteetsetesse</w:t>
            </w:r>
            <w:r>
              <w:t xml:space="preserve"> kutsehariduse ja -õppe </w:t>
            </w:r>
            <w:r>
              <w:rPr>
                <w:b/>
                <w:i/>
              </w:rPr>
              <w:t>süsteemidesse kõigil tasanditel, sealhulgas kutsesuunitlusega kõrgharidusse, mis suudab tõhusalt vastata tööturu vajadustele;</w:t>
            </w:r>
            <w:r>
              <w:t xml:space="preserve"> </w:t>
            </w:r>
            <w:r>
              <w:rPr>
                <w:b/>
                <w:i/>
              </w:rPr>
              <w:t>nõuab samuti, et tõhustataks ja tugevdataks sotsiaalpartnerite hallatavaid kutsealadevahelisi koolitusmehhanisme kui olulist vahendit, millega tagada</w:t>
            </w:r>
            <w:r>
              <w:t xml:space="preserve"> elukestva õppe </w:t>
            </w:r>
            <w:r>
              <w:rPr>
                <w:b/>
                <w:i/>
              </w:rPr>
              <w:t>järjepidevus ja vältida oskuste enneaegset aegumist</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kutsub liikmesriike üles tugevdama kutsehariduse ja -õppe </w:t>
            </w:r>
            <w:r>
              <w:rPr>
                <w:b/>
                <w:i/>
              </w:rPr>
              <w:t>pakkumist</w:t>
            </w:r>
            <w:r>
              <w:t xml:space="preserve"> ning ajakohastama elukestva õppe süsteeme, eelkõige </w:t>
            </w:r>
            <w:r>
              <w:rPr>
                <w:b/>
                <w:i/>
              </w:rPr>
              <w:t>uurides võimalusi isiklike koolituskontode või koolitusfondide loomiseks</w:t>
            </w:r>
            <w:r>
              <w:t xml:space="preserve"> kooskõlas riiklike mudelitega;</w:t>
            </w:r>
          </w:p>
        </w:tc>
        <w:tc>
          <w:tcPr>
            <w:tcW w:w="4876" w:type="dxa"/>
            <w:tcBorders>
              <w:top w:val="nil"/>
              <w:left w:val="nil"/>
              <w:bottom w:val="nil"/>
              <w:right w:val="nil"/>
            </w:tcBorders>
          </w:tcPr>
          <w:p>
            <w:pPr>
              <w:pStyle w:val="Normal6a"/>
            </w:pPr>
            <w:r>
              <w:t>19.</w:t>
            </w:r>
            <w:r>
              <w:tab/>
            </w:r>
            <w:r>
              <w:t xml:space="preserve">kutsub liikmesriike üles tugevdama kutsehariduse ja -õppe </w:t>
            </w:r>
            <w:r>
              <w:rPr>
                <w:b/>
                <w:i/>
              </w:rPr>
              <w:t>ning digioskustega seotud pakkumisi</w:t>
            </w:r>
            <w:r>
              <w:t xml:space="preserve"> ning ajakohastama elukestva õppe süsteeme, eelkõige </w:t>
            </w:r>
            <w:r>
              <w:rPr>
                <w:b/>
                <w:i/>
              </w:rPr>
              <w:t>arendades koostoimet muude ELi algatustega, nagu programm „Erasmus+“ ja kutsehariduse tipptaseme keskused, ning edendades õpipoisiõpet, duaalõpet, oskuste täiendamist ja ümberõpet ning koostööd kohalike ettevõtjate ja VKEdega</w:t>
            </w:r>
            <w:r>
              <w:t xml:space="preserve"> kooskõlas riiklike mudelitega;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kutsub liikmesriike üles tugevdama kutsehariduse ja -õppe pakkumist ning ajakohastama elukestva õppe süsteeme, eelkõige uurides võimalusi isiklike koolituskontode või koolitusfondide loomiseks kooskõlas riiklike mudelitega;</w:t>
            </w:r>
          </w:p>
        </w:tc>
        <w:tc>
          <w:tcPr>
            <w:tcW w:w="4876" w:type="dxa"/>
            <w:tcBorders>
              <w:top w:val="nil"/>
              <w:left w:val="nil"/>
              <w:bottom w:val="nil"/>
              <w:right w:val="nil"/>
            </w:tcBorders>
          </w:tcPr>
          <w:p>
            <w:pPr>
              <w:pStyle w:val="Normal6a"/>
            </w:pPr>
            <w:r>
              <w:t>19.</w:t>
            </w:r>
            <w:r>
              <w:tab/>
            </w:r>
            <w:r>
              <w:t xml:space="preserve">kutsub liikmesriike üles tugevdama kutsehariduse ja -õppe pakkumist ning ajakohastama elukestva õppe süsteeme, eelkõige uurides võimalusi isiklike koolituskontode või koolitusfondide loomiseks kooskõlas riiklike mudelitega; </w:t>
            </w:r>
            <w:r>
              <w:rPr>
                <w:b/>
                <w:i/>
              </w:rPr>
              <w:t>rõhutab, et nendes investeeringutes tuleks erilist tähelepanu pöörata digitaalsele, tehnilisele ja tööstuslikule spetsialiseerumisele ning oskustele, mis vastavad piirkondlike ja kohalike tööturgude tegelikele vajadustele;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kutsub liikmesriike üles tugevdama kutsehariduse ja -õppe pakkumist ning ajakohastama elukestva õppe süsteeme, eelkõige uurides võimalusi isiklike koolituskontode või koolitusfondide loomiseks kooskõlas riiklike mudelitega;</w:t>
            </w:r>
          </w:p>
        </w:tc>
        <w:tc>
          <w:tcPr>
            <w:tcW w:w="4876" w:type="dxa"/>
            <w:tcBorders>
              <w:top w:val="nil"/>
              <w:left w:val="nil"/>
              <w:bottom w:val="nil"/>
              <w:right w:val="nil"/>
            </w:tcBorders>
          </w:tcPr>
          <w:p>
            <w:pPr>
              <w:pStyle w:val="Normal6a"/>
            </w:pPr>
            <w:r>
              <w:t>19.</w:t>
            </w:r>
            <w:r>
              <w:tab/>
            </w:r>
            <w:r>
              <w:t xml:space="preserve">kutsub liikmesriike üles tugevdama kutsehariduse ja -õppe pakkumist ning ajakohastama elukestva õppe süsteeme, </w:t>
            </w:r>
            <w:r>
              <w:rPr>
                <w:b/>
                <w:i/>
              </w:rPr>
              <w:t>tagades nende kaasavuse ja reageerimisvõime tööturu ja ühiskonna vajadustele,</w:t>
            </w:r>
            <w:r>
              <w:t xml:space="preserve"> eelkõige </w:t>
            </w:r>
            <w:r>
              <w:rPr>
                <w:b/>
                <w:i/>
              </w:rPr>
              <w:t>rohe- ja digipöörde kontekstis,</w:t>
            </w:r>
            <w:r>
              <w:t xml:space="preserve"> uurides võimalusi isiklike koolituskontode või koolitusfondide loomiseks kooskõlas riiklike mudelitega</w:t>
            </w:r>
            <w:r>
              <w:rPr>
                <w:b/>
                <w:i/>
              </w:rPr>
              <w:t>, tagades samal ajal kogu liidus kvaliteedi, juurdepääsetavuse ja õiglusega seotud miinimumstandardid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kutsub liikmesriike üles tugevdama kutsehariduse ja -õppe pakkumist ning </w:t>
            </w:r>
            <w:r>
              <w:rPr>
                <w:b/>
                <w:i/>
              </w:rPr>
              <w:t>ajakohastama elukestva õppe süsteeme, eelkõige uurides võimalusi isiklike koolituskontode või koolitusfondide loomiseks kooskõlas riiklike mudelitega</w:t>
            </w:r>
            <w:r>
              <w:t>;</w:t>
            </w:r>
          </w:p>
        </w:tc>
        <w:tc>
          <w:tcPr>
            <w:tcW w:w="4876" w:type="dxa"/>
            <w:tcBorders>
              <w:top w:val="nil"/>
              <w:left w:val="nil"/>
              <w:bottom w:val="nil"/>
              <w:right w:val="nil"/>
            </w:tcBorders>
          </w:tcPr>
          <w:p>
            <w:pPr>
              <w:pStyle w:val="Normal6a"/>
            </w:pPr>
            <w:r>
              <w:t>19.</w:t>
            </w:r>
            <w:r>
              <w:tab/>
            </w:r>
            <w:r>
              <w:t xml:space="preserve">kutsub liikmesriike üles tugevdama kutsehariduse ja -õppe pakkumist ning </w:t>
            </w:r>
            <w:r>
              <w:rPr>
                <w:b/>
                <w:i/>
              </w:rPr>
              <w:t>võtma vastu maksusoodustusi noortele, nagu tulumaksuvabastus noortele töötajatele ja ettevõtte tulumaksuvabastus noortele ettevõtjatele, et hoida inimkapitali ja piirata ajude äravoolu</w:t>
            </w:r>
            <w:r>
              <w:t xml:space="preserve">; </w:t>
            </w:r>
            <w:r>
              <w:rPr>
                <w:b/>
                <w:i/>
              </w:rPr>
              <w:t>tuletab meelde, et nende mehhanismide ELi-poolne rahastamine peaks tooma kasu üksnes liikmesriikide noortele kodanikele;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kutsub liikmesriike üles tugevdama kutsehariduse ja -õppe pakkumist ning ajakohastama elukestva õppe süsteeme, eelkõige uurides võimalusi isiklike koolituskontode või koolitusfondide loomiseks kooskõlas riiklike mudelitega;</w:t>
            </w:r>
          </w:p>
        </w:tc>
        <w:tc>
          <w:tcPr>
            <w:tcW w:w="4876" w:type="dxa"/>
            <w:tcBorders>
              <w:top w:val="nil"/>
              <w:left w:val="nil"/>
              <w:bottom w:val="nil"/>
              <w:right w:val="nil"/>
            </w:tcBorders>
          </w:tcPr>
          <w:p>
            <w:pPr>
              <w:pStyle w:val="Normal6a"/>
            </w:pPr>
            <w:r>
              <w:t>19.</w:t>
            </w:r>
            <w:r>
              <w:tab/>
            </w:r>
            <w:r>
              <w:t>kutsub liikmesriike üles tugevdama kutsehariduse ja -õppe pakkumist ning ajakohastama elukestva õppe süsteeme, eelkõige uurides võimalusi isiklike koolituskontode või koolitusfondide loomiseks kooskõlas riiklike mudelitega</w:t>
            </w:r>
            <w:r>
              <w:rPr>
                <w:b/>
                <w:i/>
              </w:rPr>
              <w:t>, ilma et need asendaksid riigi vastutust tasuta, riikliku ja üldise hariduse pakkumise eest</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 lõik 1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rõhutab vajadust paindlike ja tööturu jaoks oluliste koolitusvõimaluste järele ning toonitab lühikeste moodulõppevormide, sealhulgas mikrokraadide potentsiaali toetada oskuste täiendamist ja ümberõpet, tegeleda oskuste nappusega ja kaasata noori, kelleni on raske jõuda;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kutsub komisjoni ja liikmesriike üles toetama, sealhulgas ESF+, ühtekuuluvusfondide ja muude asjakohaste ELi vahendite kaudu selliste võrgustike loomist, tugevdamist ja omavahelist ühendamist, mis edendavad noorte seas ettevõtluse, innovatsiooni ja füüsilisest isikust ettevõtjana tegutsemisega seotud oskusi, eelkõige liidu mägipiirkondades, saartel ja äärealadel;</w:t>
            </w:r>
            <w:r>
              <w:t xml:space="preserve"> </w:t>
            </w:r>
            <w:r>
              <w:rPr>
                <w:b/>
                <w:i/>
              </w:rPr>
              <w:t>rõhutab, et eesmärk peab olema oskuste arendamine, suuniste andmine, parimate tavade vahetamine ning noortele tegelike võimaluste andmine ametialaseks integratsiooniks ja ettevõtluses osalemiseks;</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kutsub liikmesriike üles seadma tihedas koostöös tööandjate ja sotsiaalpartneritega prioriteediks tugevdatud noortegarantii rakendamise sektorites, kus valitseb tööjõupuudus ja oskuste nappus, et tagada noorte kiirem ja kestlikum integreerimine avatud tööturule;</w:t>
            </w:r>
            <w:r>
              <w:t xml:space="preserve"> </w:t>
            </w:r>
            <w:r>
              <w:rPr>
                <w:b/>
                <w:i/>
              </w:rPr>
              <w:t>rõhutab, et pakkumised peaksid olema nõudluspõhised, kooskõlas piirkondliku tööturu vajadustega ning aitama kaasa liidu konkurentsivõimele ning rohe- ja digipöördele;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kutsub liikmesriike üles parandama koolihariduse kvaliteeti ja kaasavust, et kõik õppijad omandaksid põhi-, digi-, MATI valdkonna ning valdkonnaülesed oskused, sealhulgas pehmed oskused, mis on vajalikud edukaks edasiliikumiseks kutseharidusse ja -õppesse ning tööturu vajadustega kohanemiseks;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rõhutab sotsiaalse ettevõtluse tähtsust noorte tööhõive edendamise vahendina, eelkõige haavatavas olukorras olevate või mittetöötavate ja mitteõppivate noorte (NEET-noored) puhul;</w:t>
            </w:r>
            <w:r>
              <w:t xml:space="preserve"> </w:t>
            </w:r>
            <w:r>
              <w:rPr>
                <w:b/>
                <w:i/>
              </w:rPr>
              <w:t>rõhutab, et sotsiaalsed ettevõtted võivad aidata kaasa oskuste arendamisele, sotsiaalsele integratsioonile ja kohaliku mõjuga kestlike töökohtade loomisele;</w:t>
            </w:r>
            <w:r>
              <w:t xml:space="preserve"> </w:t>
            </w:r>
            <w:r>
              <w:rPr>
                <w:b/>
                <w:i/>
              </w:rPr>
              <w:t>kutsub komisjoni ja liikmesriike üles tugevdama tugevdatud noortegarantii raames oma toetust sotsiaalsetele ettevõtetele, sealhulgas asjakohase rahastamise, koolituse, juhendamise ja koostöövõrgustikele juurdepääsu kaudu;</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kutsub liikmesriike üles tagama, et kutseharidus ja -õpe, sealhulgas duaalõpe, mis ühendab klassiruumis õppimise ja praktilise töökogemuse, on au sees olev ja atraktiivne valik, mis on samaväärne akadeemilise haridusega;</w:t>
            </w:r>
            <w:r>
              <w:t xml:space="preserve"> </w:t>
            </w:r>
            <w:r>
              <w:rPr>
                <w:b/>
                <w:i/>
              </w:rPr>
              <w:t>nõuab, et liikmesriigid edendaksid duaalõppe põhimõtteid, et hõlbustada sujuvat üleminekut stabiilsele tööle;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19c.</w:t>
            </w:r>
            <w:r>
              <w:tab/>
            </w:r>
            <w:r>
              <w:rPr>
                <w:b/>
                <w:i/>
              </w:rPr>
              <w:t>kutsub komisjoni ja liikmesriike üles tagama oskuste vajaduse pideva jälgimise ja tulevikku suunatud analüüsi, et viia haridus- ja koolitussüsteemid tööturu arenguga kooskõlla, eelkõige noorte jaoks, ning pidades alati silmas noorte tervikliku arengu (elupädevused) tagamist;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19d.</w:t>
            </w:r>
            <w:r>
              <w:tab/>
            </w:r>
            <w:r>
              <w:rPr>
                <w:b/>
                <w:i/>
              </w:rPr>
              <w:t>kutsub komisjoni ja liikmesriike üles edendama noorte, sealhulgas tulevaste lapsevanemate ja hoolduskohustustega noorte naiste õiglast juurdepääsu koolitus- ja ümberõppevõimalustele, hõlbustades juurdepääsu individuaalsele tasuta koolitusele tööajal ning kõrvaldades ajapiirangute, hoolduskohustuste ja rahaliste kuludega seotud takistused;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19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19e.</w:t>
            </w:r>
            <w:r>
              <w:tab/>
            </w:r>
            <w:r>
              <w:rPr>
                <w:b/>
                <w:i/>
              </w:rPr>
              <w:t>kutsub komisjoni ja liikmesriike üles tagama, et igal lapsel ja noorel, kes käib lapsehoius või koolis, oleks iga päev juurdepääs tasuta soojale toidule</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https://commission.europa.eu/publications/school-fruit-vegetables-and-milk-scheme-eu-school-scheme_en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nõuab nii ELi kui ka riiklikul tasandil suuremat koostoimet noortegarantii ja lastegarantii vahendite vahel, eriti selleks, et pakkuda pidevat toetust abivajavatele lastele vanuses 15–18 aastat ja siis, kui nad saavad noorteks täiskasvanuteks; rõhutab, et selle integreeritud lähenemisviisi eesmärk peab olema ennetada hoolitsuse äkilist lõppemist;</w:t>
            </w:r>
          </w:p>
        </w:tc>
        <w:tc>
          <w:tcPr>
            <w:tcW w:w="4876" w:type="dxa"/>
            <w:tcBorders>
              <w:top w:val="nil"/>
              <w:left w:val="nil"/>
              <w:bottom w:val="nil"/>
              <w:right w:val="nil"/>
            </w:tcBorders>
          </w:tcPr>
          <w:p>
            <w:pPr>
              <w:pStyle w:val="Normal6a"/>
            </w:pPr>
            <w:r>
              <w:t>20.</w:t>
            </w:r>
            <w:r>
              <w:tab/>
            </w:r>
            <w:r>
              <w:t>nõuab nii ELi kui ka riiklikul tasandil suuremat koostoimet noortegarantii ja lastegarantii vahendite vahel, eriti selleks, et pakkuda pidevat toetust abivajavatele lastele vanuses 15–18 aastat ja siis, kui nad saavad noorteks täiskasvanuteks; rõhutab, et selle integreeritud lähenemisviisi eesmärk peab olema ennetada hoolitsuse äkilist lõppemist</w:t>
            </w:r>
            <w:r>
              <w:rPr>
                <w:b/>
                <w:i/>
                <w:vertAlign w:val="superscript"/>
              </w:rPr>
              <w:t>31a</w:t>
            </w:r>
            <w:r>
              <w:rPr>
                <w:b/>
                <w:i/>
              </w:rPr>
              <w:t>, mille puhul hooldusasutusest lahkujad seisavad pärast täiskasvanuikka jõudmist silmitsi täieliku toetuse puudumisega</w:t>
            </w:r>
            <w:r>
              <w:t xml:space="preserve">; </w:t>
            </w:r>
            <w:r>
              <w:rPr>
                <w:b/>
                <w:i/>
              </w:rPr>
              <w:t>rõhutab vajadust tugevdada koostööd sotsiaalteenuste ja alternatiivhoolduse pakkujatega, tagamaks, et hooldusasutusest lahkuvad lapsed ei jääks ilma haridusvõimalustest, tehes seda muu hulgas varajaste ja pidevate toetusmeetmete kaudu;</w:t>
            </w:r>
            <w:r>
              <w:t xml:space="preserve"> </w:t>
            </w:r>
            <w:r>
              <w:rPr>
                <w:b/>
                <w:i/>
              </w:rPr>
              <w:t>toonitab, kui oluline on parandada eristatud ja usaldusväärsete andmete kogumist ja kättesaadavust hooldusel olevate laste ja hooldusasutusest lahkumise eale lähenevate laste kohta, et anda paremat teavet sihipäraste poliitikameetmete, sealhulgas tugevdatud noortegarantii jaoks;</w:t>
            </w:r>
            <w:r>
              <w:t xml:space="preserve"> </w:t>
            </w:r>
            <w:r>
              <w:rPr>
                <w:b/>
                <w:i/>
              </w:rPr>
              <w:t>kutsub liikmesriike ja riiklikke tööturuasutusi üles laiendama teavitusmeetmeid ja tugiteenuseid kõigile hooldusasutustele, sealhulgas väikestele hoolekandeasutustele ja institutsioonilistele keskkondadele, et tagada kõigile asjaomastele lastele võrdne juurdepääs haridusele, koolitusele ja tulevastele võimalustele;</w:t>
            </w:r>
            <w:r>
              <w:t xml:space="preserve"> </w:t>
            </w:r>
            <w:r>
              <w:rPr>
                <w:b/>
                <w:i/>
              </w:rPr>
              <w:t>rõhutab võimalikku koostoimet noortegarantii ja muude programmide, näiteks ALMA, programmi „Erasmus+“ ja romasid käsitleva ELi strateegilise raamistiku vahel;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31a</w:t>
            </w:r>
            <w:r>
              <w:t xml:space="preserve"> </w:t>
            </w:r>
            <w:r>
              <w:rPr>
                <w:b/>
                <w:i/>
              </w:rPr>
              <w:t>Field, A, Sen, R, Johnston, C &amp; Ellis, K 2021, „Turning 18 in Specialised Residential Therapeutic Care:</w:t>
            </w:r>
            <w:r>
              <w:t xml:space="preserve"> </w:t>
            </w:r>
            <w:r>
              <w:rPr>
                <w:b/>
                <w:i/>
              </w:rPr>
              <w:t>Independence or a Cliff Edge?“ (18 eluaasta täitumine erihooldeasutuses: iseseisvus või äkiline hoolduse lõppemine?), Children &amp; Society, 35. kd, nr 5, lk 784–798. https://doi.org/10.1111/chso.12450.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nõuab </w:t>
            </w:r>
            <w:r>
              <w:rPr>
                <w:b/>
                <w:i/>
              </w:rPr>
              <w:t>nii ELi kui ka riiklikul tasandil</w:t>
            </w:r>
            <w:r>
              <w:t xml:space="preserve"> suuremat koostoimet noortegarantii ja lastegarantii vahendite vahel, eriti selleks, et pakkuda pidevat toetust abivajavatele </w:t>
            </w:r>
            <w:r>
              <w:rPr>
                <w:b/>
                <w:i/>
              </w:rPr>
              <w:t>lastele vanuses 15–18 aastat ja siis, kui nad saavad noorteks täiskasvanuteks</w:t>
            </w:r>
            <w:r>
              <w:t>; rõhutab, et selle integreeritud lähenemisviisi eesmärk peab olema ennetada hoolitsuse äkilist lõppemist;</w:t>
            </w:r>
          </w:p>
        </w:tc>
        <w:tc>
          <w:tcPr>
            <w:tcW w:w="4876" w:type="dxa"/>
            <w:tcBorders>
              <w:top w:val="nil"/>
              <w:left w:val="nil"/>
              <w:bottom w:val="nil"/>
              <w:right w:val="nil"/>
            </w:tcBorders>
          </w:tcPr>
          <w:p>
            <w:pPr>
              <w:pStyle w:val="Normal6a"/>
            </w:pPr>
            <w:r>
              <w:t>20.</w:t>
            </w:r>
            <w:r>
              <w:tab/>
            </w:r>
            <w:r>
              <w:t xml:space="preserve">nõuab suuremat koostoimet </w:t>
            </w:r>
            <w:r>
              <w:rPr>
                <w:b/>
                <w:i/>
              </w:rPr>
              <w:t>tugevdatud</w:t>
            </w:r>
            <w:r>
              <w:t xml:space="preserve"> noortegarantii ja lastegarantii vahendite vahel </w:t>
            </w:r>
            <w:r>
              <w:rPr>
                <w:b/>
                <w:i/>
              </w:rPr>
              <w:t>nii liidu kui ka riiklikul tasandil</w:t>
            </w:r>
            <w:r>
              <w:t xml:space="preserve">, eriti selleks, et pakkuda pidevat toetust abivajavatele </w:t>
            </w:r>
            <w:r>
              <w:rPr>
                <w:b/>
                <w:i/>
              </w:rPr>
              <w:t>noortele ja noortele täiskasvanutele</w:t>
            </w:r>
            <w:r>
              <w:t>; rõhutab, et selle integreeritud lähenemisviisi eesmärk peab olema ennetada hoolitsuse äkilist lõppemist</w:t>
            </w:r>
            <w:r>
              <w:rPr>
                <w:b/>
                <w:i/>
              </w:rPr>
              <w:t>, mille puhul hooldusasutusest lahkuvad noored jäävad täiskasvanuikka jõudes järsult ilma eluaseme-, sotsiaal-, haridus- ja tööhõivetoetusest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peab kahetsusväärseks, et jõupingutustele vaatamata ei ole ükski liikmesriik praegu lähedal romade võrdõiguslikkust, kaasamist ja osalemist käsitlevas ELi strateegilises raamistikus sätestatud ELi tasandi eesmärkide saavutamisele, eelkõige eesmärgile vähendada 2030. aastaks roma noorte ja kogu elanikkonna vahelist NEET-noorte määra vahet poole võrra;</w:t>
            </w:r>
            <w:r>
              <w:t xml:space="preserve"> </w:t>
            </w:r>
            <w:r>
              <w:rPr>
                <w:b/>
                <w:i/>
              </w:rPr>
              <w:t>rõhutab, et romade, eelkõige maapiirkondadest ja eraldatud piirkondadest pärit romade määratlemine noortegarantii prioriteetse sihtrühmana ning nende kahe vahendi koostoimes koordineerimine võib anda mõõdetavaid tulemusi hariduses, koolituses ja tööhõives;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kordab vajadust suurendada kiiremas korras Euroopa lastegarantii rahastamist sihtotstarbelise eelarvega vähemalt 20 miljardit eurot;</w:t>
            </w:r>
            <w:r>
              <w:t xml:space="preserve"> </w:t>
            </w:r>
            <w:r>
              <w:rPr>
                <w:b/>
                <w:i/>
              </w:rPr>
              <w:t>rõhutab, et see sihtotstarbeline eelarve peab sisalduma järgmises mitmeaastases finantsraamistikus ja seda tuleb rakendada eraldiseisva ja iseseisva ESFi kaudu, kusjuures igal liikmesriigil on siduv kohustus eraldada vähemalt 5 % oma riiklikust ESFi eraldisest laste vaesuse vastu võitlemiseks;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rõhutab vajadust tugevdada koostoimet ja vastastikust täiendavust muude ELi programmide ja vahenditega, sealhulgas programmiga „Erasmus+“, Euroopa solidaarsuskorpusega ja EURESega, et pakkuda noortele terviklikumaid ja integreeritumaid võimalusi, ühendades haridus-, koolitus-, liikuvus- ja tööhõivevõimalused;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Niels Geuking, Pascal Arimont, Romana Tomc, David Casa, Isabelle Le Callennec,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kutsub komisjoni ja liikmesriike üles rakendama tugevdatud noortegarantiid perekeskse ja kogu elu hõlmava lähenemisviisi kaudu, tagades täieliku koostoime noortegarantii ja lastegarantii ning tugevamate perekondade algatuse ja Euroopa perelepingu vahel;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on veendunud, et suurem koostoime ELi programmide ja tegevuskavade vahel tugevdaks liikmesriikide üldisi meetmeid, tagades samal ajal iga programmi lisaväärtuse ja nende sihipärased jõupingutused üksteist täiendaval viisil;</w:t>
            </w:r>
            <w:r>
              <w:t xml:space="preserve"> </w:t>
            </w:r>
            <w:r>
              <w:rPr>
                <w:b/>
                <w:i/>
              </w:rPr>
              <w:t>kutsub liikmesriike üles tugevdama seoseid oma tugevdatud noortegarantii kavade ja muude riiklike noorteprogrammide vahel, seades prioriteedid tugevdatud noortegarantii kavade toetusesaajatele;</w:t>
            </w:r>
            <w:r>
              <w:t xml:space="preserve"> </w:t>
            </w:r>
            <w:r>
              <w:rPr>
                <w:b/>
                <w:i/>
              </w:rPr>
              <w:t>kutsub sellega seoses liikmesriike üles töötama välja riikliku noorte koostöökava ning korrapäraselt hindama integreeritud ja valdkondadevahelist lähenemisviisi noorte toetamiseks ning selle kohta aru andma;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kutsub liikmesriike üles looma tugevdatud noortegarantii rakendamise raames spetsiaalse kava abivajavate hooldusasutusest lahkujate jaoks, sealhulgas varajane tuvastamine ja automaatne registreerimine tugevdatud noortegarantii teenustes, sotsiaalteenuste ja avalike tööturuasutuste teenuste vaheline koordineeritud juhtumihaldus ning pidev juurdepääs tööhõivetoetusele, sotsiaalkaitsele, eluasemetoetusele ja muudele teenustele, mis on tulemuslikuks tööturule integreerimiseks vajalikud;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nõuab, et noori, eriti noori lapsevanemaid, toetataks piisavalt noortegarantii meetmetes osalemisel taskukohase ja kvaliteetse lapsehoiu kättesaadavuse, peresõbraliku tööaja korralduse ja vajaduse korral rahalise abi kaudu, tagamaks, et perekondlikud kohustused ei põhjusta tööturult väljatõrjumist;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20c.</w:t>
            </w:r>
            <w:r>
              <w:tab/>
            </w:r>
            <w:r>
              <w:rPr>
                <w:b/>
                <w:i/>
              </w:rPr>
              <w:t>nõuab noortegarantii raames sihipärast ja kättesaadavat vaimse tervise alast toetust noortele emadele ja isadele, keda sünnitusjärgne depressioon, ülekoormus ning puudulik töö- ja eraelu tasakaal eriti ohustab, et vältida nende tööhõives püsivaid katkestusi;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20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20d.</w:t>
            </w:r>
            <w:r>
              <w:tab/>
            </w:r>
            <w:r>
              <w:rPr>
                <w:b/>
                <w:i/>
              </w:rPr>
              <w:t>kutsub liikmesriike üles pakkuma noortegarantii raames kättesaadavat ja häbimärgistuseta vaimse tervise toetust, nagu vastastikune juhendamine ja mentorlus, noortele, kes on tööturult kõrvale jäetud ärevuse, depressiooni või läbipõlemise tõttu, et neid noori võimestada ja pakkuda vastastikust täiendavust arstiabiga;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rPr>
                <w:b/>
                <w:i/>
              </w:rPr>
              <w:t>kutsub liikmesriike üles tugevdama haavatavatele NEET-noortele suunatud teavitusmeetmeid riiklikul ja kohalikul tasandil ning seadma selle rühma aktiveerimise oma</w:t>
            </w:r>
            <w:r>
              <w:t xml:space="preserve"> tugevdatud noortegarantii </w:t>
            </w:r>
            <w:r>
              <w:rPr>
                <w:b/>
                <w:i/>
              </w:rPr>
              <w:t>rakendamise</w:t>
            </w:r>
            <w:r>
              <w:t xml:space="preserve"> peamiseks </w:t>
            </w:r>
            <w:r>
              <w:rPr>
                <w:b/>
                <w:i/>
              </w:rPr>
              <w:t>prioriteediks</w:t>
            </w:r>
            <w:r>
              <w:t>;</w:t>
            </w:r>
          </w:p>
        </w:tc>
        <w:tc>
          <w:tcPr>
            <w:tcW w:w="4876" w:type="dxa"/>
            <w:tcBorders>
              <w:top w:val="nil"/>
              <w:left w:val="nil"/>
              <w:bottom w:val="nil"/>
              <w:right w:val="nil"/>
            </w:tcBorders>
          </w:tcPr>
          <w:p>
            <w:pPr>
              <w:pStyle w:val="Normal6a"/>
            </w:pPr>
            <w:r>
              <w:t>21.</w:t>
            </w:r>
            <w:r>
              <w:tab/>
            </w:r>
            <w:r>
              <w:rPr>
                <w:b/>
                <w:i/>
              </w:rPr>
              <w:t>rõhutab individuaalsete ja diferentseeritud lähenemisviiside tähtsust NEET-noorte tööturule ning õppimis- ja koolitusvõimaluste kasutamisse taasintegreerimisel;</w:t>
            </w:r>
            <w:r>
              <w:t xml:space="preserve"> </w:t>
            </w:r>
            <w:r>
              <w:rPr>
                <w:b/>
                <w:i/>
              </w:rPr>
              <w:t>palub, et riiklikud</w:t>
            </w:r>
            <w:r>
              <w:t xml:space="preserve"> tugevdatud noortegarantii </w:t>
            </w:r>
            <w:r>
              <w:rPr>
                <w:b/>
                <w:i/>
              </w:rPr>
              <w:t>rakendussüsteemid teeksid toetusesaajate algse täpse profiilianalüüsi, et teha kindlaks nende tööalane konkurentsivõime ja mis tahes takistused osalemisel ning kasutada seda alust profiilipõhiste toetusvõimaluste väljatöötamiseks;</w:t>
            </w:r>
            <w:r>
              <w:t xml:space="preserve"> </w:t>
            </w:r>
            <w:r>
              <w:rPr>
                <w:b/>
                <w:i/>
              </w:rPr>
              <w:t>rõhutab, et vahendavatel osalistel (kutseõppeasutused, kolmanda sektori organisatsioonid ja kogukonnapõhised teenused) on asendamatu roll tööturust kõige kaugemale jäänud noorte toetamisel, kes sageli ei suhtle avalike tööturuasutustega tavapäraste kanalite kaudu;</w:t>
            </w:r>
            <w:r>
              <w:t xml:space="preserve"> </w:t>
            </w:r>
            <w:r>
              <w:rPr>
                <w:b/>
                <w:i/>
              </w:rPr>
              <w:t>nõuab, et NEET-naistele suunatud aktiveerimisvõimalused käiksid käsikäes integreeritud töö- ja eraelu tasakaalu toetusmeetmetega, kuna tasustamata hooldustöö on NEET-noorte seas valitseva soolise lõhe</w:t>
            </w:r>
            <w:r>
              <w:t xml:space="preserve"> peamiseks </w:t>
            </w:r>
            <w:r>
              <w:rPr>
                <w:b/>
                <w:i/>
              </w:rPr>
              <w:t>struktuurseks põhjuseks</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kutsub liikmesriike üles tugevdama haavatavatele NEET-noortele suunatud teavitusmeetmeid riiklikul ja kohalikul tasandil ning seadma selle rühma aktiveerimise oma tugevdatud noortegarantii rakendamise peamiseks prioriteediks;</w:t>
            </w:r>
          </w:p>
        </w:tc>
        <w:tc>
          <w:tcPr>
            <w:tcW w:w="4876" w:type="dxa"/>
            <w:tcBorders>
              <w:top w:val="nil"/>
              <w:left w:val="nil"/>
              <w:bottom w:val="nil"/>
              <w:right w:val="nil"/>
            </w:tcBorders>
          </w:tcPr>
          <w:p>
            <w:pPr>
              <w:pStyle w:val="Normal6a"/>
            </w:pPr>
            <w:r>
              <w:t>21.</w:t>
            </w:r>
            <w:r>
              <w:tab/>
            </w:r>
            <w:r>
              <w:t xml:space="preserve">kutsub liikmesriike üles tugevdama haavatavatele NEET-noortele suunatud teavitusmeetmeid riiklikul ja kohalikul tasandil ning seadma selle rühma aktiveerimise oma tugevdatud noortegarantii rakendamise peamiseks prioriteediks; </w:t>
            </w:r>
            <w:r>
              <w:rPr>
                <w:b/>
                <w:i/>
              </w:rPr>
              <w:t>kutsub eelkõige üles investeerima detsentraliseeritud kogukonnapõhisesse teavitustaristusse, mis on ühendatud integreeritud teenuste osutamisega, ning eemalduma traditsioonilisest mudelist, mis põhineb üksnes registreerimissüsteemil;</w:t>
            </w:r>
            <w:r>
              <w:t xml:space="preserve"> </w:t>
            </w:r>
            <w:r>
              <w:rPr>
                <w:b/>
                <w:i/>
              </w:rPr>
              <w:t>rõhutab, et paljud meetmed on osutunud NEET-noorteni jõudmisel tõhusaks ja neid tuleb nüüd riiklikul tasandil laiendada, sealhulgas roma vahendajad, aktiveerimisspetsialistid, mobiilsed avalike tööturuasutuste üksused, virtuaalsed teenused, avatud noorsootöö, otsene teavitustegevus tänavatel, sotsiaalmeedia kasutamine, mentorlusprogrammid, noorsootöötajad, kohalolek spordiklubides, vaba aja veetmise kohtades, kaubanduskeskustes ja saadikute programmid;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kutsub liikmesriike üles tugevdama haavatavatele NEET-noortele suunatud teavitusmeetmeid riiklikul ja kohalikul tasandil ning seadma selle rühma </w:t>
            </w:r>
            <w:r>
              <w:rPr>
                <w:b/>
                <w:i/>
              </w:rPr>
              <w:t>aktiveerimise</w:t>
            </w:r>
            <w:r>
              <w:t xml:space="preserve"> oma tugevdatud noortegarantii rakendamise peamiseks prioriteediks;</w:t>
            </w:r>
          </w:p>
        </w:tc>
        <w:tc>
          <w:tcPr>
            <w:tcW w:w="4876" w:type="dxa"/>
            <w:tcBorders>
              <w:top w:val="nil"/>
              <w:left w:val="nil"/>
              <w:bottom w:val="nil"/>
              <w:right w:val="nil"/>
            </w:tcBorders>
          </w:tcPr>
          <w:p>
            <w:pPr>
              <w:pStyle w:val="Normal6a"/>
            </w:pPr>
            <w:r>
              <w:t>21.</w:t>
            </w:r>
            <w:r>
              <w:tab/>
            </w:r>
            <w:r>
              <w:t xml:space="preserve">kutsub liikmesriike üles tugevdama haavatavatele NEET-noortele suunatud teavitusmeetmeid riiklikul ja kohalikul tasandil ning seadma selle rühma </w:t>
            </w:r>
            <w:r>
              <w:rPr>
                <w:b/>
                <w:i/>
              </w:rPr>
              <w:t>sotsiaalse kaasamise ja toetatud ülemineku haridusest tööturule</w:t>
            </w:r>
            <w:r>
              <w:t xml:space="preserve"> oma tugevdatud noortegarantii rakendamise peamiseks prioriteediks </w:t>
            </w:r>
            <w:r>
              <w:rPr>
                <w:b/>
                <w:i/>
              </w:rPr>
              <w:t>ka kõigile teenuseosutajatele suunatud kultuurilise ja sotsiaalse tundlikkuse koolituste kaudu</w:t>
            </w:r>
            <w:r>
              <w:t xml:space="preserve">; </w:t>
            </w:r>
            <w:r>
              <w:rPr>
                <w:b/>
                <w:i/>
              </w:rPr>
              <w:t>rõhutab vajadust minna registreerimispõhistele süsteemidele tuginemiselt üle ennetavale, detsentraliseeritud ja kogukonnapõhisele teavitustegevusele, tuues teenused noortele lähemale ja tugevdades avalike tööturuasutuste suutlikkust kaasata tulemuslikult kõige haavatavamaid rühmi;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kutsub liikmesriike üles tugevdama haavatavatele NEET-noortele suunatud teavitusmeetmeid riiklikul ja kohalikul tasandil ning seadma selle rühma aktiveerimise oma tugevdatud noortegarantii rakendamise peamiseks prioriteediks;</w:t>
            </w:r>
          </w:p>
        </w:tc>
        <w:tc>
          <w:tcPr>
            <w:tcW w:w="4876" w:type="dxa"/>
            <w:tcBorders>
              <w:top w:val="nil"/>
              <w:left w:val="nil"/>
              <w:bottom w:val="nil"/>
              <w:right w:val="nil"/>
            </w:tcBorders>
          </w:tcPr>
          <w:p>
            <w:pPr>
              <w:pStyle w:val="Normal6a"/>
            </w:pPr>
            <w:r>
              <w:t>21.</w:t>
            </w:r>
            <w:r>
              <w:tab/>
            </w:r>
            <w:r>
              <w:t xml:space="preserve">kutsub liikmesriike üles tugevdama haavatavatele NEET-noortele suunatud teavitusmeetmeid riiklikul ja kohalikul tasandil ning seadma selle rühma aktiveerimise oma tugevdatud noortegarantii rakendamise peamiseks prioriteediks; </w:t>
            </w:r>
            <w:r>
              <w:rPr>
                <w:b/>
                <w:i/>
              </w:rPr>
              <w:t>rõhutab vajadust tagada puuetega noortele täielik juurdepääs noortegarantii programmidele, sealhulgas ligipääsetavate koolitustaristute, kohandatud tugiteenuste ja tugevdatud koostöö kaudu puuetega inimesi esindavate organisatsioonidega, et tagada juurdepääsul tööhõivele, koolitusele ja õpipoisiõppele võrdsed võimalused;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kutsub liikmesriike üles tugevdama </w:t>
            </w:r>
            <w:r>
              <w:rPr>
                <w:b/>
                <w:i/>
              </w:rPr>
              <w:t>haavatavatele NEET-noortele suunatud</w:t>
            </w:r>
            <w:r>
              <w:t xml:space="preserve"> teavitusmeetmeid </w:t>
            </w:r>
            <w:r>
              <w:rPr>
                <w:b/>
                <w:i/>
              </w:rPr>
              <w:t>riiklikul ja kohalikul tasandil ning seadma selle rühma aktiveerimise oma</w:t>
            </w:r>
            <w:r>
              <w:t xml:space="preserve"> tugevdatud noortegarantii rakendamise peamiseks prioriteediks;</w:t>
            </w:r>
          </w:p>
        </w:tc>
        <w:tc>
          <w:tcPr>
            <w:tcW w:w="4876" w:type="dxa"/>
            <w:tcBorders>
              <w:top w:val="nil"/>
              <w:left w:val="nil"/>
              <w:bottom w:val="nil"/>
              <w:right w:val="nil"/>
            </w:tcBorders>
          </w:tcPr>
          <w:p>
            <w:pPr>
              <w:pStyle w:val="Normal6a"/>
            </w:pPr>
            <w:r>
              <w:t>21.</w:t>
            </w:r>
            <w:r>
              <w:tab/>
            </w:r>
            <w:r>
              <w:t xml:space="preserve">kutsub liikmesriike üles tugevdama </w:t>
            </w:r>
            <w:r>
              <w:rPr>
                <w:b/>
                <w:i/>
              </w:rPr>
              <w:t>riiklikke, piirkondlikke ja kohalikke</w:t>
            </w:r>
            <w:r>
              <w:t xml:space="preserve"> teavitusmeetmeid</w:t>
            </w:r>
            <w:r>
              <w:rPr>
                <w:b/>
                <w:i/>
              </w:rPr>
              <w:t>, mis on suunatud sellistele NEET-noortele, kelleni on raske jõuda, ning muutma nende tööturule integreerimise</w:t>
            </w:r>
            <w:r>
              <w:t xml:space="preserve"> tugevdatud noortegarantii rakendamise peamiseks prioriteediks; </w:t>
            </w:r>
            <w:r>
              <w:rPr>
                <w:b/>
                <w:i/>
              </w:rPr>
              <w:t>nõuab nii sihipärast teavitustegevust kui ka sihtotstarbelisi toetusmeetmeid haavatavatele NEET-noortele, mis on kohandatud selliste konkreetsete takistuste ületamiseks, millega nad kokku puutuvad, nagu diskrimineerimine, terviseprobleemid, hoolduskohustused ja kodutus;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kutsub liikmesriike üles tugevdama haavatavatele NEET-noortele suunatud teavitusmeetmeid riiklikul ja kohalikul tasandil ning seadma selle rühma aktiveerimise oma tugevdatud noortegarantii rakendamise peamiseks prioriteediks;</w:t>
            </w:r>
          </w:p>
        </w:tc>
        <w:tc>
          <w:tcPr>
            <w:tcW w:w="4876" w:type="dxa"/>
            <w:tcBorders>
              <w:top w:val="nil"/>
              <w:left w:val="nil"/>
              <w:bottom w:val="nil"/>
              <w:right w:val="nil"/>
            </w:tcBorders>
          </w:tcPr>
          <w:p>
            <w:pPr>
              <w:pStyle w:val="Normal6a"/>
            </w:pPr>
            <w:r>
              <w:t>21.</w:t>
            </w:r>
            <w:r>
              <w:tab/>
            </w:r>
            <w:r>
              <w:t xml:space="preserve">kutsub liikmesriike üles tugevdama haavatavatele NEET-noortele suunatud teavitusmeetmeid riiklikul ja kohalikul tasandil ning seadma selle rühma aktiveerimise oma tugevdatud noortegarantii rakendamise peamiseks prioriteediks; </w:t>
            </w:r>
            <w:r>
              <w:rPr>
                <w:b/>
                <w:i/>
              </w:rPr>
              <w:t>kutsub sellega seoses liikmesriike üles looma mehhanisme sujuvaks üleminekuks lastekaitselt noorte-, haridus-, koolitus- ja tööturuasutustele;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kutsub liikmesriike üles tugevdama haavatavatele NEET-noortele suunatud teavitusmeetmeid riiklikul ja kohalikul tasandil ning seadma selle rühma aktiveerimise oma tugevdatud noortegarantii rakendamise peamiseks prioriteediks;</w:t>
            </w:r>
          </w:p>
        </w:tc>
        <w:tc>
          <w:tcPr>
            <w:tcW w:w="4876" w:type="dxa"/>
            <w:tcBorders>
              <w:top w:val="nil"/>
              <w:left w:val="nil"/>
              <w:bottom w:val="nil"/>
              <w:right w:val="nil"/>
            </w:tcBorders>
          </w:tcPr>
          <w:p>
            <w:pPr>
              <w:pStyle w:val="Normal6a"/>
            </w:pPr>
            <w:r>
              <w:t>21.</w:t>
            </w:r>
            <w:r>
              <w:tab/>
            </w:r>
            <w:r>
              <w:t xml:space="preserve">kutsub liikmesriike üles tugevdama haavatavatele NEET-noortele suunatud teavitusmeetmeid riiklikul ja kohalikul tasandil ning seadma selle rühma aktiveerimise oma tugevdatud noortegarantii rakendamise peamiseks prioriteediks; </w:t>
            </w:r>
            <w:r>
              <w:rPr>
                <w:b/>
                <w:i/>
              </w:rPr>
              <w:t>nõuab sellega seoses jõupingutusi, et tagada selle rühma sotsiaalne kaasamine ja toetatud üleminek hariduse omandamiselt tööturule;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rõhutab, et nende teavituspüüdluste tõhustamine peab võimaldama jõuda haavatavate noorteni, kes on seni olnud tugevdatud noortegarantii kavade puhul nähtamatud;</w:t>
            </w:r>
            <w:r>
              <w:t xml:space="preserve"> </w:t>
            </w:r>
            <w:r>
              <w:rPr>
                <w:b/>
                <w:i/>
              </w:rPr>
              <w:t>märgib, et haavatavad noored ei pruugi end NEET-noorte kategooriaga samastada, ning kutsub sellega seoses noortegarantii pakkujaid üles laiendama teavitustegevust sellest kategooriast kaugemale;</w:t>
            </w:r>
            <w:r>
              <w:t xml:space="preserve"> </w:t>
            </w:r>
            <w:r>
              <w:rPr>
                <w:b/>
                <w:i/>
              </w:rPr>
              <w:t>on veendunud, et vastastikuste vahendajate, valitsusväliste organisatsioonide ja kohaliku kogukonna organisatsioonide kaasamine on oluline, et jõuda NEET-noorteni otse nende kogukondades;</w:t>
            </w:r>
            <w:r>
              <w:t xml:space="preserve"> </w:t>
            </w:r>
            <w:r>
              <w:rPr>
                <w:b/>
                <w:i/>
              </w:rPr>
              <w:t>märgib, et teravamates raskustes olevate noorte puhul peab lähenemisviis olema vabatahtlik ja madala künnisega, ilma et oleks vaja registreerimist, dokumente või pühendumist, vaid pigem põhinema tekkinud probleemide mõistmisel ning tundlikkusel nende väärtuste ja tavade suhtes;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kutsub liikmesriike üles eraldama sihtotstarbelisi vahendeid ennetava, detsentraliseeritud ja kogukonnapõhise teavitustegevuse arendamiseks ning vähendama sõltuvust üksnes passiivsetest, registreerimispõhistest ja ainult digitaalsetest süsteemidest;</w:t>
            </w:r>
            <w:r>
              <w:t xml:space="preserve"> </w:t>
            </w:r>
            <w:r>
              <w:rPr>
                <w:b/>
                <w:i/>
              </w:rPr>
              <w:t>rõhutab, et selline teavitustegevus on oluline, et jõuda selliste NEET-noorteni, kelleni on raske jõuda ja kes on haavatavad, nende kohalikus kontekstis ja suurendada nende usaldust ning vähendada tõrjutuse ohtu, mis tuleneb häbimärgistamisest, usaldamatusest institutsioonide vastu ja digitaalsest ebavõrdsusest;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kutsub liikmesriike üles toetama haavatavaid NEET-noori, nagu maapiirkondade noored, noored lapsevanemad ning eelkõige noored emad ja naissoost NEET-noored, sihipäraste meetmete kaudu, pakkudes varajast teavitustegevust, juurdepääsu lapsehoiule, paindlikke õppimis- ja töövõimalusi ning koordineeritud sotsiaalset ja tööhõivealast toetust, et tagada kestlik tööturule integreerimine, sooline võrdõiguslikkus ja pikaajalise tõrjutuse ennetamine;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tunnistab eluasemekriisi ja selle ebaproportsionaalset mõju noortele;</w:t>
            </w:r>
            <w:r>
              <w:t xml:space="preserve"> </w:t>
            </w:r>
            <w:r>
              <w:rPr>
                <w:b/>
                <w:i/>
              </w:rPr>
              <w:t>kutsub komisjoni, liikmesriike ning kohalikke ja piirkondlikke omavalitsusi üles tagama, et kriisi lahendamiseks kavandatud poliitilised algatused läbiksid nn noortekontrolli, et võtta arvesse noorte vajadusi;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kutsub komisjoni ja liikmesriike üles pakkuma tugevdatud noortegarantii kavade raames noortele emadele kohandatud ja sihipärast toetust;</w:t>
            </w:r>
            <w:r>
              <w:t xml:space="preserve"> </w:t>
            </w:r>
            <w:r>
              <w:rPr>
                <w:b/>
                <w:i/>
              </w:rPr>
              <w:t>rõhutab, et noorte emade panust tööturule tuleks mõista laiemalt kui ainult tööhõivet ning selle puhul tuleks tunnustada hooldustööd;</w:t>
            </w:r>
            <w:r>
              <w:t xml:space="preserve"> </w:t>
            </w:r>
            <w:r>
              <w:rPr>
                <w:b/>
                <w:i/>
              </w:rPr>
              <w:t>taunib asjaolu, et häbimärgistamine ja diskrimineerimine, ebaproportsionaalsed hoolduskohustused ja rahaline surve võivad vähendada tõenäosust, et noored emad saavad kasutada ajamahukaid haridus-, koolitus- ja töövõimalusi;</w:t>
            </w:r>
            <w:r>
              <w:t xml:space="preserve"> </w:t>
            </w:r>
            <w:r>
              <w:rPr>
                <w:b/>
                <w:i/>
              </w:rPr>
              <w:t>toonitab, kui oluline on tasuta või taskukohane riiklik lastehoid, et hõlbustada noorte emade juurdepääsu haridusele, koolitusele ja tööhõivele;</w:t>
            </w:r>
            <w:r>
              <w:t xml:space="preserve"> </w:t>
            </w:r>
            <w:r>
              <w:rPr>
                <w:b/>
                <w:i/>
              </w:rPr>
              <w:t>nõuab sellega seoses sihipäraseid meetmeid, nagu paindlik töökorraldus ja konkreetne rahaline toetus;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kutsub liikmesriike üles pakkuma alateadlike eelarvamuste ja mittediskrimineerimise alast koolitust teadlastele, riigiametnikele, tööturuasutuste töötajatele ja muudele spetsialistidele, kes tegelevad noortegarantii raames haavatavate rühmade kaardistamise ja nendega tegelemisega;</w:t>
            </w:r>
            <w:r>
              <w:t xml:space="preserve"> </w:t>
            </w:r>
            <w:r>
              <w:rPr>
                <w:b/>
                <w:i/>
              </w:rPr>
              <w:t>ergutab liikmesriike töötama välja koolitus- ja teadlikkuse suurendamise programme noortegarantii kavades osalevatele tööandjatele, et võidelda diskrimineerimise ja kallutatuse vastu värbamisel ja töökohal, sealhulgas etnilise päritolu, soo, füüsilise ja intellektuaalse arengu puude või sotsiaal-majandusliku tausta alusel;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rõhutab eluasemekriisi ainulaadset ja negatiivset mõju meie piirkondlikele, vähemus- ja vähemkasutatavatele keeltele ning seda, kuidas see võib ebaproportsionaalselt mõjutada noori, kes soovivad jääda oma kogukonda; kutsub seepärast kohalikke, piirkondlikke, riiklikke ja ELi ametiasutusi üles võtma vastu kohandatud eluasememeetmed ja kasutama nn noortekontrolle piirkondades, kus neid keeli räägitakse, sealhulgas tegema vajaduse korral sihipäraseid erandeid, et kaitsta noori nendes kogukondades;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kutsub liikmesriike üles pakkuma noortegarantii kavades noortele vanematele kogu päeva kestvat lastehoidu, sealhulgas toitlustamist ja paindlikku tööaega, et kõrvaldada tööturul osalemise takistused;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nõuab sihipäraseid tugevdatud noortegarantii meetmeid, et toetada selliseid NEET-noori, kes on vangistuses või kinnipidamissüsteemist väljunud, ning neid, kellel on raskusi sõltuvusega;</w:t>
            </w:r>
            <w:r>
              <w:t xml:space="preserve"> </w:t>
            </w:r>
            <w:r>
              <w:rPr>
                <w:b/>
                <w:i/>
              </w:rPr>
              <w:t>nõuab kohandatud programme ja pidevat toetust, et vähendada häbimärgistamist ja hõlbustada nende oskuste täiendamist ning tulemuslikku ja kestlikku taasintegreerimist ühiskonda ja tööhõivesse;</w:t>
            </w:r>
            <w:r>
              <w:t xml:space="preserve"> </w:t>
            </w:r>
            <w:r>
              <w:rPr>
                <w:b/>
                <w:i/>
              </w:rPr>
              <w:t>rõhutab, et kaasaval ja aktiivsel osalemisel hariduses, koolituses ja tööhõives on ennetav mõju uimastite ja alkoholi kuritarvitamise ohu vähendamisele ning noorte õigusrikkumiste ja kinnipidamiste määra vähendamisele;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teeb ettepaneku süstematiseerida tugevdatud noortegarantii märgistus riiklikes ja kohalikes kavades, et parandada nähtavust ning suurendada haldusasutuste, kohalike omavalitsuste ja toetusesaajate teadlikkust;</w:t>
            </w:r>
            <w:r>
              <w:t xml:space="preserve"> </w:t>
            </w:r>
            <w:r>
              <w:rPr>
                <w:b/>
                <w:i/>
              </w:rPr>
              <w:t>rõhutab, et toetusesaajate jaoks on oluline olla teadlik sellest, et nad osalevad tugevdatud noortegarantii kavades, et mõista neile kättesaadavat üldist toetust;</w:t>
            </w:r>
            <w:r>
              <w:t xml:space="preserve"> </w:t>
            </w:r>
            <w:r>
              <w:rPr>
                <w:b/>
                <w:i/>
              </w:rPr>
              <w:t>kutsub komisjoni üles töötama koos liikmesriikidega välja tugevdatud noortegarantii kavade nähtavuse reeglid;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kutsub liikmesriike üles tõhusalt toetama naissoost NEET-noori, suurendades poliitikakujundajate teadlikkust naiste konkreetsetest probleemidest ja takistustest, kogudes ja analüüsides sooliselt eristatud andmeid NEET-noorte kohta, et kavandada sihipäraseid teavitus- ja aktiveerimismeetmeid, ning edendades kutsehariduse ja -õppe võimalusi naissoost NEET-noortele, et võimaldada ümberõpet, tööhõivet ja kestlikku tööturule integreerimist;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kutsub liikmesriike üles uurima meetmeid, millega tagada noortegarantii raames jätkuv kaetus ja toetus noortele, kes teevad hooajalist või ajutist tööd välisriigis, võttes arvesse asjaolu, et paljud veedavad ainult osa aastast välisriigis töötades ning pöörduvad seejärel tagasi koju ja veedavad ülejäänud aasta ilma sissetulekuta;</w:t>
            </w:r>
            <w:r>
              <w:t xml:space="preserve"> </w:t>
            </w:r>
            <w:r>
              <w:rPr>
                <w:b/>
                <w:i/>
              </w:rPr>
              <w:t>rõhutab, kui oluline on tagada välisriigis omandatud oskuste tunnustamine ja koduriiki naasmisel kiire koostöö tööturuasutustega;</w:t>
            </w:r>
            <w:r>
              <w:t xml:space="preserve"> </w:t>
            </w:r>
            <w:r>
              <w:rPr>
                <w:b/>
                <w:i/>
              </w:rPr>
              <w:t>kutsub lisaks liikmesriike üles igal aastal süstemaatiliselt koguma ja ajakohastama andmeid nende noorte arvu kohta, kes teevad hooajalist või ajutist tööd välisriigis, et anda paremat teavet poliitikameetmete võtmiseks ja tagada kohandatud toetus;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toonitab, et haavatavate NEET-noorte edukas tööturule integreerimine sõltub nende juurdepääsust korralikele põhilistele elutingimustele;</w:t>
            </w:r>
            <w:r>
              <w:t xml:space="preserve"> </w:t>
            </w:r>
            <w:r>
              <w:rPr>
                <w:b/>
                <w:i/>
              </w:rPr>
              <w:t>kutsub komisjoni ja liikmesriike üles tagama, et tugevdatud noortegarantii rakendamine oleks struktuurselt seotud eluaseme-, hooldus-, sotsiaalkaitse- ja tervishoiupoliitikaga, et tegeleda paljude takistustega, millega haavatavad NEET-noored kvaliteetsetele töökohtadele, haridusele ja koolitusele juurdepääsul silmitsi seisavad;</w:t>
            </w:r>
            <w:r>
              <w:t xml:space="preserve"> </w:t>
            </w:r>
            <w:r>
              <w:rPr>
                <w:b/>
                <w:i/>
              </w:rPr>
              <w:t>kutsub liikmesriike üles tagama, et tugevdatud noortegarantiid, mida pakutakse haavatavatele NEET-noortele, toetaks piisav juurdepääs olulistele tugiteenustele, sealhulgas eluasemetoetusele, lapsehoiule, transpordile ja tervishoiule;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kutsub liikmesriike üles edendama soolist võrdõiguslikkust, töö- ja eraelu tasakaalu ning ennetama pikaajalist sotsiaalset tõrjutust, vähendades samal ajal haridussüsteemist varakult lahkumise ning pikaajalise NEET-noore staatusega seotud sotsiaalseid ja majanduslikke kulusid;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rõhutab vajadust täiendavate kaardistamispüüdluste järele, et teha kindlaks praegused lüngad ja kohandada teavitusstrateegiaid ning pakkuda välja sihipäraseid meetmeid ja investeeringuid NEET-noorte eri alarühmade jaoks;</w:t>
            </w:r>
            <w:r>
              <w:t xml:space="preserve"> </w:t>
            </w:r>
            <w:r>
              <w:rPr>
                <w:b/>
                <w:i/>
              </w:rPr>
              <w:t>kutsub eelkõige liikmesriike üles põhjalikult ja piirkonna kaupa analüüsima NEET-noorte omadusi ning kriteeriume, mis suurendavad NEET-nooreks muutumise riske, näiteks sugu, vanus, puue või haridustase, tagamaks, et meetmed on kohandatud nende noorte vajadustele;</w:t>
            </w:r>
            <w:r>
              <w:t xml:space="preserve"> </w:t>
            </w:r>
            <w:r>
              <w:rPr>
                <w:b/>
                <w:i/>
              </w:rPr>
              <w:t>teeb ettepaneku, et see analüüs peaks hõlmama konsulteerimist sihtrühmade ja asjaomaste sidusrühmadega (nt kodanikuühiskonna ja sotsiaalpartneritega);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kutsub liikmesriike üles töötama välja või tugevdama tugevdatud noortegarantii teenuste osutamise ühtse kontaktpunkti mudeleid, et vähendada killustatust ja halduskoormust ning parandada selliste NEET-noorte osalemise määra, kes on haavatavad ja kelleni on raske jõuda;</w:t>
            </w:r>
            <w:r>
              <w:t xml:space="preserve"> </w:t>
            </w:r>
            <w:r>
              <w:rPr>
                <w:b/>
                <w:i/>
              </w:rPr>
              <w:t>toonitab, kui olulised on madala künnisega mitut asutust hõlmavad noortekeskused, mis koondavad tugevdatud noortegarantii toetuse ning tööhõive-, haridus-, koolitus- ja sotsiaalteenused ühte juurdepääsetavasse asukohta;</w:t>
            </w:r>
            <w:r>
              <w:t xml:space="preserve"> </w:t>
            </w:r>
            <w:r>
              <w:rPr>
                <w:b/>
                <w:i/>
              </w:rPr>
              <w:t>rõhutab, et see mudel on osutunud mitmes liikmesriigis edukaks tõkete kõrvaldamisel ja tööturule tõhusaks integreerimiseks vajaliku tervikliku toetuse pakkumisel;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ergutab noorte mentorluse loomist kõigis ELi piirkondades, et võimaldada koolitatud eraisikutel ja vabatahtlikel juhendada neid noori, kelleni on raske jõuda, hariduse, koolituse ja karjääri arendamise valdkonnas, et jõuda noorteni nende asukohas;</w:t>
            </w:r>
            <w:r>
              <w:t xml:space="preserve"> </w:t>
            </w:r>
            <w:r>
              <w:rPr>
                <w:b/>
                <w:i/>
              </w:rPr>
              <w:t>rõhutab, et sellised mentorluskavad peaksid täiendama, kuid mitte asendama avalike tööturuasutuste professionaalset nõustamist;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f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21f.</w:t>
            </w:r>
            <w:r>
              <w:tab/>
            </w:r>
            <w:r>
              <w:rPr>
                <w:b/>
                <w:i/>
              </w:rPr>
              <w:t>kutsub komisjoni üles andma liikmesriikidele sihipärast tehnilist abi, et töötada välja digivahendid noortegarantii toetusesaajate vajaduste kindlakstegemiseks, tuginedes individuaalse toetuse parimatele tavadele;</w:t>
            </w:r>
            <w:r>
              <w:t xml:space="preserve"> </w:t>
            </w:r>
            <w:r>
              <w:rPr>
                <w:b/>
                <w:i/>
              </w:rPr>
              <w:t>toonitab sellega seoses tehisintellektil põhinevate profileerimisvahendite paljutõotavat kasutamist mõnes liikmesriigis, ent rõhutab vajadust inimjärelevalve järele, et vältida valesti klassifitseerimist;</w:t>
            </w:r>
            <w:r>
              <w:t xml:space="preserve"> </w:t>
            </w:r>
            <w:r>
              <w:rPr>
                <w:b/>
                <w:i/>
              </w:rPr>
              <w:t>soovitab samuti, et liikmesriigid pakuksid automaatseid enesehindamisvahendeid, millega hinnatakse tegureid, mis määravad kättesaadava toetuse, märkides, et mõnel noorel võib olla lihtsam kasutada esmaseks kontaktiks veebipõhiseid kanaleid;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f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21f.</w:t>
            </w:r>
            <w:r>
              <w:tab/>
            </w:r>
            <w:r>
              <w:rPr>
                <w:b/>
                <w:i/>
              </w:rPr>
              <w:t>kutsub liikmesriike üles tagama struktuurse seose tugevdatud noortegarantii kavade ja sotsiaalkaitsesüsteemide vahel, tagades abivajavatele noortele pideva ja piisava individuaalse sissetulekutoetuse enne tugevdatud noortegarantii pakkumist, selle ajal ja pärast seda, et vältida lünki katvuses, vähendada vaesusriski üleminekute ajal ning tagada, et haavatavad NEET-noored saavad tööhõives, hariduses ja koolituses sisuliselt osaleda;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g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21g.</w:t>
            </w:r>
            <w:r>
              <w:tab/>
            </w:r>
            <w:r>
              <w:rPr>
                <w:b/>
                <w:i/>
              </w:rPr>
              <w:t>kutsub komisjoni ja liikmesriike üles tagama abivajavatele noortele võrdse juurdepääsu piisavale miinimumsissetulekule;</w:t>
            </w:r>
            <w:r>
              <w:t xml:space="preserve"> </w:t>
            </w:r>
            <w:r>
              <w:rPr>
                <w:b/>
                <w:i/>
              </w:rPr>
              <w:t>kutsub liikmesriike üles kaotama sotsiaalkaitsesüsteemides vanusepõhised piirangud ja tagama, et noortel oleks juurdepääs piisavatele sotsiaaltoetustele, mis põhinevad individuaalsel, mitte leibkonna majanduslikul olukorral;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21 h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21h.</w:t>
            </w:r>
            <w:r>
              <w:tab/>
            </w:r>
            <w:r>
              <w:rPr>
                <w:b/>
                <w:i/>
              </w:rPr>
              <w:t>kutsub komisjoni üles esitama ettepaneku piisava miinimumsissetuleku tagamise kavasid käsitleva direktiivi kohta, millega tagatakse sissetulekutoetus, mis kindlustab inimväärse elu kõigile abivajajatele, olenemata vanusest;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kutsub liikmesriike üles kooskõlas nõukogu 2012. aasta soovitusega tugevdama oma mitteformaalse ja informaalse õppe valideerimise süsteeme; julgustab neid süsteeme kohandama, et jõuda haavatavate NEET-noorteni, suurendades valideerimise eest vastutavate isikute suutlikkust või pakkudes erikorda ja tagades samal ajal nende menetluste kvaliteedi;</w:t>
            </w:r>
          </w:p>
        </w:tc>
        <w:tc>
          <w:tcPr>
            <w:tcW w:w="4876" w:type="dxa"/>
            <w:tcBorders>
              <w:top w:val="nil"/>
              <w:left w:val="nil"/>
              <w:bottom w:val="nil"/>
              <w:right w:val="nil"/>
            </w:tcBorders>
          </w:tcPr>
          <w:p>
            <w:pPr>
              <w:pStyle w:val="Normal6a"/>
            </w:pPr>
            <w:r>
              <w:t>22.</w:t>
            </w:r>
            <w:r>
              <w:tab/>
            </w:r>
            <w:r>
              <w:t>kutsub liikmesriike üles kooskõlas nõukogu 2012. aasta soovitusega</w:t>
            </w:r>
            <w:r>
              <w:rPr>
                <w:b/>
                <w:i/>
                <w:vertAlign w:val="superscript"/>
              </w:rPr>
              <w:t>32a</w:t>
            </w:r>
            <w:r>
              <w:t xml:space="preserve"> tugevdama oma mitteformaalse ja informaalse õppe valideerimise süsteeme; julgustab neid süsteeme kohandama, et jõuda haavatavate NEET-noorteni, suurendades valideerimise eest vastutavate isikute suutlikkust</w:t>
            </w:r>
            <w:r>
              <w:rPr>
                <w:b/>
                <w:i/>
              </w:rPr>
              <w:t>, mitmekesistades sertifitseerimist, mida on võimalik saada valideerimise teel,</w:t>
            </w:r>
            <w:r>
              <w:t xml:space="preserve"> või pakkudes erikorda ja tagades samal ajal nende menetluste kvaliteedi; </w:t>
            </w:r>
            <w:r>
              <w:rPr>
                <w:b/>
                <w:i/>
              </w:rPr>
              <w:t>toonitab mitteformaalse ja informaalse õppe valideerimise Euroopa andmekogus</w:t>
            </w:r>
            <w:r>
              <w:rPr>
                <w:b/>
                <w:i/>
                <w:vertAlign w:val="superscript"/>
              </w:rPr>
              <w:t>33a</w:t>
            </w:r>
            <w:r>
              <w:t xml:space="preserve"> </w:t>
            </w:r>
            <w:r>
              <w:rPr>
                <w:b/>
                <w:i/>
              </w:rPr>
              <w:t>kindlaks tehtud häid valideerimistavasid, eelkõige seost Euroopa kvalifikatsiooniraamistikuga ja tööandjate kaasamist nendesse menetlustesse, et tagada sertifitseeritud kvalifikatsioonide tunnustamine;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32a</w:t>
            </w:r>
            <w:r>
              <w:t xml:space="preserve"> </w:t>
            </w:r>
            <w:r>
              <w:rPr>
                <w:b/>
                <w:i/>
              </w:rPr>
              <w:t>ELT C 398, 22.12.2012, lk 1–5.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33a</w:t>
            </w:r>
            <w:r>
              <w:t xml:space="preserve"> </w:t>
            </w:r>
            <w:r>
              <w:rPr>
                <w:b/>
                <w:i/>
              </w:rPr>
              <w:t>https://www.cedefop.europa.eu/et/country-reports/european-inventory-on-validation.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kutsub liikmesriike üles kooskõlas nõukogu 2012. aasta </w:t>
            </w:r>
            <w:r>
              <w:rPr>
                <w:b/>
                <w:i/>
              </w:rPr>
              <w:t>soovitusega</w:t>
            </w:r>
            <w:r>
              <w:t xml:space="preserve"> tugevdama </w:t>
            </w:r>
            <w:r>
              <w:rPr>
                <w:b/>
                <w:i/>
              </w:rPr>
              <w:t>oma</w:t>
            </w:r>
            <w:r>
              <w:t xml:space="preserve"> mitteformaalse ja informaalse õppe </w:t>
            </w:r>
            <w:r>
              <w:rPr>
                <w:b/>
                <w:i/>
              </w:rPr>
              <w:t>valideerimise süsteeme</w:t>
            </w:r>
            <w:r>
              <w:t>; julgustab neid süsteeme kohandama, et jõuda haavatavate NEET-noorteni, suurendades valideerimise eest vastutavate isikute suutlikkust või pakkudes erikorda ja tagades samal ajal nende menetluste kvaliteedi;</w:t>
            </w:r>
          </w:p>
        </w:tc>
        <w:tc>
          <w:tcPr>
            <w:tcW w:w="4876" w:type="dxa"/>
            <w:tcBorders>
              <w:top w:val="nil"/>
              <w:left w:val="nil"/>
              <w:bottom w:val="nil"/>
              <w:right w:val="nil"/>
            </w:tcBorders>
          </w:tcPr>
          <w:p>
            <w:pPr>
              <w:pStyle w:val="Normal6a"/>
            </w:pPr>
            <w:r>
              <w:t>22.</w:t>
            </w:r>
            <w:r>
              <w:tab/>
            </w:r>
            <w:r>
              <w:t xml:space="preserve">kutsub </w:t>
            </w:r>
            <w:r>
              <w:rPr>
                <w:b/>
                <w:i/>
              </w:rPr>
              <w:t>komisjoni ja</w:t>
            </w:r>
            <w:r>
              <w:t xml:space="preserve"> liikmesriike üles kooskõlas nõukogu 2012. aasta </w:t>
            </w:r>
            <w:r>
              <w:rPr>
                <w:b/>
                <w:i/>
              </w:rPr>
              <w:t>soovituse ja Euroopa kvalifikatsiooniraamistikuga</w:t>
            </w:r>
            <w:r>
              <w:t xml:space="preserve"> tugevdama </w:t>
            </w:r>
            <w:r>
              <w:rPr>
                <w:b/>
                <w:i/>
              </w:rPr>
              <w:t>ja edasi arendama oma süsteeme selliste oskuste ametlikuks tunnustamiseks ja valideerimiseks, mille noored, eelkõige noored lapsevanemad ja hooldajad on omandanud</w:t>
            </w:r>
            <w:r>
              <w:t xml:space="preserve"> mitteformaalse ja informaalse õppe </w:t>
            </w:r>
            <w:r>
              <w:rPr>
                <w:b/>
                <w:i/>
              </w:rPr>
              <w:t>kaudu, nagu haridus ja mitteametlik hooldamine, vabatahtlik tegevus ja noorsootöö, eelkõige juhul, kui need oskused võivad aidata vähendada tööjõu ja oskuste nappust olulistes sektorites</w:t>
            </w:r>
            <w:r>
              <w:t>; julgustab neid süsteeme kohandama, et jõuda haavatavate NEET-noorteni, suurendades valideerimise eest vastutavate isikute suutlikkust või pakkudes erikorda ja tagades samal ajal nende menetluste kvaliteedi;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kutsub liikmesriike üles kooskõlas nõukogu 2012. aasta soovitusega </w:t>
            </w:r>
            <w:r>
              <w:rPr>
                <w:b/>
                <w:i/>
              </w:rPr>
              <w:t>tugevdama oma</w:t>
            </w:r>
            <w:r>
              <w:t xml:space="preserve"> mitteformaalse ja informaalse õppe valideerimise </w:t>
            </w:r>
            <w:r>
              <w:rPr>
                <w:b/>
                <w:i/>
              </w:rPr>
              <w:t>süsteeme</w:t>
            </w:r>
            <w:r>
              <w:t xml:space="preserve">; julgustab neid süsteeme kohandama, et jõuda </w:t>
            </w:r>
            <w:r>
              <w:rPr>
                <w:b/>
                <w:i/>
              </w:rPr>
              <w:t>haavatavate</w:t>
            </w:r>
            <w:r>
              <w:t xml:space="preserve"> NEET-noorteni, suurendades valideerimise eest vastutavate isikute suutlikkust </w:t>
            </w:r>
            <w:r>
              <w:rPr>
                <w:b/>
                <w:i/>
              </w:rPr>
              <w:t>või pakkudes erikorda ja tagades samal ajal nende menetluste kvaliteedi</w:t>
            </w:r>
            <w:r>
              <w:t>;</w:t>
            </w:r>
          </w:p>
        </w:tc>
        <w:tc>
          <w:tcPr>
            <w:tcW w:w="4876" w:type="dxa"/>
            <w:tcBorders>
              <w:top w:val="nil"/>
              <w:left w:val="nil"/>
              <w:bottom w:val="nil"/>
              <w:right w:val="nil"/>
            </w:tcBorders>
          </w:tcPr>
          <w:p>
            <w:pPr>
              <w:pStyle w:val="Normal6a"/>
            </w:pPr>
            <w:r>
              <w:t>22.</w:t>
            </w:r>
            <w:r>
              <w:tab/>
            </w:r>
            <w:r>
              <w:t xml:space="preserve">kutsub </w:t>
            </w:r>
            <w:r>
              <w:rPr>
                <w:b/>
                <w:i/>
              </w:rPr>
              <w:t>komisjoni ja</w:t>
            </w:r>
            <w:r>
              <w:t xml:space="preserve"> liikmesriike üles </w:t>
            </w:r>
            <w:r>
              <w:rPr>
                <w:b/>
                <w:i/>
              </w:rPr>
              <w:t>looma</w:t>
            </w:r>
            <w:r>
              <w:t xml:space="preserve"> kooskõlas nõukogu 2012. aasta soovitusega </w:t>
            </w:r>
            <w:r>
              <w:rPr>
                <w:b/>
                <w:i/>
              </w:rPr>
              <w:t>kogu liitu hõlmava</w:t>
            </w:r>
            <w:r>
              <w:t xml:space="preserve"> mitteformaalse ja informaalse õppe valideerimise </w:t>
            </w:r>
            <w:r>
              <w:rPr>
                <w:b/>
                <w:i/>
              </w:rPr>
              <w:t>süsteemi</w:t>
            </w:r>
            <w:r>
              <w:t xml:space="preserve">; julgustab neid süsteeme kohandama, et jõuda NEET-noorteni, </w:t>
            </w:r>
            <w:r>
              <w:rPr>
                <w:b/>
                <w:i/>
              </w:rPr>
              <w:t>eelkõige nendeni, kelleni on raske jõuda või kes on haavatavad, suurendades teadlikkust menetlustest ja nende kättesaadavust ning</w:t>
            </w:r>
            <w:r>
              <w:t xml:space="preserve"> suurendades valideerimise eest vastutavate isikute suutlikkust;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rõhutab mikrokvalifikatsioonitunnistuste potentsiaali tugevdatud noortegarantii ametlike oskuste sertifitseerimise süsteemide täiendava vahendina;</w:t>
            </w:r>
            <w:r>
              <w:t xml:space="preserve"> </w:t>
            </w:r>
            <w:r>
              <w:rPr>
                <w:b/>
                <w:i/>
              </w:rPr>
              <w:t>kutsub komisjoni ja liikmesriike üles töötama välja kutsehariduses ja -õppes kasutatavate mikrokvalifikatsioonitunnistuste Euroopa võrdlusraamistiku, milles on ühendatud riiklike oskuste kogude ja Euroopa kvalifikatsiooniraamistikuga seotud väljakujunenud viis ja paindlik viis, mida saab ajakohastada tööturu teatatud uute oskuste profiilidega;</w:t>
            </w:r>
            <w:r>
              <w:t xml:space="preserve"> </w:t>
            </w:r>
            <w:r>
              <w:rPr>
                <w:b/>
                <w:i/>
              </w:rPr>
              <w:t>rõhutab, et mikrokvalifikatsioonitunnistused peavad vastama kontrollitavatele kvaliteedistandarditele, nägema ette selgesõnalised tööandjate poolse tunnustamise mehhanismid ning olema integreeritud riiklike oskuste identifitseerimise, valideerimise ja sertifitseerimise süsteemidega;</w:t>
            </w:r>
            <w:r>
              <w:t xml:space="preserve"> </w:t>
            </w:r>
            <w:r>
              <w:rPr>
                <w:b/>
                <w:i/>
              </w:rPr>
              <w:t>nõuab, et mikrokvalifikatsioonitunnistuste kavandamist, väljaandmist, kasutamist ja tunnustamist käsitlevaid andmeid kogutaks ja analüüsitaks süstemaatiliselt ELi tasandil nii tööturuteabe vahendina kui ka koolitussüsteemide asjakohasuse hindamise vahendina;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kutsub komisjoni ja liikmesriike üles valmistama NEET-noori ette sisuliseks osalemiseks ökoloogilises ja digiüleminekus horisontaalselt integreeritud oskuste arendamise ja ümberõppe kaudu tugevdatud noortegarantii raames;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22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22b.</w:t>
            </w:r>
            <w:r>
              <w:tab/>
            </w:r>
            <w:r>
              <w:rPr>
                <w:b/>
                <w:i/>
              </w:rPr>
              <w:t>rõhutab, et tugevdatud noortegarantii eesmärke ei ole võimalik saavutada, kui ei tegeleta tulemuslikult põhioskuste nappuse ja digilõhega;</w:t>
            </w:r>
            <w:r>
              <w:t xml:space="preserve"> </w:t>
            </w:r>
            <w:r>
              <w:rPr>
                <w:b/>
                <w:i/>
              </w:rPr>
              <w:t>kutsub komisjoni ja liikmesriike üles võtma kooskõlastatud meetmeid, et kõrvaldada püsivad lüngad funktsionaalses arvutusoskuses, kirjaoskuses ja digioskustes, mis takistavad noorte juurdepääsu kvaliteetsele haridusele, koolitusele ja tööhõivele;</w:t>
            </w:r>
            <w:r>
              <w:t xml:space="preserve"> </w:t>
            </w:r>
            <w:r>
              <w:rPr>
                <w:b/>
                <w:i/>
              </w:rPr>
              <w:t>nõuab tungivalt, et liikmesriigid tugevdaksid kaasavaid ja kättesaadavaid haridus- ja koolitussüsteeme, pöörates erilist tähelepanu varajasele sekkumisele ja ebasoodsa sotsiaal-majandusliku taustaga inimeste toetamisele;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22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22c.</w:t>
            </w:r>
            <w:r>
              <w:tab/>
            </w:r>
            <w:r>
              <w:rPr>
                <w:b/>
                <w:i/>
              </w:rPr>
              <w:t>kutsub komisjoni üles hindama tehisintellekti mõju noorte tööhõivele ja tugevdatud noortegarantiile, pöörates erilist tähelepanu algastme ametikohtadele ning töö- ja tööhõivetingimustele;</w:t>
            </w:r>
            <w:r>
              <w:t xml:space="preserve"> </w:t>
            </w:r>
            <w:r>
              <w:rPr>
                <w:b/>
                <w:i/>
              </w:rPr>
              <w:t>kutsub sellega seoses komisjoni üles hoolikalt kaaluma noorte töötajate olukorda kõigis tulevastes algatustes, mis käsitlevad tehisintellekti töökohal;</w:t>
            </w:r>
            <w:r>
              <w:t xml:space="preserve"> </w:t>
            </w:r>
            <w:r>
              <w:rPr>
                <w:b/>
                <w:i/>
              </w:rPr>
              <w:t>rõhutab vajadust lisada tehisintellekt haridus- ja koolituskavadesse, et valmistada noori ette tööturu jaoks digiajastul;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kutsub liikmesriike üles tasakaalustama tugevdatud noortegarantii kavade raames tehtavaid pakkumisi, pannes rohkem rõhku oskuste arendamisele ja kasutades vähem standardmeetmetena tööhõivet ja subsideeritud töökohti;</w:t>
            </w:r>
          </w:p>
        </w:tc>
        <w:tc>
          <w:tcPr>
            <w:tcW w:w="4876" w:type="dxa"/>
            <w:tcBorders>
              <w:top w:val="nil"/>
              <w:left w:val="nil"/>
              <w:bottom w:val="nil"/>
              <w:right w:val="nil"/>
            </w:tcBorders>
          </w:tcPr>
          <w:p>
            <w:pPr>
              <w:pStyle w:val="Normal6a"/>
            </w:pPr>
            <w:r>
              <w:t>23.</w:t>
            </w:r>
            <w:r>
              <w:tab/>
            </w:r>
            <w:r>
              <w:t xml:space="preserve">kutsub liikmesriike üles tasakaalustama tugevdatud noortegarantii kavade raames tehtavaid pakkumisi, pannes rohkem rõhku oskuste arendamisele ja kasutades vähem standardmeetmetena tööhõivet ja subsideeritud töökohti; </w:t>
            </w:r>
            <w:r>
              <w:rPr>
                <w:b/>
                <w:i/>
              </w:rPr>
              <w:t>tuletab meelde, et nelja peamise pakkumiste kategooria vahel valiku tegemisel tuleb lähtuda toetusesaajate individuaalsetest püüdlustest ja vajadustest;</w:t>
            </w:r>
            <w:r>
              <w:t xml:space="preserve"> </w:t>
            </w:r>
            <w:r>
              <w:rPr>
                <w:b/>
                <w:i/>
              </w:rPr>
              <w:t>on seisukohal, et tugevdatud noortegarantii kavade raames toimuv praktika ja õpipoisiõpe peaks olema seotud värbamiskohustustega ning hariduspakkumistele tuleks kasuks, kui need hõlmaksid rohkem kui vaid 15–18-aastaste vanuserühma;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kutsub liikmesriike üles tasakaalustama tugevdatud noortegarantii kavade raames tehtavaid pakkumisi, pannes rohkem rõhku oskuste arendamisele ja kasutades vähem standardmeetmetena </w:t>
            </w:r>
            <w:r>
              <w:rPr>
                <w:b/>
                <w:i/>
              </w:rPr>
              <w:t>tööhõivet</w:t>
            </w:r>
            <w:r>
              <w:t xml:space="preserve"> ja subsideeritud </w:t>
            </w:r>
            <w:r>
              <w:rPr>
                <w:b/>
                <w:i/>
              </w:rPr>
              <w:t>töökohti</w:t>
            </w:r>
            <w:r>
              <w:t>;</w:t>
            </w:r>
          </w:p>
        </w:tc>
        <w:tc>
          <w:tcPr>
            <w:tcW w:w="4876" w:type="dxa"/>
            <w:tcBorders>
              <w:top w:val="nil"/>
              <w:left w:val="nil"/>
              <w:bottom w:val="nil"/>
              <w:right w:val="nil"/>
            </w:tcBorders>
          </w:tcPr>
          <w:p>
            <w:pPr>
              <w:pStyle w:val="Normal6a"/>
            </w:pPr>
            <w:r>
              <w:t>23.</w:t>
            </w:r>
            <w:r>
              <w:tab/>
            </w:r>
            <w:r>
              <w:t xml:space="preserve">kutsub liikmesriike üles tasakaalustama tugevdatud noortegarantii kavade raames tehtavaid pakkumisi, pannes rohkem rõhku </w:t>
            </w:r>
            <w:r>
              <w:rPr>
                <w:b/>
                <w:i/>
              </w:rPr>
              <w:t>kestlikule</w:t>
            </w:r>
            <w:r>
              <w:t xml:space="preserve"> oskuste arendamisele ja kasutades vähem standardmeetmetena </w:t>
            </w:r>
            <w:r>
              <w:rPr>
                <w:b/>
                <w:i/>
              </w:rPr>
              <w:t>esmasele tööturule sisenemist tööhõive</w:t>
            </w:r>
            <w:r>
              <w:t xml:space="preserve"> ja subsideeritud </w:t>
            </w:r>
            <w:r>
              <w:rPr>
                <w:b/>
                <w:i/>
              </w:rPr>
              <w:t>töökohtade abil, edendades selle asemel pikaajalist tööalast konkurentsivõimet kvaliteetse hariduse, sealhulgas vaimse ja tehisintellektialase vastupidavuse, kvaliteetse ja õiglaselt tasustatud õpipoisiõppe ja praktika ning selliste kavade kaudu, millega motiveeritakse tööandjaid tagama edasise töölevõtmise, näiteks praktikavautšerid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kutsub liikmesriike üles tasakaalustama tugevdatud noortegarantii kavade raames tehtavaid pakkumisi, pannes rohkem rõhku oskuste arendamisele ja kasutades vähem standardmeetmetena tööhõivet ja subsideeritud töökohti;</w:t>
            </w:r>
          </w:p>
        </w:tc>
        <w:tc>
          <w:tcPr>
            <w:tcW w:w="4876" w:type="dxa"/>
            <w:tcBorders>
              <w:top w:val="nil"/>
              <w:left w:val="nil"/>
              <w:bottom w:val="nil"/>
              <w:right w:val="nil"/>
            </w:tcBorders>
          </w:tcPr>
          <w:p>
            <w:pPr>
              <w:pStyle w:val="Normal6a"/>
            </w:pPr>
            <w:r>
              <w:t>23.</w:t>
            </w:r>
            <w:r>
              <w:tab/>
            </w:r>
            <w:r>
              <w:t xml:space="preserve">kutsub liikmesriike üles tasakaalustama tugevdatud noortegarantii kavade raames tehtavaid pakkumisi, pannes rohkem rõhku oskuste arendamisele ja kasutades vähem standardmeetmetena tööhõivet ja subsideeritud töökohti; </w:t>
            </w:r>
            <w:r>
              <w:rPr>
                <w:b/>
                <w:i/>
              </w:rPr>
              <w:t>rõhutab vajadust seada esikohale kvaliteetsed koolitus- ja kutseõppevõimalused, millega noortele antakse oskused, mille järele on tööturul nõudlus, eelkõige tehnilistes, digi- ja tööstussektorites, kus paljudes liikmesriikides valitseb püsiv oskuste nappus;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kutsub liikmesriike üles </w:t>
            </w:r>
            <w:r>
              <w:rPr>
                <w:b/>
                <w:i/>
              </w:rPr>
              <w:t>tasakaalustama</w:t>
            </w:r>
            <w:r>
              <w:t xml:space="preserve"> tugevdatud noortegarantii kavade raames </w:t>
            </w:r>
            <w:r>
              <w:rPr>
                <w:b/>
                <w:i/>
              </w:rPr>
              <w:t>tehtavaid</w:t>
            </w:r>
            <w:r>
              <w:t xml:space="preserve"> pakkumisi</w:t>
            </w:r>
            <w:r>
              <w:rPr>
                <w:b/>
                <w:i/>
              </w:rPr>
              <w:t>, pannes rohkem rõhku oskuste arendamisele ja kasutades vähem standardmeetmetena tööhõivet</w:t>
            </w:r>
            <w:r>
              <w:t xml:space="preserve"> ja subsideeritud </w:t>
            </w:r>
            <w:r>
              <w:rPr>
                <w:b/>
                <w:i/>
              </w:rPr>
              <w:t>töökohti</w:t>
            </w:r>
            <w:r>
              <w:t>;</w:t>
            </w:r>
          </w:p>
        </w:tc>
        <w:tc>
          <w:tcPr>
            <w:tcW w:w="4876" w:type="dxa"/>
            <w:tcBorders>
              <w:top w:val="nil"/>
              <w:left w:val="nil"/>
              <w:bottom w:val="nil"/>
              <w:right w:val="nil"/>
            </w:tcBorders>
          </w:tcPr>
          <w:p>
            <w:pPr>
              <w:pStyle w:val="Normal6a"/>
            </w:pPr>
            <w:r>
              <w:t>23.</w:t>
            </w:r>
            <w:r>
              <w:tab/>
            </w:r>
            <w:r>
              <w:t xml:space="preserve">kutsub liikmesriike üles </w:t>
            </w:r>
            <w:r>
              <w:rPr>
                <w:b/>
                <w:i/>
              </w:rPr>
              <w:t>tagama, et</w:t>
            </w:r>
            <w:r>
              <w:t xml:space="preserve"> tugevdatud noortegarantii kavade raames </w:t>
            </w:r>
            <w:r>
              <w:rPr>
                <w:b/>
                <w:i/>
              </w:rPr>
              <w:t>oleksid tagatud piisav hulk oskuste arendamise</w:t>
            </w:r>
            <w:r>
              <w:t xml:space="preserve"> pakkumisi </w:t>
            </w:r>
            <w:r>
              <w:rPr>
                <w:b/>
                <w:i/>
              </w:rPr>
              <w:t>koos tööhõive</w:t>
            </w:r>
            <w:r>
              <w:t xml:space="preserve"> ja subsideeritud </w:t>
            </w:r>
            <w:r>
              <w:rPr>
                <w:b/>
                <w:i/>
              </w:rPr>
              <w:t>töökohtadega</w:t>
            </w:r>
            <w:r>
              <w:t xml:space="preserve">; </w:t>
            </w:r>
            <w:r>
              <w:rPr>
                <w:b/>
                <w:i/>
              </w:rPr>
              <w:t>kutsub liikmesriike üles tagama, et tugevdatud noortegarantii raames pakutav praktika, sealhulgas aktiivse tööturupoliitika raames pakutav praktika, oleks kooskõlas töötajate suhtes kohaldatava liidu õigusega;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kutsub liikmesriike üles tasakaalustama tugevdatud noortegarantii kavade raames tehtavaid pakkumisi, pannes rohkem rõhku oskuste arendamisele </w:t>
            </w:r>
            <w:r>
              <w:rPr>
                <w:b/>
                <w:i/>
              </w:rPr>
              <w:t>ja kasutades vähem standardmeetmetena tööhõivet ja subsideeritud töökohti</w:t>
            </w:r>
            <w:r>
              <w:t>;</w:t>
            </w:r>
          </w:p>
        </w:tc>
        <w:tc>
          <w:tcPr>
            <w:tcW w:w="4876" w:type="dxa"/>
            <w:tcBorders>
              <w:top w:val="nil"/>
              <w:left w:val="nil"/>
              <w:bottom w:val="nil"/>
              <w:right w:val="nil"/>
            </w:tcBorders>
          </w:tcPr>
          <w:p>
            <w:pPr>
              <w:pStyle w:val="Normal6a"/>
            </w:pPr>
            <w:r>
              <w:t>23.</w:t>
            </w:r>
            <w:r>
              <w:tab/>
            </w:r>
            <w:r>
              <w:t>kutsub liikmesriike üles tasakaalustama tugevdatud noortegarantii kavade raames tehtavaid pakkumisi, pannes rohkem rõhku oskuste arendamisele</w:t>
            </w:r>
            <w:r>
              <w:rPr>
                <w:b/>
                <w:i/>
              </w:rPr>
              <w:t>, tagades kvaliteetsed töökohad, mis on stabiilsed, täielikult tasustatud ning millega kaasnevad täielikud töö- ja sotsiaalsed õigused</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kutsub liikmesriike üles </w:t>
            </w:r>
            <w:r>
              <w:rPr>
                <w:b/>
                <w:i/>
              </w:rPr>
              <w:t>tasakaalustama</w:t>
            </w:r>
            <w:r>
              <w:t xml:space="preserve"> tugevdatud noortegarantii kavade raames </w:t>
            </w:r>
            <w:r>
              <w:rPr>
                <w:b/>
                <w:i/>
              </w:rPr>
              <w:t>tehtavaid pakkumisi, pannes rohkem rõhku</w:t>
            </w:r>
            <w:r>
              <w:t xml:space="preserve"> oskuste arendamisele ja </w:t>
            </w:r>
            <w:r>
              <w:rPr>
                <w:b/>
                <w:i/>
              </w:rPr>
              <w:t>kasutades vähem standardmeetmetena tööhõivet ja subsideeritud töökohti</w:t>
            </w:r>
            <w:r>
              <w:t>;</w:t>
            </w:r>
          </w:p>
        </w:tc>
        <w:tc>
          <w:tcPr>
            <w:tcW w:w="4876" w:type="dxa"/>
            <w:tcBorders>
              <w:top w:val="nil"/>
              <w:left w:val="nil"/>
              <w:bottom w:val="nil"/>
              <w:right w:val="nil"/>
            </w:tcBorders>
          </w:tcPr>
          <w:p>
            <w:pPr>
              <w:pStyle w:val="Normal6a"/>
            </w:pPr>
            <w:r>
              <w:t>23.</w:t>
            </w:r>
            <w:r>
              <w:tab/>
            </w:r>
            <w:r>
              <w:t xml:space="preserve">kutsub liikmesriike üles </w:t>
            </w:r>
            <w:r>
              <w:rPr>
                <w:b/>
                <w:i/>
              </w:rPr>
              <w:t>parandama</w:t>
            </w:r>
            <w:r>
              <w:t xml:space="preserve"> tugevdatud noortegarantii kavade raames </w:t>
            </w:r>
            <w:r>
              <w:rPr>
                <w:b/>
                <w:i/>
              </w:rPr>
              <w:t>tehtavate pakkumiste kvaliteeti, parandades juurdepääsu</w:t>
            </w:r>
            <w:r>
              <w:t xml:space="preserve"> oskuste arendamisele ja </w:t>
            </w:r>
            <w:r>
              <w:rPr>
                <w:b/>
                <w:i/>
              </w:rPr>
              <w:t>koolitusvõimalustele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rõhutab, kui olulised on sihipärased ja jälgitavad stiimulid, näiteks palgatoetused, haavatavate NEET-noorte tööturul osalemise suurendamisel;</w:t>
            </w:r>
            <w:r>
              <w:t xml:space="preserve"> </w:t>
            </w:r>
            <w:r>
              <w:rPr>
                <w:b/>
                <w:i/>
              </w:rPr>
              <w:t>soovitab tööandjatele antud rahaliste stiimulite eel- ja järelanalüüsi, et vältida selliste töökohtade subsideerimist, mis oleksid eksisteerinud ilma avaliku sektori abita, ning tagada, et tugevdatud noortegarantii kavade raames toimuv töölesuunamine ei asendaks alalisi töölepinguid;</w:t>
            </w:r>
            <w:r>
              <w:t xml:space="preserve"> </w:t>
            </w:r>
            <w:r>
              <w:rPr>
                <w:b/>
                <w:i/>
              </w:rPr>
              <w:t>rõhutab ettevõtete sotsiaalset vastutust, mis peaks hõlmama ka NEET-noortele suunatud meetmeid ning partnerlusi koolidega, et pakkuda noortele mitmekesiseid karjäärivõimalusi;</w:t>
            </w:r>
            <w:r>
              <w:t xml:space="preserve"> </w:t>
            </w:r>
            <w:r>
              <w:rPr>
                <w:b/>
                <w:i/>
              </w:rPr>
              <w:t>rõhutab vajadust abistada VKEsid, kes vajavad tugevdatud noortegarantii kavades osalemiseks rohkem teavet ja tuge;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rõhutab, kui oluline on edendada õpipoisiõppe ning kutsehariduse ja -õppe võrdset tunnustamist ja haridussüsteemidesse integreerimist ning tagada see kooskõlas kvaliteetse ja tõhusa õpipoisiõppe Euroopa raamistikuga;</w:t>
            </w:r>
            <w:r>
              <w:t xml:space="preserve"> </w:t>
            </w:r>
            <w:r>
              <w:rPr>
                <w:b/>
                <w:i/>
              </w:rPr>
              <w:t>rõhutab nende keskset rolli noorte kutsealase arengu toetamisel ning oskuste nappuse ja tööturu nõudlusele mittevastavuse probleemiga tegelemisel;</w:t>
            </w:r>
            <w:r>
              <w:t xml:space="preserve"> </w:t>
            </w:r>
            <w:r>
              <w:rPr>
                <w:b/>
                <w:i/>
              </w:rPr>
              <w:t>kutsub liikmesriike üles aktiivselt edendama ja laiendama juurdepääsu kvaliteetsele õpipoisiõppele ning kutseharidusele ja -õppele tugevdatud noortegarantii pakkumiste kaudu, et suurendada NEET-noorte osalemist nendes võimalustes;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kutsub liikmesriike üles tagama tugevdatud noortegarantii kavade raames koolituse ja/või kvaliteetsete tööpakkumiste järk-järgulise personaliseerimise, et need jõuaksid kõige haavatavamate ja/või mitteaktiivsete rühmadeni, eelkõige ebasoodsas olukorras olevate piirkondade äärealade noorteni;</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nõuab tungivalt, et liikmesriigid ei eelistaks kvantitatiivseid eesmärke (kiire töölesuunamine) kvaliteedikriteeriumidele, mis keskenduvad pikaajalistele karjääriväljavaadetele, koolitusele juurdepääsule ja majanduse edendamise võimalustele;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kutsub liikmesriike üles tagama, et tugevdatud noortegarantii raames pakutavad praktikavõimalused tagaksid võrdse kohtlemise töötingimuste, sealhulgas töötasu ja sotsiaalkaitse osas, ning oleksid kättesaadavad ja kohandatud NEET-noorte individuaalsetele vajadustele, sealhulgas haavatavas olukorras olevatele noortele, kes kogevad puudest, terviseprobleemidest või hoolduskohustustest tingitult lisatakistusi;</w:t>
            </w:r>
            <w:r>
              <w:t xml:space="preserve"> </w:t>
            </w:r>
            <w:r>
              <w:rPr>
                <w:b/>
                <w:i/>
              </w:rPr>
              <w:t>rõhutab vajadust tagada, et ükski tugevdatud noortegarantii raames toimuv praktika ei süvendaks sotsiaalset dumpingut, palgadumpingut või palgavaesust noorte seas ning et kõik pakkumised kavandataks ja viidaks ellu eesmärgiga tagada juurdepääsetavus ja kaasavus;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nõuab tungivalt, et liikmesriigid edendaksid majanduslikku progressi ning kestlikku ja pikaajalist karjääri;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23c.</w:t>
            </w:r>
            <w:r>
              <w:tab/>
            </w:r>
            <w:r>
              <w:rPr>
                <w:b/>
                <w:i/>
              </w:rPr>
              <w:t>kutsub liikmesriike üles tagama, et noortegarantii raames pakutav koolitus ja haridus ei keskenduks staatilistele ametiprofiilidele, vaid valdkonnaülestele inimeste oskustele, kriitilisele mõtlemisele, loovusele, emotsionaalsele intelligentsusele ja inimestevahelistele võimetele, mida tehisintellekt ei suuda asendada;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Niels Geuking, Pascal Arimont,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23d.</w:t>
            </w:r>
            <w:r>
              <w:tab/>
            </w:r>
            <w:r>
              <w:rPr>
                <w:b/>
                <w:i/>
              </w:rPr>
              <w:t>nõuab noorte jaoks juurdepääsetavat õpirännet, et edendada elukestvat õpet;</w:t>
            </w:r>
            <w:r>
              <w:t xml:space="preserve"> </w:t>
            </w:r>
            <w:r>
              <w:rPr>
                <w:b/>
                <w:i/>
              </w:rPr>
              <w:t>nõuab tungivalt sihipärast rahastamist, et jõuda vähemate võimalustega inimesteni, eelkõige NEET-noorteni, kes jäävad üldistes kaasamismeetmetes sageli tähelepanuta, ja neid kaasata;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23e.</w:t>
            </w:r>
            <w:r>
              <w:tab/>
            </w:r>
            <w:r>
              <w:rPr>
                <w:b/>
                <w:i/>
              </w:rPr>
              <w:t>kutsub liikmesriike üles kehtestama või laiendama liikuvustoetusi, et toetada noori, kes omandavad haridust, õpipoisiõpet või kutseõpet mujal kui oma elukohas;</w:t>
            </w:r>
            <w:r>
              <w:t xml:space="preserve"> </w:t>
            </w:r>
            <w:r>
              <w:rPr>
                <w:b/>
                <w:i/>
              </w:rPr>
              <w:t>märgib, et nagu näitavad riikide parimad tavad, võib liikuvustoetus katta esimesel koolitusaastal kuni kaks igakuist edasi-tagasi reisi vanematekoju, edendades seeläbi geograafilist liikuvust, vähendades piirkondlikke erinevusi koolituse pakkumises ning suurendades osalemist kvaliteetsetes kutsehariduse ja -õppe programmides;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f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23f.</w:t>
            </w:r>
            <w:r>
              <w:tab/>
            </w:r>
            <w:r>
              <w:rPr>
                <w:b/>
                <w:i/>
              </w:rPr>
              <w:t>ergutab liikmesriike maksma rahalist preemiat noortele, kes on edukalt läbinud õpipoisiõppe, praktika või sertifitseeritud kutsehariduse ja -õppe programmi, et stimuleerida koolist väljalangemise määra vähendamist ja kvalifikatsiooni omandamise edendamist;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23 g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23g.</w:t>
            </w:r>
            <w:r>
              <w:tab/>
            </w:r>
            <w:r>
              <w:rPr>
                <w:b/>
                <w:i/>
              </w:rPr>
              <w:t>kutsub komisjoni ja liikmesriike üles leevendama survet eluasemeturule, pakkudes stiimuleid sotsiaalselt taskukohaste eluasemete ehitamiseks kuni 30-aastastele noortele, nn noorte eluasemeteks, mis põhinevad kaasavatel ja universaalsetel projekteerimisstandarditel;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soovitab luua tugevdatud noortegarantii kavade jaoks viienda tegevussuuna, mis keskenduks vabatahtliku tegevuse võimalustele;</w:t>
            </w:r>
            <w:r>
              <w:t xml:space="preserve"> </w:t>
            </w:r>
            <w:r>
              <w:rPr>
                <w:b/>
                <w:i/>
              </w:rPr>
              <w:t>rõhutab, et vabatahtlik tegevus võib parandada NEET-noorte oskusi ja tööalast konkurentsivõimet ning toetada haavatavaid noori paindlikumalt;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346</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soovitab luua tugevdatud noortegarantii kavade jaoks viienda tegevussuuna, mis keskenduks vabatahtliku tegevuse võimalustele;</w:t>
            </w:r>
            <w:r>
              <w:t xml:space="preserve"> </w:t>
            </w:r>
            <w:r>
              <w:rPr>
                <w:b/>
                <w:i/>
              </w:rPr>
              <w:t>rõhutab, et vabatahtlik tegevus võib parandada NEET-noorte oskusi ja tööalast konkurentsivõimet ning toetada haavatavaid noori paindlikumalt;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347</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soovitab luua tugevdatud noortegarantii kavade jaoks viienda tegevussuuna, mis keskenduks vabatahtliku tegevuse võimalustele;</w:t>
            </w:r>
            <w:r>
              <w:t xml:space="preserve"> </w:t>
            </w:r>
            <w:r>
              <w:rPr>
                <w:b/>
                <w:i/>
              </w:rPr>
              <w:t>rõhutab, et vabatahtlik tegevus võib parandada NEET-noorte oskusi ja tööalast konkurentsivõimet ning toetada haavatavaid noori paindlikumalt;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348</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soovitab luua tugevdatud noortegarantii kavade jaoks viienda tegevussuuna, mis keskenduks vabatahtliku tegevuse võimalustele;</w:t>
            </w:r>
            <w:r>
              <w:t xml:space="preserve"> </w:t>
            </w:r>
            <w:r>
              <w:rPr>
                <w:b/>
                <w:i/>
              </w:rPr>
              <w:t>rõhutab, et vabatahtlik tegevus võib parandada NEET-noorte oskusi ja tööalast konkurentsivõimet ning toetada haavatavaid noori paindlikumalt;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349</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soovitab luua tugevdatud noortegarantii kavade jaoks viienda tegevussuuna, mis keskenduks vabatahtliku tegevuse võimalustele;</w:t>
            </w:r>
            <w:r>
              <w:t xml:space="preserve"> </w:t>
            </w:r>
            <w:r>
              <w:rPr>
                <w:b/>
                <w:i/>
              </w:rPr>
              <w:t>rõhutab, et vabatahtlik tegevus võib parandada NEET-noorte oskusi ja tööalast konkurentsivõimet ning toetada haavatavaid noori paindlikumalt;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soovitab luua tugevdatud noortegarantii kavade jaoks viienda tegevussuuna, mis keskenduks vabatahtliku tegevuse võimalustele; rõhutab, et vabatahtlik tegevus võib parandada NEET-noorte oskusi ja tööalast konkurentsivõimet ning toetada haavatavaid noori paindlikumalt;</w:t>
            </w:r>
          </w:p>
        </w:tc>
        <w:tc>
          <w:tcPr>
            <w:tcW w:w="4876" w:type="dxa"/>
            <w:tcBorders>
              <w:top w:val="nil"/>
              <w:left w:val="nil"/>
              <w:bottom w:val="nil"/>
              <w:right w:val="nil"/>
            </w:tcBorders>
          </w:tcPr>
          <w:p>
            <w:pPr>
              <w:pStyle w:val="Normal6a"/>
            </w:pPr>
            <w:r>
              <w:t>24.</w:t>
            </w:r>
            <w:r>
              <w:tab/>
            </w:r>
            <w:r>
              <w:t xml:space="preserve">soovitab luua tugevdatud noortegarantii kavade jaoks viienda tegevussuuna, mis keskenduks vabatahtliku tegevuse võimalustele; rõhutab, et vabatahtlik tegevus võib parandada NEET-noorte oskusi ja tööalast konkurentsivõimet ning toetada haavatavaid noori paindlikumalt; </w:t>
            </w:r>
            <w:r>
              <w:rPr>
                <w:b/>
                <w:i/>
              </w:rPr>
              <w:t>on seisukohal, et vabatahtliku tegevuse võimaluste integreerimist tugevdatud noortegarantii kavadesse on võimalik saavutada koostoime loomisega Euroopa solidaarsuskorpusega;</w:t>
            </w:r>
            <w:r>
              <w:t xml:space="preserve"> </w:t>
            </w:r>
            <w:r>
              <w:rPr>
                <w:b/>
                <w:i/>
              </w:rPr>
              <w:t>on seisukohal, et selliste vabatahtliku tegevuse võimalustega peaksid kaasnema täiendavad vahendid tugevdatud noortegarantii pakkujatele nende uute võimaluste rakendamiseks ning selle tagamiseks, et olemasolevaid tööhõive- ja koolitusvõimalustele ettenähtud vahendeid ei jaotataks ümber;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351</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soovitab luua tugevdatud noortegarantii kavade jaoks viienda tegevussuuna, mis keskenduks vabatahtliku tegevuse võimalustele; rõhutab, et vabatahtlik tegevus võib parandada NEET-noorte oskusi ja tööalast konkurentsivõimet ning toetada haavatavaid noori paindlikumalt;</w:t>
            </w:r>
          </w:p>
        </w:tc>
        <w:tc>
          <w:tcPr>
            <w:tcW w:w="4876" w:type="dxa"/>
            <w:tcBorders>
              <w:top w:val="nil"/>
              <w:left w:val="nil"/>
              <w:bottom w:val="nil"/>
              <w:right w:val="nil"/>
            </w:tcBorders>
          </w:tcPr>
          <w:p>
            <w:pPr>
              <w:pStyle w:val="Normal6a"/>
            </w:pPr>
            <w:r>
              <w:t>24.</w:t>
            </w:r>
            <w:r>
              <w:tab/>
            </w:r>
            <w:r>
              <w:t xml:space="preserve">soovitab luua </w:t>
            </w:r>
            <w:r>
              <w:rPr>
                <w:b/>
                <w:i/>
              </w:rPr>
              <w:t>seoses Euroopa solidaarsuskorpuse ja programmiga „Erasmus+“</w:t>
            </w:r>
            <w:r>
              <w:t xml:space="preserve"> tugevdatud noortegarantii kavade jaoks viienda tegevussuuna, mis keskenduks vabatahtliku tegevuse võimalustele; rõhutab, et vabatahtlik tegevus võib parandada NEET-noorte oskusi ja tööalast konkurentsivõimet ning toetada haavatavaid noori paindlikumalt;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rõhutab, et tugevdatud noortegarantii kaasamiskomponendi rakendamiseks on vaja suuremaid jõupingutusi;</w:t>
            </w:r>
            <w:r>
              <w:t xml:space="preserve"> </w:t>
            </w:r>
            <w:r>
              <w:rPr>
                <w:b/>
                <w:i/>
              </w:rPr>
              <w:t>kutsub liikmesriike üles näitama eeskuju, edendades haavatavate NEET-noorte värbamist avalikku haldusse;</w:t>
            </w:r>
            <w:r>
              <w:t xml:space="preserve"> </w:t>
            </w:r>
            <w:r>
              <w:rPr>
                <w:b/>
                <w:i/>
              </w:rPr>
              <w:t>julgustab liikmesriike määrama toetusesaajatele alalise lepingu alusel spetsiaalse juhtumihalduri ning töötama võimaluse korral välja sisuka individuaalse kaasamise, et pakkuda kava kestuse ajal tulemuslikult vajalikke ja asjakohaseid teenuseid;</w:t>
            </w:r>
            <w:r>
              <w:t xml:space="preserve"> </w:t>
            </w:r>
            <w:r>
              <w:rPr>
                <w:b/>
                <w:i/>
              </w:rPr>
              <w:t>kutsub komisjoni ja liikmesriike üles konsulteerima noortega ja suurendama nende sisulist osalemist neile suunatud sekkumismudelite väljatöötamisel ja tugevdatud noortegarantii rakendamise hindamisel;</w:t>
            </w:r>
            <w:r>
              <w:t xml:space="preserve"> </w:t>
            </w:r>
            <w:r>
              <w:rPr>
                <w:b/>
                <w:i/>
              </w:rPr>
              <w:t>rõhutab, kui oluline on võrdõiguslikkuse liidu strateegiate valdkonnaülene rakendamine ning võidelda diskrimineerimise ja häbimärgistamise vastu, et luua vajalik raamistik NEET-noorte kaasamiseks;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kutsub liikmesriike üles tõhustama haavatavatele NEET-noortele suunatud teavitusmeetmeid riiklikul ja kohalikul tasandil, tunnistades, et ebasoodsas olukorras olevad töötajad ja hoolduskohustustega töötajad vajavad põhimõtteliselt teistsuguseid kaasamisstrateegiaid kui lühiajaliselt töötud noored, ning seadma selle rühma aktiveerimise oma tugevdatud noortegarantii rakendamise peamiseks prioriteediks;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kutsub ELi ja liikmesriike üles keelustama tasustamata praktika;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355</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kutsub liikmesriike üles võtma vastu sihipärased lähenemisviisid NEET-noorte konkreetsetele alarühmadele, nagu naised, maapiirkondade noored, puuetega noored, hoolekandeasutustes elavad noored ja romad, sealhulgas koolitusega kombineeritud tööhõivekavad;</w:t>
            </w:r>
            <w:r>
              <w:t xml:space="preserve"> </w:t>
            </w:r>
            <w:r>
              <w:rPr>
                <w:b/>
                <w:i/>
              </w:rPr>
              <w:t>rõhutab, kui olulised on uuesti NEET-kategooriasse langevatele noortele suunatud eriprogrammid, et haavatavuse nõiaringist välja murda ja aidata noortel tugevdatud noortegarantii programmid lõplikult selja taha jätta;</w:t>
            </w:r>
            <w:r>
              <w:t xml:space="preserve"> </w:t>
            </w:r>
            <w:r>
              <w:rPr>
                <w:b/>
                <w:i/>
              </w:rPr>
              <w:t>on veendunud, et nende sekkumiste puhul tuleb arvesse võtta toetusesaajate sugu, sotsiaal-majanduslikku seisundit, vaimset tervist ja tausta, et tagada asjakohaste meetmete võtmine;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tunnistab, et Euroopa lastegarantii on mõjus vahend laste vaesuse ja tõrjutuse vastu võitlemiseks, tagades kõigile lastele juurdepääsu tervishoiule, haridusele, toitumisele ja eluasemele;</w:t>
            </w:r>
            <w:r>
              <w:t xml:space="preserve"> </w:t>
            </w:r>
            <w:r>
              <w:rPr>
                <w:b/>
                <w:i/>
              </w:rPr>
              <w:t>on arvamusel, et täieliku rakendamise korral võib see muuta lugematuid elusid ja anda igale lapsele õiglase alguse;</w:t>
            </w:r>
            <w:r>
              <w:t xml:space="preserve"> </w:t>
            </w:r>
            <w:r>
              <w:rPr>
                <w:b/>
                <w:i/>
              </w:rPr>
              <w:t>nõuab sellega seoses täielikult rahastatavat Euroopa lastegarantiid, mille eelarve on vähemalt 20 miljardit eurot;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kutsub ELi üles keelustama kõik praktikandipalga vormid, mis on kohaldatavast miinimumpalgast madalamad;</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24c.</w:t>
            </w:r>
            <w:r>
              <w:tab/>
            </w:r>
            <w:r>
              <w:rPr>
                <w:b/>
                <w:i/>
              </w:rPr>
              <w:t>märgib murega, et noored emad on ebaproportsionaalsete hoolduskohustuste tõttu märkimisväärselt suuremas tööturult tõrjutuse ning NEET-noore staatuse ohus;</w:t>
            </w:r>
            <w:r>
              <w:t xml:space="preserve"> </w:t>
            </w:r>
            <w:r>
              <w:rPr>
                <w:b/>
                <w:i/>
              </w:rPr>
              <w:t>kutsub liikmesriike üles pakkuma sihipärast ja integreeritud toetust vaesuse ohus olevatele noortele emadele, sealhulgas üksikemadele, eelkõige tasuta või subsideeritud alushariduse ja lapsehoiu pakkumise ning eelisjuurdepääsu kaudu riiklikele lapsehoiuteenustele;</w:t>
            </w:r>
            <w:r>
              <w:t xml:space="preserve"> </w:t>
            </w:r>
            <w:r>
              <w:rPr>
                <w:b/>
                <w:i/>
              </w:rPr>
              <w:t>kutsub lisaks liikmesriike üles töötama välja kohandatud aktiveerimisvõimalusi, milles on ühendatud paindlikud ja moodulipõhised haridus- ja koolitusvormid, sealhulgas osalise tööaja ja kaugõppe võimalused, tasustatud praktika ja õpipoisiõpe koos paindliku töökorraldusega, samuti mentorlus- ja karjäärinõustamisteenused;</w:t>
            </w:r>
            <w:r>
              <w:t xml:space="preserve"> </w:t>
            </w:r>
            <w:r>
              <w:rPr>
                <w:b/>
                <w:i/>
              </w:rPr>
              <w:t>rõhutab, et taskukohane, kättesaadav ja kvaliteetne alusharidus ja lapsehoid on eeltingimus noorte emade tõhusaks ja kestlikuks hariduses ja tööturul osalemiseks ning põlvkondadevahelise vaesuse tsüklist väljamurdmiseks;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359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24d.</w:t>
            </w:r>
            <w:r>
              <w:tab/>
            </w:r>
            <w:r>
              <w:rPr>
                <w:b/>
                <w:i/>
              </w:rPr>
              <w:t>rõhutab, et mentorlus on tulemuslik ja kulutõhus sekkumismehhanism, mis võib aidata suurendada tugevdatud noortegarantii toetusesaajate vastupanuvõimet ja võidelda sotsiaalse tõrjutuse vastu;</w:t>
            </w:r>
            <w:r>
              <w:t xml:space="preserve"> </w:t>
            </w:r>
            <w:r>
              <w:rPr>
                <w:b/>
                <w:i/>
              </w:rPr>
              <w:t>kutsub liikmesriike üles pakkuma oma tugevdatud noortegarantii kavade raames mentorlustuge, et viia koolitatud vabatahtlikud vabatahtlikkuse alusel kokku noorte toetusesaajatega;</w:t>
            </w:r>
            <w:r>
              <w:t xml:space="preserve"> </w:t>
            </w:r>
            <w:r>
              <w:rPr>
                <w:b/>
                <w:i/>
              </w:rPr>
              <w:t>juhib tähelepanu, et selline mentorlus peaks olema kättesaadav enne töölesuunamist, ettevalmistavas etapis, aga ka pärast töölesuunamist, et kaasamine oleks kestlik;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24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24e.</w:t>
            </w:r>
            <w:r>
              <w:tab/>
            </w:r>
            <w:r>
              <w:rPr>
                <w:b/>
                <w:i/>
              </w:rPr>
              <w:t>kutsub liikmesriike üles parandama pakkumiste kvaliteeti, viies NEET-noorte profiilid paremini vastavusse saadud pakkumistega ning parandades töölesuunamise järelevalvet kvaliteedinäitajate abil;</w:t>
            </w:r>
            <w:r>
              <w:t xml:space="preserve"> </w:t>
            </w:r>
            <w:r>
              <w:rPr>
                <w:b/>
                <w:i/>
              </w:rPr>
              <w:t>kutsub liikmesriike üles uurima sertifitseerimise või kvaliteedimärgiste andmise võimalust tööandjatele või organisatsioonidele, kes järgivad Euroopa või riiklikke kvaliteediraamistikke või ületavad nende nõudeid;</w:t>
            </w:r>
            <w:r>
              <w:t xml:space="preserve"> </w:t>
            </w:r>
            <w:r>
              <w:rPr>
                <w:b/>
                <w:i/>
              </w:rPr>
              <w:t>rõhutab vajadust luua noortegarantii pakkujate ja toetusesaajate jaoks töölesuunamise järgne teavitusmehhanism ning tugevdada tööinspektsioonide tehtavat kontrolli;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kutsub komisjoni üles käivitama avatud koordinatsiooni meetodi tugevdatud noortegarantii pakkumiste kvaliteedi kohta;</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kutsub komisjoni üles käivitama avatud koordinatsiooni meetodi tugevdatud noortegarantii pakkumiste kvaliteedi kohta;</w:t>
            </w:r>
          </w:p>
        </w:tc>
        <w:tc>
          <w:tcPr>
            <w:tcW w:w="4876" w:type="dxa"/>
            <w:tcBorders>
              <w:top w:val="nil"/>
              <w:left w:val="nil"/>
              <w:bottom w:val="nil"/>
              <w:right w:val="nil"/>
            </w:tcBorders>
          </w:tcPr>
          <w:p>
            <w:pPr>
              <w:pStyle w:val="Normal6a"/>
            </w:pPr>
            <w:r>
              <w:t>25.</w:t>
            </w:r>
            <w:r>
              <w:tab/>
            </w:r>
            <w:r>
              <w:t xml:space="preserve">kutsub komisjoni üles käivitama avatud koordinatsiooni meetodi </w:t>
            </w:r>
            <w:r>
              <w:rPr>
                <w:b/>
                <w:i/>
              </w:rPr>
              <w:t>ja võtma vastu siduvad normid</w:t>
            </w:r>
            <w:r>
              <w:t xml:space="preserve"> tugevdatud noortegarantii pakkumiste kvaliteedi kohta; </w:t>
            </w:r>
            <w:r>
              <w:rPr>
                <w:b/>
                <w:i/>
              </w:rPr>
              <w:t>Need normid hõlmaksid järgmisi kriteeriume: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äraelamist võimaldaval töötasul põhinev õiglane töötasu;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juurdepääs inimväärsetele töötingimustele ning ohutule ja tervislikule töökohale;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juurdepääs koolitusele ja oskuste arendamisele ning omandatud oskuste tunnustamine;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läbipaistev teave ja menetlused;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teenuseosutajad on toetuskõlblikud üksnes juhul, kui nad ei kasuta avaliku sektori vahendeid töökohtade asendamiseks;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isikustatud pakkumiste prioriseerimine ja isikukeskne lähenemisviis;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tugevad sotsiaalsed turvavõrgud ja juurdepääs sotsiaalkindlustuskaitsele;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riikliku rahastamise sidumine kvaliteedistandardite järgimisega;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sõltumatu seire.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kutsub komisjoni üles käivitama </w:t>
            </w:r>
            <w:r>
              <w:rPr>
                <w:b/>
                <w:i/>
              </w:rPr>
              <w:t>avatud koordinatsiooni meetodi</w:t>
            </w:r>
            <w:r>
              <w:t xml:space="preserve"> tugevdatud noortegarantii pakkumiste kvaliteedi </w:t>
            </w:r>
            <w:r>
              <w:rPr>
                <w:b/>
                <w:i/>
              </w:rPr>
              <w:t>kohta</w:t>
            </w:r>
            <w:r>
              <w:t>;</w:t>
            </w:r>
          </w:p>
        </w:tc>
        <w:tc>
          <w:tcPr>
            <w:tcW w:w="4876" w:type="dxa"/>
            <w:tcBorders>
              <w:top w:val="nil"/>
              <w:left w:val="nil"/>
              <w:bottom w:val="nil"/>
              <w:right w:val="nil"/>
            </w:tcBorders>
          </w:tcPr>
          <w:p>
            <w:pPr>
              <w:pStyle w:val="Normal6a"/>
            </w:pPr>
            <w:r>
              <w:t>25.</w:t>
            </w:r>
            <w:r>
              <w:tab/>
            </w:r>
            <w:r>
              <w:t xml:space="preserve">kutsub komisjoni üles käivitama tugevdatud noortegarantii pakkumiste kvaliteedi </w:t>
            </w:r>
            <w:r>
              <w:rPr>
                <w:b/>
                <w:i/>
              </w:rPr>
              <w:t>avatud koordineerimismeetodi, mille eesmärk on tugevdada või luua riiklikke ja piirkondlikke raamistikke kooskõlas Euroopa raamistikega, aga ka luua Euroopa vabatahtliku tegevuse kvaliteediraamistik</w:t>
            </w:r>
            <w:r>
              <w:t xml:space="preserve">; </w:t>
            </w:r>
            <w:r>
              <w:rPr>
                <w:b/>
                <w:i/>
              </w:rPr>
              <w:t>kutsub komisjoni üles lisama kvaliteetsete töökohtade õigusakti konkreetsed noorte tööhõive meetmed, eelkõige selleks, et tagada selliste uute töövormide kestlikkus, kus noored on üleesindatud;</w:t>
            </w:r>
            <w:r>
              <w:t xml:space="preserve"> </w:t>
            </w:r>
            <w:r>
              <w:rPr>
                <w:b/>
                <w:i/>
              </w:rPr>
              <w:t>nõuab, et viidaks lõpule läbirääkimised praktikadirektiivi üle, et luua selge ja kindel kvaliteediraamistik tugevdatud noortegarantii kavade raames pakutava praktika jaoks;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kutsub komisjoni üles käivitama </w:t>
            </w:r>
            <w:r>
              <w:rPr>
                <w:b/>
                <w:i/>
              </w:rPr>
              <w:t>avatud koordinatsiooni meetodi</w:t>
            </w:r>
            <w:r>
              <w:t xml:space="preserve"> tugevdatud noortegarantii pakkumiste kvaliteedi </w:t>
            </w:r>
            <w:r>
              <w:rPr>
                <w:b/>
                <w:i/>
              </w:rPr>
              <w:t>kohta</w:t>
            </w:r>
            <w:r>
              <w:t>;</w:t>
            </w:r>
          </w:p>
        </w:tc>
        <w:tc>
          <w:tcPr>
            <w:tcW w:w="4876" w:type="dxa"/>
            <w:tcBorders>
              <w:top w:val="nil"/>
              <w:left w:val="nil"/>
              <w:bottom w:val="nil"/>
              <w:right w:val="nil"/>
            </w:tcBorders>
          </w:tcPr>
          <w:p>
            <w:pPr>
              <w:pStyle w:val="Normal6a"/>
            </w:pPr>
            <w:r>
              <w:t>25.</w:t>
            </w:r>
            <w:r>
              <w:tab/>
            </w:r>
            <w:r>
              <w:t xml:space="preserve">kutsub komisjoni üles käivitama tugevdatud noortegarantii pakkumiste </w:t>
            </w:r>
            <w:r>
              <w:rPr>
                <w:b/>
                <w:i/>
              </w:rPr>
              <w:t>ja järelevalveraamistike</w:t>
            </w:r>
            <w:r>
              <w:t xml:space="preserve"> kvaliteedi </w:t>
            </w:r>
            <w:r>
              <w:rPr>
                <w:b/>
                <w:i/>
              </w:rPr>
              <w:t>avatud koordineerimismeetodi, mis keskenduks ühiste näitajate väljatöötamisele, kvaliteedi miinimumstandarditele, sealhulgas äraelamist võimaldaval töötasul põhinevale õiglasele tasule ja sotsiaalkindlustuskaitse kättesaadavusele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kutsub komisjoni </w:t>
            </w:r>
            <w:r>
              <w:rPr>
                <w:b/>
                <w:i/>
              </w:rPr>
              <w:t>üles käivitama avatud koordinatsiooni meetodi</w:t>
            </w:r>
            <w:r>
              <w:t xml:space="preserve"> tugevdatud noortegarantii pakkumiste </w:t>
            </w:r>
            <w:r>
              <w:rPr>
                <w:b/>
                <w:i/>
              </w:rPr>
              <w:t>kvaliteedi kohta</w:t>
            </w:r>
            <w:r>
              <w:t>;</w:t>
            </w:r>
          </w:p>
        </w:tc>
        <w:tc>
          <w:tcPr>
            <w:tcW w:w="4876" w:type="dxa"/>
            <w:tcBorders>
              <w:top w:val="nil"/>
              <w:left w:val="nil"/>
              <w:bottom w:val="nil"/>
              <w:right w:val="nil"/>
            </w:tcBorders>
          </w:tcPr>
          <w:p>
            <w:pPr>
              <w:pStyle w:val="Normal6a"/>
            </w:pPr>
            <w:r>
              <w:t>25.</w:t>
            </w:r>
            <w:r>
              <w:tab/>
            </w:r>
            <w:r>
              <w:t xml:space="preserve">kutsub komisjoni </w:t>
            </w:r>
            <w:r>
              <w:rPr>
                <w:b/>
                <w:i/>
              </w:rPr>
              <w:t>ja liikmesriike üles tagama sotsiaalpartneritega konsulteerides parimate tavade korrapärase vahetamise tõhusate meetmete kohta, et parandada</w:t>
            </w:r>
            <w:r>
              <w:t xml:space="preserve"> tugevdatud noortegarantii pakkumiste </w:t>
            </w:r>
            <w:r>
              <w:rPr>
                <w:b/>
                <w:i/>
              </w:rPr>
              <w:t>kvaliteeti ja tagada, et nendega tagatakse stabiilne üleminek kvaliteetsele haridusele, koolitusele või tööhõivele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kutsub komisjoni üles käivitama avatud koordinatsiooni meetodi tugevdatud noortegarantii pakkumiste kvaliteedi kohta;</w:t>
            </w:r>
          </w:p>
        </w:tc>
        <w:tc>
          <w:tcPr>
            <w:tcW w:w="4876" w:type="dxa"/>
            <w:tcBorders>
              <w:top w:val="nil"/>
              <w:left w:val="nil"/>
              <w:bottom w:val="nil"/>
              <w:right w:val="nil"/>
            </w:tcBorders>
          </w:tcPr>
          <w:p>
            <w:pPr>
              <w:pStyle w:val="Normal6a"/>
            </w:pPr>
            <w:r>
              <w:t>25.</w:t>
            </w:r>
            <w:r>
              <w:tab/>
            </w:r>
            <w:r>
              <w:t>kutsub komisjoni üles käivitama avatud koordinatsiooni meetodi tugevdatud noortegarantii pakkumiste kvaliteedi kohta</w:t>
            </w:r>
            <w:r>
              <w:rPr>
                <w:b/>
                <w:i/>
              </w:rPr>
              <w:t> ja määrama kindlaks konkreetsed ühised hindamisnäitajad</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kutsub komisjoni ja liikmesriike üles tagama, et tugevdatud noortegarantii raames pakutav praktika oleks kooskõlas kohaldatava liidu õiguse ja riiklike raamistikega õiglaselt tasustatud ning põhineks selgelt määratletud õppe- ja koolituseesmärkidel ja kirjalikul praktikalepingul ning ei kesta kauem kui kuus kuud ega võimaldada samale isikule mitmekordset või järjestikust praktikat sama tööandja juures, millega kaasneb oht, et noored jäävad järjestikustesse praktikaperioodidesse lõksu ilma piisavate tööõiguste või sotsiaalkaitseta;</w:t>
            </w:r>
            <w:r>
              <w:t xml:space="preserve"> </w:t>
            </w:r>
            <w:r>
              <w:rPr>
                <w:b/>
                <w:i/>
              </w:rPr>
              <w:t>rõhutab, et struktureeritud aktiivne tööturupoliitika ei tohi hõlmata tasustamata praktikat;</w:t>
            </w:r>
            <w:r>
              <w:t xml:space="preserve"> </w:t>
            </w:r>
            <w:r>
              <w:rPr>
                <w:b/>
                <w:i/>
              </w:rPr>
              <w:t>nõuab, et tulevane praktikadirektiiv oleks ulatuslik ja kõikehõlmav, tagades praktikantide õiguste täieliku kaitse, sealhulgas võimaluse põhiõiguste rikkumise korral praktika ilma tagajärgedeta lõpetada, ning nõuab läbirääkimiste kiiret lõpuleviimist;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tunnistab, et ühtse kontaktpunkti mudel on kõige tõhusam viis pakkuda tugevdatud noortegarantii raames toetust saavatele noortele piisavat tuge ja vältida, et noortest saavad NEET-noored;</w:t>
            </w:r>
            <w:r>
              <w:t xml:space="preserve"> </w:t>
            </w:r>
            <w:r>
              <w:rPr>
                <w:b/>
                <w:i/>
              </w:rPr>
              <w:t>julgustab liikmesriike looma selliseid kergesti ligipääsetavaid keskusi üle kogu riigi, et parandada NEET-noorte juurdepääsu teabele ning pakkuda ühes kohas elukestvat juhendamist, nõustamist hariduse, tervise, sotsiaalse toetuse ja noorsootöö valdkonnas;</w:t>
            </w:r>
            <w:r>
              <w:t xml:space="preserve"> </w:t>
            </w:r>
            <w:r>
              <w:rPr>
                <w:b/>
                <w:i/>
              </w:rPr>
              <w:t>julgustab liikmesriike, kus sellist integreeritud lähenemisviisi veel ei ole, võtma kasutusele suunamise põhimõtte, et suunata taotlus teisele pädevale asutusele, kui asutus, kelle poole pöörduti kõigepealt, ei suuda seda menetleda;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rõhutab, et teatavates liikmesriikides ei ole praktika õiguslikult määratletud ning kutsub nii liikmesriike kui ka komisjoni üles töötama selle nimel, et leppida kokku ühises määratluses;</w:t>
            </w:r>
            <w:r>
              <w:t xml:space="preserve"> </w:t>
            </w:r>
            <w:r>
              <w:rPr>
                <w:b/>
                <w:i/>
              </w:rPr>
              <w:t>nõuab sellega seoses ELi praktikadirektiivi vastuvõtmist, et kaitsta praktikakohta otsivaid noori ärakasutamise eest ning tagada neile piisav hüvitis ja seega täielik tasustamine;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kutsub komisjoni üles tõhustama sihipärast toetust ja poliitika koordineerimist riikides, kus esineb noorte struktuurset töötust, tagades, et ELi vahendid aitavad tõhusalt tegeleda pikaajaliste tööturutõrgetega;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kutsub komisjoni üles kehtestama tugevdatud noortegarantii jaoks siduva kvaliteediraamistiku koos tugevate järelevalve- ja jõustamismehhanismidega kooskõlas nõukogu soovitusega „Töösild – noorte tööhõive tugevdamine“</w:t>
            </w:r>
            <w:r>
              <w:rPr>
                <w:b/>
                <w:i/>
                <w:vertAlign w:val="superscript"/>
              </w:rPr>
              <w:t>1a</w:t>
            </w:r>
            <w:r>
              <w:rPr>
                <w:b/>
                <w:i/>
              </w:rPr>
              <w:t>;</w:t>
            </w:r>
            <w:r>
              <w:t xml:space="preserve"> </w:t>
            </w:r>
            <w:r>
              <w:rPr>
                <w:b/>
                <w:i/>
              </w:rPr>
              <w:t>rõhutab, et siduvad kvaliteedikriteeriumid peavad tagama, et kõik pakkumised on kooskõlas Euroopa sotsiaalõiguste samba asjakohaste põhimõtetega, pakkuma tõelisi õppimis- ja koolitusvõimalusi, mis parandavad tööalast konkurentsivõimet ja hõlbustavad üleminekut tööturule, ning hõlmama läbipaistvat värbamist, omandatud oskuste tunnustamist ja sertifitseerimist ning kättesaadavaid kaebuste esitamise mehhanisme;</w:t>
            </w:r>
            <w:r>
              <w:t xml:space="preserve"> </w:t>
            </w:r>
            <w:r>
              <w:rPr>
                <w:b/>
                <w:i/>
              </w:rPr>
              <w:t>nõuab, et kõik töö- ja praktikapakkumised tagaksid inimväärsed töötingimused, õiglase tasu, juurdepääsu sotsiaalkaitsele, koolitusele ja karjäärinõustamisele, mõistlikud katseajad ja ebatüüpiliste lepingute kuritarvitamise keelu;</w:t>
            </w:r>
            <w:r>
              <w:t xml:space="preserve"> </w:t>
            </w:r>
            <w:r>
              <w:rPr>
                <w:b/>
                <w:i/>
              </w:rPr>
              <w:t>rõhutab, et nende standardite järgimine peaks olema tingimus liidu rahaliste vahendite kasutamiseks tugevdatud noortegarantii kavade raames;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Nõukogu 30. oktoobri 2020. aasta soovitus, mis käsitleb algatust „Töösild – noorte tööhõive tugevdamine“ ja millega asendatakse nõukogu 22. aprilli 2013. aasta soovitus noortegarantii loomise kohta (2020/C 372/01).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kutsub komisjoni üles tugevdama noorte vaimse tervise alast koordineerimist ELi tasandil, tuginedes oma hiljutistele soovitustele ja COVID-19 pandeemiast saadud õppetundidele, pöörates erilist tähelepanu ennetamisele, varajasele sekkumisele ja noorte vaimsele heaolule;</w:t>
            </w:r>
            <w:r>
              <w:t xml:space="preserve"> </w:t>
            </w:r>
            <w:r>
              <w:rPr>
                <w:b/>
                <w:i/>
              </w:rPr>
              <w:t>nõuab tungivalt, et komisjon ja liikmesriigid tagaksid noortele õigeaegse, kättesaadava ja mittediskrimineeriva juurdepääsu vaimse tervise teenustele riiklikes tervishoiusüsteemides, austades täielikult riikide pädevusi, ning töötaksid välja noortele suunatud valmisolekumeetmed, et vältida tulevastes kriisides ebaproportsionaalset mõju noortele;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kutsub komisjoni ja liikmesriike üles looma tugevamaid seoseid noortegarantii ja muude poliitikavaldkondade vahel, nagu eluase, tervis ja vaimne tervis, perekond, transport ja regionaalareng;</w:t>
            </w:r>
            <w:r>
              <w:t xml:space="preserve"> </w:t>
            </w:r>
            <w:r>
              <w:rPr>
                <w:b/>
                <w:i/>
              </w:rPr>
              <w:t>on arvamusel, et liikmesriigid võiksid täiendavalt uurida valdkondadevaheliste meeskondade ja/või madala läve integreeritud teenuste mudelite, näiteks ühtsete kontaktpunktide loomist;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kutsub komisjoni ja liikmesriike üles hakkama pakkuma täiendavat ettevalmistavat koolitust (kutseõppele eelnev koolitus) või võtma kasutusele üleminekuprogrammid, mida pakutakse igale noorele, kes on kooli pooleli jätnud või kelle haridustee on katkenud perekondlike kohustuste tõttu, et parandada oskustealast valmidust ning haridus-, koolitus- ja tööhõivevõimalusi;</w:t>
            </w:r>
            <w:r>
              <w:t xml:space="preserve"> </w:t>
            </w:r>
            <w:r>
              <w:rPr>
                <w:b/>
                <w:i/>
              </w:rPr>
              <w:t>rõhutab, et need programmid peavad olema kättesaadavad eelkõige noortele lapsevanematele ja üksikutele noortele täiskasvanutele, et võtta arvesse nende hoolduskohustusi, tagades paindliku tööaja ja asjakohasel juhul integreeritud lapsehoiu;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25d.</w:t>
            </w:r>
            <w:r>
              <w:tab/>
            </w:r>
            <w:r>
              <w:rPr>
                <w:b/>
                <w:i/>
              </w:rPr>
              <w:t>kutsub liikmesriike üles tagama noortegarantii raames, et kõigil noortel, olenemata nende eelnevast haridusest või motivatsioonist, oleks juurdepääs madala lävega tehisintellekti kursuste õppevahendile, eetikale, andmekaitsele ja tehisintellekti piirangutele, eriti varasemate tehnikaalaste oskusteta noorte puhul, et vältida uut digilõhet;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e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25e.</w:t>
            </w:r>
            <w:r>
              <w:tab/>
            </w:r>
            <w:r>
              <w:rPr>
                <w:b/>
                <w:i/>
              </w:rPr>
              <w:t>kutsub liikmesriike üles pakkuma mentorlust ja psühhosotsiaalset tuge noortele, kes peavad tehisintellekti hirmutavaks, aidates neil ületada hirmud ning suurendada usaldust ja nende tehnoloogiate aktiivset kasutamist;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25 f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25f.</w:t>
            </w:r>
            <w:r>
              <w:tab/>
            </w:r>
            <w:r>
              <w:rPr>
                <w:b/>
                <w:i/>
              </w:rPr>
              <w:t>kutsub liikmesriike üles toetama noori üksikettevõtjaks hakkamisel või selliste mikroettevõtete asutamisel, mis ei vaja suurt stardikapitali, kasutades tehisintellekti kuluka taristu (nt raamatupidamine, turundus, programmeerimine) asendamiseks ja majandusliku sõltumatuse edendamiseks, eriti mitteakadeemilistest leibkondadest pärit noorte puhul;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26.</w:t>
            </w:r>
            <w:r>
              <w:tab/>
            </w:r>
            <w:r>
              <w:rPr>
                <w:b/>
                <w:i/>
              </w:rPr>
              <w:t>kutsub komisjoni ja liikmesriike üles eraldama järgmises mitmeaastases finantsraamistikus tugevdatud noortegarantiile piisavad rahalised vahendid, eelkõige säilitades ELi vahendite sihtotstarbe määramise;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kutsub komisjoni ja liikmesriike üles eraldama järgmises mitmeaastases finantsraamistikus tugevdatud noortegarantiile piisavad rahalised vahendid, eelkõige säilitades ELi vahendite sihtotstarbe määramise;</w:t>
            </w:r>
          </w:p>
        </w:tc>
        <w:tc>
          <w:tcPr>
            <w:tcW w:w="4876" w:type="dxa"/>
            <w:tcBorders>
              <w:top w:val="nil"/>
              <w:left w:val="nil"/>
              <w:bottom w:val="nil"/>
              <w:right w:val="nil"/>
            </w:tcBorders>
          </w:tcPr>
          <w:p>
            <w:pPr>
              <w:pStyle w:val="Normal6a"/>
            </w:pPr>
            <w:r>
              <w:t>26.</w:t>
            </w:r>
            <w:r>
              <w:tab/>
            </w:r>
            <w:r>
              <w:t xml:space="preserve">kutsub komisjoni ja liikmesriike üles eraldama järgmises mitmeaastases finantsraamistikus tugevdatud noortegarantiile piisavad rahalised vahendid, eelkõige säilitades ELi vahendite sihtotstarbe määramise; </w:t>
            </w:r>
            <w:r>
              <w:rPr>
                <w:b/>
                <w:i/>
              </w:rPr>
              <w:t>rõhutab, et sellise ELi rahastamisega tuleks eelkõige toetada uuenduslike meetmete väljatöötamist ja laiendamist ning see ei tohiks asenda olemasolevaid riiklikke vahendeid;</w:t>
            </w:r>
            <w:r>
              <w:t xml:space="preserve"> </w:t>
            </w:r>
            <w:r>
              <w:rPr>
                <w:b/>
                <w:i/>
              </w:rPr>
              <w:t>nõuab, et ELi tasandil võetaks kasutusele tugevdatud noortegarantiiga seotud eelarvekulude jälgimise raamistik koos riiklike hindamiskriteeriumidega;</w:t>
            </w:r>
            <w:r>
              <w:t xml:space="preserve"> </w:t>
            </w:r>
            <w:r>
              <w:rPr>
                <w:b/>
                <w:i/>
              </w:rPr>
              <w:t>kutsub liikmesriike üles täiendama ELi vahendeid riiklike vahenditega, mis on proportsionaalsed iga liikmesriigi koondnäitajatega seotud probleemidega, ning esitama tugevdatud noortegarantiiga seotud kulude selge jaotuse;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kutsub komisjoni ja liikmesriike üles eraldama järgmises mitmeaastases finantsraamistikus tugevdatud noortegarantiile piisavad rahalised vahendid, eelkõige säilitades </w:t>
            </w:r>
            <w:r>
              <w:rPr>
                <w:b/>
                <w:i/>
              </w:rPr>
              <w:t>ELi</w:t>
            </w:r>
            <w:r>
              <w:t xml:space="preserve"> vahendite sihtotstarbe määramise;</w:t>
            </w:r>
          </w:p>
        </w:tc>
        <w:tc>
          <w:tcPr>
            <w:tcW w:w="4876" w:type="dxa"/>
            <w:tcBorders>
              <w:top w:val="nil"/>
              <w:left w:val="nil"/>
              <w:bottom w:val="nil"/>
              <w:right w:val="nil"/>
            </w:tcBorders>
          </w:tcPr>
          <w:p>
            <w:pPr>
              <w:pStyle w:val="Normal6a"/>
            </w:pPr>
            <w:r>
              <w:t>26.</w:t>
            </w:r>
            <w:r>
              <w:tab/>
            </w:r>
            <w:r>
              <w:t xml:space="preserve">kutsub komisjoni ja liikmesriike üles eraldama järgmises mitmeaastases finantsraamistikus tugevdatud noortegarantiile piisavad rahalised vahendid, eelkõige säilitades </w:t>
            </w:r>
            <w:r>
              <w:rPr>
                <w:b/>
                <w:i/>
              </w:rPr>
              <w:t>olemasoleva</w:t>
            </w:r>
            <w:r>
              <w:t xml:space="preserve"> vahendite sihtotstarbe määramise </w:t>
            </w:r>
            <w:r>
              <w:rPr>
                <w:b/>
                <w:i/>
              </w:rPr>
              <w:t>tulevase eraldiseisva ESFi raames, sealhulgas kehtestama ELi keskmisest kõrgema NEET-noorte osakaaluga liikmesriikidele kohustuse suunata vähemalt 12,5 % ESFi vahenditest meetmetele, millega toetatakse noorte tööhõivet, kutseharidust ja -koolitust ning üleminekut hariduse omandamiselt tööellu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kutsub komisjoni ja liikmesriike üles eraldama järgmises mitmeaastases finantsraamistikus tugevdatud noortegarantiile piisavad rahalised vahendid, eelkõige säilitades ELi vahendite sihtotstarbe määramise;</w:t>
            </w:r>
          </w:p>
        </w:tc>
        <w:tc>
          <w:tcPr>
            <w:tcW w:w="4876" w:type="dxa"/>
            <w:tcBorders>
              <w:top w:val="nil"/>
              <w:left w:val="nil"/>
              <w:bottom w:val="nil"/>
              <w:right w:val="nil"/>
            </w:tcBorders>
          </w:tcPr>
          <w:p>
            <w:pPr>
              <w:pStyle w:val="Normal6a"/>
            </w:pPr>
            <w:r>
              <w:t>26.</w:t>
            </w:r>
            <w:r>
              <w:tab/>
            </w:r>
            <w:r>
              <w:t xml:space="preserve">kutsub komisjoni ja liikmesriike üles eraldama järgmises mitmeaastases finantsraamistikus </w:t>
            </w:r>
            <w:r>
              <w:rPr>
                <w:b/>
                <w:i/>
              </w:rPr>
              <w:t>2027. aasta järgsele</w:t>
            </w:r>
            <w:r>
              <w:t xml:space="preserve"> tugevdatud noortegarantiile piisavad rahalised vahendid, eelkõige säilitades ELi vahendite sihtotstarbe määramise</w:t>
            </w:r>
            <w:r>
              <w:rPr>
                <w:b/>
                <w:i/>
              </w:rPr>
              <w:t>, et tagada sidusus, edendada koostoimet, täiendada riiklikke strateegiaid ja eelarveid ning laiendada alla 30-aastaste noorte tööhõivevõimalusi kogu liidus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kutsub komisjoni ja liikmesriike üles eraldama järgmises mitmeaastases finantsraamistikus tugevdatud noortegarantiile piisavad rahalised vahendid, eelkõige säilitades ELi vahendite sihtotstarbe määramise;</w:t>
            </w:r>
          </w:p>
        </w:tc>
        <w:tc>
          <w:tcPr>
            <w:tcW w:w="4876" w:type="dxa"/>
            <w:tcBorders>
              <w:top w:val="nil"/>
              <w:left w:val="nil"/>
              <w:bottom w:val="nil"/>
              <w:right w:val="nil"/>
            </w:tcBorders>
          </w:tcPr>
          <w:p>
            <w:pPr>
              <w:pStyle w:val="Normal6a"/>
            </w:pPr>
            <w:r>
              <w:t>26.</w:t>
            </w:r>
            <w:r>
              <w:tab/>
            </w:r>
            <w:r>
              <w:t xml:space="preserve">kutsub komisjoni ja liikmesriike üles eraldama järgmises mitmeaastases finantsraamistikus tugevdatud noortegarantiile piisavad rahalised vahendid, eelkõige säilitades ELi vahendite sihtotstarbe määramise; </w:t>
            </w:r>
            <w:r>
              <w:rPr>
                <w:b/>
                <w:i/>
              </w:rPr>
              <w:t>väljendab sellega seoses sügavat muret noorte tööhõive sihtotstarbelise rahastamise vähendamise pärast maapiirkondades ja linnalähedastes piirkondades järgmise mitmeaastase finantsraamistiku kontekstis;</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kutsub komisjoni ja liikmesriike üles </w:t>
            </w:r>
            <w:r>
              <w:rPr>
                <w:b/>
                <w:i/>
              </w:rPr>
              <w:t>eraldama</w:t>
            </w:r>
            <w:r>
              <w:t xml:space="preserve"> järgmises mitmeaastases finantsraamistikus </w:t>
            </w:r>
            <w:r>
              <w:rPr>
                <w:b/>
                <w:i/>
              </w:rPr>
              <w:t>tugevdatud noortegarantiile piisavad rahalised vahendid, eelkõige säilitades ELi vahendite sihtotstarbe määramise</w:t>
            </w:r>
            <w:r>
              <w:t>;</w:t>
            </w:r>
          </w:p>
        </w:tc>
        <w:tc>
          <w:tcPr>
            <w:tcW w:w="4876" w:type="dxa"/>
            <w:tcBorders>
              <w:top w:val="nil"/>
              <w:left w:val="nil"/>
              <w:bottom w:val="nil"/>
              <w:right w:val="nil"/>
            </w:tcBorders>
          </w:tcPr>
          <w:p>
            <w:pPr>
              <w:pStyle w:val="Normal6a"/>
            </w:pPr>
            <w:r>
              <w:t>26.</w:t>
            </w:r>
            <w:r>
              <w:tab/>
            </w:r>
            <w:r>
              <w:rPr>
                <w:b/>
                <w:i/>
              </w:rPr>
              <w:t>tunnistab, et tugevdatud noortegarantii võib olla oluline vahend, millega toetada noori kogu oma potentsiaali ärakasutamisel, ning</w:t>
            </w:r>
            <w:r>
              <w:t xml:space="preserve"> kutsub </w:t>
            </w:r>
            <w:r>
              <w:rPr>
                <w:b/>
                <w:i/>
              </w:rPr>
              <w:t>sellega seoses</w:t>
            </w:r>
            <w:r>
              <w:t xml:space="preserve"> komisjoni ja liikmesriike üles </w:t>
            </w:r>
            <w:r>
              <w:rPr>
                <w:b/>
                <w:i/>
              </w:rPr>
              <w:t>tagama, et selle rahastamispaketti</w:t>
            </w:r>
            <w:r>
              <w:t xml:space="preserve"> järgmises mitmeaastases finantsraamistikus </w:t>
            </w:r>
            <w:r>
              <w:rPr>
                <w:b/>
                <w:i/>
              </w:rPr>
              <w:t>kaitstaks ja suurendataks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kutsub komisjoni ja liikmesriike üles eraldama järgmises mitmeaastases finantsraamistikus tugevdatud noortegarantiile piisavad rahalised vahendid, </w:t>
            </w:r>
            <w:r>
              <w:rPr>
                <w:b/>
                <w:i/>
              </w:rPr>
              <w:t>eelkõige säilitades</w:t>
            </w:r>
            <w:r>
              <w:t xml:space="preserve"> ELi vahendite </w:t>
            </w:r>
            <w:r>
              <w:rPr>
                <w:b/>
                <w:i/>
              </w:rPr>
              <w:t>sihtotstarbe määramise</w:t>
            </w:r>
            <w:r>
              <w:t>;</w:t>
            </w:r>
          </w:p>
        </w:tc>
        <w:tc>
          <w:tcPr>
            <w:tcW w:w="4876" w:type="dxa"/>
            <w:tcBorders>
              <w:top w:val="nil"/>
              <w:left w:val="nil"/>
              <w:bottom w:val="nil"/>
              <w:right w:val="nil"/>
            </w:tcBorders>
          </w:tcPr>
          <w:p>
            <w:pPr>
              <w:pStyle w:val="Normal6a"/>
            </w:pPr>
            <w:r>
              <w:t>26.</w:t>
            </w:r>
            <w:r>
              <w:tab/>
            </w:r>
            <w:r>
              <w:t xml:space="preserve">kutsub komisjoni ja liikmesriike üles eraldama järgmises mitmeaastases finantsraamistikus tugevdatud noortegarantiile piisavad rahalised vahendid, </w:t>
            </w:r>
            <w:r>
              <w:rPr>
                <w:b/>
                <w:i/>
              </w:rPr>
              <w:t>tagades samal ajal</w:t>
            </w:r>
            <w:r>
              <w:t xml:space="preserve"> ELi vahendite </w:t>
            </w:r>
            <w:r>
              <w:rPr>
                <w:b/>
                <w:i/>
              </w:rPr>
              <w:t>kasutamise range järelevalve, läbipaistvuse ja tulemuspõhise hindamise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kutsub komisjoni ja liikmesriike üles </w:t>
            </w:r>
            <w:r>
              <w:rPr>
                <w:b/>
                <w:i/>
              </w:rPr>
              <w:t>eraldama</w:t>
            </w:r>
            <w:r>
              <w:t xml:space="preserve"> järgmises mitmeaastases finantsraamistikus tugevdatud noortegarantiile </w:t>
            </w:r>
            <w:r>
              <w:rPr>
                <w:b/>
                <w:i/>
              </w:rPr>
              <w:t>piisavad rahalised vahendid</w:t>
            </w:r>
            <w:r>
              <w:t>, eelkõige säilitades ELi vahendite sihtotstarbe määramise;</w:t>
            </w:r>
          </w:p>
        </w:tc>
        <w:tc>
          <w:tcPr>
            <w:tcW w:w="4876" w:type="dxa"/>
            <w:tcBorders>
              <w:top w:val="nil"/>
              <w:left w:val="nil"/>
              <w:bottom w:val="nil"/>
              <w:right w:val="nil"/>
            </w:tcBorders>
          </w:tcPr>
          <w:p>
            <w:pPr>
              <w:pStyle w:val="Normal6a"/>
            </w:pPr>
            <w:r>
              <w:t>26.</w:t>
            </w:r>
            <w:r>
              <w:tab/>
            </w:r>
            <w:r>
              <w:t xml:space="preserve">kutsub komisjoni ja liikmesriike üles </w:t>
            </w:r>
            <w:r>
              <w:rPr>
                <w:b/>
                <w:i/>
              </w:rPr>
              <w:t>suurendama</w:t>
            </w:r>
            <w:r>
              <w:t xml:space="preserve"> järgmises mitmeaastases finantsraamistikus </w:t>
            </w:r>
            <w:r>
              <w:rPr>
                <w:b/>
                <w:i/>
              </w:rPr>
              <w:t>oluliselt riiklikest vahenditest rahastamist ja ELi rahastust</w:t>
            </w:r>
            <w:r>
              <w:t xml:space="preserve"> tugevdatud noortegarantiile, eelkõige säilitades ELi vahendite sihtotstarbe määramise;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rõhutab, et osa vahenditest tuleks suunata haldussuutlikkuse parandamisse, et tagada vahendite tõhus kasutamine, korraldades koolitusi noortegarantii pakkujatele ja töötades välja vahendite kasutamise töövahendi;</w:t>
            </w:r>
            <w:r>
              <w:t xml:space="preserve"> </w:t>
            </w:r>
            <w:r>
              <w:rPr>
                <w:b/>
                <w:i/>
              </w:rPr>
              <w:t>on seisukohal, et selline suutlikkuse suurendamine peaks projektide arendamisel tooma kasu ka sotsiaalpartneritele, noorsootöötajatele ja valitsusvälistele organisatsioonidele;</w:t>
            </w:r>
            <w:r>
              <w:t xml:space="preserve"> </w:t>
            </w:r>
            <w:r>
              <w:rPr>
                <w:b/>
                <w:i/>
              </w:rPr>
              <w:t>kutsub komisjoni üles looma uut väikese ulatusega rahastamisprogrammi kohalikul tasandil NEET-noortega tegelevatele sidusrühmadele, et laiendada ELi vahendite kasutamist ja ulatust kõikidele piirkondadele;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kutsub Euroopa Komisjoni üles toetama ELi rahastamisvahendite, eelkõige Euroopa Sotsiaalfond+ kaudu meetmeid, mille eesmärk on koostöös sotsiaalpartneritega, sealhulgas ametiühingutega, teavitada noori ja suurendada nende teadlikkust nende õigustest tööturul;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tuletab meelde, et noorte tööhõive peab jääma üheks järgmise ESF+ investeerimisprioriteediks, ning rõhutab, et tugevdatud noortegarantii ja hästi kavandatud noortepoliitika ei ole mitte eelarvekulud, vaid investeering inimestesse;</w:t>
            </w:r>
            <w:r>
              <w:t xml:space="preserve"> </w:t>
            </w:r>
            <w:r>
              <w:rPr>
                <w:b/>
                <w:i/>
              </w:rPr>
              <w:t>nõuab, et komisjon ja liikmesriigid tagaksid järgmises mitmeaastases finantsraamistikus eraldiseisva ESF+ eelarve kaitse ja suurendamise;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nõuab tungivalt, et liikmesriigid tugevdaksid märkimisväärselt oma süsteeme, millega tehakse tugevdatud noortegarantii rakendamise seiret kogutud andmete kvaliteedi ja täielikkuse osas;</w:t>
            </w:r>
          </w:p>
        </w:tc>
        <w:tc>
          <w:tcPr>
            <w:tcW w:w="4876" w:type="dxa"/>
            <w:tcBorders>
              <w:top w:val="nil"/>
              <w:left w:val="nil"/>
              <w:bottom w:val="nil"/>
              <w:right w:val="nil"/>
            </w:tcBorders>
          </w:tcPr>
          <w:p>
            <w:pPr>
              <w:pStyle w:val="Normal6a"/>
            </w:pPr>
            <w:r>
              <w:t>27.</w:t>
            </w:r>
            <w:r>
              <w:tab/>
            </w:r>
            <w:r>
              <w:t>nõuab tungivalt, et liikmesriigid tugevdaksid märkimisväärselt oma süsteeme, millega tehakse tugevdatud noortegarantii rakendamise seiret kogutud andmete kvaliteedi ja täielikkuse osas</w:t>
            </w:r>
            <w:r>
              <w:rPr>
                <w:b/>
                <w:i/>
              </w:rPr>
              <w:t>, eelkõige seoses järelmeetmete näitajate ja praegu teadmata tulemustega</w:t>
            </w:r>
            <w:r>
              <w:t xml:space="preserve">; </w:t>
            </w:r>
            <w:r>
              <w:rPr>
                <w:b/>
                <w:i/>
              </w:rPr>
              <w:t>kutsub komisjoni ja liikmesriike üles leidma lahendusi, et kõrvaldada õiguslikud ja haldustõkked teabe jagamisel talituste ja haldusasutuste vahel, austades samal ajal asjaomaste NEET-noorte eraelu puutumatust;</w:t>
            </w:r>
            <w:r>
              <w:t xml:space="preserve"> </w:t>
            </w:r>
            <w:r>
              <w:rPr>
                <w:b/>
                <w:i/>
              </w:rPr>
              <w:t>julgustab sellega seoses selgelt kindlaks määrama asutust või asutusi, kes vastutavad tugevdatud noortegarantii kavade alusel andmete kogumise eest, tagama kordumatu tunnusega andmebaaside koostalitlusvõime riiklike süsteemide haldusasutuste vahel ning avaldama teatise isikuandmete kaitse üldmääruse kohaldamise kohta, et vältida väärtõlgendamist;</w:t>
            </w:r>
            <w:r>
              <w:t xml:space="preserve"> </w:t>
            </w:r>
            <w:r>
              <w:rPr>
                <w:b/>
                <w:i/>
              </w:rPr>
              <w:t>kutsub komisjoni üles pakkuma tehnilist abi liikmesriikidele, kelle riiklikud või kohalikud järelevalvesüsteemid on kõige nõrgemad, eesmärgiga neid tugevdada ja koolitada spetsialiste, et tagada võrreldavus ELi tasandil;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nõuab tungivalt, et liikmesriigid tugevdaksid märkimisväärselt oma süsteeme, millega tehakse tugevdatud noortegarantii rakendamise seiret </w:t>
            </w:r>
            <w:r>
              <w:rPr>
                <w:b/>
                <w:i/>
              </w:rPr>
              <w:t>kogutud</w:t>
            </w:r>
            <w:r>
              <w:t xml:space="preserve"> andmete </w:t>
            </w:r>
            <w:r>
              <w:rPr>
                <w:b/>
                <w:i/>
              </w:rPr>
              <w:t>kvaliteedi ja täielikkuse osas</w:t>
            </w:r>
            <w:r>
              <w:t>;</w:t>
            </w:r>
          </w:p>
        </w:tc>
        <w:tc>
          <w:tcPr>
            <w:tcW w:w="4876" w:type="dxa"/>
            <w:tcBorders>
              <w:top w:val="nil"/>
              <w:left w:val="nil"/>
              <w:bottom w:val="nil"/>
              <w:right w:val="nil"/>
            </w:tcBorders>
          </w:tcPr>
          <w:p>
            <w:pPr>
              <w:pStyle w:val="Normal6a"/>
            </w:pPr>
            <w:r>
              <w:t>27.</w:t>
            </w:r>
            <w:r>
              <w:tab/>
            </w:r>
            <w:r>
              <w:t xml:space="preserve">nõuab tungivalt, et liikmesriigid tugevdaksid märkimisväärselt oma süsteeme, millega tehakse tugevdatud noortegarantii rakendamise seiret </w:t>
            </w:r>
            <w:r>
              <w:rPr>
                <w:b/>
                <w:i/>
              </w:rPr>
              <w:t>andmekvaliteedi ja -katvuse osas;</w:t>
            </w:r>
            <w:r>
              <w:t xml:space="preserve"> </w:t>
            </w:r>
            <w:r>
              <w:rPr>
                <w:b/>
                <w:i/>
              </w:rPr>
              <w:t>nõuab sihipäraseid meetmeid, et kõrvaldada struktuursed, halduslikud ja õiguslikud tõkked, mis takistavad tõhusat</w:t>
            </w:r>
            <w:r>
              <w:t xml:space="preserve"> andmete </w:t>
            </w:r>
            <w:r>
              <w:rPr>
                <w:b/>
                <w:i/>
              </w:rPr>
              <w:t>jagamist, talitustevahelist koordineerimist ja avaliku sektori vahendite kasutamise läbipaistvust</w:t>
            </w:r>
            <w:r>
              <w:t xml:space="preserve">; </w:t>
            </w:r>
            <w:r>
              <w:rPr>
                <w:b/>
                <w:i/>
              </w:rPr>
              <w:t>nõuab täiustatud liigitatud ja kvalitatiivsete andmete kogumist, mis ei hõlma mitte ainult tööalast staatust, vaid ka töö kvaliteeti, lepingu liiki, töötasu, juurdepääsu sotsiaalkaitsele ja sotsiaal-majanduslikku tausta, et paremini tuvastada toetatud ja kõrvalejäetud isikud;</w:t>
            </w:r>
            <w:r>
              <w:t xml:space="preserve"> </w:t>
            </w:r>
            <w:r>
              <w:rPr>
                <w:b/>
                <w:i/>
              </w:rPr>
              <w:t>nõuab tugevdatud järelevalvet pärast programmist väljumist, sealhulgas töötingimuste üle;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nõuab tungivalt, et liikmesriigid tugevdaksid märkimisväärselt oma süsteeme, millega tehakse tugevdatud noortegarantii rakendamise seiret kogutud andmete kvaliteedi ja täielikkuse osas;</w:t>
            </w:r>
          </w:p>
        </w:tc>
        <w:tc>
          <w:tcPr>
            <w:tcW w:w="4876" w:type="dxa"/>
            <w:tcBorders>
              <w:top w:val="nil"/>
              <w:left w:val="nil"/>
              <w:bottom w:val="nil"/>
              <w:right w:val="nil"/>
            </w:tcBorders>
          </w:tcPr>
          <w:p>
            <w:pPr>
              <w:pStyle w:val="Normal6a"/>
            </w:pPr>
            <w:r>
              <w:t>27.</w:t>
            </w:r>
            <w:r>
              <w:tab/>
            </w:r>
            <w:r>
              <w:t xml:space="preserve">nõuab tungivalt, et liikmesriigid tugevdaksid märkimisväärselt oma süsteeme, millega tehakse tugevdatud noortegarantii rakendamise seiret kogutud andmete kvaliteedi ja täielikkuse osas; </w:t>
            </w:r>
            <w:r>
              <w:rPr>
                <w:b/>
                <w:i/>
              </w:rPr>
              <w:t>kutsub liikmesriike ja komisjoni üles tõhustama võrreldavate andmete kogumist tõhustatud noortegarantii pikaajaliste tulemuste kohta, eelkõige seoses töökohtade säilitamise, töö kvaliteedi, ametialase arengu ning töötuks jäämise või uuesti mittetöötavate ja mitteõppivate noorte kategooriasse sattumise ohuga;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fraktsiooni Verts/ALE nimel</w:t>
      </w:r>
      <w:r>
        <w:rPr>
          <w:rStyle w:val="HideTWBExt"/>
          <w:b w:val="0"/>
        </w:rPr>
        <w:t>&lt;/AuNomDe&gt;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nõuab tungivalt, et liikmesriigid tugevdaksid märkimisväärselt oma süsteeme, millega tehakse tugevdatud noortegarantii rakendamise seiret kogutud andmete kvaliteedi ja täielikkuse osas;</w:t>
            </w:r>
          </w:p>
        </w:tc>
        <w:tc>
          <w:tcPr>
            <w:tcW w:w="4876" w:type="dxa"/>
            <w:tcBorders>
              <w:top w:val="nil"/>
              <w:left w:val="nil"/>
              <w:bottom w:val="nil"/>
              <w:right w:val="nil"/>
            </w:tcBorders>
          </w:tcPr>
          <w:p>
            <w:pPr>
              <w:pStyle w:val="Normal6a"/>
            </w:pPr>
            <w:r>
              <w:t>27.</w:t>
            </w:r>
            <w:r>
              <w:tab/>
            </w:r>
            <w:r>
              <w:t>nõuab tungivalt, et liikmesriigid tugevdaksid märkimisväärselt oma süsteeme, millega tehakse tugevdatud noortegarantii rakendamise seiret kogutud andmete kvaliteedi ja täielikkuse osas</w:t>
            </w:r>
            <w:r>
              <w:rPr>
                <w:b/>
                <w:i/>
              </w:rPr>
              <w:t>, kogudes kõigi osalejate kohta põhjalikke, õigeaegseid ja eristatud andmeid selliste aspektide kohta, nagu sugu, sisserändajate taust, puue ja elukoha kaugus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nõuab tungivalt, et liikmesriigid tugevdaksid märkimisväärselt oma süsteeme, millega tehakse tugevdatud noortegarantii rakendamise seiret kogutud andmete kvaliteedi ja täielikkuse osas;</w:t>
            </w:r>
          </w:p>
        </w:tc>
        <w:tc>
          <w:tcPr>
            <w:tcW w:w="4876" w:type="dxa"/>
            <w:tcBorders>
              <w:top w:val="nil"/>
              <w:left w:val="nil"/>
              <w:bottom w:val="nil"/>
              <w:right w:val="nil"/>
            </w:tcBorders>
          </w:tcPr>
          <w:p>
            <w:pPr>
              <w:pStyle w:val="Normal6a"/>
            </w:pPr>
            <w:r>
              <w:t>27.</w:t>
            </w:r>
            <w:r>
              <w:tab/>
            </w:r>
            <w:r>
              <w:t xml:space="preserve">nõuab tungivalt, et liikmesriigid tugevdaksid märkimisväärselt oma süsteeme, millega tehakse tugevdatud noortegarantii rakendamise seiret kogutud andmete kvaliteedi ja täielikkuse osas; </w:t>
            </w:r>
            <w:r>
              <w:rPr>
                <w:b/>
                <w:i/>
              </w:rPr>
              <w:t>eriti järelmeetmete tasandil;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kutsub komisjoni üles tõhustama tugevdatud noortegarantii seireraamistikku ning töötama välja ühise, kogu liitu hõlmava kvantitatiivsete ja kvalitatiivsete näitajate kogumi, sealhulgas mittevabatahtliku ajutise ja osalise tööajaga tööhõive määr, vaesuse või sotsiaalse tõrjutuse riski määr, tööhõive liik ja kestus, praktika ja õpipoisiõpe liigitatuna pakkumise liigi, igakuise töötasu taseme ja noorte kvalitatiivse tagasiside alusel pakkumiste kvaliteedi kohta;</w:t>
            </w:r>
            <w:r>
              <w:t xml:space="preserve"> </w:t>
            </w:r>
            <w:r>
              <w:rPr>
                <w:b/>
                <w:i/>
              </w:rPr>
              <w:t>kutsub komisjoni üles viima enne järgmist poliitikatsüklit läbi põhjaliku hindamise, et suurendada haavatavate NEET-noorte osakaalu ja parandada tugevdatud noortegarantii raames pakutavate pakkumiste kvaliteeti;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kutsub komisjoni üles ajakohastama näitajate raamistikku;</w:t>
            </w:r>
            <w:r>
              <w:t xml:space="preserve"> </w:t>
            </w:r>
            <w:r>
              <w:rPr>
                <w:b/>
                <w:i/>
              </w:rPr>
              <w:t>teeb ettepaneku täiendada seda mittevabatahtliku ajutise tööhõive määra (15–29aastased) ning vaesuse ja sotsiaalse tõrjutuse riski määra (15–29aastased) koondnäitajatega;</w:t>
            </w:r>
            <w:r>
              <w:t xml:space="preserve"> </w:t>
            </w:r>
            <w:r>
              <w:rPr>
                <w:b/>
                <w:i/>
              </w:rPr>
              <w:t>soovitab otsese seire puhul ajakohastada seda järgmiste näitajatega:</w:t>
            </w:r>
            <w:r>
              <w:t xml:space="preserve"> </w:t>
            </w:r>
            <w:r>
              <w:rPr>
                <w:b/>
                <w:i/>
              </w:rPr>
              <w:t>tööpraktika ja õpipoisiõppe liik ja kestus, liigitatuna pakkumise liigi järgi;</w:t>
            </w:r>
            <w:r>
              <w:t xml:space="preserve"> </w:t>
            </w:r>
            <w:r>
              <w:rPr>
                <w:b/>
                <w:i/>
              </w:rPr>
              <w:t>igakuine töötasu tase, mis on liigitatud pakkumise liigi alusel, ja pakkumisega tagatava sotsiaalkindlustuskaitse tase;</w:t>
            </w:r>
            <w:r>
              <w:t xml:space="preserve"> </w:t>
            </w:r>
            <w:r>
              <w:rPr>
                <w:b/>
                <w:i/>
              </w:rPr>
              <w:t>ning otse noortelt kogutud kvalitatiivne teave nende kogemuste kvaliteedi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rõhutab, kui oluline on jätkata noortegarantii ja noorte tööhõive strateegiate integreerimist laienemisprotsessi;</w:t>
            </w:r>
            <w:r>
              <w:t xml:space="preserve"> </w:t>
            </w:r>
            <w:r>
              <w:rPr>
                <w:b/>
                <w:i/>
              </w:rPr>
              <w:t>kutsub komisjoni üles jätkama järgmise mitmeaastase finantsraamistiku raames rahastamist, jälgides samal ajal nende vahendite ranget kasutamist ja pannes rõhku suutlikkuse suurendamisele;</w:t>
            </w:r>
            <w:r>
              <w:t xml:space="preserve"> </w:t>
            </w:r>
            <w:r>
              <w:rPr>
                <w:b/>
                <w:i/>
              </w:rPr>
              <w:t>kutsub kandidaatriike üles tagama piisava riikliku rahastamise, et tagada noortegarantii programmide laiendamine ja kestlikkus, ning julgustab vastastikust õppimist liikmesriikidega;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kutsub komisjoni ja liikmesriike üles tugevdama noortegarantii süsteemi kontrollimehhanisme, et tagada rahastamiskõlblike toetusesaajate täpne kindlakstegemine, haldusprotsesside suurem läbipaistvus ja jälgitavus ning kaitsemeetmed ebasoovitavate stiimulite eest, mis võivad moonutada eesmärki toetada noori, kes kogevad tööturul tõelist ja püsivat tõrjutust;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on veendunud, et tugevdatud noortegarantii rakendamine vajab uut hoogu ja uuendatud dialoogi liikmesriikidega;</w:t>
            </w:r>
            <w:r>
              <w:t xml:space="preserve"> </w:t>
            </w:r>
            <w:r>
              <w:rPr>
                <w:b/>
                <w:i/>
              </w:rPr>
              <w:t>rõhutab sellega seoses Euroopa Parlamendi uuringuteenistuse uue tegevuskava pakutavat võimalust edendada tugevdatud noortegarantii rakendamist ja võtta vastu ambitsioonikam eesmärk NEET-noorte määra vähendamiseks;</w:t>
            </w:r>
            <w:r>
              <w:t xml:space="preserve"> </w:t>
            </w:r>
            <w:r>
              <w:rPr>
                <w:b/>
                <w:i/>
              </w:rPr>
              <w:t>väljendab heameelt oskuste garantii loomise algatuse üle ja nõuab, et see hõlmaks ka NEET-noori;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kutsub komisjoni üles tõhustama asjakohasel juhul seiret riikides, kus esineb noorte struktuurset töötust, tagades, et ELi vahendid aitavad tõhusalt tegeleda pikaajaliste tööturutõrgetega;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27c.</w:t>
            </w:r>
            <w:r>
              <w:tab/>
            </w:r>
            <w:r>
              <w:rPr>
                <w:b/>
                <w:i/>
              </w:rPr>
              <w:t>kutsub komisjoni üles kasutama täielikult ära Euroopa poolaastat, et jälgida tugevdatud noortegarantii rakendamist, kasutades asjakohasel juhul riigipõhiseid soovitusi, ning kasutama sotsiaalse lähenemise raamistikku, et suunata selle rakendamist kogu ELis, sealhulgas selle juhtimist ja suutlikkust;</w:t>
            </w:r>
            <w:r>
              <w:t xml:space="preserve"> </w:t>
            </w:r>
            <w:r>
              <w:rPr>
                <w:b/>
                <w:i/>
              </w:rPr>
              <w:t>kutsub komisjoni üles taastama noorte töötuse määra makromajandusliku tasakaalustamatuse menetluse tulemustabeli põhinäitajana, arvestades selle võimalikke riske makromajanduslikule stabiilsusele;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27c.</w:t>
            </w:r>
            <w:r>
              <w:tab/>
            </w:r>
            <w:r>
              <w:rPr>
                <w:b/>
                <w:i/>
              </w:rPr>
              <w:t>kutsub komisjoni üles tagama, et noortegarantii seiret ja hindamist tõhustatakse olemasolevate ELi juhtimisstruktuuride, sealhulgas Euroopa poolaasta raames proportsionaalselt ja tõhusalt;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27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27d.</w:t>
            </w:r>
            <w:r>
              <w:tab/>
            </w:r>
            <w:r>
              <w:rPr>
                <w:b/>
                <w:i/>
              </w:rPr>
              <w:t>kutsub komisjoni ja liikmesriike üles suurendama rakendavate riigiasutuste, ettevõtete ja noorte seas teadlikkust tugevdatud noortegarantiist ja kättesaadavatest tugiteenustest, sealhulgas riiklike kommunikatsioonistrateegiate abil, kasutades selleks mitmesuguseid kanaleid, nagu sotsiaalmeediakampaaniad, et ulatuda ka nendeni, kelleni on kõige keerulisem jõuda;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rPr>
                <w:b/>
                <w:i/>
              </w:rPr>
              <w:t>märgib, et</w:t>
            </w:r>
            <w:r>
              <w:t xml:space="preserve"> tugevdatud noortegarantii </w:t>
            </w:r>
            <w:r>
              <w:rPr>
                <w:b/>
                <w:i/>
              </w:rPr>
              <w:t>rakendamise tulemused on ebaühtlased ja tuvastatud probleemid on endiselt aktuaalsed;</w:t>
            </w:r>
            <w:r>
              <w:t xml:space="preserve"> </w:t>
            </w:r>
            <w:r>
              <w:rPr>
                <w:b/>
                <w:i/>
              </w:rPr>
              <w:t>kutsub komisjoni üles võtma</w:t>
            </w:r>
            <w:r>
              <w:t xml:space="preserve"> seadusandliku tavamenetluse kohaselt </w:t>
            </w:r>
            <w:r>
              <w:rPr>
                <w:b/>
                <w:i/>
              </w:rPr>
              <w:t>vastu otsuseid, mis on suunatud</w:t>
            </w:r>
            <w:r>
              <w:t xml:space="preserve"> liikmesriikidele</w:t>
            </w:r>
            <w:r>
              <w:rPr>
                <w:b/>
                <w:i/>
              </w:rPr>
              <w:t>, kus noorte töötuse ja NEET-noorte määrad on ELi keskmisest kõrgemad</w:t>
            </w:r>
            <w:r>
              <w:t>;</w:t>
            </w:r>
          </w:p>
        </w:tc>
        <w:tc>
          <w:tcPr>
            <w:tcW w:w="4876" w:type="dxa"/>
            <w:tcBorders>
              <w:top w:val="nil"/>
              <w:left w:val="nil"/>
              <w:bottom w:val="nil"/>
              <w:right w:val="nil"/>
            </w:tcBorders>
          </w:tcPr>
          <w:p>
            <w:pPr>
              <w:pStyle w:val="Normal6a"/>
            </w:pPr>
            <w:r>
              <w:t>28.</w:t>
            </w:r>
            <w:r>
              <w:tab/>
            </w:r>
            <w:r>
              <w:rPr>
                <w:b/>
                <w:i/>
              </w:rPr>
              <w:t>kutsub komisjoni üles liikmesriike</w:t>
            </w:r>
            <w:r>
              <w:t xml:space="preserve"> tugevdatud noortegarantii </w:t>
            </w:r>
            <w:r>
              <w:rPr>
                <w:b/>
                <w:i/>
              </w:rPr>
              <w:t>eesmärkide saavutamisel aktiivselt toetama;</w:t>
            </w:r>
            <w:r>
              <w:t xml:space="preserve"> </w:t>
            </w:r>
            <w:r>
              <w:rPr>
                <w:b/>
                <w:i/>
              </w:rPr>
              <w:t>rõhutab, et kõik liikmesriikidele siduvad meetmed tuleb vastu võtta ELi toimimise lepingu artiklis 294 sätestatud</w:t>
            </w:r>
            <w:r>
              <w:t xml:space="preserve"> seadusandliku tavamenetluse kohaselt </w:t>
            </w:r>
            <w:r>
              <w:rPr>
                <w:b/>
                <w:i/>
              </w:rPr>
              <w:t>Euroopa Parlamendi ja Euroopa Ülemkogu täielikul osalusel ning kooskõlas ELi lepingu artiklis 5 sätestatud subsidiaarsuse põhimõttega;</w:t>
            </w:r>
            <w:r>
              <w:t xml:space="preserve"> </w:t>
            </w:r>
            <w:r>
              <w:rPr>
                <w:b/>
                <w:i/>
              </w:rPr>
              <w:t>nõuab, et kõik</w:t>
            </w:r>
            <w:r>
              <w:t xml:space="preserve"> liikmesriikidele </w:t>
            </w:r>
            <w:r>
              <w:rPr>
                <w:b/>
                <w:i/>
              </w:rPr>
              <w:t>siduvad kohustused käiksid käsikäes liidu rahaliste vahendite eraldamisega, mis on vastavuses seatud eesmärkidega</w:t>
            </w:r>
            <w:r>
              <w:t xml:space="preserve">; </w:t>
            </w:r>
            <w:r>
              <w:rPr>
                <w:b/>
                <w:i/>
              </w:rPr>
              <w:t>nõuab, et komisjon võtaks toetusmeetmete või soovituste väljatöötamisel arvesse iga liikmesriigi struktuurilisi, institutsioonilisi ja territoriaalseid eripärasid;</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märgib, et tugevdatud noortegarantii rakendamise tulemused on ebaühtlased ja tuvastatud probleemid on endiselt aktuaalsed; kutsub komisjoni üles võtma seadusandliku tavamenetluse kohaselt vastu otsuseid, mis on suunatud liikmesriikidele, kus noorte töötuse ja NEET-noorte määrad on ELi keskmisest kõrgemad;</w:t>
            </w:r>
          </w:p>
        </w:tc>
        <w:tc>
          <w:tcPr>
            <w:tcW w:w="4876" w:type="dxa"/>
            <w:tcBorders>
              <w:top w:val="nil"/>
              <w:left w:val="nil"/>
              <w:bottom w:val="nil"/>
              <w:right w:val="nil"/>
            </w:tcBorders>
          </w:tcPr>
          <w:p>
            <w:pPr>
              <w:pStyle w:val="Normal6a"/>
            </w:pPr>
            <w:r>
              <w:t>28.</w:t>
            </w:r>
            <w:r>
              <w:tab/>
            </w:r>
            <w:r>
              <w:t>märgib, et tugevdatud noortegarantii rakendamise tulemused on ebaühtlased ja tuvastatud probleemid on endiselt aktuaalsed</w:t>
            </w:r>
            <w:r>
              <w:rPr>
                <w:b/>
                <w:i/>
              </w:rPr>
              <w:t>, kusjuures mõnes liikmesriigis on olukord eriti kriitiline</w:t>
            </w:r>
            <w:r>
              <w:t xml:space="preserve">; kutsub komisjoni üles võtma seadusandliku tavamenetluse kohaselt vastu otsuseid, mis on suunatud liikmesriikidele, kus noorte töötuse ja NEET-noorte määrad on ELi keskmisest kõrgemad; </w:t>
            </w:r>
            <w:r>
              <w:rPr>
                <w:b/>
                <w:i/>
              </w:rPr>
              <w:t>kutsub Euroopa Kontrollikoda üles koostama eriaruannet tugevdatud noortegarantii rakendamise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märgib, et tugevdatud noortegarantii rakendamise tulemused on ebaühtlased ja tuvastatud probleemid on endiselt aktuaalsed; kutsub komisjoni üles </w:t>
            </w:r>
            <w:r>
              <w:rPr>
                <w:b/>
                <w:i/>
              </w:rPr>
              <w:t>võtma seadusandliku tavamenetluse kohaselt vastu otsuseid, mis on suunatud</w:t>
            </w:r>
            <w:r>
              <w:t xml:space="preserve"> liikmesriikidele, kus noorte töötuse ja NEET-noorte </w:t>
            </w:r>
            <w:r>
              <w:rPr>
                <w:b/>
                <w:i/>
              </w:rPr>
              <w:t>määrad</w:t>
            </w:r>
            <w:r>
              <w:t xml:space="preserve"> on ELi keskmisest </w:t>
            </w:r>
            <w:r>
              <w:rPr>
                <w:b/>
                <w:i/>
              </w:rPr>
              <w:t>kõrgemad</w:t>
            </w:r>
            <w:r>
              <w:t>;</w:t>
            </w:r>
          </w:p>
        </w:tc>
        <w:tc>
          <w:tcPr>
            <w:tcW w:w="4876" w:type="dxa"/>
            <w:tcBorders>
              <w:top w:val="nil"/>
              <w:left w:val="nil"/>
              <w:bottom w:val="nil"/>
              <w:right w:val="nil"/>
            </w:tcBorders>
          </w:tcPr>
          <w:p>
            <w:pPr>
              <w:pStyle w:val="Normal6a"/>
            </w:pPr>
            <w:r>
              <w:t>28.</w:t>
            </w:r>
            <w:r>
              <w:tab/>
            </w:r>
            <w:r>
              <w:t xml:space="preserve">märgib, et tugevdatud noortegarantii rakendamise tulemused on ebaühtlased ja tuvastatud probleemid on endiselt aktuaalsed; kutsub komisjoni üles </w:t>
            </w:r>
            <w:r>
              <w:rPr>
                <w:b/>
                <w:i/>
              </w:rPr>
              <w:t>toetama ja koordineerima parimate tavade vahetamist ning andma sihipäraseid mittesiduvaid suuniseid</w:t>
            </w:r>
            <w:r>
              <w:t xml:space="preserve"> liikmesriikidele, kus noorte töötuse ja NEET-noorte </w:t>
            </w:r>
            <w:r>
              <w:rPr>
                <w:b/>
                <w:i/>
              </w:rPr>
              <w:t>määr</w:t>
            </w:r>
            <w:r>
              <w:t xml:space="preserve"> on ELi keskmisest </w:t>
            </w:r>
            <w:r>
              <w:rPr>
                <w:b/>
                <w:i/>
              </w:rPr>
              <w:t>kõrgem, austades samal ajal täielikult riikide pädevusi ja tööturu eripärasid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märgib, et tugevdatud noortegarantii rakendamise tulemused on ebaühtlased ja tuvastatud probleemid on endiselt aktuaalsed; </w:t>
            </w:r>
            <w:r>
              <w:rPr>
                <w:b/>
                <w:i/>
              </w:rPr>
              <w:t>kutsub</w:t>
            </w:r>
            <w:r>
              <w:t xml:space="preserve"> komisjoni </w:t>
            </w:r>
            <w:r>
              <w:rPr>
                <w:b/>
                <w:i/>
              </w:rPr>
              <w:t>üles võtma seadusandliku tavamenetluse kohaselt vastu</w:t>
            </w:r>
            <w:r>
              <w:t xml:space="preserve"> otsuseid, </w:t>
            </w:r>
            <w:r>
              <w:rPr>
                <w:b/>
                <w:i/>
              </w:rPr>
              <w:t>mis on suunatud liikmesriikidele, kus noorte töötuse ja NEET-noorte määrad on ELi keskmisest kõrgemad</w:t>
            </w:r>
            <w:r>
              <w:t>;</w:t>
            </w:r>
          </w:p>
        </w:tc>
        <w:tc>
          <w:tcPr>
            <w:tcW w:w="4876" w:type="dxa"/>
            <w:tcBorders>
              <w:top w:val="nil"/>
              <w:left w:val="nil"/>
              <w:bottom w:val="nil"/>
              <w:right w:val="nil"/>
            </w:tcBorders>
          </w:tcPr>
          <w:p>
            <w:pPr>
              <w:pStyle w:val="Normal6a"/>
            </w:pPr>
            <w:r>
              <w:t>28.</w:t>
            </w:r>
            <w:r>
              <w:tab/>
            </w:r>
            <w:r>
              <w:t xml:space="preserve">märgib, et tugevdatud noortegarantii rakendamise tulemused on ebaühtlased ja tuvastatud probleemid on endiselt aktuaalsed; </w:t>
            </w:r>
            <w:r>
              <w:rPr>
                <w:b/>
                <w:i/>
              </w:rPr>
              <w:t>tuletab meelde, et tööhõive- ja hariduspoliitika on subsidiaarsuse põhimõtte kohaselt endiselt liikmesriikide ainupädevuses, ning lükkab tagasi kõik</w:t>
            </w:r>
            <w:r>
              <w:t xml:space="preserve"> komisjoni </w:t>
            </w:r>
            <w:r>
              <w:rPr>
                <w:b/>
                <w:i/>
              </w:rPr>
              <w:t>katsed kehtestada ülalt alla</w:t>
            </w:r>
            <w:r>
              <w:t xml:space="preserve"> otsuseid, </w:t>
            </w:r>
            <w:r>
              <w:rPr>
                <w:b/>
                <w:i/>
              </w:rPr>
              <w:t>millega liikmesriike karistatakse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28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rõhutab, et tõhustatud noortegarantii peaks aitama vähendada ka piirkondlikku ebavõrdsust ja nende noorte arvu, kes on sunnitud piiratud töövõimalustega piirkondadest lahkuma;</w:t>
            </w:r>
            <w:r>
              <w:t xml:space="preserve"> </w:t>
            </w:r>
            <w:r>
              <w:rPr>
                <w:b/>
                <w:i/>
              </w:rPr>
              <w:t>kutsub liikmesriike üles töötama välja sihipäraseid meetmeid maa-, saare-, mägi- ja äärepoolsete piirkondade jaoks, tagamaks, et geograafiline asukoht ei toimiks noorte jaoks tõrjuva tegurina;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Resolutsiooni ettepanek</w:t>
      </w:r>
      <w:r>
        <w:rPr>
          <w:rStyle w:val="HideTWBExt"/>
        </w:rPr>
        <w:t>&lt;/DocAmend&gt;</w:t>
      </w:r>
    </w:p>
    <w:p>
      <w:pPr>
        <w:pStyle w:val="NormalBold"/>
      </w:pPr>
      <w:r>
        <w:rPr>
          <w:rStyle w:val="HideTWBExt"/>
        </w:rPr>
        <w:t>&lt;Article&gt;</w:t>
      </w:r>
      <w:r>
        <w:t>Punkt 28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Resolutsiooni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kutsub komisjoni üles jälgima noortegarantii tulemusi noorte lapsevanemate (15–29aastased), eelkõige üksikvanemate puhul, jälgides eraldi tööhõive, koolituse ja NEET-noorte määra ning andes neist igal aastal aru, et hinnata tõhusust ja suunata sihipärast poliitikat;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787.792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176</w:t>
    </w:r>
    <w:r>
      <w:fldChar w:fldCharType="end"/>
    </w:r>
    <w:r>
      <w:t>/</w:t>
    </w:r>
    <w:r>
      <w:fldChar w:fldCharType="begin"/>
    </w:r>
    <w:r>
      <w:instrText xml:space="preserve"> NUMPAGES </w:instrText>
    </w:r>
    <w:r>
      <w:fldChar w:fldCharType="separate"/>
    </w:r>
    <w:r>
      <w:t>176</w:t>
    </w:r>
    <w:r>
      <w:fldChar w:fldCharType="end"/>
    </w:r>
    <w:r>
      <w:tab/>
    </w:r>
    <w:r>
      <w:rPr>
        <w:rStyle w:val="HideTWBExt"/>
      </w:rPr>
      <w:t>&lt;PathFdR&gt;</w:t>
    </w:r>
    <w:r>
      <w:t>AM\1342336ET.docx</w:t>
    </w:r>
    <w:r>
      <w:rPr>
        <w:rStyle w:val="HideTWBExt"/>
      </w:rPr>
      <w:t>&lt;/PathFdR&gt;</w:t>
    </w:r>
  </w:p>
  <w:p>
    <w:pPr>
      <w:pStyle w:val="EPFooter2"/>
    </w:pPr>
    <w:r>
      <w:t>ET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AM\1342336ET.docx</w:t>
    </w:r>
    <w:r>
      <w:rPr>
        <w:rStyle w:val="HideTWBExt"/>
      </w:rPr>
      <w:t>&lt;/PathFdR&gt;</w:t>
    </w:r>
    <w:r>
      <w:tab/>
    </w:r>
    <w:r>
      <w:fldChar w:fldCharType="begin"/>
    </w:r>
    <w:r>
      <w:instrText xml:space="preserve"> PAGE </w:instrText>
    </w:r>
    <w:r>
      <w:fldChar w:fldCharType="separate"/>
    </w:r>
    <w:r>
      <w:t>175</w:t>
    </w:r>
    <w:r>
      <w:fldChar w:fldCharType="end"/>
    </w:r>
    <w:r>
      <w:t>/</w:t>
    </w:r>
    <w:r>
      <w:fldChar w:fldCharType="begin"/>
    </w:r>
    <w:r>
      <w:instrText xml:space="preserve"> NUMPAGES </w:instrText>
    </w:r>
    <w:r>
      <w:fldChar w:fldCharType="separate"/>
    </w:r>
    <w:r>
      <w:t>176</w:t>
    </w:r>
    <w:r>
      <w:fldChar w:fldCharType="end"/>
    </w:r>
    <w:r>
      <w:tab/>
    </w:r>
    <w:r>
      <w:t>PE</w:t>
    </w:r>
    <w:r>
      <w:rPr>
        <w:rStyle w:val="HideTWBExt"/>
      </w:rPr>
      <w:t>&lt;NoPE&gt;</w:t>
    </w:r>
    <w:r>
      <w:t>787.792</w:t>
    </w:r>
    <w:r>
      <w:rPr>
        <w:rStyle w:val="HideTWBExt"/>
      </w:rPr>
      <w:t>&lt;/NoPE&gt;</w:t>
    </w:r>
    <w:r>
      <w:rPr>
        <w:rStyle w:val="HideTWBExt"/>
      </w:rPr>
      <w:t>&lt;Version&gt;</w:t>
    </w:r>
    <w:r>
      <w:t>v01-00</w:t>
    </w:r>
    <w:r>
      <w:rPr>
        <w:rStyle w:val="HideTWBExt"/>
      </w:rPr>
      <w:t>&lt;/Version&gt;</w:t>
    </w:r>
  </w:p>
  <w:p>
    <w:pPr>
      <w:pStyle w:val="EPFooter2"/>
    </w:pPr>
    <w:r>
      <w:tab/>
    </w:r>
    <w:r>
      <w:tab/>
    </w:r>
    <w:r>
      <w:t>ET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AM\1342336ET.docx</w:t>
    </w:r>
    <w:r>
      <w:rPr>
        <w:rStyle w:val="HideTWBExt"/>
      </w:rPr>
      <w:t>&lt;/PathFdR&gt;</w:t>
    </w:r>
    <w:r>
      <w:tab/>
    </w:r>
    <w:r>
      <w:tab/>
    </w:r>
    <w:r>
      <w:t>PE</w:t>
    </w:r>
    <w:r>
      <w:rPr>
        <w:rStyle w:val="HideTWBExt"/>
      </w:rPr>
      <w:t>&lt;NoPE&gt;</w:t>
    </w:r>
    <w:r>
      <w:t>787.792</w:t>
    </w:r>
    <w:r>
      <w:rPr>
        <w:rStyle w:val="HideTWBExt"/>
      </w:rPr>
      <w:t>&lt;/NoPE&gt;</w:t>
    </w:r>
    <w:r>
      <w:rPr>
        <w:rStyle w:val="HideTWBExt"/>
      </w:rPr>
      <w:t>&lt;Version&gt;</w:t>
    </w:r>
    <w:r>
      <w:t>v01-00</w:t>
    </w:r>
    <w:r>
      <w:rPr>
        <w:rStyle w:val="HideTWBExt"/>
      </w:rPr>
      <w:t>&lt;/Version&gt;</w:t>
    </w:r>
  </w:p>
  <w:p>
    <w:pPr>
      <w:pStyle w:val="EPFooter2"/>
    </w:pPr>
    <w:r>
      <w:t>ET</w:t>
    </w:r>
    <w:r>
      <w:tab/>
    </w:r>
    <w:r>
      <w:rPr>
        <w:rStyle w:val="EPFooter2Motto"/>
      </w:rPr>
      <w:t>Ühinenud mitmekesisuses</w:t>
    </w:r>
    <w:r>
      <w:tab/>
    </w:r>
    <w:r>
      <w:t>ET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t-E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AmColumnHeading">
    <w:name w:val="AmColumnHeading"/>
    <w:basedOn w:val="Normal"/>
    <w:pPr>
      <w:widowControl/>
      <w:spacing w:after="240"/>
      <w:jc w:val="center"/>
    </w:pPr>
    <w:rPr>
      <w:i/>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176</Pages>
  <Words>28106</Words>
  <Characters>218750</Characters>
  <Application>Microsoft Office Word</Application>
  <DocSecurity>0</DocSecurity>
  <Lines>1</Lines>
  <Paragraphs>2856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1342336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513942</vt:lpwstr>
  </property>
  <property fmtid="{D5CDD505-2E9C-101B-9397-08002B2CF9AE}" pid="7" name="dmxml.render.traceId">
    <vt:lpwstr>6a1efb4061f83dc3cd6c06511f4c9cf8</vt:lpwstr>
  </property>
  <property fmtid="{D5CDD505-2E9C-101B-9397-08002B2CF9AE}" pid="8" name="FooterPath">
    <vt:lpwstr>AM\1342336ET.docx</vt:lpwstr>
  </property>
  <property fmtid="{D5CDD505-2E9C-101B-9397-08002B2CF9AE}" pid="9" name="PE Number">
    <vt:lpwstr>787.792</vt:lpwstr>
  </property>
  <property fmtid="{D5CDD505-2E9C-101B-9397-08002B2CF9AE}" pid="10" name="UID">
    <vt:lpwstr>eu.europa.europarl-DIN1-2026-0000110654_01.00-et-01.00_text-xml</vt:lpwstr>
  </property>
</Properties>
</file>