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Commission de l'emploi et des affaires sociales</w:t>
      </w:r>
      <w:r>
        <w:rPr>
          <w:rStyle w:val="HideTWBExt"/>
        </w:rPr>
        <w:t>&lt;/Commission&gt;</w:t>
      </w:r>
    </w:p>
    <w:p>
      <w:pPr>
        <w:pStyle w:val="LineBottom"/>
      </w:pPr>
      <w:r>
        <w:t xml:space="preserve"> </w:t>
      </w:r>
    </w:p>
    <w:p>
      <w:pPr>
        <w:pStyle w:val="CoverReference"/>
      </w:pPr>
      <w:r>
        <w:rPr>
          <w:rStyle w:val="HideTWBExt"/>
        </w:rPr>
        <w:t>&lt;RefProc&gt;</w:t>
      </w:r>
      <w:r>
        <w:t>2025/2184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{23/04/2026}</w:t>
      </w:r>
      <w:r>
        <w:t>23.4.2026</w:t>
      </w:r>
      <w:r>
        <w:rPr>
          <w:rStyle w:val="HideTWBExt"/>
        </w:rPr>
        <w:t>&lt;/Date&gt;</w:t>
      </w:r>
    </w:p>
    <w:p>
      <w:pPr>
        <w:pStyle w:val="CoverDocType"/>
      </w:pPr>
      <w:r>
        <w:rPr>
          <w:rStyle w:val="HideTWBExt"/>
        </w:rPr>
        <w:t>&lt;TypeAM&gt;</w:t>
      </w:r>
      <w:r>
        <w:t>AMENDEMENTS</w:t>
      </w:r>
      <w:r>
        <w:rPr>
          <w:rStyle w:val="HideTWBExt"/>
        </w:rPr>
        <w:t>&lt;/TypeAM&gt;</w:t>
      </w:r>
    </w:p>
    <w:p>
      <w:pPr>
        <w:pStyle w:val="CoverDocType24a"/>
      </w:pPr>
      <w:r>
        <w:rPr>
          <w:rStyle w:val="HideTWBExt"/>
        </w:rPr>
        <w:t>&lt;RangeAM&gt;</w:t>
      </w:r>
      <w:r>
        <w:t>81</w:t>
      </w:r>
      <w:r>
        <w:t xml:space="preserve"> - </w:t>
      </w:r>
      <w:r>
        <w:t>408</w:t>
      </w:r>
      <w:r>
        <w:rPr>
          <w:rStyle w:val="HideTWBExt"/>
        </w:rPr>
        <w:t>&lt;/RangeAM&gt;</w:t>
      </w:r>
    </w:p>
    <w:p>
      <w:pPr>
        <w:pStyle w:val="CoverBold"/>
      </w:pPr>
      <w:r>
        <w:rPr>
          <w:rStyle w:val="HideTWBExt"/>
        </w:rPr>
        <w:t>&lt;TitreType&gt;</w:t>
      </w:r>
      <w:r>
        <w:t>Projet de rapport</w:t>
      </w:r>
      <w:r>
        <w:rPr>
          <w:rStyle w:val="HideTWBExt"/>
        </w:rPr>
        <w:t>&lt;/TitreType&gt;</w:t>
      </w:r>
    </w:p>
    <w:p>
      <w:pPr>
        <w:pStyle w:val="CoverBold"/>
      </w:pPr>
      <w:r>
        <w:rPr>
          <w:rStyle w:val="HideTWBExt"/>
        </w:rPr>
        <w:t>&lt;Rapporteur&gt;</w:t>
      </w:r>
      <w:r>
        <w:t>Hristo Petrov</w:t>
      </w:r>
      <w:r>
        <w:rPr>
          <w:rStyle w:val="HideTWBExt"/>
        </w:rPr>
        <w:t>&lt;/Rapporteur&gt;</w:t>
      </w:r>
    </w:p>
    <w:p>
      <w:pPr>
        <w:pStyle w:val="CoverNormal24a"/>
      </w:pPr>
      <w:r>
        <w:rPr>
          <w:rStyle w:val="HideTWBExt"/>
        </w:rPr>
        <w:t>&lt;DocRefPE&gt;</w:t>
      </w:r>
      <w:r>
        <w:t>(PE785.214v01-00)</w:t>
      </w:r>
      <w:r>
        <w:rPr>
          <w:rStyle w:val="HideTWBExt"/>
        </w:rPr>
        <w:t>&lt;/DocRefPE&gt;</w:t>
      </w:r>
    </w:p>
    <w:p>
      <w:pPr>
        <w:pStyle w:val="CoverNormal"/>
      </w:pPr>
      <w:r>
        <w:rPr>
          <w:rStyle w:val="HideTWBExt"/>
        </w:rPr>
        <w:t>&lt;Titre&gt;</w:t>
      </w:r>
      <w:r>
        <w:t>Mise en œuvre de la recommandation du Conseil du 30 octobre 2020 relative à «Un pont vers l’emploi – Renforcer la garantie pour la jeunesse» et remplaçant la recommandation du Conseil du 22 avril 2013 sur l’établissement d’une garantie pour la jeunesse</w:t>
      </w:r>
      <w:r>
        <w:rPr>
          <w:rStyle w:val="HideTWBExt"/>
        </w:rPr>
        <w:t>&lt;/Titre&gt;</w:t>
      </w:r>
    </w:p>
    <w:p>
      <w:pPr>
        <w:pStyle w:val="CoverNormal24a"/>
      </w:pPr>
      <w:r>
        <w:rPr>
          <w:rStyle w:val="HideTWBExt"/>
        </w:rPr>
        <w:t>&lt;DocRef&gt;</w:t>
      </w:r>
      <w:r>
        <w:t>(2025/2184(INI))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salue les bonnes performances des marchés du travail dans l’Union et des taux de chômage historiquement bas; déplore toutefois que cette tendance n’ait pas une incidence plus importante sur les jeunes, dont le taux de chômage oscille autour de 15 % et reste encore près de trois fois plus élevé que celui de la population générale;</w:t>
            </w:r>
          </w:p>
        </w:tc>
        <w:tc>
          <w:tcPr>
            <w:tcW w:w="4876" w:type="dxa"/>
            <w:tcBorders>
              <w:top w:val="nil"/>
              <w:left w:val="nil"/>
              <w:bottom w:val="nil"/>
              <w:right w:val="nil"/>
            </w:tcBorders>
          </w:tcPr>
          <w:p>
            <w:pPr>
              <w:pStyle w:val="Normal6a"/>
            </w:pPr>
            <w:r>
              <w:t>1.</w:t>
            </w:r>
            <w:r>
              <w:tab/>
            </w:r>
            <w:r>
              <w:t xml:space="preserve">salue les bonnes performances des marchés du travail dans l’Union et des taux de chômage historiquement bas; déplore toutefois que cette tendance n’ait pas une incidence plus importante sur les jeunes, dont le taux de chômage oscille autour de 15 % et reste encore près de trois fois plus élevé que celui de la population générale; </w:t>
            </w:r>
            <w:r>
              <w:rPr>
                <w:b/>
                <w:i/>
              </w:rPr>
              <w:t>invite les États membres à étudier des approches axées sur les jeunes qui améliorent le passage de l’école au monde du travail, encouragent l’esprit d’entreprise et veillent à ce que les systèmes d’éducation et de formation répondent à l’évolution rapide des besoins du marché du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salue les bonnes performances des marchés du travail dans l’Union et des taux de chômage historiquement bas; déplore toutefois que cette tendance n’ait pas une incidence plus importante sur les jeunes, dont le taux de chômage oscille autour de 15 % et reste encore près de trois fois plus élevé que celui de la population générale;</w:t>
            </w:r>
          </w:p>
        </w:tc>
        <w:tc>
          <w:tcPr>
            <w:tcW w:w="4876" w:type="dxa"/>
            <w:tcBorders>
              <w:top w:val="nil"/>
              <w:left w:val="nil"/>
              <w:bottom w:val="nil"/>
              <w:right w:val="nil"/>
            </w:tcBorders>
          </w:tcPr>
          <w:p>
            <w:pPr>
              <w:pStyle w:val="Normal6a"/>
            </w:pPr>
            <w:r>
              <w:t>1.</w:t>
            </w:r>
            <w:r>
              <w:tab/>
            </w:r>
            <w:r>
              <w:t xml:space="preserve">salue les bonnes performances des marchés du travail dans l’Union et des taux de chômage historiquement bas; déplore toutefois que cette tendance n’ait pas une incidence plus importante sur les jeunes, dont le taux de chômage oscille autour de 15 % et reste encore près de trois fois plus élevé que celui de la population générale; </w:t>
            </w:r>
            <w:r>
              <w:rPr>
                <w:b/>
                <w:i/>
              </w:rPr>
              <w:t>souligne, en outre, que l’amélioration des taux d’emploi globaux ne doit pas masquer la prévalence de l’emploi précaire, faiblement rémunéré ou de courte durée chez les jeunes;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salue les bonnes performances des marchés du travail dans l’Union et des taux de chômage historiquement bas; déplore toutefois que cette tendance n’ait pas une incidence plus importante sur les jeunes, dont le taux de chômage oscille autour de 15 % et reste encore près de trois fois plus élevé que celui de la population générale;</w:t>
            </w:r>
          </w:p>
        </w:tc>
        <w:tc>
          <w:tcPr>
            <w:tcW w:w="4876" w:type="dxa"/>
            <w:tcBorders>
              <w:top w:val="nil"/>
              <w:left w:val="nil"/>
              <w:bottom w:val="nil"/>
              <w:right w:val="nil"/>
            </w:tcBorders>
          </w:tcPr>
          <w:p>
            <w:pPr>
              <w:pStyle w:val="Normal6a"/>
            </w:pPr>
            <w:r>
              <w:t>1.</w:t>
            </w:r>
            <w:r>
              <w:tab/>
            </w:r>
            <w:r>
              <w:t>salue les bonnes performances des marchés du travail dans l’Union et des taux de chômage historiquement bas; déplore toutefois que cette tendance n’ait pas une incidence plus importante sur les jeunes, dont le taux de chômage oscille autour de 15 % et reste encore près de trois fois plus élevé que celui de la population générale</w:t>
            </w:r>
            <w:r>
              <w:rPr>
                <w:b/>
                <w:i/>
                <w:vertAlign w:val="superscript"/>
              </w:rPr>
              <w:t>18 bis</w:t>
            </w:r>
            <w:r>
              <w:t xml:space="preserve">; </w:t>
            </w:r>
            <w:r>
              <w:rPr>
                <w:b/>
                <w:i/>
              </w:rPr>
              <w:t>constate que la situation est particulièrement préoccupante pour les jeunes femmes, les jeunes handicapés, les jeunes Roms et les jeunes placés dans des établissements de soins résidentiels;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18 bis</w:t>
            </w:r>
            <w:r>
              <w:t xml:space="preserve"> </w:t>
            </w:r>
            <w:r>
              <w:rPr>
                <w:b/>
                <w:i/>
              </w:rPr>
              <w:t>https://doi.org/10.2908/UNE_RT_A.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salue les bonnes performances des marchés du travail dans l’Union et des taux de chômage historiquement bas; déplore toutefois que cette tendance n’ait pas une incidence plus importante sur les jeunes, dont le taux de chômage oscille autour de 15 % et reste encore près de trois fois plus élevé que celui de la population générale;</w:t>
            </w:r>
          </w:p>
        </w:tc>
        <w:tc>
          <w:tcPr>
            <w:tcW w:w="4876" w:type="dxa"/>
            <w:tcBorders>
              <w:top w:val="nil"/>
              <w:left w:val="nil"/>
              <w:bottom w:val="nil"/>
              <w:right w:val="nil"/>
            </w:tcBorders>
          </w:tcPr>
          <w:p>
            <w:pPr>
              <w:pStyle w:val="Normal6a"/>
            </w:pPr>
            <w:r>
              <w:t>1.</w:t>
            </w:r>
            <w:r>
              <w:tab/>
            </w:r>
            <w:r>
              <w:t xml:space="preserve">salue les bonnes performances des marchés du travail dans l’Union et des taux de chômage historiquement bas; déplore toutefois que cette tendance n’ait pas une incidence plus importante sur les jeunes, dont le taux de chômage oscille autour de 15 % et reste encore près de trois fois plus élevé que celui de la population générale; </w:t>
            </w:r>
            <w:r>
              <w:rPr>
                <w:b/>
                <w:i/>
              </w:rPr>
              <w:t>souligne toutefois que la réduction du chômage ne reflète pas nécessairement une amélioration de la qualité de l’emploi, en particulier pour les jeunes;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salue les bonnes performances des marchés du travail dans l’Union et des taux de chômage historiquement bas; déplore toutefois que cette tendance n’ait pas une incidence plus importante sur les jeunes, dont le taux de chômage oscille autour de 15 % </w:t>
            </w:r>
            <w:r>
              <w:rPr>
                <w:b/>
                <w:i/>
              </w:rPr>
              <w:t>et</w:t>
            </w:r>
            <w:r>
              <w:t xml:space="preserve"> reste encore près de trois fois plus élevé que celui de la population générale;</w:t>
            </w:r>
          </w:p>
        </w:tc>
        <w:tc>
          <w:tcPr>
            <w:tcW w:w="4876" w:type="dxa"/>
            <w:tcBorders>
              <w:top w:val="nil"/>
              <w:left w:val="nil"/>
              <w:bottom w:val="nil"/>
              <w:right w:val="nil"/>
            </w:tcBorders>
          </w:tcPr>
          <w:p>
            <w:pPr>
              <w:pStyle w:val="Normal6a"/>
            </w:pPr>
            <w:r>
              <w:t>1.</w:t>
            </w:r>
            <w:r>
              <w:tab/>
            </w:r>
            <w:r>
              <w:t xml:space="preserve">salue les bonnes performances des marchés du travail dans l’Union et des taux de chômage historiquement bas; déplore toutefois que cette tendance n’ait pas une incidence plus importante sur les jeunes, dont le taux de chômage oscille </w:t>
            </w:r>
            <w:r>
              <w:rPr>
                <w:b/>
                <w:i/>
              </w:rPr>
              <w:t>dans l’ensemble de l’Union oscille</w:t>
            </w:r>
            <w:r>
              <w:t xml:space="preserve"> autour de 15 %</w:t>
            </w:r>
            <w:r>
              <w:rPr>
                <w:b/>
                <w:i/>
              </w:rPr>
              <w:t>, ce qui</w:t>
            </w:r>
            <w:r>
              <w:t xml:space="preserve"> reste encore près de trois fois plus élevé que celui de la population générale; </w:t>
            </w:r>
            <w:r>
              <w:rPr>
                <w:b/>
                <w:i/>
              </w:rPr>
              <w:t>souligne que la garantie renforcée pour la jeunesse a le potentiel de réduire le chômage des jeunes et d’agir en tant que mesure préventive;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souligne que le délai de quatre mois pour présenter une offre n’a de sens que si l’offre est réellement de qualité, débouchant sur un emploi durable offrant des perspectives et une rémunération adéquate et rémunérée;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se félicite</w:t>
            </w:r>
            <w:r>
              <w:t xml:space="preserve"> que le taux de jeunes sans emploi qui ne suivent ni études ni formation (NEET) dans l’Union ait suivi une tendance à la baisse </w:t>
            </w:r>
            <w:r>
              <w:rPr>
                <w:b/>
                <w:i/>
              </w:rPr>
              <w:t>depuis l’introduction de la garantie pour la jeunesse</w:t>
            </w:r>
            <w:r>
              <w:t xml:space="preserve"> et qu’il ait reculé à 11,1 % en 2024; constate </w:t>
            </w:r>
            <w:r>
              <w:rPr>
                <w:b/>
                <w:i/>
              </w:rPr>
              <w:t>toutefois</w:t>
            </w:r>
            <w:r>
              <w:t xml:space="preserve"> une disparité entre les États membres, certains ayant déjà atteint l’objectif fixé pour 2030 alors que d’autres affichent encore un nombre alarmant de NEET;</w:t>
            </w:r>
          </w:p>
        </w:tc>
        <w:tc>
          <w:tcPr>
            <w:tcW w:w="4876" w:type="dxa"/>
            <w:tcBorders>
              <w:top w:val="nil"/>
              <w:left w:val="nil"/>
              <w:bottom w:val="nil"/>
              <w:right w:val="nil"/>
            </w:tcBorders>
          </w:tcPr>
          <w:p>
            <w:pPr>
              <w:pStyle w:val="Normal6a"/>
            </w:pPr>
            <w:r>
              <w:t>2.</w:t>
            </w:r>
            <w:r>
              <w:tab/>
            </w:r>
            <w:r>
              <w:rPr>
                <w:b/>
                <w:i/>
              </w:rPr>
              <w:t>prend acte du fait</w:t>
            </w:r>
            <w:r>
              <w:t xml:space="preserve"> que le taux de jeunes sans emploi qui ne suivent ni études ni formation (NEET) dans l’Union ait suivi une tendance à la baisse et qu’il ait reculé à 11,1 % en 2024 </w:t>
            </w:r>
            <w:r>
              <w:rPr>
                <w:b/>
                <w:i/>
              </w:rPr>
              <w:t>;</w:t>
            </w:r>
            <w:r>
              <w:t xml:space="preserve"> </w:t>
            </w:r>
            <w:r>
              <w:rPr>
                <w:b/>
                <w:i/>
              </w:rPr>
              <w:t>rappelle toutefois qu'il est impossible d'attribuer cette baisse à l'efficacité de la Garantie pour la jeunesse, l'insertion professionnelle relevant avant tout de la compétitivité des entreprises nationales et d'évolutions démographiques</w:t>
            </w:r>
            <w:r>
              <w:t xml:space="preserve"> ; constate </w:t>
            </w:r>
            <w:r>
              <w:rPr>
                <w:b/>
                <w:i/>
              </w:rPr>
              <w:t>par ailleurs une profonde fracture territoriale et</w:t>
            </w:r>
            <w:r>
              <w:t xml:space="preserve"> une disparité entre les États membres, certains ayant déjà atteint l’objectif fixé pour 2030 alors que d’autres affichent encore un nombre alarmant de NEET</w:t>
            </w:r>
            <w:r>
              <w:rPr>
                <w:b/>
                <w:i/>
              </w:rPr>
              <w:t>, particulièrement dans les zones rurales délaissées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se félicite que le taux de jeunes sans emploi qui ne suivent ni études ni formation (NEET) dans l’Union ait suivi une tendance à la baisse depuis l’introduction de la garantie pour la jeunesse et qu’il ait reculé à 11,1 % en 2024; constate toutefois une disparité entre les États membres, certains ayant déjà atteint l’objectif fixé pour 2030 alors que d’autres affichent encore un nombre alarmant de NEET;</w:t>
            </w:r>
          </w:p>
        </w:tc>
        <w:tc>
          <w:tcPr>
            <w:tcW w:w="4876" w:type="dxa"/>
            <w:tcBorders>
              <w:top w:val="nil"/>
              <w:left w:val="nil"/>
              <w:bottom w:val="nil"/>
              <w:right w:val="nil"/>
            </w:tcBorders>
          </w:tcPr>
          <w:p>
            <w:pPr>
              <w:pStyle w:val="Normal6a"/>
            </w:pPr>
            <w:r>
              <w:t>2.</w:t>
            </w:r>
            <w:r>
              <w:tab/>
            </w:r>
            <w:r>
              <w:t xml:space="preserve">se félicite que le taux de jeunes sans emploi qui ne suivent ni études ni formation (NEET) dans l’Union ait suivi une tendance à la baisse depuis l’introduction de la garantie pour la jeunesse et qu’il ait reculé à 11,1 % en 2024; constate toutefois une disparité entre les États membres, certains ayant déjà atteint l’objectif fixé pour 2030 alors que d’autres affichent encore un nombre alarmant de NEET; </w:t>
            </w:r>
            <w:r>
              <w:rPr>
                <w:b/>
                <w:i/>
              </w:rPr>
              <w:t>souligne par conséquent que la mise en œuvre de la garantie pour la jeunesse devrait laisser aux États membres et aux autorités régionales une marge de manœuvre suffisante pour concevoir des mesures adaptées à leurs réalités spécifiques et actuelles du marché du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se félicite que le taux de jeunes sans emploi qui ne suivent ni études ni formation (NEET) dans l’Union ait suivi une tendance à la baisse depuis l’introduction de la garantie pour la jeunesse et qu’il ait reculé à 11,1 % en 2024; constate toutefois une disparité entre les États membres, certains ayant déjà atteint l’objectif </w:t>
            </w:r>
            <w:r>
              <w:rPr>
                <w:b/>
                <w:i/>
              </w:rPr>
              <w:t>fixé pour 2030</w:t>
            </w:r>
            <w:r>
              <w:t xml:space="preserve"> alors que d’autres affichent encore un nombre alarmant de NEET;</w:t>
            </w:r>
          </w:p>
        </w:tc>
        <w:tc>
          <w:tcPr>
            <w:tcW w:w="4876" w:type="dxa"/>
            <w:tcBorders>
              <w:top w:val="nil"/>
              <w:left w:val="nil"/>
              <w:bottom w:val="nil"/>
              <w:right w:val="nil"/>
            </w:tcBorders>
          </w:tcPr>
          <w:p>
            <w:pPr>
              <w:pStyle w:val="Normal6a"/>
            </w:pPr>
            <w:r>
              <w:t>2.</w:t>
            </w:r>
            <w:r>
              <w:tab/>
            </w:r>
            <w:r>
              <w:t xml:space="preserve">se félicite que le taux de jeunes sans emploi qui ne suivent ni études ni formation (NEET) dans l’Union ait suivi une tendance à la baisse depuis l’introduction de la garantie pour la jeunesse et qu’il ait reculé à 11,1 % en 2024; constate toutefois une disparité entre les États membres, certains ayant déjà atteint l’objectif </w:t>
            </w:r>
            <w:r>
              <w:rPr>
                <w:b/>
                <w:i/>
              </w:rPr>
              <w:t>du plan d’action sur le socle européen des droits sociaux consistant à ramener le taux de NEET à 9 % d’ici à 2030,</w:t>
            </w:r>
            <w:r>
              <w:t xml:space="preserve"> alors que d’autres affichent encore un nombre alarmant de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se félicite que le taux de jeunes sans emploi qui ne suivent ni études ni formation (NEET) dans l’Union ait suivi une tendance à la baisse depuis l’introduction de la garantie pour la jeunesse et qu’il ait reculé à </w:t>
            </w:r>
            <w:r>
              <w:rPr>
                <w:b/>
                <w:i/>
              </w:rPr>
              <w:t>11,1 % en 2024</w:t>
            </w:r>
            <w:r>
              <w:t>; constate toutefois une disparité entre les États membres, certains ayant déjà atteint l’objectif fixé pour 2030 alors que d’autres affichent encore un nombre alarmant de NEET;</w:t>
            </w:r>
          </w:p>
        </w:tc>
        <w:tc>
          <w:tcPr>
            <w:tcW w:w="4876" w:type="dxa"/>
            <w:tcBorders>
              <w:top w:val="nil"/>
              <w:left w:val="nil"/>
              <w:bottom w:val="nil"/>
              <w:right w:val="nil"/>
            </w:tcBorders>
          </w:tcPr>
          <w:p>
            <w:pPr>
              <w:pStyle w:val="Normal6a"/>
            </w:pPr>
            <w:r>
              <w:t>2.</w:t>
            </w:r>
            <w:r>
              <w:tab/>
            </w:r>
            <w:r>
              <w:t xml:space="preserve">se félicite que le taux de jeunes sans emploi qui ne suivent ni études ni formation (NEET) dans l’Union ait suivi une tendance à la baisse depuis l’introduction de la garantie pour la jeunesse et qu’il ait reculé à </w:t>
            </w:r>
            <w:r>
              <w:rPr>
                <w:b/>
                <w:i/>
              </w:rPr>
              <w:t>à 10,9 % en 2025</w:t>
            </w:r>
            <w:r>
              <w:t>; constate toutefois une disparité entre les États membres, certains ayant déjà atteint l’objectif fixé pour 2030 alors que d’autres affichent encore un nombre alarmant de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reconnaît que la qualité du travail reste un défi majeur pour l’emploi des jeunes et que les politiques publiques devraient contribuer à lutter contre les formes précaires de travail, y compris les stages non rémunérés ou sous-payés, le travail à temps partiel involontaire, le travail intérimaire et le travail non déclaré, tout en promouvant des conditions de travail équitables et une éducation durable, ainsi que l’intégration au marché du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souligne que les indicateurs de suivi direct de la garantie pour la jeunesse donnent à penser que des difficultés importantes et persistantes se posent lors de la mise en œuvre et de l’exécution des dispositifs de garantie pour la jeunesse; </w:t>
            </w:r>
            <w:r>
              <w:rPr>
                <w:b/>
                <w:i/>
              </w:rPr>
              <w:t>relève, en particulier, qu’en 2024, plus de la moitié des participants (54 %) sont restés en phase préparatoire pendant plus de quatre mois, et que les sorties positives et en temps utile de la phase préparatoire ont représenté moins de la moitié des cas (45,1 %);</w:t>
            </w:r>
          </w:p>
        </w:tc>
        <w:tc>
          <w:tcPr>
            <w:tcW w:w="4876" w:type="dxa"/>
            <w:tcBorders>
              <w:top w:val="nil"/>
              <w:left w:val="nil"/>
              <w:bottom w:val="nil"/>
              <w:right w:val="nil"/>
            </w:tcBorders>
          </w:tcPr>
          <w:p>
            <w:pPr>
              <w:pStyle w:val="Normal6a"/>
            </w:pPr>
            <w:r>
              <w:t>3.</w:t>
            </w:r>
            <w:r>
              <w:tab/>
            </w:r>
            <w:r>
              <w:t>souligne que les indicateurs de suivi direct de la garantie pour la jeunesse donnent à penser que des difficultés importantes et persistantes se posent lors de la mise en œuvre et de l’exécution des dispositifs de garantie pour la jeunesse;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souligne que les indicateurs de suivi direct de la garantie pour la jeunesse donnent à penser que des difficultés importantes et persistantes se posent lors de la mise en œuvre et de l’exécution des dispositifs de garantie pour la jeunesse; relève, en particulier, qu’en 2024, plus de la moitié des participants (54 %) sont restés en phase préparatoire pendant plus de quatre mois, et que les sorties positives et en temps utile de la phase préparatoire ont représenté moins de la moitié des cas (45,1 %);</w:t>
            </w:r>
          </w:p>
        </w:tc>
        <w:tc>
          <w:tcPr>
            <w:tcW w:w="4876" w:type="dxa"/>
            <w:tcBorders>
              <w:top w:val="nil"/>
              <w:left w:val="nil"/>
              <w:bottom w:val="nil"/>
              <w:right w:val="nil"/>
            </w:tcBorders>
          </w:tcPr>
          <w:p>
            <w:pPr>
              <w:pStyle w:val="Normal6a"/>
            </w:pPr>
            <w:r>
              <w:t>3.</w:t>
            </w:r>
            <w:r>
              <w:tab/>
            </w:r>
            <w:r>
              <w:t xml:space="preserve">souligne que les indicateurs de suivi direct de la garantie pour la jeunesse donnent à penser que des difficultés importantes et persistantes se posent lors de la mise en œuvre et de l’exécution des dispositifs de garantie pour la jeunesse; relève, en particulier, qu’en 2024, plus de la moitié des participants (54 %) sont restés en phase préparatoire pendant plus de quatre mois, et que les sorties positives et en temps utile de la phase préparatoire ont représenté moins de la moitié des cas (45,1 %); </w:t>
            </w:r>
            <w:r>
              <w:rPr>
                <w:b/>
                <w:i/>
              </w:rPr>
              <w:t>demande par conséquent une simplification des procédures et une participation accrue des employeurs et des acteurs locaux, afin d’accélérer la transition des jeunes de la préparation à l’emploi grâce à des possibilités plus pratiques et davantage fondées sur le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souligne que les indicateurs de suivi direct de la garantie pour la jeunesse donnent à penser que des difficultés importantes et persistantes se posent lors de la mise en œuvre et de l’exécution des dispositifs de garantie pour la jeunesse; relève, en particulier, qu’en 2024, plus de la moitié des participants (54 %) sont restés en phase préparatoire pendant plus de quatre mois, et que les sorties positives et en temps utile de la phase préparatoire ont représenté moins de la moitié des cas (45,1 %);</w:t>
            </w:r>
          </w:p>
        </w:tc>
        <w:tc>
          <w:tcPr>
            <w:tcW w:w="4876" w:type="dxa"/>
            <w:tcBorders>
              <w:top w:val="nil"/>
              <w:left w:val="nil"/>
              <w:bottom w:val="nil"/>
              <w:right w:val="nil"/>
            </w:tcBorders>
          </w:tcPr>
          <w:p>
            <w:pPr>
              <w:pStyle w:val="Normal6a"/>
            </w:pPr>
            <w:r>
              <w:t>3.</w:t>
            </w:r>
            <w:r>
              <w:tab/>
            </w:r>
            <w:r>
              <w:t xml:space="preserve">souligne que les indicateurs de suivi direct de la garantie pour la jeunesse donnent à penser que des difficultés importantes et persistantes se posent lors de la mise en œuvre et de l’exécution des dispositifs de garantie pour la jeunesse; relève, en particulier, qu’en 2024, plus de la moitié des participants (54 %) sont restés en phase préparatoire pendant plus de quatre mois, et que les sorties positives et en temps utile de la phase préparatoire ont représenté moins de la moitié des cas (45,1 %); </w:t>
            </w:r>
            <w:r>
              <w:rPr>
                <w:b/>
                <w:i/>
              </w:rPr>
              <w:t>se déclare particulièrement préoccupé par le fait que les jeunes sont piégés dans des cycles de mesures prédéfinies sans accès à un travail stable et digne;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souligne que les indicateurs de suivi direct de la garantie pour la jeunesse donnent à penser que des difficultés importantes et persistantes se posent lors de la mise en œuvre et de l’exécution des dispositifs de garantie pour la jeunesse; relève, en particulier, qu’en 2024, plus de la moitié des participants (54 %) sont restés en phase préparatoire pendant plus de quatre mois, et que les sorties positives et en temps utile de la phase préparatoire ont représenté moins de la moitié des cas (45,1 %);</w:t>
            </w:r>
          </w:p>
        </w:tc>
        <w:tc>
          <w:tcPr>
            <w:tcW w:w="4876" w:type="dxa"/>
            <w:tcBorders>
              <w:top w:val="nil"/>
              <w:left w:val="nil"/>
              <w:bottom w:val="nil"/>
              <w:right w:val="nil"/>
            </w:tcBorders>
          </w:tcPr>
          <w:p>
            <w:pPr>
              <w:pStyle w:val="Normal6a"/>
            </w:pPr>
            <w:r>
              <w:t>3.</w:t>
            </w:r>
            <w:r>
              <w:tab/>
            </w:r>
            <w:r>
              <w:t xml:space="preserve">souligne que les indicateurs de suivi direct de la garantie pour la jeunesse donnent à penser que des difficultés importantes et persistantes se posent lors de la mise en œuvre et de l’exécution des dispositifs de garantie pour la jeunesse; relève, en particulier, qu’en 2024, plus de la moitié des participants (54 %) sont restés en phase préparatoire pendant plus de quatre mois, et que les sorties positives et en temps utile de la phase préparatoire ont représenté moins de la moitié des cas (45,1 %); </w:t>
            </w:r>
            <w:r>
              <w:rPr>
                <w:b/>
                <w:i/>
              </w:rPr>
              <w:t>déplore que le taux de couverture des dispositifs de garantie renforcée pour la jeunesse s’élevait à moins de 50 % de la population NEET dans de nombreux États membres en 2024</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Évaluation de la mise en œuvre européenne du 18 décembre 2025 intitulée «The implementation of the reinforced Youth Guarantee – Trends in EU Member States, impact, EU funding and governance» (La mise en œuvre de la garantie renforcée pour la jeunesse – Tendances dans les États membres de l’Union, impact, financement de l’Union et gouvernance), publiée par le service de recherche du Parlement européen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souligne que les indicateurs de suivi direct de la garantie pour la jeunesse donnent à penser que des difficultés importantes et persistantes se posent lors de la mise en œuvre et de l’exécution des dispositifs de garantie pour la jeunesse; relève, en particulier, qu’en 2024, plus de la moitié des participants (54 %) sont restés en phase préparatoire pendant plus de quatre mois, et que les sorties positives et en temps utile de la phase préparatoire ont représenté moins de la moitié des cas (45,1 %);</w:t>
            </w:r>
          </w:p>
        </w:tc>
        <w:tc>
          <w:tcPr>
            <w:tcW w:w="4876" w:type="dxa"/>
            <w:tcBorders>
              <w:top w:val="nil"/>
              <w:left w:val="nil"/>
              <w:bottom w:val="nil"/>
              <w:right w:val="nil"/>
            </w:tcBorders>
          </w:tcPr>
          <w:p>
            <w:pPr>
              <w:pStyle w:val="Normal6a"/>
            </w:pPr>
            <w:r>
              <w:t>3.</w:t>
            </w:r>
            <w:r>
              <w:tab/>
            </w:r>
            <w:r>
              <w:t>souligne que les indicateurs de suivi direct de la garantie pour la jeunesse donnent à penser que des difficultés importantes et persistantes se posent lors de la mise en œuvre et de l’exécution des dispositifs de garantie pour la jeunesse; relève, en particulier, qu’en 2024, plus de la moitié des participants (54 %) sont restés en phase préparatoire pendant plus de quatre mois, et que les sorties positives et en temps utile de la phase préparatoire ont représenté moins de la moitié des cas (45,1 %)</w:t>
            </w:r>
            <w:r>
              <w:rPr>
                <w:b/>
                <w:i/>
                <w:vertAlign w:val="superscript"/>
              </w:rPr>
              <w:t>19 bis</w:t>
            </w:r>
            <w:r>
              <w:rPr>
                <w:b/>
                <w:i/>
              </w:rPr>
              <w:t>, ce qui indique que les dispositifs de garantie pour la jeunesse n’atteignent pas leurs objectifs fondamentaux en termes de respect des délais et d’efficacité</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19 bis</w:t>
            </w:r>
            <w:r>
              <w:t xml:space="preserve"> </w:t>
            </w:r>
            <w:r>
              <w:rPr>
                <w:b/>
                <w:i/>
              </w:rPr>
              <w:t>Commission européenne, direction générale de l’emploi, des affaires sociales &amp; de l’inclusion, Data table on Youth Guarantee Direct indicators, février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constate avec inquiétude que la garantie renforcée pour la jeunesse n’atteint toujours pas son objectif principal consistant à fournir des offres en temps utile, plus de la moitié des participants inscrits n’ayant pas reçu et accepté d’offre dans le délai de quatre mois, et que certains États membres ont connu des retards particulièrement importants et, dans certains cas, même une détérioration des performances depuis le renforcement de la garantie pour la jeunesse en 2020</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Évaluation de la mise en œuvre européenne du 18 décembre 2025 intitulée «The implementation of the reinforced Youth Guarantee – Trends in EU Member States, impact, EU funding and governance» (La mise en œuvre de la garantie renforcée pour la jeunesse – Tendances dans les États membres de l’Union, impact, financement de l’Union et gouvernance), publiée par le service de recherche du Parlement européen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souligne qu’à l’heure actuelle, tous les jeunes ne reçoivent pas une offre de qualité en matière d’emploi, d’éducation, de formation ou de stage dans les quatre mois suivant leur sortie de l’école, leur achèvement d’une formation professionnelle ou la perte de leur emploi;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fait valoir que les indicateurs de suivi souffrent d’un manque de données et de faiblesses méthodologiques dans plusieurs États membres;</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fait valoir que les indicateurs de suivi souffrent d’un manque de données et de faiblesses méthodologiques dans plusieurs États membres;</w:t>
            </w:r>
          </w:p>
        </w:tc>
        <w:tc>
          <w:tcPr>
            <w:tcW w:w="4876" w:type="dxa"/>
            <w:tcBorders>
              <w:top w:val="nil"/>
              <w:left w:val="nil"/>
              <w:bottom w:val="nil"/>
              <w:right w:val="nil"/>
            </w:tcBorders>
          </w:tcPr>
          <w:p>
            <w:pPr>
              <w:pStyle w:val="Normal6a"/>
            </w:pPr>
            <w:r>
              <w:t>4.</w:t>
            </w:r>
            <w:r>
              <w:tab/>
            </w:r>
            <w:r>
              <w:t>fait valoir que les indicateurs de suivi souffrent d’un manque de données et de faiblesses méthodologiques dans plusieurs États membres</w:t>
            </w:r>
            <w:r>
              <w:rPr>
                <w:b/>
                <w:i/>
              </w:rPr>
              <w:t>, notamment en ce qui concerne le report de l’âge à 29 ans</w:t>
            </w:r>
            <w:r>
              <w:t xml:space="preserve">; </w:t>
            </w:r>
            <w:r>
              <w:rPr>
                <w:b/>
                <w:i/>
              </w:rPr>
              <w:t>souligne l’absence de données comparables et ventilées, notamment par sexe, âge, handicap, origine migratoire et statut socio-économique;</w:t>
            </w:r>
            <w:r>
              <w:t xml:space="preserve"> </w:t>
            </w:r>
            <w:r>
              <w:rPr>
                <w:b/>
                <w:i/>
              </w:rPr>
              <w:t>constate que les jeunes femmes sont touchées de manière disproportionnée, avec des taux de NEET dépassant ceux des jeunes hommes dans de nombreux États membres, et que les dispositifs existants de garantie pour la jeunesse ne parviennent souvent pas à atteindre de manière équitable l’ensemble des bénéficiaires cibles;</w:t>
            </w:r>
            <w:r>
              <w:t xml:space="preserve"> </w:t>
            </w:r>
            <w:r>
              <w:rPr>
                <w:b/>
                <w:i/>
              </w:rPr>
              <w:t>appelle au renforcement des cadres de suivi, à l’amélioration de la collecte de données et de la transparence, ainsi qu’à l’élaboration d’indicateurs solides et harmonisés pour évaluer efficacement la qualité, l’inclusivité et les résultats à long terme des dispositifs de garantie pour la jeunesse;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fait valoir que les indicateurs de suivi souffrent d’un manque de données et de faiblesses méthodologiques dans plusieurs États membres;</w:t>
            </w:r>
          </w:p>
        </w:tc>
        <w:tc>
          <w:tcPr>
            <w:tcW w:w="4876" w:type="dxa"/>
            <w:tcBorders>
              <w:top w:val="nil"/>
              <w:left w:val="nil"/>
              <w:bottom w:val="nil"/>
              <w:right w:val="nil"/>
            </w:tcBorders>
          </w:tcPr>
          <w:p>
            <w:pPr>
              <w:pStyle w:val="Normal6a"/>
            </w:pPr>
            <w:r>
              <w:t>4.</w:t>
            </w:r>
            <w:r>
              <w:tab/>
            </w:r>
            <w:r>
              <w:t>fait valoir que les indicateurs de suivi souffrent d’un manque de données et de faiblesses méthodologiques dans plusieurs États membres</w:t>
            </w:r>
            <w:r>
              <w:rPr>
                <w:b/>
                <w:i/>
              </w:rPr>
              <w:t>, ce qui empêche une évaluation complète de la viabilité des systèmes de garantie renforcée pour la jeunesse et de leurs effets à long terme, ainsi que des comparaisons entre les États membres</w:t>
            </w:r>
            <w:r>
              <w:t xml:space="preserve">; </w:t>
            </w:r>
            <w:r>
              <w:rPr>
                <w:b/>
                <w:i/>
              </w:rPr>
              <w:t>souligne, dans ce contexte, que les données disponibles indiquent qu’une majorité de jeunes se trouvaient dans une situation positive six mois après avoir quitté les dispositifs de garantie renforcée pour la jeunesse en 2024 (58,3 %), mais que cette proportion diminue après 12 mois (53,1 %) et 18 mois (30,3 %)</w:t>
            </w:r>
            <w:r>
              <w:rPr>
                <w:b/>
                <w:i/>
                <w:vertAlign w:val="superscript"/>
              </w:rPr>
              <w:t>20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20 bis</w:t>
            </w:r>
            <w:r>
              <w:t xml:space="preserve"> </w:t>
            </w:r>
            <w:r>
              <w:rPr>
                <w:b/>
                <w:i/>
              </w:rPr>
              <w:t>Commission européenne, direction générale de l’emploi, des affaires sociales &amp; de l’inclusion, Data table on Youth Guarantee Follow-up indicators, décembre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fait valoir que les indicateurs de suivi </w:t>
            </w:r>
            <w:r>
              <w:rPr>
                <w:b/>
                <w:i/>
              </w:rPr>
              <w:t>souffrent d’un</w:t>
            </w:r>
            <w:r>
              <w:t xml:space="preserve"> manque de données et de faiblesses méthodologiques dans plusieurs États membres;</w:t>
            </w:r>
          </w:p>
        </w:tc>
        <w:tc>
          <w:tcPr>
            <w:tcW w:w="4876" w:type="dxa"/>
            <w:tcBorders>
              <w:top w:val="nil"/>
              <w:left w:val="nil"/>
              <w:bottom w:val="nil"/>
              <w:right w:val="nil"/>
            </w:tcBorders>
          </w:tcPr>
          <w:p>
            <w:pPr>
              <w:pStyle w:val="Normal6a"/>
            </w:pPr>
            <w:r>
              <w:t>4.</w:t>
            </w:r>
            <w:r>
              <w:tab/>
            </w:r>
            <w:r>
              <w:t xml:space="preserve">fait valoir que les indicateurs de suivi </w:t>
            </w:r>
            <w:r>
              <w:rPr>
                <w:b/>
                <w:i/>
              </w:rPr>
              <w:t>sont compromis par un</w:t>
            </w:r>
            <w:r>
              <w:t xml:space="preserve"> manque de données et de faiblesses méthodologiques dans plusieurs États membres; </w:t>
            </w:r>
            <w:r>
              <w:rPr>
                <w:b/>
                <w:i/>
              </w:rPr>
              <w:t>regrette que la collecte de données plus larges sur la garantie renforcée pour la jeunesse ait été insuffisante et souligne, en particulier, l’insuffisance de la collecte de données pour la tranche d’âge des 25-29 ans;</w:t>
            </w:r>
            <w:r>
              <w:t xml:space="preserve"> </w:t>
            </w:r>
            <w:r>
              <w:rPr>
                <w:b/>
                <w:i/>
              </w:rPr>
              <w:t>souligne l’absence d’obligation pour les États membres de déclarer le financement national des mesures de mise en œuvre de la garantie renforcée pour la jeunesse, ce qui limite la comparabilité et l’évaluation à l’échelle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fait valoir que les indicateurs de suivi souffrent d’un manque de données et de faiblesses méthodologiques dans plusieurs États membres;</w:t>
            </w:r>
          </w:p>
        </w:tc>
        <w:tc>
          <w:tcPr>
            <w:tcW w:w="4876" w:type="dxa"/>
            <w:tcBorders>
              <w:top w:val="nil"/>
              <w:left w:val="nil"/>
              <w:bottom w:val="nil"/>
              <w:right w:val="nil"/>
            </w:tcBorders>
          </w:tcPr>
          <w:p>
            <w:pPr>
              <w:pStyle w:val="Normal6a"/>
            </w:pPr>
            <w:r>
              <w:t>4.</w:t>
            </w:r>
            <w:r>
              <w:tab/>
            </w:r>
            <w:r>
              <w:t>fait valoir que les indicateurs de suivi souffrent d’un manque de données et de faiblesses méthodologiques dans plusieurs États membres</w:t>
            </w:r>
            <w:r>
              <w:rPr>
                <w:b/>
                <w:i/>
              </w:rPr>
              <w:t>, notamment en ce qui concerne le report de l’âge à 29 ans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estime que le cadre actuel d’indicateurs pour la garantie renforcée pour la jeunesse se concentre principalement sur des indicateurs de performance quantitatifs tels que les taux de NEET, le chômage des jeunes et les sorties en temps utile de la phase préparatoire;</w:t>
            </w:r>
            <w:r>
              <w:t xml:space="preserve"> </w:t>
            </w:r>
            <w:r>
              <w:rPr>
                <w:b/>
                <w:i/>
              </w:rPr>
              <w:t>souligne que cette approche ne rend pas compte de la qualité des offres ni du degré de précarité de l’emploi des jeunes;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souligne qu’il convient d’améliorer la transparence, la responsabilité et les mécanismes d’évaluation afin de garantir que les fonds européens et nationaux alloués aux dispositifs de garantie pour la jeunesse sont utilisés efficacement et produisent des résultats quantifiables;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souligne que </w:t>
            </w:r>
            <w:r>
              <w:rPr>
                <w:b/>
                <w:i/>
              </w:rPr>
              <w:t>certains</w:t>
            </w:r>
            <w:r>
              <w:t xml:space="preserve"> jeunes se trouvent dans une situation </w:t>
            </w:r>
            <w:r>
              <w:rPr>
                <w:b/>
                <w:i/>
              </w:rPr>
              <w:t>sociale</w:t>
            </w:r>
            <w:r>
              <w:t xml:space="preserve"> particulièrement vulnérable et font face à un risque plus élevé de chômage, ainsi qu’à des obstacles structurels dans l’accès à la formation et au développement de leurs compétences;</w:t>
            </w:r>
          </w:p>
        </w:tc>
        <w:tc>
          <w:tcPr>
            <w:tcW w:w="4876" w:type="dxa"/>
            <w:tcBorders>
              <w:top w:val="nil"/>
              <w:left w:val="nil"/>
              <w:bottom w:val="nil"/>
              <w:right w:val="nil"/>
            </w:tcBorders>
          </w:tcPr>
          <w:p>
            <w:pPr>
              <w:pStyle w:val="Normal6a"/>
            </w:pPr>
            <w:r>
              <w:t>5.</w:t>
            </w:r>
            <w:r>
              <w:tab/>
            </w:r>
            <w:r>
              <w:t xml:space="preserve">souligne que </w:t>
            </w:r>
            <w:r>
              <w:rPr>
                <w:b/>
                <w:i/>
              </w:rPr>
              <w:t>les</w:t>
            </w:r>
            <w:r>
              <w:t xml:space="preserve"> jeunes</w:t>
            </w:r>
            <w:r>
              <w:rPr>
                <w:b/>
                <w:i/>
              </w:rPr>
              <w:t>, en particulier ceux qui ont moins d’opportunités,</w:t>
            </w:r>
            <w:r>
              <w:t xml:space="preserve"> se trouvent dans une situation </w:t>
            </w:r>
            <w:r>
              <w:rPr>
                <w:b/>
                <w:i/>
              </w:rPr>
              <w:t>socio-économique</w:t>
            </w:r>
            <w:r>
              <w:t xml:space="preserve"> particulièrement vulnérable et font face à un risque plus élevé de chômage, ainsi qu’à des obstacles structurels dans l’accès à la formation et au développement de leurs compétences</w:t>
            </w:r>
            <w:r>
              <w:rPr>
                <w:b/>
                <w:i/>
              </w:rPr>
              <w:t>, avec un accès plus difficile pour les groupes plus vulnérables tels que les femmes, les jeunes racialisés, les jeunes handicapés, les jeunes issus de territoires éloignés ou ruraux ou les jeunes issus de l’immigration</w:t>
            </w:r>
            <w:r>
              <w:t xml:space="preserve">; </w:t>
            </w:r>
            <w:r>
              <w:rPr>
                <w:b/>
                <w:i/>
              </w:rPr>
              <w:t>souligne que le succès de la garantie renforcée pour la jeunesse va de pair avec des actions dans d’autres domaines, notamment la famille, le logement, la garde d’enfants, la lutte contre la discrimination intersectionnelle liée au sexe, à l’origine ethnique ou à la race, au handicap et à l’orientation sexuelle;</w:t>
            </w:r>
            <w:r>
              <w:t xml:space="preserve"> </w:t>
            </w:r>
            <w:r>
              <w:rPr>
                <w:b/>
                <w:i/>
              </w:rPr>
              <w:t>souligne que ces inégalités structurelles appellent à des mesures ciblées et inclusives pour y remédier et garantir l’égalité des chances pour tous;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souligne que certains jeunes se trouvent dans une situation sociale particulièrement vulnérable et font face à un risque plus élevé de chômage, ainsi qu’à des obstacles structurels dans l’accès à la formation et au développement de leurs compétences;</w:t>
            </w:r>
          </w:p>
        </w:tc>
        <w:tc>
          <w:tcPr>
            <w:tcW w:w="4876" w:type="dxa"/>
            <w:tcBorders>
              <w:top w:val="nil"/>
              <w:left w:val="nil"/>
              <w:bottom w:val="nil"/>
              <w:right w:val="nil"/>
            </w:tcBorders>
          </w:tcPr>
          <w:p>
            <w:pPr>
              <w:pStyle w:val="Normal6a"/>
            </w:pPr>
            <w:r>
              <w:t>5.</w:t>
            </w:r>
            <w:r>
              <w:tab/>
            </w:r>
            <w:r>
              <w:t xml:space="preserve">souligne que certains jeunes se trouvent dans une situation sociale particulièrement vulnérable et font face à un risque plus élevé de chômage, ainsi qu’à des obstacles structurels dans l’accès à la formation et au développement de leurs compétences; </w:t>
            </w:r>
            <w:r>
              <w:rPr>
                <w:b/>
                <w:i/>
              </w:rPr>
              <w:t>souligne que ces groupes comprennent, entre autres, les jeunes handicapés, les jeunes vivant dans des zones rurales, insulaires, reculées ou urbaines défavorisées, les jeunes quittant des institutions ou des programmes de soins alternatifs, ainsi que les jeunes confrontés à des problèmes de santé mentale;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souligne que certains </w:t>
            </w:r>
            <w:r>
              <w:rPr>
                <w:b/>
                <w:i/>
              </w:rPr>
              <w:t>jeunes se trouvent dans une situation sociale particulièrement vulnérable et font</w:t>
            </w:r>
            <w:r>
              <w:t xml:space="preserve"> face à un risque plus élevé </w:t>
            </w:r>
            <w:r>
              <w:rPr>
                <w:b/>
                <w:i/>
              </w:rPr>
              <w:t>de chômage, ainsi qu’à</w:t>
            </w:r>
            <w:r>
              <w:t xml:space="preserve"> des obstacles structurels </w:t>
            </w:r>
            <w:r>
              <w:rPr>
                <w:b/>
                <w:i/>
              </w:rPr>
              <w:t>dans l’accès à la formation et au développement de leurs compétences</w:t>
            </w:r>
            <w:r>
              <w:t>;</w:t>
            </w:r>
          </w:p>
        </w:tc>
        <w:tc>
          <w:tcPr>
            <w:tcW w:w="4876" w:type="dxa"/>
            <w:tcBorders>
              <w:top w:val="nil"/>
              <w:left w:val="nil"/>
              <w:bottom w:val="nil"/>
              <w:right w:val="nil"/>
            </w:tcBorders>
          </w:tcPr>
          <w:p>
            <w:pPr>
              <w:pStyle w:val="Normal6a"/>
            </w:pPr>
            <w:r>
              <w:t>5.</w:t>
            </w:r>
            <w:r>
              <w:tab/>
            </w:r>
            <w:r>
              <w:t xml:space="preserve">souligne que </w:t>
            </w:r>
            <w:r>
              <w:rPr>
                <w:b/>
                <w:i/>
              </w:rPr>
              <w:t>les NEET constituent un groupe très diversifié de jeunes,</w:t>
            </w:r>
            <w:r>
              <w:t xml:space="preserve"> certains </w:t>
            </w:r>
            <w:r>
              <w:rPr>
                <w:b/>
                <w:i/>
              </w:rPr>
              <w:t>étant plus vulnérables ou plus difficiles à atteindre, et donc</w:t>
            </w:r>
            <w:r>
              <w:t xml:space="preserve"> face à un risque plus élevé </w:t>
            </w:r>
            <w:r>
              <w:rPr>
                <w:b/>
                <w:i/>
              </w:rPr>
              <w:t>d’exclusion sociale et du marché du travail;</w:t>
            </w:r>
            <w:r>
              <w:t xml:space="preserve"> </w:t>
            </w:r>
            <w:r>
              <w:rPr>
                <w:b/>
                <w:i/>
              </w:rPr>
              <w:t>note que la stigmatisation, la méfiance institutionnelle et le manque de soutien social peuvent constituer</w:t>
            </w:r>
            <w:r>
              <w:t xml:space="preserve"> des obstacles structurels </w:t>
            </w:r>
            <w:r>
              <w:rPr>
                <w:b/>
                <w:i/>
              </w:rPr>
              <w:t>à la participation à la garantie renforcée pour la jeunesse;</w:t>
            </w:r>
            <w:r>
              <w:t xml:space="preserve"> </w:t>
            </w:r>
            <w:r>
              <w:rPr>
                <w:b/>
                <w:i/>
              </w:rPr>
              <w:t>s’inquiète du fait que les dispositifs de garantie renforcée pour la jeunesse donnent souvent la priorité aux jeunes qui sont déjà plus proches du marché du travail, laissant ainsi d’autres personnes dans le besoin de mesures plus ciblées, proactives et personnalisées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souligne que certains jeunes se trouvent dans une situation sociale particulièrement vulnérable et font face à un risque plus élevé de chômage, ainsi qu’à des obstacles structurels dans l’accès à la formation et au développement de leurs compétences;</w:t>
            </w:r>
          </w:p>
        </w:tc>
        <w:tc>
          <w:tcPr>
            <w:tcW w:w="4876" w:type="dxa"/>
            <w:tcBorders>
              <w:top w:val="nil"/>
              <w:left w:val="nil"/>
              <w:bottom w:val="nil"/>
              <w:right w:val="nil"/>
            </w:tcBorders>
          </w:tcPr>
          <w:p>
            <w:pPr>
              <w:pStyle w:val="Normal6a"/>
            </w:pPr>
            <w:r>
              <w:t>5.</w:t>
            </w:r>
            <w:r>
              <w:tab/>
            </w:r>
            <w:r>
              <w:t xml:space="preserve">souligne que certains jeunes se trouvent dans une situation sociale particulièrement vulnérable et font face à un risque plus élevé de chômage, ainsi qu’à des obstacles structurels dans l’accès à la formation et au développement de leurs compétences; </w:t>
            </w:r>
            <w:r>
              <w:rPr>
                <w:b/>
                <w:i/>
              </w:rPr>
              <w:t>rappelle, dans ce contexte, qu’il importe de soutenir les NEET inactifs sur un pied d’égalité avec les NEET au chômage;</w:t>
            </w:r>
            <w:r>
              <w:t xml:space="preserve"> </w:t>
            </w:r>
            <w:r>
              <w:rPr>
                <w:b/>
                <w:i/>
              </w:rPr>
              <w:t>s’inquiète du fait qu’un certain nombre de jeunes rentrent dans la catégorie des NEET quelque temps après avoir quitté les dispositifs de garantie pour la jeunesse;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souligne que certains jeunes se trouvent dans une situation sociale particulièrement vulnérable et font face à un risque plus élevé de chômage, ainsi qu’à des obstacles structurels dans l’accès à la formation et au développement de leurs compétences;</w:t>
            </w:r>
          </w:p>
        </w:tc>
        <w:tc>
          <w:tcPr>
            <w:tcW w:w="4876" w:type="dxa"/>
            <w:tcBorders>
              <w:top w:val="nil"/>
              <w:left w:val="nil"/>
              <w:bottom w:val="nil"/>
              <w:right w:val="nil"/>
            </w:tcBorders>
          </w:tcPr>
          <w:p>
            <w:pPr>
              <w:pStyle w:val="Normal6a"/>
            </w:pPr>
            <w:r>
              <w:t>5.</w:t>
            </w:r>
            <w:r>
              <w:tab/>
            </w:r>
            <w:r>
              <w:t xml:space="preserve">souligne que certains jeunes </w:t>
            </w:r>
            <w:r>
              <w:rPr>
                <w:b/>
                <w:i/>
              </w:rPr>
              <w:t>sont désavantagés dans le domaine de l’éducation et de la formation professionnelle et</w:t>
            </w:r>
            <w:r>
              <w:t xml:space="preserve"> se trouvent dans une situation sociale particulièrement vulnérable </w:t>
            </w:r>
            <w:r>
              <w:rPr>
                <w:b/>
                <w:i/>
              </w:rPr>
              <w:t>en raison de la pauvreté, des conditions de santé, etc.,</w:t>
            </w:r>
            <w:r>
              <w:t xml:space="preserve"> et font face à un risque plus élevé de chômage, ainsi qu’à des obstacles structurels dans l’accès à la formation et au développement de leurs compétences</w:t>
            </w:r>
            <w:r>
              <w:rPr>
                <w:b/>
                <w:i/>
              </w:rPr>
              <w:t>, comme le fait de vivre dans des zones rurales ou reculées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souligne que certains jeunes se trouvent dans une situation sociale particulièrement vulnérable et font face à un risque plus élevé de chômage, ainsi qu’à des obstacles structurels dans l’accès à la formation et au développement de leurs compétences;</w:t>
            </w:r>
          </w:p>
        </w:tc>
        <w:tc>
          <w:tcPr>
            <w:tcW w:w="4876" w:type="dxa"/>
            <w:tcBorders>
              <w:top w:val="nil"/>
              <w:left w:val="nil"/>
              <w:bottom w:val="nil"/>
              <w:right w:val="nil"/>
            </w:tcBorders>
          </w:tcPr>
          <w:p>
            <w:pPr>
              <w:pStyle w:val="Normal6a"/>
            </w:pPr>
            <w:r>
              <w:t>5.</w:t>
            </w:r>
            <w:r>
              <w:tab/>
            </w:r>
            <w:r>
              <w:t>souligne que certains jeunes se trouvent dans une situation sociale particulièrement vulnérable</w:t>
            </w:r>
            <w:r>
              <w:rPr>
                <w:b/>
                <w:i/>
              </w:rPr>
              <w:t>, notamment les jeunes handicapés, les jeunes LGBTIQ +, les jeunes migrants et les personnes touchées par la précarité en matière de logement,  </w:t>
            </w:r>
            <w:r>
              <w:t>et font face à un risque plus élevé de chômage, ainsi qu’à des obstacles structurels dans l’accès à la formation et au développement de leurs compétences;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souligne que certains jeunes se trouvent dans une situation sociale particulièrement vulnérable et font face à un risque plus élevé de chômage, ainsi qu’à des obstacles structurels dans l’accès à la formation et au développement de leurs compétences;</w:t>
            </w:r>
          </w:p>
        </w:tc>
        <w:tc>
          <w:tcPr>
            <w:tcW w:w="4876" w:type="dxa"/>
            <w:tcBorders>
              <w:top w:val="nil"/>
              <w:left w:val="nil"/>
              <w:bottom w:val="nil"/>
              <w:right w:val="nil"/>
            </w:tcBorders>
          </w:tcPr>
          <w:p>
            <w:pPr>
              <w:pStyle w:val="Normal6a"/>
            </w:pPr>
            <w:r>
              <w:t>5.</w:t>
            </w:r>
            <w:r>
              <w:tab/>
            </w:r>
            <w:r>
              <w:t xml:space="preserve">souligne </w:t>
            </w:r>
            <w:r>
              <w:rPr>
                <w:b/>
                <w:i/>
              </w:rPr>
              <w:t>que les NEET constituent un groupe hétérogène,</w:t>
            </w:r>
            <w:r>
              <w:t xml:space="preserve"> que certains jeunes se trouvent dans une situation sociale particulièrement vulnérable et font face à un risque plus élevé de chômage, ainsi qu’à des obstacles structurels dans l’accès </w:t>
            </w:r>
            <w:r>
              <w:rPr>
                <w:b/>
                <w:i/>
              </w:rPr>
              <w:t>au marché du travail,</w:t>
            </w:r>
            <w:r>
              <w:t xml:space="preserve"> à la formation et au développement de leurs compétences</w:t>
            </w:r>
            <w:r>
              <w:rPr>
                <w:b/>
                <w:i/>
              </w:rPr>
              <w:t>,</w:t>
            </w:r>
            <w:r>
              <w:t xml:space="preserve"> </w:t>
            </w:r>
            <w:r>
              <w:rPr>
                <w:b/>
                <w:i/>
              </w:rPr>
              <w:t>et qu’une bonne élaboration des politiques nécessite une compréhension approfondie des groupes cibles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souligne que certains jeunes se trouvent dans une situation sociale particulièrement vulnérable et font face à un risque plus élevé de chômage, ainsi qu’à des obstacles structurels dans l’accès à la formation et au développement de leurs compétences;</w:t>
            </w:r>
          </w:p>
        </w:tc>
        <w:tc>
          <w:tcPr>
            <w:tcW w:w="4876" w:type="dxa"/>
            <w:tcBorders>
              <w:top w:val="nil"/>
              <w:left w:val="nil"/>
              <w:bottom w:val="nil"/>
              <w:right w:val="nil"/>
            </w:tcBorders>
          </w:tcPr>
          <w:p>
            <w:pPr>
              <w:pStyle w:val="Normal6a"/>
            </w:pPr>
            <w:r>
              <w:t>5.</w:t>
            </w:r>
            <w:r>
              <w:tab/>
            </w:r>
            <w:r>
              <w:t>souligne que certains jeunes</w:t>
            </w:r>
            <w:r>
              <w:rPr>
                <w:b/>
                <w:i/>
              </w:rPr>
              <w:t>, tels que les jeunes handicapés et ceux issus de zones défavorisées,</w:t>
            </w:r>
            <w:r>
              <w:t xml:space="preserve"> se trouvent dans une situation sociale particulièrement vulnérable et font face à un risque plus élevé de chômage, ainsi qu’à des obstacles structurels dans l’accès à la formation et au développement de leurs compétences;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souligne la situation complexe des NEET dans les zones rurales, qui sont confrontés à un accès plus limité aux services, en particulier aux services publics de l’emploi, mais aussi aux options de transport et aux possibilités d’emploi et de formation;</w:t>
            </w:r>
            <w:r>
              <w:t xml:space="preserve"> </w:t>
            </w:r>
            <w:r>
              <w:rPr>
                <w:b/>
                <w:i/>
              </w:rPr>
              <w:t>déplore que les NEET dans les zones rurales ne soient pas considérés comme un groupe prioritaire dans la plupart des États membres, ce qui limite les mesures ciblant ce groupe ainsi que sa connaissance des programmes de garantie pour la jeunesse et des possibilités de soutien;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souligne que les jeunes parents ayant des enfants, et en particulier les jeunes mères, courent un risque accru de devenir ou de rester NEET en raison des responsabilités familiales, de l’accès limité à des services de garde d’enfants abordables et de qualité et de l’insuffisance des possibilités d’éducation, de formation et d’emploi flexibles;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souligne qu’il convient d’organiser des campagnes d’information pour sensibiliser tous les jeunes à la garantie pour la jeunesse, ciblant en particulier les jeunes susceptibles d’être exclus des possibilités offertes par la garantie renforcée pour la jeunesse;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souligne l’incidence disproportionnée de la pandémie de COVID-19 sur les jeunes et le rôle stabilisateur important joué par la garantie pour la jeunesse dans la prévention d’une nouvelle crise du chômage des jeunes dans ce contexte;</w:t>
            </w:r>
            <w:r>
              <w:t xml:space="preserve"> </w:t>
            </w:r>
            <w:r>
              <w:rPr>
                <w:b/>
                <w:i/>
              </w:rPr>
              <w:t>estime que, compte tenu des effets de cette période, la garantie renforcée pour la jeunesse devrait avoir pour nouvel objectif la réduction du chômage et de l’inactivité des jeunes les plus difficiles à atteindre;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rappelle que l’Organisation internationale du travail (OIT) a souligné que, même dans les pays à revenu élevé, les jeunes NEET en dehors du marché du travail, et en particulier les jeunes femmes ayant des responsabilités familiales, sont davantage exposés au risque d’exclusion économique et sociale à long terme, ce qui contribue à creuser l’écart entre les hommes et les femmes NEET au fil du temps;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quater.</w:t>
            </w:r>
            <w:r>
              <w:tab/>
            </w:r>
            <w:r>
              <w:rPr>
                <w:b/>
                <w:i/>
              </w:rPr>
              <w:t>observe un déséquilibre dans les possibilités offertes par les dispositifs de la garantie renforcée pour la jeunesse, l’accent étant mis sur l’emploi au détriment des possibilités de formation, ce qui va à l’encontre de l’objectif stratégique de la garantie renforcée pour la jeunesse consistant à promouvoir les compétences;</w:t>
            </w:r>
            <w:r>
              <w:t xml:space="preserve"> </w:t>
            </w:r>
            <w:r>
              <w:rPr>
                <w:b/>
                <w:i/>
              </w:rPr>
              <w:t>souligne que rien n’indique que ce déséquilibre soit justifié par les profils des NEET ou par l’objectif de leur intégration durable sur le marché du travail;</w:t>
            </w:r>
            <w:r>
              <w:t xml:space="preserve"> </w:t>
            </w:r>
            <w:r>
              <w:rPr>
                <w:b/>
                <w:i/>
              </w:rPr>
              <w:t>relève, à cet égard, que certains régimes nationaux indiquent que les jeunes travailleurs ayant un emploi subventionné sont plus susceptibles de quitter cet emploi que ceux qui occupent un emploi non subventionné ou qui bénéficient d’une approche intégrée combinant formation et emploi</w:t>
            </w:r>
            <w:r>
              <w:rPr>
                <w:b/>
                <w:i/>
                <w:vertAlign w:val="superscript"/>
              </w:rPr>
              <w:t>21 bis</w:t>
            </w:r>
            <w:r>
              <w:rPr>
                <w:b/>
                <w:i/>
              </w:rPr>
              <w:t>;</w:t>
            </w:r>
            <w:r>
              <w:t xml:space="preserve"> </w:t>
            </w:r>
            <w:r>
              <w:rPr>
                <w:b/>
                <w:i/>
              </w:rPr>
              <w:t>déplore en outre que l’attrait de l’apprentissage diminue dans plusieurs États membres;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21 bis</w:t>
            </w:r>
            <w:r>
              <w:t xml:space="preserve"> </w:t>
            </w:r>
            <w:r>
              <w:rPr>
                <w:b/>
                <w:i/>
              </w:rPr>
              <w:t>Cabasés, M. À., &amp; Úbeda, M., The Youth Guarantee in Spain:</w:t>
            </w:r>
            <w:r>
              <w:t xml:space="preserve"> </w:t>
            </w:r>
            <w:r>
              <w:rPr>
                <w:b/>
                <w:i/>
              </w:rPr>
              <w:t>A worrying situation after its implementation, 2021, pp. 96-97.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quater.</w:t>
            </w:r>
            <w:r>
              <w:tab/>
            </w:r>
            <w:r>
              <w:rPr>
                <w:b/>
                <w:i/>
              </w:rPr>
              <w:t>souligne que les jeunes ayant quitté prématurément le système d’éducation et de formation sont exposés à un risque nettement plus élevé de devenir NEET et d’exclusion sociale à long terme, tandis que les coûts supportés par la société constituent une charge économique, qui se traduit par des incidences négatives annuelles sur les taux d’emploi, la cohésion sociale et la compétitivité à long terme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quinquies.</w:t>
            </w:r>
            <w:r>
              <w:tab/>
            </w:r>
            <w:r>
              <w:rPr>
                <w:b/>
                <w:i/>
              </w:rPr>
              <w:t>souligne que la pauvreté des enfants et des jeunes a des répercussions tout au long de la vie sur l’éducation, la santé et l’emploi, et a une incidence annuelle significative sur le PIB,</w:t>
            </w:r>
            <w:r>
              <w:t xml:space="preserve"> </w:t>
            </w:r>
            <w:r>
              <w:rPr>
                <w:b/>
                <w:i/>
              </w:rPr>
              <w:t>et que la pauvreté des enfants et des jeunes se transmet de génération en génération;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attire l’attention sur le fait que l’intégration de l’initiative pour l’emploi des jeunes (IEJ) dans le FSE+ a entraîné l’obligation d’allouer 12,5 % dudit Fonds à des actions et à des réformes visant à promouvoir l’emploi des jeunes, l’enseignement et la formation professionnels, ainsi que la transition de l’école au monde du travail pour les États membres dont le taux de NEET est supérieur à la moyenne de l’Union; déplore vivement que cette affectation, héritée de l’IEJ, ne figure pas dans la proposition de la Commission relative au cadre financier pluriannuel (CFP) 2028-2034;</w:t>
            </w:r>
          </w:p>
        </w:tc>
        <w:tc>
          <w:tcPr>
            <w:tcW w:w="4876" w:type="dxa"/>
            <w:tcBorders>
              <w:top w:val="nil"/>
              <w:left w:val="nil"/>
              <w:bottom w:val="nil"/>
              <w:right w:val="nil"/>
            </w:tcBorders>
          </w:tcPr>
          <w:p>
            <w:pPr>
              <w:pStyle w:val="Normal6a"/>
            </w:pPr>
            <w:r>
              <w:t>6.</w:t>
            </w:r>
            <w:r>
              <w:tab/>
            </w:r>
            <w:r>
              <w:rPr>
                <w:b/>
                <w:i/>
              </w:rPr>
              <w:t>souligne le retour d’information globalement positif sur la fusion de l’initiative pour l’emploi des jeunes (IEJ) dans le FSE+, notant une amélioration de l’accès et de la simplification;</w:t>
            </w:r>
            <w:r>
              <w:t xml:space="preserve"> attire l’attention sur le fait que l’intégration de l’initiative pour l’emploi des jeunes (IEJ) dans le FSE+ a entraîné l’obligation d’allouer 12,5 % dudit Fonds à des actions et à des réformes visant à promouvoir l’emploi des jeunes, l’enseignement et la formation professionnels, ainsi que la transition de l’école au monde du travail pour les États membres dont le taux de NEET est supérieur à la moyenne de l’Union; déplore vivement que cette affectation, héritée de l’IEJ, ne figure pas dans la proposition de la Commission relative au cadre financier pluriannuel (CFP) 2028-2034; </w:t>
            </w:r>
            <w:r>
              <w:rPr>
                <w:b/>
                <w:i/>
              </w:rPr>
              <w:t>estime que l’absence d’affectation spécifique pour l’emploi des jeunes risque d’entraîner un financement inadéquat, comme l’a souligné la Cour des comptes européenne avant son introduction</w:t>
            </w:r>
            <w:r>
              <w:rPr>
                <w:b/>
                <w:i/>
                <w:vertAlign w:val="superscript"/>
              </w:rPr>
              <w:t>22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22 bis</w:t>
            </w:r>
            <w:r>
              <w:t xml:space="preserve"> </w:t>
            </w:r>
            <w:r>
              <w:rPr>
                <w:b/>
                <w:i/>
              </w:rPr>
              <w:t>Rapport spécial nº 3/2015 de la Cour des comptes européenne (CCE) de mars 2015 intitulé «La garantie pour la jeunesse de l’UE: les premières mesures ont été prises, mais des risques pour la mise en œuvre s’annoncent», p. 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attire l’attention sur le fait que l’intégration de l’initiative pour l’emploi des jeunes (IEJ) dans le FSE+ a entraîné l’obligation d’allouer 12,5 % dudit Fonds à des actions et à des réformes visant à promouvoir l’emploi des jeunes, l’enseignement et la formation professionnels, ainsi que la transition de l’école au monde du travail pour les États membres dont le taux de NEET est supérieur à la moyenne de l’Union; </w:t>
            </w:r>
            <w:r>
              <w:rPr>
                <w:b/>
                <w:i/>
              </w:rPr>
              <w:t>déplore vivement</w:t>
            </w:r>
            <w:r>
              <w:t xml:space="preserve"> que cette affectation, héritée de l’IEJ, ne figure pas dans la proposition de la Commission relative au cadre financier pluriannuel (CFP) 2028-2034;</w:t>
            </w:r>
          </w:p>
        </w:tc>
        <w:tc>
          <w:tcPr>
            <w:tcW w:w="4876" w:type="dxa"/>
            <w:tcBorders>
              <w:top w:val="nil"/>
              <w:left w:val="nil"/>
              <w:bottom w:val="nil"/>
              <w:right w:val="nil"/>
            </w:tcBorders>
          </w:tcPr>
          <w:p>
            <w:pPr>
              <w:pStyle w:val="Normal6a"/>
            </w:pPr>
            <w:r>
              <w:t>6.</w:t>
            </w:r>
            <w:r>
              <w:tab/>
            </w:r>
            <w:r>
              <w:t xml:space="preserve">attire l’attention sur le fait que l’intégration de l’initiative pour l’emploi des jeunes (IEJ) dans le FSE+ a entraîné l’obligation d’allouer 12,5 % dudit Fonds à des actions et à des réformes visant à promouvoir l’emploi des jeunes, l’enseignement et la formation professionnels, ainsi que la transition de l’école au monde du travail pour les États membres dont le taux de NEET est supérieur à la moyenne de l’Union; </w:t>
            </w:r>
            <w:r>
              <w:rPr>
                <w:b/>
                <w:i/>
              </w:rPr>
              <w:t>prend acte du fait</w:t>
            </w:r>
            <w:r>
              <w:t xml:space="preserve"> que cette affectation, héritée de l’IEJ, ne figure pas dans la proposition de la Commission relative au cadre financier pluriannuel (CFP) 2028-2034 </w:t>
            </w:r>
            <w:r>
              <w:rPr>
                <w:b/>
                <w:i/>
              </w:rPr>
              <w:t>et souligne qu'il reste de la prérogative exclusive des États membres de définir le financement et les priorités stratégiques pour soutenir leurs propres jeunes, sans se voir imposer des exigences budgétaires contraignantes et centralisées au niveau de l'Union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attire l’attention sur le fait que l’intégration de l’initiative pour l’emploi des jeunes (IEJ) dans le FSE+ a entraîné l’obligation d’allouer 12,5 % dudit Fonds à des actions et à des réformes visant à promouvoir l’emploi des jeunes, l’enseignement et la formation professionnels, ainsi que la transition de l’école au monde du travail pour les États membres dont le taux de NEET est supérieur à la moyenne de l’Union; déplore </w:t>
            </w:r>
            <w:r>
              <w:rPr>
                <w:b/>
                <w:i/>
              </w:rPr>
              <w:t>vivement</w:t>
            </w:r>
            <w:r>
              <w:t xml:space="preserve"> que cette affectation, héritée de l’IEJ, ne figure pas dans la proposition de la Commission relative au cadre financier pluriannuel (CFP) 2028-2034;</w:t>
            </w:r>
          </w:p>
        </w:tc>
        <w:tc>
          <w:tcPr>
            <w:tcW w:w="4876" w:type="dxa"/>
            <w:tcBorders>
              <w:top w:val="nil"/>
              <w:left w:val="nil"/>
              <w:bottom w:val="nil"/>
              <w:right w:val="nil"/>
            </w:tcBorders>
          </w:tcPr>
          <w:p>
            <w:pPr>
              <w:pStyle w:val="Normal6a"/>
            </w:pPr>
            <w:r>
              <w:t>6.</w:t>
            </w:r>
            <w:r>
              <w:tab/>
            </w:r>
            <w:r>
              <w:t xml:space="preserve">attire l’attention sur le fait que l’intégration de l’initiative pour l’emploi des jeunes (IEJ) dans le FSE+ a entraîné l’obligation d’allouer 12,5 % dudit Fonds à des actions et à des réformes visant à promouvoir l’emploi des jeunes, l’enseignement et la formation professionnels, ainsi que la transition de l’école au monde du travail pour les États membres dont le taux de NEET est supérieur à la moyenne de l’Union; déplore que cette affectation, héritée de l’IEJ, ne figure pas dans la proposition de la Commission relative au cadre financier pluriannuel (CFP) 2028-2034; </w:t>
            </w:r>
            <w:r>
              <w:rPr>
                <w:b/>
                <w:i/>
              </w:rPr>
              <w:t>demande un FSE autonome et distinct dans le CFP 2028-2034 afin de garantir un financement suffisant, prévisible et ciblé pour la mise en œuvre effective de la garantie renforcée pour la jeunesse dans tous les États membres, et en particulier dans ceux qui n’ont pas atteint, au minimum, l’objectif de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attire l’attention sur le fait que l’intégration de l’initiative pour l’emploi des jeunes (IEJ) dans le FSE+ a entraîné l’obligation d’allouer 12,5 % dudit Fonds à des actions et à des réformes visant à promouvoir l’emploi des jeunes, l’enseignement et la formation professionnels, ainsi que la transition de l’école au monde du travail pour les États membres dont le taux de NEET est supérieur à la moyenne de l’Union; déplore vivement que cette affectation, héritée de l’IEJ, ne figure pas dans la proposition de la Commission relative au cadre financier pluriannuel (CFP) 2028-2034;</w:t>
            </w:r>
          </w:p>
        </w:tc>
        <w:tc>
          <w:tcPr>
            <w:tcW w:w="4876" w:type="dxa"/>
            <w:tcBorders>
              <w:top w:val="nil"/>
              <w:left w:val="nil"/>
              <w:bottom w:val="nil"/>
              <w:right w:val="nil"/>
            </w:tcBorders>
          </w:tcPr>
          <w:p>
            <w:pPr>
              <w:pStyle w:val="Normal6a"/>
            </w:pPr>
            <w:r>
              <w:t>6.</w:t>
            </w:r>
            <w:r>
              <w:tab/>
            </w:r>
            <w:r>
              <w:t xml:space="preserve">attire l’attention sur le fait que l’intégration de l’initiative pour l’emploi des jeunes (IEJ) dans le FSE+ a entraîné l’obligation d’allouer 12,5 % dudit Fonds à des actions et à des réformes visant à promouvoir l’emploi des jeunes, l’enseignement et la formation professionnels, ainsi que la transition de l’école au monde du travail pour les États membres dont le taux de NEET est supérieur à la moyenne de l’Union; déplore vivement que cette affectation, héritée de l’IEJ, ne figure pas dans la proposition de la Commission relative au cadre financier pluriannuel (CFP) 2028-2034; </w:t>
            </w:r>
            <w:r>
              <w:rPr>
                <w:b/>
                <w:i/>
              </w:rPr>
              <w:t>demande que cette affectation soit rétablie et que l’emploi des jeunes soit reconnu comme une priorité d’investissement dans le cadre du prochain cycle de financement;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attire l’attention sur le fait que l’intégration de l’initiative pour l’emploi des jeunes (IEJ) dans le FSE+ a entraîné l’obligation d’allouer 12,5 % dudit Fonds à des actions et à des réformes visant à promouvoir l’emploi des jeunes, l’enseignement et la formation professionnels, ainsi que la transition de l’école au monde du travail pour les États membres dont le taux de NEET est supérieur à la moyenne de l’Union; déplore vivement que cette affectation, héritée de l’IEJ, ne figure pas dans la proposition de la Commission relative au cadre financier pluriannuel (CFP) 2028-2034;</w:t>
            </w:r>
          </w:p>
        </w:tc>
        <w:tc>
          <w:tcPr>
            <w:tcW w:w="4876" w:type="dxa"/>
            <w:tcBorders>
              <w:top w:val="nil"/>
              <w:left w:val="nil"/>
              <w:bottom w:val="nil"/>
              <w:right w:val="nil"/>
            </w:tcBorders>
          </w:tcPr>
          <w:p>
            <w:pPr>
              <w:pStyle w:val="Normal6a"/>
            </w:pPr>
            <w:r>
              <w:t>6.</w:t>
            </w:r>
            <w:r>
              <w:tab/>
            </w:r>
            <w:r>
              <w:t>attire l’attention sur le fait que l’intégration de l’initiative pour l’emploi des jeunes (IEJ) dans le FSE+ a entraîné l’obligation d’allouer 12,5 % dudit Fonds à des actions et à des réformes visant à promouvoir l’emploi des jeunes, l’enseignement et la formation professionnels, ainsi que la transition de l’école au monde du travail pour les États membres dont le taux de NEET est supérieur à la moyenne de l’Union; déplore vivement que cette affectation, héritée de l’IEJ, ne figure pas dans la proposition de la Commission relative au cadre financier pluriannuel (CFP) 2028-2034</w:t>
            </w:r>
            <w:r>
              <w:rPr>
                <w:b/>
                <w:i/>
              </w:rPr>
              <w:t>, ce qui met en évidence le risque que cette absence compromette les résultats obtenus</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souligne que persistent et s’avèrent difficiles à résoudre les défis à long terme de la mise en œuvre de la garantie pour la jeunesse, tels que le soutien aux profils difficiles à atteindre, le taux de couverture de cet instrument, la qualité des offres, la capacité des prestataires de la garantie pour la jeunesse ou le cadre de suivi incomplet;</w:t>
            </w:r>
            <w:r>
              <w:t xml:space="preserve"> </w:t>
            </w:r>
            <w:r>
              <w:rPr>
                <w:b/>
                <w:i/>
              </w:rPr>
              <w:t>prend acte des derniers examens effectués par le Comité de l’emploi et de l’accent mis sur les difficultés persistantes à surmonter les obstacles structurels et institutionnels qui empêchent l’intégration durable des jeunes, à atteindre les NEET inactifs et vulnérables, à mobiliser les budgets nationaux pour garantir la viabilité des programmes, ainsi qu’à assurer le suivi et la collecte de données</w:t>
            </w:r>
            <w:r>
              <w:rPr>
                <w:b/>
                <w:i/>
                <w:vertAlign w:val="superscript"/>
              </w:rPr>
              <w:t>23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23 bis</w:t>
            </w:r>
            <w:r>
              <w:t xml:space="preserve"> </w:t>
            </w:r>
            <w:r>
              <w:rPr>
                <w:b/>
                <w:i/>
              </w:rPr>
              <w:t>6184/26.</w:t>
            </w:r>
            <w:r>
              <w:t xml:space="preserve"> </w:t>
            </w:r>
            <w:r>
              <w:rPr>
                <w:b/>
                <w:i/>
              </w:rPr>
              <w:t>6831/24.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Maravillas Abadía Jover,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souligne que le FSE+, qui finance la garantie pour la jeunesse, est l’instrument de financement le plus important de l’Union européenne dans le domaine du marché du travail et de la politique sociale, en aidant en particulier les jeunes à accéder à l’éducation et à la formation, à démarrer leur carrière, à trouver des emplois de qualité, à promouvoir l’entrepreneuriat, à financer des programmes de lutte contre la pauvreté et à améliorer les perspectives socio-économiques;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s’inquiète du ralentissement de l’emploi des diplômés dans certains États membres;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Hristo Petrov, Irena Joveva,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ter.</w:t>
            </w:r>
            <w:r>
              <w:tab/>
            </w:r>
            <w:r>
              <w:rPr>
                <w:b/>
                <w:i/>
              </w:rPr>
              <w:t>constate que le Semestre européen a moins mis l’accent sur la garantie pour la jeunesse ces dernières années, en particulier en ce qui concerne les recommandations par pays, qui n’ont pas mentionné l’instrument en dehors des années où les recommandations ont été publiées et de la dynamique politique qui les entoure;</w:t>
            </w:r>
            <w:r>
              <w:t xml:space="preserve"> </w:t>
            </w:r>
            <w:r>
              <w:rPr>
                <w:b/>
                <w:i/>
              </w:rPr>
              <w:t>souligne, compte tenu de la situation du marché du travail dans certains États membres, qu’il existe un écart manifeste entre ces situations et la formulation de recommandations par pays;</w:t>
            </w:r>
            <w:r>
              <w:t xml:space="preserve"> </w:t>
            </w:r>
            <w:r>
              <w:rPr>
                <w:b/>
                <w:i/>
              </w:rPr>
              <w:t>déplore la décision prise dans le cadre de la procédure concernant les déséquilibres macroéconomiques de ramener le taux de chômage des jeunes à un indicateur auxiliaire, même si ce problème reste préoccupant dans de nombreux États membres;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ter.</w:t>
            </w:r>
            <w:r>
              <w:tab/>
            </w:r>
            <w:r>
              <w:rPr>
                <w:b/>
                <w:i/>
              </w:rPr>
              <w:t>met en évidence le phénomène de surqualification des jeunes travailleurs par rapport à leur poste et les conséquences négatives que cette inadéquation peut avoir sur leur revenu potentiel à long terme et, en fin de compte, sur le montant de leur retraite;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quater.</w:t>
            </w:r>
            <w:r>
              <w:tab/>
            </w:r>
            <w:r>
              <w:rPr>
                <w:b/>
                <w:i/>
              </w:rPr>
              <w:t>rappelle que la garantie pour la jeunesse s’inscrit dans un cadre plus large de politiques européennes et nationales et que son succès dépend également de politiques menées dans d’autres domaines tels que la famille, le logement, la garde d’enfants, les transports, la santé mentale et la lutte contre la discrimination;</w:t>
            </w:r>
            <w:r>
              <w:t xml:space="preserve"> </w:t>
            </w:r>
            <w:r>
              <w:rPr>
                <w:b/>
                <w:i/>
              </w:rPr>
              <w:t>souligne que les jeunes sont confrontés à des défis multidimensionnels qui ne peuvent être relevés au moyen d’un instrument unique axé sur l’emploi;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quater.</w:t>
            </w:r>
            <w:r>
              <w:tab/>
            </w:r>
            <w:r>
              <w:rPr>
                <w:b/>
                <w:i/>
              </w:rPr>
              <w:t>constate que certaines personnes se trouvent en situation de sous-emploi et que cela peut avoir des conséquences à long terme sur leur revenu potentiel et, à terme, sur le montant de leur retraite;</w:t>
            </w:r>
            <w:r>
              <w:t xml:space="preserve"> </w:t>
            </w:r>
            <w:r>
              <w:rPr>
                <w:b/>
                <w:i/>
              </w:rPr>
              <w:t>demande, à cet égard, que la stratégie en faveur de la jeunesse soit mise en œuvre de manière à ce que les jeunes sous-employés se voient proposer un emploi à temps plein dans la mesure du possible;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quinquies.</w:t>
            </w:r>
            <w:r>
              <w:tab/>
            </w:r>
            <w:r>
              <w:rPr>
                <w:b/>
                <w:i/>
              </w:rPr>
              <w:t>se félicite de la déclaration des Balkans occidentaux de 2021</w:t>
            </w:r>
            <w:r>
              <w:rPr>
                <w:b/>
                <w:i/>
                <w:vertAlign w:val="superscript"/>
              </w:rPr>
              <w:t>24 bis</w:t>
            </w:r>
            <w:r>
              <w:t xml:space="preserve"> </w:t>
            </w:r>
            <w:r>
              <w:rPr>
                <w:b/>
                <w:i/>
              </w:rPr>
              <w:t>et de l’adoption par ces pays de stratégies nationales de garantie pour la jeunesse, ce qui démontre l’attractivité de cet instrument;</w:t>
            </w:r>
            <w:r>
              <w:t xml:space="preserve"> </w:t>
            </w:r>
            <w:r>
              <w:rPr>
                <w:b/>
                <w:i/>
              </w:rPr>
              <w:t>souligne que ces efforts sont importants pour promouvoir le processus d’adhésion à l’Union, mais reconnaît les difficultés que rencontrent les États membres pour atteindre les groupes vulnérables, la capacité des services publics de l’emploi et la qualité des offres;</w:t>
            </w:r>
            <w:r>
              <w:t xml:space="preserve"> </w:t>
            </w:r>
            <w:r>
              <w:rPr>
                <w:b/>
                <w:i/>
              </w:rPr>
              <w:t>souligne le rôle important de l’instrument d’aide de préadhésion (IAP) dans le soutien à la mise en œuvre de la garantie pour la jeunesse dans les Balkans occidentaux;</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24 bis</w:t>
            </w:r>
            <w:r>
              <w:t xml:space="preserve"> </w:t>
            </w:r>
            <w:r>
              <w:rPr>
                <w:b/>
                <w:i/>
              </w:rPr>
              <w:t>https://www.esap.online/docs/141/western-balkans-declaration-on-ensuring-sustainable-labour-market-integration-of-young-people.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quinquies.</w:t>
            </w:r>
            <w:r>
              <w:tab/>
            </w:r>
            <w:r>
              <w:rPr>
                <w:b/>
                <w:i/>
              </w:rPr>
              <w:t>se déclare préoccupé par la propagation du travail précaire et des formes d’emploi atypiques sur le marché du travail, en particulier pour les jeunes, et reconnaît les conséquences à long terme que cela peut avoir sur leur potentiel de revenus et les résultats éventuels en matière de retraite;</w:t>
            </w:r>
            <w:r>
              <w:t xml:space="preserve"> </w:t>
            </w:r>
            <w:r>
              <w:rPr>
                <w:b/>
                <w:i/>
              </w:rPr>
              <w:t>invite, à cet égard, la garantie renforcée pour la jeunesse à veiller à ce que les jeunes sous-employés se voient proposer un emploi à temps plein dans la mesure du possible;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Hristo Petrov, Irena Joveva,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reconnaît que la garantie renforcée pour la jeunesse a servi de catalyseur pour les réformes institutionnelles et les innovations stratégiques dans l’ensemble des États membres, et qu’elle a également suscité une réflexion sur la réorganisation des politiques actives du marché du travail pour les jeunes;</w:t>
            </w:r>
          </w:p>
        </w:tc>
        <w:tc>
          <w:tcPr>
            <w:tcW w:w="4876" w:type="dxa"/>
            <w:tcBorders>
              <w:top w:val="nil"/>
              <w:left w:val="nil"/>
              <w:bottom w:val="nil"/>
              <w:right w:val="nil"/>
            </w:tcBorders>
          </w:tcPr>
          <w:p>
            <w:pPr>
              <w:pStyle w:val="Normal6a"/>
            </w:pPr>
            <w:r>
              <w:t>7.</w:t>
            </w:r>
            <w:r>
              <w:tab/>
            </w:r>
            <w:r>
              <w:t xml:space="preserve">reconnaît que la garantie renforcée pour la jeunesse a servi de catalyseur pour les réformes institutionnelles et les innovations stratégiques dans l’ensemble des États membres, et qu’elle a également suscité une réflexion sur la réorganisation des politiques actives du marché du travail pour les jeunes; </w:t>
            </w:r>
            <w:r>
              <w:rPr>
                <w:b/>
                <w:i/>
              </w:rPr>
              <w:t>souligne que la garantie renforcée pour la jeunesse est l’une des politiques les plus ambitieuses sur le plan opérationnel, bien qu’elle ne soit pas contraignante pour les États membres et permette l’adaptation de ses programmes au niveau national;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reconnaît</w:t>
            </w:r>
            <w:r>
              <w:t xml:space="preserve"> que la garantie renforcée pour la jeunesse </w:t>
            </w:r>
            <w:r>
              <w:rPr>
                <w:b/>
                <w:i/>
              </w:rPr>
              <w:t>a servi de catalyseur pour les réformes institutionnelles et les innovations stratégiques dans l’ensemble des</w:t>
            </w:r>
            <w:r>
              <w:t xml:space="preserve"> États membres</w:t>
            </w:r>
            <w:r>
              <w:rPr>
                <w:b/>
                <w:i/>
              </w:rPr>
              <w:t>, et qu’elle a également suscité une</w:t>
            </w:r>
            <w:r>
              <w:t xml:space="preserve"> réflexion sur la réorganisation des politiques actives du marché du travail </w:t>
            </w:r>
            <w:r>
              <w:rPr>
                <w:b/>
                <w:i/>
              </w:rPr>
              <w:t>pour les jeunes</w:t>
            </w:r>
            <w:r>
              <w:t>;</w:t>
            </w:r>
          </w:p>
        </w:tc>
        <w:tc>
          <w:tcPr>
            <w:tcW w:w="4876" w:type="dxa"/>
            <w:tcBorders>
              <w:top w:val="nil"/>
              <w:left w:val="nil"/>
              <w:bottom w:val="nil"/>
              <w:right w:val="nil"/>
            </w:tcBorders>
          </w:tcPr>
          <w:p>
            <w:pPr>
              <w:pStyle w:val="Normal6a"/>
            </w:pPr>
            <w:r>
              <w:t>7.</w:t>
            </w:r>
            <w:r>
              <w:tab/>
            </w:r>
            <w:r>
              <w:rPr>
                <w:b/>
                <w:i/>
              </w:rPr>
              <w:t>constate</w:t>
            </w:r>
            <w:r>
              <w:t xml:space="preserve"> que la garantie renforcée pour la jeunesse </w:t>
            </w:r>
            <w:r>
              <w:rPr>
                <w:b/>
                <w:i/>
              </w:rPr>
              <w:t>s'est souvent traduite par la création de nouvelles strates bureaucratiques dans les</w:t>
            </w:r>
            <w:r>
              <w:t xml:space="preserve"> États membres </w:t>
            </w:r>
            <w:r>
              <w:rPr>
                <w:b/>
                <w:i/>
              </w:rPr>
              <w:t>sans parvenir à endiguer le chômage structurel ;</w:t>
            </w:r>
            <w:r>
              <w:t xml:space="preserve"> </w:t>
            </w:r>
            <w:r>
              <w:rPr>
                <w:b/>
                <w:i/>
              </w:rPr>
              <w:t>souligne que toute</w:t>
            </w:r>
            <w:r>
              <w:t xml:space="preserve"> réflexion sur la réorganisation des politiques actives du marché du travail </w:t>
            </w:r>
            <w:r>
              <w:rPr>
                <w:b/>
                <w:i/>
              </w:rPr>
              <w:t>doit se faire dans le respect absolu de la souveraineté sociale des États membres et viser à alléger les contraintes pesant sur les PME plutôt qu'à imposer une ingénierie institutionnelle européenne</w:t>
            </w:r>
            <w:r>
              <w:t xml:space="preserve">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reconnaît que la garantie renforcée pour la jeunesse a servi de catalyseur pour les</w:t>
            </w:r>
            <w:r>
              <w:t xml:space="preserve"> réformes </w:t>
            </w:r>
            <w:r>
              <w:rPr>
                <w:b/>
                <w:i/>
              </w:rPr>
              <w:t>institutionnelles et les innovations stratégiques dans l’ensemble des États membres, et qu’elle a également suscité une réflexion sur la réorganisation des politiques actives</w:t>
            </w:r>
            <w:r>
              <w:t xml:space="preserve"> du marché du travail </w:t>
            </w:r>
            <w:r>
              <w:rPr>
                <w:b/>
                <w:i/>
              </w:rPr>
              <w:t>pour les jeunes</w:t>
            </w:r>
            <w:r>
              <w:t>;</w:t>
            </w:r>
          </w:p>
        </w:tc>
        <w:tc>
          <w:tcPr>
            <w:tcW w:w="4876" w:type="dxa"/>
            <w:tcBorders>
              <w:top w:val="nil"/>
              <w:left w:val="nil"/>
              <w:bottom w:val="nil"/>
              <w:right w:val="nil"/>
            </w:tcBorders>
          </w:tcPr>
          <w:p>
            <w:pPr>
              <w:pStyle w:val="Normal6a"/>
            </w:pPr>
            <w:r>
              <w:t>7.</w:t>
            </w:r>
            <w:r>
              <w:tab/>
            </w:r>
            <w:r>
              <w:rPr>
                <w:b/>
                <w:i/>
              </w:rPr>
              <w:t>note toutefois que ces</w:t>
            </w:r>
            <w:r>
              <w:t xml:space="preserve"> réformes </w:t>
            </w:r>
            <w:r>
              <w:rPr>
                <w:b/>
                <w:i/>
              </w:rPr>
              <w:t>visaient souvent à accroître la flexibilité du marché du travail et non à garantir des emplois stables et de qualité; note toutefois que ces réformes visaient souvent à accroître la flexibilité</w:t>
            </w:r>
            <w:r>
              <w:t xml:space="preserve"> du marché du travail </w:t>
            </w:r>
            <w:r>
              <w:rPr>
                <w:b/>
                <w:i/>
              </w:rPr>
              <w:t>et non à garantir des emplois stables et de qualité</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estime que la mise en œuvre de la garantie renforcée pour la jeunesse s’est souvent concentrée de manière trop étroite sur l’activation de l’emploi, tandis que la réalisation de ses objectifs fondamentaux nécessite une approche plus globale combinant des politiques actives et passives du marché du travail avec un accès effectif à des mesures d’inclusion sociale et à des services essentiels, y compris une aide sociale, une aide à la santé et une aide au logement, afin de garantir des résultats stables, inclusifs et à long terme pour les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ter.</w:t>
            </w:r>
            <w:r>
              <w:tab/>
            </w:r>
            <w:r>
              <w:rPr>
                <w:b/>
                <w:i/>
              </w:rPr>
              <w:t>constate avec inquiétude que les plans de mise en œuvre de nombreux États membres n’ont pas été mis à jour au cours de la dernière décennie et ne reflètent donc plus les réalités actuelles du marché du travail, telles que l’augmentation du travail précaire, les transitions numérique et écologique et le sous-emploi croissant;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souligne que l’incidence de la garantie renforcée pour la jeunesse est inégale </w:t>
            </w:r>
            <w:r>
              <w:rPr>
                <w:b/>
                <w:i/>
              </w:rPr>
              <w:t>d’un État membre à l’autre</w:t>
            </w:r>
            <w:r>
              <w:t xml:space="preserve"> en ce qui concerne sa mise en œuvre et les éléments spécifiques du renforcement;</w:t>
            </w:r>
          </w:p>
        </w:tc>
        <w:tc>
          <w:tcPr>
            <w:tcW w:w="4876" w:type="dxa"/>
            <w:tcBorders>
              <w:top w:val="nil"/>
              <w:left w:val="nil"/>
              <w:bottom w:val="nil"/>
              <w:right w:val="nil"/>
            </w:tcBorders>
          </w:tcPr>
          <w:p>
            <w:pPr>
              <w:pStyle w:val="Normal6a"/>
            </w:pPr>
            <w:r>
              <w:t>8.</w:t>
            </w:r>
            <w:r>
              <w:tab/>
            </w:r>
            <w:r>
              <w:t xml:space="preserve">souligne que l’incidence de la garantie renforcée pour la jeunesse est inégale </w:t>
            </w:r>
            <w:r>
              <w:rPr>
                <w:b/>
                <w:i/>
              </w:rPr>
              <w:t>tant entre les États membres qu’au sein de ceux-ci</w:t>
            </w:r>
            <w:r>
              <w:t xml:space="preserve"> en ce qui concerne sa mise en œuvre et les éléments spécifiques du renforcement; </w:t>
            </w:r>
            <w:r>
              <w:rPr>
                <w:b/>
                <w:i/>
              </w:rPr>
              <w:t>souligne que les différents niveaux de développement socio-économique, les conditions locales du marché du travail et l’accès aux services entraînent de fortes disparités régionales et locales en matière de chômage et d’inactivité des jeunes;</w:t>
            </w:r>
            <w:r>
              <w:t xml:space="preserve"> </w:t>
            </w:r>
            <w:r>
              <w:rPr>
                <w:b/>
                <w:i/>
              </w:rPr>
              <w:t>souligne qu’une sensibilisation efficace doit refléter les réalités locales et associer des services locaux et des organisations de confiance travaillant directement avec les jeunes;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souligne que l’incidence de la garantie renforcée pour la jeunesse est inégale d’un État membre à l’autre en ce qui concerne sa mise en œuvre et les éléments spécifiques du renforcement;</w:t>
            </w:r>
          </w:p>
        </w:tc>
        <w:tc>
          <w:tcPr>
            <w:tcW w:w="4876" w:type="dxa"/>
            <w:tcBorders>
              <w:top w:val="nil"/>
              <w:left w:val="nil"/>
              <w:bottom w:val="nil"/>
              <w:right w:val="nil"/>
            </w:tcBorders>
          </w:tcPr>
          <w:p>
            <w:pPr>
              <w:pStyle w:val="Normal6a"/>
            </w:pPr>
            <w:r>
              <w:t>8.</w:t>
            </w:r>
            <w:r>
              <w:tab/>
            </w:r>
            <w:r>
              <w:t xml:space="preserve">souligne que l’incidence de la garantie renforcée pour la jeunesse est inégale d’un État membre à l’autre en ce qui concerne sa mise en œuvre et les éléments spécifiques du renforcement; </w:t>
            </w:r>
            <w:r>
              <w:rPr>
                <w:b/>
                <w:i/>
              </w:rPr>
              <w:t>prend acte de la diversité des approches de la garantie pour la jeunesse en ce qui concerne sa mise en œuvre et la portée des offres proposées, et du fait que tous les modèles nationaux mis en œuvre peuvent être améliorés;</w:t>
            </w:r>
            <w:r>
              <w:t xml:space="preserve"> </w:t>
            </w:r>
            <w:r>
              <w:rPr>
                <w:b/>
                <w:i/>
              </w:rPr>
              <w:t>reconnaît que les États membres ont des points de départ différents et que certains États membres font face à des défis démographiques et à un exode de jeunes actifs;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se félicite de l’extension de la tranche d’âge couverte par la garantie renforcée pour la jeunesse aux jeunes âgés de 25 à 29 ans, dans un contexte où le passage de l’école au marché du travail prend plus de temps qu’auparavant;</w:t>
            </w:r>
            <w:r>
              <w:t xml:space="preserve"> </w:t>
            </w:r>
            <w:r>
              <w:rPr>
                <w:b/>
                <w:i/>
              </w:rPr>
              <w:t>note que cette extension a augmenté la participation aux dispositifs de garantie pour la jeunesse, cette tranche d’âge représentant environ un tiers du nombre total de participants en 2024</w:t>
            </w:r>
            <w:r>
              <w:rPr>
                <w:b/>
                <w:i/>
                <w:vertAlign w:val="superscript"/>
              </w:rPr>
              <w:t>25 bis</w:t>
            </w:r>
            <w:r>
              <w:rPr>
                <w:b/>
                <w:i/>
              </w:rPr>
              <w:t>;</w:t>
            </w:r>
            <w:r>
              <w:t xml:space="preserve"> </w:t>
            </w:r>
            <w:r>
              <w:rPr>
                <w:b/>
                <w:i/>
              </w:rPr>
              <w:t>souligne que cette participation accrue ne s’est pas toujours accompagnée d’une augmentation des capacités des services publics de l’emploi, qui font face à un plus grand nombre de cas, dont certains sont plus complexes;</w:t>
            </w:r>
            <w:r>
              <w:t xml:space="preserve"> </w:t>
            </w:r>
            <w:r>
              <w:rPr>
                <w:b/>
                <w:i/>
              </w:rPr>
              <w:t>déplore que certains États membres aient décidé de ne pas mettre en œuvre cette extension de la tranche d’âge de la garantie renforcée pour la jeunesse;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25 bis</w:t>
            </w:r>
            <w:r>
              <w:t xml:space="preserve"> </w:t>
            </w:r>
            <w:r>
              <w:rPr>
                <w:b/>
                <w:i/>
              </w:rPr>
              <w:t>Commission européenne, direction générale de l’emploi, des affaires sociales &amp; de l’inclusion, Data collection for monitoring of Youth Guarantee schemes:</w:t>
            </w:r>
            <w:r>
              <w:t xml:space="preserve"> </w:t>
            </w:r>
            <w:r>
              <w:rPr>
                <w:b/>
                <w:i/>
              </w:rPr>
              <w:t>2024, décembre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souligne que des recherches récentes sur l’engagement communautaire suggèrent qu’une approche collaborative est essentielle pour réussir la gestion du passage de l’école à l’emploi, y compris des modèles intégrés dans lesquels les services de promotion de l’emploi coopèrent au niveau local avec les prestataires de sécurité sociale de base pour les demandeurs d’emploi;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ter.</w:t>
            </w:r>
            <w:r>
              <w:tab/>
            </w:r>
            <w:r>
              <w:rPr>
                <w:b/>
                <w:i/>
              </w:rPr>
              <w:t>souligne que le succès de la garantie renforcée pour la jeunesse dans la lutte contre le chômage des jeunes et le statut de NEET dépend de l’intégration effective des politiques de l’emploi, de l’éducation et de la jeunesse, de partenariats solides avec les gouvernements, les partenaires sociaux et les organisations de jeunesse, ainsi que de mesures globales concernant le soutien familial, le logement, la garde d’enfants, les inégalités entre les hommes et les femmes, la participation au marché du travail, les droits parentaux, l’équilibre entre vie professionnelle et vie privée, l’accès à des soins de santé abordables et la protection sociale universelle et solidaire;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quater.</w:t>
            </w:r>
            <w:r>
              <w:tab/>
            </w:r>
            <w:r>
              <w:rPr>
                <w:b/>
                <w:i/>
              </w:rPr>
              <w:t>rappelle que la stabilité socio-économique de la famille, l’accès à une éducation et à une formation de qualité et des marchés du travail inclusifs sont des conditions essentielles pour permettre aux jeunes de réussir leur transition du système éducatif au monde du travail, et qu’elles sont intrinsèquement liées aux objectifs de la garantie pour la jeunesse;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quinquies.</w:t>
            </w:r>
            <w:r>
              <w:tab/>
            </w:r>
            <w:r>
              <w:rPr>
                <w:b/>
                <w:i/>
              </w:rPr>
              <w:t>rappelle la résolution du Parlement européen de novembre 2023 sur la réduction des inégalités et la promotion de l’inclusion sociale en temps de crise pour les enfants et leurs familles, en synergie avec la garantie européenne pour l’enfance, qui a jeté les bases d’une initiative «Des familles plus fortes»</w:t>
            </w:r>
            <w:r>
              <w:rPr>
                <w:b/>
                <w:i/>
                <w:vertAlign w:val="superscript"/>
              </w:rPr>
              <w:t>2 bis</w:t>
            </w:r>
            <w:r>
              <w:t xml:space="preserve"> </w:t>
            </w:r>
            <w:r>
              <w:rPr>
                <w:b/>
                <w:i/>
              </w:rPr>
              <w:t>et du contrat familial européen</w:t>
            </w:r>
            <w:r>
              <w:rPr>
                <w:b/>
                <w:i/>
                <w:vertAlign w:val="superscript"/>
              </w:rPr>
              <w:t>3 bis</w:t>
            </w:r>
            <w:r>
              <w:rPr>
                <w:b/>
                <w:i/>
              </w:rPr>
              <w:t>, combinant des allocations familiales garanties, un congé parental et l’accès à des services de garde d’enfants de qualité, condition préalable essentielle à l’efficacité de la garantie pour la jeunesse, car elle garantit l’équilibre entre vie professionnelle et vie familiale pour les NEET, en particulier les jeunes parents, et contribue à prévenir l’exclusion économique à long terme;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bis</w:t>
            </w:r>
            <w:r>
              <w:t xml:space="preserve"> </w:t>
            </w:r>
            <w:r>
              <w:rPr>
                <w:b/>
                <w:i/>
              </w:rPr>
              <w:t>https://www.nielsgeuking.eu/stronger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bis</w:t>
            </w:r>
            <w:r>
              <w:t xml:space="preserve"> </w:t>
            </w:r>
            <w:r>
              <w:rPr>
                <w:b/>
                <w:i/>
              </w:rPr>
              <w:t>https://www.nielsgeuking.eu/en/scientificstudy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Niels Geuking, Romana Tomc,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sexies.</w:t>
            </w:r>
            <w:r>
              <w:tab/>
            </w:r>
            <w:r>
              <w:rPr>
                <w:b/>
                <w:i/>
              </w:rPr>
              <w:t>souligne que la lutte contre la parentalité retardée, le soutien à la planification familiale chez les jeunes (vulnérables) et la présence d’un revenu parental socialement assuré peuvent contribuer à relever les défis démographiques, à remédier aux pénuries de compétences et à renforcer les jeunes familles et l’équité intergénérationnelle;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 septies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septies.</w:t>
            </w:r>
            <w:r>
              <w:tab/>
            </w:r>
            <w:r>
              <w:rPr>
                <w:b/>
                <w:i/>
              </w:rPr>
              <w:t>souligne que l’intégration d’une approche centrée sur la famille et axée sur le parcours de vie dans la communication de la Commission sur la garantie renforcée pour la jeunesse peut contribuer à prévenir le chômage des jeunes, l’abandon précoce de l’éducation et de la formation (ELET), le statut de NEET, la pauvreté des travailleurs et l’exclusion sociale, contribuant ainsi à la cohésion sociale à long terme et à l’équité intergénérationnelle dans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 octies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octies.</w:t>
            </w:r>
            <w:r>
              <w:tab/>
            </w:r>
            <w:r>
              <w:rPr>
                <w:b/>
                <w:i/>
              </w:rPr>
              <w:t>souligne que la solidarité intergénérationnelle est l’une des pierres angulaires du modèle d’État-providence de l’Union et est essentielle au maintien de la cohésion sociale dans un contexte d’évolution démographique et de transformation de l’économie;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déplore que les dispositifs de garantie renforcée pour la jeunesse restent peu connus des jeunes et, dans une certaine mesure, des autorités autres que celles directement responsables de ces dispositifs ou des questions d’emploi;</w:t>
            </w:r>
          </w:p>
        </w:tc>
        <w:tc>
          <w:tcPr>
            <w:tcW w:w="4876" w:type="dxa"/>
            <w:tcBorders>
              <w:top w:val="nil"/>
              <w:left w:val="nil"/>
              <w:bottom w:val="nil"/>
              <w:right w:val="nil"/>
            </w:tcBorders>
          </w:tcPr>
          <w:p>
            <w:pPr>
              <w:pStyle w:val="Normal6a"/>
            </w:pPr>
            <w:r>
              <w:t>9.</w:t>
            </w:r>
            <w:r>
              <w:tab/>
            </w:r>
            <w:r>
              <w:t xml:space="preserve">déplore que les dispositifs de garantie renforcée pour la jeunesse restent peu connus des jeunes et, dans une certaine mesure, des autorités autres que celles directement responsables de ces dispositifs ou des questions d’emploi; </w:t>
            </w:r>
            <w:r>
              <w:rPr>
                <w:b/>
                <w:i/>
              </w:rPr>
              <w:t>souligne que l’intégration de la garantie pour la jeunesse dans des programmes plus larges risque d’éclipser les possibilités que ces programmes offrent aux NEET;</w:t>
            </w:r>
            <w:r>
              <w:t xml:space="preserve"> </w:t>
            </w:r>
            <w:r>
              <w:rPr>
                <w:b/>
                <w:i/>
              </w:rPr>
              <w:t>constate que les NEET les plus difficiles à atteindre restent ceux qui connaissent le moins ces programmes et les services disponibles pour les soutenir;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déplore que les dispositifs de garantie renforcée pour la jeunesse restent peu connus des jeunes et, dans une certaine mesure, des autorités autres que celles directement responsables de ces dispositifs ou des questions d’emploi;</w:t>
            </w:r>
          </w:p>
        </w:tc>
        <w:tc>
          <w:tcPr>
            <w:tcW w:w="4876" w:type="dxa"/>
            <w:tcBorders>
              <w:top w:val="nil"/>
              <w:left w:val="nil"/>
              <w:bottom w:val="nil"/>
              <w:right w:val="nil"/>
            </w:tcBorders>
          </w:tcPr>
          <w:p>
            <w:pPr>
              <w:pStyle w:val="Normal6a"/>
            </w:pPr>
            <w:r>
              <w:t>9.</w:t>
            </w:r>
            <w:r>
              <w:tab/>
            </w:r>
            <w:r>
              <w:t xml:space="preserve">déplore que les dispositifs de garantie renforcée pour la jeunesse restent peu connus des jeunes et, dans une certaine mesure, des autorités autres que celles directement responsables de ces dispositifs ou des questions d’emploi; </w:t>
            </w:r>
            <w:r>
              <w:rPr>
                <w:b/>
                <w:i/>
              </w:rPr>
              <w:t>souligne que la faible sensibilisation est en partie imputable à l’absence de campagnes d’information accessibles, ciblant en particulier les jeunes en situation de handicap et ceux qui vivent dans des zones défavorisées;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déplore que les dispositifs de garantie renforcée pour la jeunesse restent peu connus des </w:t>
            </w:r>
            <w:r>
              <w:rPr>
                <w:b/>
                <w:i/>
              </w:rPr>
              <w:t>jeunes</w:t>
            </w:r>
            <w:r>
              <w:t xml:space="preserve"> et, dans une certaine mesure, des </w:t>
            </w:r>
            <w:r>
              <w:rPr>
                <w:b/>
                <w:i/>
              </w:rPr>
              <w:t>autorités autres que celles</w:t>
            </w:r>
            <w:r>
              <w:t xml:space="preserve"> directement </w:t>
            </w:r>
            <w:r>
              <w:rPr>
                <w:b/>
                <w:i/>
              </w:rPr>
              <w:t>responsables de ces dispositifs ou des questions d’emploi</w:t>
            </w:r>
            <w:r>
              <w:t>;</w:t>
            </w:r>
          </w:p>
        </w:tc>
        <w:tc>
          <w:tcPr>
            <w:tcW w:w="4876" w:type="dxa"/>
            <w:tcBorders>
              <w:top w:val="nil"/>
              <w:left w:val="nil"/>
              <w:bottom w:val="nil"/>
              <w:right w:val="nil"/>
            </w:tcBorders>
          </w:tcPr>
          <w:p>
            <w:pPr>
              <w:pStyle w:val="Normal6a"/>
            </w:pPr>
            <w:r>
              <w:t>9.</w:t>
            </w:r>
            <w:r>
              <w:tab/>
            </w:r>
            <w:r>
              <w:t xml:space="preserve">déplore que les dispositifs de garantie renforcée pour la jeunesse restent peu connus des </w:t>
            </w:r>
            <w:r>
              <w:rPr>
                <w:b/>
                <w:i/>
              </w:rPr>
              <w:t>NEET</w:t>
            </w:r>
            <w:r>
              <w:t xml:space="preserve"> et, dans une certaine mesure, des </w:t>
            </w:r>
            <w:r>
              <w:rPr>
                <w:b/>
                <w:i/>
              </w:rPr>
              <w:t>parties prenantes concernées qui ne participent pas</w:t>
            </w:r>
            <w:r>
              <w:t xml:space="preserve"> directement </w:t>
            </w:r>
            <w:r>
              <w:rPr>
                <w:b/>
                <w:i/>
              </w:rPr>
              <w:t>à sa mise en œuvre, telles que les prestataires d’enseignement et de formation, les organisations de jeunesse, la société civile et d’autres acteurs formels et informels</w:t>
            </w:r>
            <w:r>
              <w:t xml:space="preserve">; </w:t>
            </w:r>
            <w:r>
              <w:rPr>
                <w:b/>
                <w:i/>
              </w:rPr>
              <w:t>estime que cette faible sensibilisation constitue un obstacle important à l’adoption et à l’efficacité de la garantie renforcée pour la jeunesse;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déplore que les dispositifs de garantie renforcée pour la jeunesse restent peu connus des jeunes et, dans une certaine mesure, des autorités autres que celles directement responsables de ces dispositifs ou des questions d’emploi;</w:t>
            </w:r>
          </w:p>
        </w:tc>
        <w:tc>
          <w:tcPr>
            <w:tcW w:w="4876" w:type="dxa"/>
            <w:tcBorders>
              <w:top w:val="nil"/>
              <w:left w:val="nil"/>
              <w:bottom w:val="nil"/>
              <w:right w:val="nil"/>
            </w:tcBorders>
          </w:tcPr>
          <w:p>
            <w:pPr>
              <w:pStyle w:val="Normal6a"/>
            </w:pPr>
            <w:r>
              <w:t>9.</w:t>
            </w:r>
            <w:r>
              <w:tab/>
            </w:r>
            <w:r>
              <w:t xml:space="preserve">déplore que les dispositifs de garantie renforcée pour la jeunesse restent peu connus des </w:t>
            </w:r>
            <w:r>
              <w:rPr>
                <w:b/>
                <w:i/>
              </w:rPr>
              <w:t>entreprises de</w:t>
            </w:r>
            <w:r>
              <w:t xml:space="preserve"> jeunes et, dans une certaine mesure, des autorités </w:t>
            </w:r>
            <w:r>
              <w:rPr>
                <w:b/>
                <w:i/>
              </w:rPr>
              <w:t>publiques</w:t>
            </w:r>
            <w:r>
              <w:t xml:space="preserve"> autres que celles directement responsables de ces dispositifs ou des questions d’emploi</w:t>
            </w:r>
            <w:r>
              <w:rPr>
                <w:b/>
                <w:i/>
              </w:rPr>
              <w:t>, et varie considérablement d’un État membre à l’autre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fait observer que les actions d’information sur le terrain restent l’un des principaux obstacles à la mise en œuvre de la garantie renforcée pour la jeunesse; déplore que les mesures soient principalement passives et fondées uniquement sur les NEET inscrits auprès des services publics de l’emploi (SPE);</w:t>
            </w:r>
          </w:p>
        </w:tc>
        <w:tc>
          <w:tcPr>
            <w:tcW w:w="4876" w:type="dxa"/>
            <w:tcBorders>
              <w:top w:val="nil"/>
              <w:left w:val="nil"/>
              <w:bottom w:val="nil"/>
              <w:right w:val="nil"/>
            </w:tcBorders>
          </w:tcPr>
          <w:p>
            <w:pPr>
              <w:pStyle w:val="Normal6a"/>
            </w:pPr>
            <w:r>
              <w:t>10.</w:t>
            </w:r>
            <w:r>
              <w:tab/>
            </w:r>
            <w:r>
              <w:t xml:space="preserve">fait observer </w:t>
            </w:r>
            <w:r>
              <w:rPr>
                <w:b/>
                <w:i/>
              </w:rPr>
              <w:t>avec une vive inquiétude</w:t>
            </w:r>
            <w:r>
              <w:t xml:space="preserve"> que les actions d’information sur le terrain restent l’un des principaux obstacles à la mise en œuvre </w:t>
            </w:r>
            <w:r>
              <w:rPr>
                <w:b/>
                <w:i/>
              </w:rPr>
              <w:t>effective</w:t>
            </w:r>
            <w:r>
              <w:t xml:space="preserve"> de la garantie renforcée pour la jeunesse; déplore que les mesures </w:t>
            </w:r>
            <w:r>
              <w:rPr>
                <w:b/>
                <w:i/>
              </w:rPr>
              <w:t>de sensibilisation</w:t>
            </w:r>
            <w:r>
              <w:t xml:space="preserve"> soient principalement passives et fondées uniquement sur les NEET inscrits auprès des services publics de l’emploi (SPE); </w:t>
            </w:r>
            <w:r>
              <w:rPr>
                <w:b/>
                <w:i/>
              </w:rPr>
              <w:t>souligne que cela crée des obstacles systémiques pour les NEET confrontés à l’exclusion sociale, à la méfiance institutionnelle, à l’exclusion numérique ou à des obstacles pratiques à l’accès aux services formels;</w:t>
            </w:r>
            <w:r>
              <w:t xml:space="preserve"> </w:t>
            </w:r>
            <w:r>
              <w:rPr>
                <w:b/>
                <w:i/>
              </w:rPr>
              <w:t>constate que cela nuit à la cohésion sociale et à l’équité intergénérationnelle, en enracinant plutôt qu’en réduisant les inégalités existantes;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fait observer que les actions d’information sur le terrain restent l’un des principaux obstacles à la mise en œuvre de la garantie renforcée pour la jeunesse; déplore que les mesures soient principalement passives et fondées uniquement sur les NEET inscrits auprès des services publics de l’emploi (SPE);</w:t>
            </w:r>
          </w:p>
        </w:tc>
        <w:tc>
          <w:tcPr>
            <w:tcW w:w="4876" w:type="dxa"/>
            <w:tcBorders>
              <w:top w:val="nil"/>
              <w:left w:val="nil"/>
              <w:bottom w:val="nil"/>
              <w:right w:val="nil"/>
            </w:tcBorders>
          </w:tcPr>
          <w:p>
            <w:pPr>
              <w:pStyle w:val="Normal6a"/>
            </w:pPr>
            <w:r>
              <w:t>10.</w:t>
            </w:r>
            <w:r>
              <w:tab/>
            </w:r>
            <w:r>
              <w:t xml:space="preserve">fait observer que les actions d’information sur le terrain restent l’un des principaux obstacles à la mise en œuvre de la garantie renforcée pour la jeunesse; déplore que les mesures soient principalement passives et fondées uniquement sur les NEET inscrits auprès des services publics de l’emploi (SPE); </w:t>
            </w:r>
            <w:r>
              <w:rPr>
                <w:b/>
                <w:i/>
              </w:rPr>
              <w:t>invite dès lors les États membres à élaborer activement des stratégies de sensibilisation par l’intermédiaire des écoles, des services sociaux, des autorités locales, des organisations de jeunesse et des outils numériques afin d’identifier les jeunes non inscrits et les plus éloignés;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fait observer que les actions d’information sur le terrain restent l’un des principaux obstacles à la mise en œuvre de la garantie renforcée pour la jeunesse; déplore que les mesures soient principalement passives et fondées uniquement sur les NEET inscrits auprès des services publics de l’emploi (SPE);</w:t>
            </w:r>
          </w:p>
        </w:tc>
        <w:tc>
          <w:tcPr>
            <w:tcW w:w="4876" w:type="dxa"/>
            <w:tcBorders>
              <w:top w:val="nil"/>
              <w:left w:val="nil"/>
              <w:bottom w:val="nil"/>
              <w:right w:val="nil"/>
            </w:tcBorders>
          </w:tcPr>
          <w:p>
            <w:pPr>
              <w:pStyle w:val="Normal6a"/>
            </w:pPr>
            <w:r>
              <w:t>10.</w:t>
            </w:r>
            <w:r>
              <w:tab/>
            </w:r>
            <w:r>
              <w:t xml:space="preserve">fait observer que les actions d’information sur le terrain restent l’un des principaux obstacles à la mise en œuvre de la garantie renforcée pour la jeunesse; déplore que les mesures soient principalement passives et fondées uniquement sur les NEET inscrits auprès des services publics de l’emploi (SPE) </w:t>
            </w:r>
            <w:r>
              <w:rPr>
                <w:b/>
                <w:i/>
              </w:rPr>
              <w:t>et que ces derniers n’aient pas la capacité d’adopter une approche volontariste de la sensibilisation au sein des communautés</w:t>
            </w:r>
            <w:r>
              <w:t xml:space="preserve">; </w:t>
            </w:r>
            <w:r>
              <w:rPr>
                <w:b/>
                <w:i/>
              </w:rPr>
              <w:t>note que cette approche crée des obstacles pour ceux qui rencontrent des difficultés pratiques ou qui ne font pas confiance aux institutions;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fait observer que les actions d’information sur le terrain restent l’un des principaux obstacles à la mise en œuvre de la garantie renforcée pour la jeunesse; déplore que les mesures soient principalement passives et fondées uniquement sur les NEET inscrits auprès des services publics de l’emploi (SPE);</w:t>
            </w:r>
          </w:p>
        </w:tc>
        <w:tc>
          <w:tcPr>
            <w:tcW w:w="4876" w:type="dxa"/>
            <w:tcBorders>
              <w:top w:val="nil"/>
              <w:left w:val="nil"/>
              <w:bottom w:val="nil"/>
              <w:right w:val="nil"/>
            </w:tcBorders>
          </w:tcPr>
          <w:p>
            <w:pPr>
              <w:pStyle w:val="Normal6a"/>
            </w:pPr>
            <w:r>
              <w:t>10.</w:t>
            </w:r>
            <w:r>
              <w:tab/>
            </w:r>
            <w:r>
              <w:t xml:space="preserve">fait observer que les actions d’information sur le terrain restent l’un des principaux obstacles à la mise en œuvre de la garantie renforcée pour la jeunesse; déplore que les mesures soient principalement passives et fondées uniquement sur les NEET inscrits auprès des services publics de l’emploi (SPE); </w:t>
            </w:r>
            <w:r>
              <w:rPr>
                <w:b/>
                <w:i/>
              </w:rPr>
              <w:t>invite les États membres et la Commission à déployer des efforts spécifiques pour assurer une sensibilisation complète des jeunes à la garantie pour la jeunesse, en ciblant en particulier les groupes vulnérables et marginalisés;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fait observer que les actions d’information sur le terrain restent l’un des principaux obstacles à la mise en œuvre de la garantie renforcée pour la jeunesse; déplore que les mesures soient principalement passives et fondées uniquement sur les NEET inscrits auprès des services publics de l’emploi (SPE);</w:t>
            </w:r>
          </w:p>
        </w:tc>
        <w:tc>
          <w:tcPr>
            <w:tcW w:w="4876" w:type="dxa"/>
            <w:tcBorders>
              <w:top w:val="nil"/>
              <w:left w:val="nil"/>
              <w:bottom w:val="nil"/>
              <w:right w:val="nil"/>
            </w:tcBorders>
          </w:tcPr>
          <w:p>
            <w:pPr>
              <w:pStyle w:val="Normal6a"/>
            </w:pPr>
            <w:r>
              <w:t>10.</w:t>
            </w:r>
            <w:r>
              <w:tab/>
            </w:r>
            <w:r>
              <w:t xml:space="preserve">fait observer que les actions d’information sur le terrain restent l’un des principaux obstacles à la mise en œuvre de la garantie renforcée pour la jeunesse; déplore que les mesures soient principalement passives et fondées uniquement sur les NEET inscrits auprès des services publics de l’emploi (SPE) </w:t>
            </w:r>
            <w:r>
              <w:rPr>
                <w:b/>
                <w:i/>
              </w:rPr>
              <w:t>et souligne la nécessité de fournir également des conseils personnalisés et des mesures de soutien pour atteindre et soutenir les personnes les plus vulnérables et qui ont plus de difficultés à accéder aux services</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fait observer que </w:t>
            </w:r>
            <w:r>
              <w:rPr>
                <w:b/>
                <w:i/>
              </w:rPr>
              <w:t>les actions d’information sur le terrain restent</w:t>
            </w:r>
            <w:r>
              <w:t xml:space="preserve"> l’un des principaux obstacles à la mise en œuvre de la garantie renforcée pour la jeunesse; déplore que les mesures soient principalement passives et fondées uniquement sur les NEET inscrits auprès des services publics de l’emploi (SPE);</w:t>
            </w:r>
          </w:p>
        </w:tc>
        <w:tc>
          <w:tcPr>
            <w:tcW w:w="4876" w:type="dxa"/>
            <w:tcBorders>
              <w:top w:val="nil"/>
              <w:left w:val="nil"/>
              <w:bottom w:val="nil"/>
              <w:right w:val="nil"/>
            </w:tcBorders>
          </w:tcPr>
          <w:p>
            <w:pPr>
              <w:pStyle w:val="Normal6a"/>
            </w:pPr>
            <w:r>
              <w:t>10.</w:t>
            </w:r>
            <w:r>
              <w:tab/>
            </w:r>
            <w:r>
              <w:t xml:space="preserve">fait observer que </w:t>
            </w:r>
            <w:r>
              <w:rPr>
                <w:b/>
                <w:i/>
              </w:rPr>
              <w:t>le manque de capacité de sensibilisation proactive et communautaire reste</w:t>
            </w:r>
            <w:r>
              <w:t xml:space="preserve"> l’un des principaux obstacles à la mise en œuvre de la garantie renforcée pour la jeunesse; déplore que les mesures soient principalement passives et fondées uniquement sur les NEET inscrits auprès des services publics de l’emploi (SPE)</w:t>
            </w:r>
            <w:r>
              <w:rPr>
                <w:b/>
                <w:i/>
              </w:rPr>
              <w:t>, ce qui crée des obstacles pour les personnes souffrant de méfiance institutionnelle ou de difficultés pratiques, telles qu’un accès limité aux transports ou au numérique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note que les services publics de l’emploi décentralisés et intégrés au niveau local et les structures axées sur les communautés peuvent améliorer la sensibilisation, l’engagement et le soutien en faveur des NEET et des sous-groupes vulnérables difficiles à atteindre;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se déclare préoccupé par l’équité des dispositifs de garantie renforcée pour la jeunesse en ce qui concerne leur capacité à atteindre les groupes vulnérables et inactifs, en particulier dans les zones reculées, telles que les communautés roms;</w:t>
            </w:r>
          </w:p>
        </w:tc>
        <w:tc>
          <w:tcPr>
            <w:tcW w:w="4876" w:type="dxa"/>
            <w:tcBorders>
              <w:top w:val="nil"/>
              <w:left w:val="nil"/>
              <w:bottom w:val="nil"/>
              <w:right w:val="nil"/>
            </w:tcBorders>
          </w:tcPr>
          <w:p>
            <w:pPr>
              <w:pStyle w:val="Normal6a"/>
            </w:pPr>
            <w:r>
              <w:t>11.</w:t>
            </w:r>
            <w:r>
              <w:tab/>
            </w:r>
            <w:r>
              <w:t xml:space="preserve">se déclare préoccupé par l’équité des dispositifs de garantie renforcée pour la jeunesse en ce qui concerne leur capacité à atteindre les groupes vulnérables et inactifs, en particulier dans les zones reculées, telles que les communautés roms; </w:t>
            </w:r>
            <w:r>
              <w:rPr>
                <w:b/>
                <w:i/>
              </w:rPr>
              <w:t>prend acte du retour d’information de certaines parties prenantes indiquant que les programmes profitent principalement aux jeunes qui sont déjà proches du marché du travail;</w:t>
            </w:r>
            <w:r>
              <w:t xml:space="preserve"> </w:t>
            </w:r>
            <w:r>
              <w:rPr>
                <w:b/>
                <w:i/>
              </w:rPr>
              <w:t>rappelle que ce manque de sensibilisation fondée sur des données probantes entraîne un déficit de connaissances en ce qui concerne les sous-groupes NEET à atteindre et entrave l’élaboration de stratégies plus affinées;</w:t>
            </w:r>
            <w:r>
              <w:t xml:space="preserve"> </w:t>
            </w:r>
            <w:r>
              <w:rPr>
                <w:b/>
                <w:i/>
              </w:rPr>
              <w:t>estime que l’accent n’a pas encore été mis sur les groupes vulnérables dans le renforcement de la garantie pour la jeunesse concrétisé au moyen de mécanismes de sensibilisation efficaces dans l’ensemble des États membres et d’une capacité accrue à atteindre cet objectif;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se déclare préoccupé par l’équité des dispositifs de garantie renforcée pour la jeunesse </w:t>
            </w:r>
            <w:r>
              <w:rPr>
                <w:b/>
                <w:i/>
              </w:rPr>
              <w:t>en ce qui concerne</w:t>
            </w:r>
            <w:r>
              <w:t xml:space="preserve"> leur capacité à atteindre les </w:t>
            </w:r>
            <w:r>
              <w:rPr>
                <w:b/>
                <w:i/>
              </w:rPr>
              <w:t>groupes</w:t>
            </w:r>
            <w:r>
              <w:t xml:space="preserve"> vulnérables et inactifs, en particulier </w:t>
            </w:r>
            <w:r>
              <w:rPr>
                <w:b/>
                <w:i/>
              </w:rPr>
              <w:t>dans les</w:t>
            </w:r>
            <w:r>
              <w:t xml:space="preserve"> zones reculées</w:t>
            </w:r>
            <w:r>
              <w:rPr>
                <w:b/>
                <w:i/>
              </w:rPr>
              <w:t>, telles que les communautés roms</w:t>
            </w:r>
            <w:r>
              <w:t>;</w:t>
            </w:r>
          </w:p>
        </w:tc>
        <w:tc>
          <w:tcPr>
            <w:tcW w:w="4876" w:type="dxa"/>
            <w:tcBorders>
              <w:top w:val="nil"/>
              <w:left w:val="nil"/>
              <w:bottom w:val="nil"/>
              <w:right w:val="nil"/>
            </w:tcBorders>
          </w:tcPr>
          <w:p>
            <w:pPr>
              <w:pStyle w:val="Normal6a"/>
            </w:pPr>
            <w:r>
              <w:t>11.</w:t>
            </w:r>
            <w:r>
              <w:tab/>
            </w:r>
            <w:r>
              <w:t xml:space="preserve">se déclare </w:t>
            </w:r>
            <w:r>
              <w:rPr>
                <w:b/>
                <w:i/>
              </w:rPr>
              <w:t>profondément</w:t>
            </w:r>
            <w:r>
              <w:t xml:space="preserve"> préoccupé par l’équité des dispositifs de garantie renforcée pour la jeunesse </w:t>
            </w:r>
            <w:r>
              <w:rPr>
                <w:b/>
                <w:i/>
              </w:rPr>
              <w:t>et</w:t>
            </w:r>
            <w:r>
              <w:t xml:space="preserve"> leur capacité à atteindre les </w:t>
            </w:r>
            <w:r>
              <w:rPr>
                <w:b/>
                <w:i/>
              </w:rPr>
              <w:t>jeunes</w:t>
            </w:r>
            <w:r>
              <w:t xml:space="preserve"> vulnérables et inactifs, en particulier </w:t>
            </w:r>
            <w:r>
              <w:rPr>
                <w:b/>
                <w:i/>
              </w:rPr>
              <w:t>ceux qui vivent dans des</w:t>
            </w:r>
            <w:r>
              <w:t xml:space="preserve"> zones reculées </w:t>
            </w:r>
            <w:r>
              <w:rPr>
                <w:b/>
                <w:i/>
              </w:rPr>
              <w:t>et défavorisées;</w:t>
            </w:r>
            <w:r>
              <w:t xml:space="preserve"> </w:t>
            </w:r>
            <w:r>
              <w:rPr>
                <w:b/>
                <w:i/>
              </w:rPr>
              <w:t>souligne que la mise en œuvre de la garantie renforcée pour la jeunesse reste insuffisamment intégrée aux politiques en matière de logement, de soins, de protection sociale et de santé, qui se renforcent mutuellement et sont fondamentales pour soutenir l’intégration durable sur le marché du travail des NEET vulnérables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se déclare préoccupé par l’équité des dispositifs de garantie renforcée pour la jeunesse en ce qui concerne leur capacité à atteindre les groupes vulnérables et inactifs, en particulier </w:t>
            </w:r>
            <w:r>
              <w:rPr>
                <w:b/>
                <w:i/>
              </w:rPr>
              <w:t>dans les</w:t>
            </w:r>
            <w:r>
              <w:t xml:space="preserve"> zones reculées</w:t>
            </w:r>
            <w:r>
              <w:rPr>
                <w:b/>
                <w:i/>
              </w:rPr>
              <w:t>, telles que les communautés roms</w:t>
            </w:r>
            <w:r>
              <w:t>;</w:t>
            </w:r>
          </w:p>
        </w:tc>
        <w:tc>
          <w:tcPr>
            <w:tcW w:w="4876" w:type="dxa"/>
            <w:tcBorders>
              <w:top w:val="nil"/>
              <w:left w:val="nil"/>
              <w:bottom w:val="nil"/>
              <w:right w:val="nil"/>
            </w:tcBorders>
          </w:tcPr>
          <w:p>
            <w:pPr>
              <w:pStyle w:val="Normal6a"/>
            </w:pPr>
            <w:r>
              <w:t>11.</w:t>
            </w:r>
            <w:r>
              <w:tab/>
            </w:r>
            <w:r>
              <w:t xml:space="preserve">se déclare préoccupé par l’équité des dispositifs de garantie renforcée pour la jeunesse en ce qui concerne leur capacité à atteindre les groupes vulnérables et inactifs, en particulier </w:t>
            </w:r>
            <w:r>
              <w:rPr>
                <w:b/>
                <w:i/>
              </w:rPr>
              <w:t>ceux qui vivent dans des</w:t>
            </w:r>
            <w:r>
              <w:t xml:space="preserve"> zones </w:t>
            </w:r>
            <w:r>
              <w:rPr>
                <w:b/>
                <w:i/>
              </w:rPr>
              <w:t>montagneuses, rurales et</w:t>
            </w:r>
            <w:r>
              <w:t xml:space="preserve"> reculées</w:t>
            </w:r>
            <w:r>
              <w:rPr>
                <w:b/>
                <w:i/>
              </w:rPr>
              <w:t>; souligne la nécessité d’améliorer l’infrastructure numérique afin de garantir l’égalité d’accès aux programmes et aux services d’information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se déclare préoccupé par l’équité des dispositifs de garantie renforcée pour la jeunesse en ce qui concerne leur capacité à atteindre les groupes vulnérables et inactifs, </w:t>
            </w:r>
            <w:r>
              <w:rPr>
                <w:b/>
                <w:i/>
              </w:rPr>
              <w:t>en particulier dans les</w:t>
            </w:r>
            <w:r>
              <w:t xml:space="preserve"> zones reculées</w:t>
            </w:r>
            <w:r>
              <w:rPr>
                <w:b/>
                <w:i/>
              </w:rPr>
              <w:t>, telles que les communautés roms</w:t>
            </w:r>
            <w:r>
              <w:t>;</w:t>
            </w:r>
          </w:p>
        </w:tc>
        <w:tc>
          <w:tcPr>
            <w:tcW w:w="4876" w:type="dxa"/>
            <w:tcBorders>
              <w:top w:val="nil"/>
              <w:left w:val="nil"/>
              <w:bottom w:val="nil"/>
              <w:right w:val="nil"/>
            </w:tcBorders>
          </w:tcPr>
          <w:p>
            <w:pPr>
              <w:pStyle w:val="Normal6a"/>
            </w:pPr>
            <w:r>
              <w:t>11.</w:t>
            </w:r>
            <w:r>
              <w:tab/>
            </w:r>
            <w:r>
              <w:t xml:space="preserve">se déclare préoccupé par l’équité des dispositifs de garantie renforcée pour la jeunesse en ce qui concerne leur capacité à atteindre les groupes </w:t>
            </w:r>
            <w:r>
              <w:rPr>
                <w:b/>
                <w:i/>
              </w:rPr>
              <w:t>les plus</w:t>
            </w:r>
            <w:r>
              <w:t xml:space="preserve"> vulnérables et </w:t>
            </w:r>
            <w:r>
              <w:rPr>
                <w:b/>
                <w:i/>
              </w:rPr>
              <w:t>les plus</w:t>
            </w:r>
            <w:r>
              <w:t xml:space="preserve"> inactifs, </w:t>
            </w:r>
            <w:r>
              <w:rPr>
                <w:b/>
                <w:i/>
              </w:rPr>
              <w:t>tels que les jeunes handicapés et les jeunes vivant dans des</w:t>
            </w:r>
            <w:r>
              <w:t xml:space="preserve"> zones reculées;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se déclare préoccupé par l’équité des dispositifs de garantie renforcée pour la jeunesse en ce qui concerne leur capacité à atteindre les groupes vulnérables et inactifs, en particulier dans les zones reculées, </w:t>
            </w:r>
            <w:r>
              <w:rPr>
                <w:b/>
                <w:i/>
              </w:rPr>
              <w:t>telles que les communautés roms</w:t>
            </w:r>
            <w:r>
              <w:t>;</w:t>
            </w:r>
          </w:p>
        </w:tc>
        <w:tc>
          <w:tcPr>
            <w:tcW w:w="4876" w:type="dxa"/>
            <w:tcBorders>
              <w:top w:val="nil"/>
              <w:left w:val="nil"/>
              <w:bottom w:val="nil"/>
              <w:right w:val="nil"/>
            </w:tcBorders>
          </w:tcPr>
          <w:p>
            <w:pPr>
              <w:pStyle w:val="Normal6a"/>
            </w:pPr>
            <w:r>
              <w:t>11.</w:t>
            </w:r>
            <w:r>
              <w:tab/>
            </w:r>
            <w:r>
              <w:t xml:space="preserve">se déclare préoccupé par l’équité des dispositifs de garantie renforcée pour la jeunesse en ce qui concerne leur capacité à atteindre les groupes vulnérables et inactifs, en particulier dans les zones reculées, </w:t>
            </w:r>
            <w:r>
              <w:rPr>
                <w:b/>
                <w:i/>
              </w:rPr>
              <w:t>comme les zones reculées ou ultra marines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souligne avec inquiétude que le taux de couverture des dispositifs de garantie pour la jeunesse a légèrement diminué depuis l’introduction de son renforcement et que ces taux sont à des niveaux alarmants dans certains États membres, allant d’un faible taux de 1,1 % à moins de 50 % dans la plupart des États membres</w:t>
            </w:r>
            <w:r>
              <w:rPr>
                <w:b/>
                <w:i/>
                <w:vertAlign w:val="superscript"/>
              </w:rPr>
              <w:t>26 bis</w:t>
            </w:r>
            <w:r>
              <w:rPr>
                <w:b/>
                <w:i/>
              </w:rPr>
              <w:t>;</w:t>
            </w:r>
            <w:r>
              <w:t xml:space="preserve"> </w:t>
            </w:r>
            <w:r>
              <w:rPr>
                <w:b/>
                <w:i/>
              </w:rPr>
              <w:t>constate que le taux de couverture est le plus élevé dans la tranche d’âge des 20-24 ans, suivie de la tranche d’âge des 15-19 ans, puis de la tranche d’âge des 25-29 ans;</w:t>
            </w:r>
            <w:r>
              <w:t xml:space="preserve"> </w:t>
            </w:r>
            <w:r>
              <w:rPr>
                <w:b/>
                <w:i/>
              </w:rPr>
              <w:t>reconnaît que, dans un contexte budgétaire difficile, la priorité devrait être accordée à l’intégration des NEET inactifs ou vulnérables dans les dispositifs de garantie renforcée pour la jeunesse;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26 bis</w:t>
            </w:r>
            <w:r>
              <w:t xml:space="preserve"> </w:t>
            </w:r>
            <w:r>
              <w:rPr>
                <w:b/>
                <w:i/>
              </w:rPr>
              <w:t>Commission européenne, direction générale de l’emploi, des affaires sociales &amp; de l’inclusion, Data table on Youth Guarantee Direct indicators, février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souligne que les femmes, et en particulier les mères célibataires, restent surreprésentées dans la population des NEET, malgré le renforcement de la dimension de genre de la garantie renforcée pour la jeunesse;</w:t>
            </w:r>
            <w:r>
              <w:t xml:space="preserve"> </w:t>
            </w:r>
            <w:r>
              <w:rPr>
                <w:b/>
                <w:i/>
              </w:rPr>
              <w:t>souligne que la mise en œuvre de la garantie renforcée pour la jeunesse doit mieux refléter les modèles sexospécifiques, selon lesquels les femmes sont plus susceptibles de devenir des NEET inactifs et de se trouver en dehors de la population active, tandis que les hommes sont plus susceptibles d’être des NEET au chômage;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souligne le rôle crucial des écoles et des universités, qui servent de pont entre les systèmes éducatifs et le marché du travail, préviennent le décrochage scolaire, la fuite des talents hors de l’Union et promeuvent l’information sur les possibilités offertes par la garantie renforcée pour la jeunesse régionale;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ter.</w:t>
            </w:r>
            <w:r>
              <w:tab/>
            </w:r>
            <w:r>
              <w:rPr>
                <w:b/>
                <w:i/>
              </w:rPr>
              <w:t>constate que l’approche de mise en œuvre en quatre phases est inégale d’un État membre à l’autre;</w:t>
            </w:r>
            <w:r>
              <w:t xml:space="preserve"> </w:t>
            </w:r>
            <w:r>
              <w:rPr>
                <w:b/>
                <w:i/>
              </w:rPr>
              <w:t>souligne en particulier que la cartographie des services de soutien et des groupes cibles reste limitée dans les États membres, ce qui conduit même à des situations dans lesquelles les bénéficiaires ignorent qu’ils participent aux dispositifs de garantie pour la jeunesse;</w:t>
            </w:r>
            <w:r>
              <w:t xml:space="preserve"> </w:t>
            </w:r>
            <w:r>
              <w:rPr>
                <w:b/>
                <w:i/>
              </w:rPr>
              <w:t>note que l’approche fragmentée entre les institutions et les services chargés de la mise en œuvre de la garantie renforcée pour la jeunesse est souvent attribuée à des règles en matière de protection des données, à des registres obsolètes ou à un manque d’identification de l’autorité responsable, ce qui empêche le partage de données à caractère personnel;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ter.</w:t>
            </w:r>
            <w:r>
              <w:tab/>
            </w:r>
            <w:r>
              <w:rPr>
                <w:b/>
                <w:i/>
              </w:rPr>
              <w:t>souligne que l’insuffisance des capacités et des ressources au sein des services publics de l’emploi (SPE) reste un obstacle critique et persistant à la mise en œuvre effective de la garantie renforcée pour la jeunesse;</w:t>
            </w:r>
            <w:r>
              <w:t xml:space="preserve"> </w:t>
            </w:r>
            <w:r>
              <w:rPr>
                <w:b/>
                <w:i/>
              </w:rPr>
              <w:t>s’inquiète du fait que le personnel des services publics de l’emploi ne dispose souvent pas de la formation ou des ressources adéquates nécessaires pour identifier efficacement les NEET, les atteindre et leur apporter un soutien sur mesure, en particulier les plus vulnérables et les plus difficiles à atteindre;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quater.</w:t>
            </w:r>
            <w:r>
              <w:tab/>
            </w:r>
            <w:r>
              <w:rPr>
                <w:b/>
                <w:i/>
              </w:rPr>
              <w:t>souligne les obstacles institutionnels et administratifs observés auxquels font face les jeunes migrants lorsqu’ils tentent d’accéder à la garantie renforcée pour la jeunesse, à l’éducation et au marché du travail en général;</w:t>
            </w:r>
            <w:r>
              <w:t xml:space="preserve"> </w:t>
            </w:r>
            <w:r>
              <w:rPr>
                <w:b/>
                <w:i/>
              </w:rPr>
              <w:t>souligne la lenteur et la complexité de la reconnaissance des qualifications, les procédures bureaucratiques d’octroi des permis de travail et l’accès limité aux SPE;</w:t>
            </w:r>
            <w:r>
              <w:t xml:space="preserve"> </w:t>
            </w:r>
            <w:r>
              <w:rPr>
                <w:b/>
                <w:i/>
              </w:rPr>
              <w:t>note que ces défis sont souvent exacerbés par des cadres institutionnels rigides, des barrières linguistiques et un manque de soutien sur mesure, qui risquent de piéger les jeunes migrants dans l’emploi informel ou le chômage de longue durée et d’entraver leur intégration effective sur le marché du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quater.</w:t>
            </w:r>
            <w:r>
              <w:tab/>
            </w:r>
            <w:r>
              <w:rPr>
                <w:b/>
                <w:i/>
              </w:rPr>
              <w:t>souligne la nécessité absolue d’une intervention rapide et continue pour les NEET afin d’éviter qu’ils ne se retrouvent piégés dans des situations de vulnérabilité;</w:t>
            </w:r>
            <w:r>
              <w:t xml:space="preserve"> </w:t>
            </w:r>
            <w:r>
              <w:rPr>
                <w:b/>
                <w:i/>
              </w:rPr>
              <w:t>déplore, dans ce contexte, les délais d’attente généralement excessifs pour les offres de la garantie renforcée pour la jeunesse, et le fait que la proportion de sorties positives en temps utile ait légèrement diminué depuis le renforcement de la garantie pour la jeunesse;</w:t>
            </w:r>
            <w:r>
              <w:t xml:space="preserve"> </w:t>
            </w:r>
            <w:r>
              <w:rPr>
                <w:b/>
                <w:i/>
              </w:rPr>
              <w:t>note toutefois que l’efficacité des placements est principalement mesurée par les résultats positifs qu’ils produisent, qui ont légèrement diminué après six mois, ce qui indique un manque de renforcement de l’aide après le placement;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quinquies.</w:t>
            </w:r>
            <w:r>
              <w:tab/>
            </w:r>
            <w:r>
              <w:rPr>
                <w:b/>
                <w:i/>
              </w:rPr>
              <w:t>souligne les efforts déployés dans certains États membres pour analyser les compétences numériques des NEET par les services publics de l’emploi ou au moyen d’une autoévaluation, mais souligne que de nombreux jeunes souffrent d’inhabileté numérique, malgré l’utilisation d’outils numériques;</w:t>
            </w:r>
            <w:r>
              <w:t xml:space="preserve"> </w:t>
            </w:r>
            <w:r>
              <w:rPr>
                <w:b/>
                <w:i/>
              </w:rPr>
              <w:t>déplore que, dans la plupart des cas, l’accent mis sur les compétences dans le renforcement de la garantie pour la jeunesse ne se reflète pas plus clairement dans les résultats analysés et que les initiatives de développement des compétences dans le cadre de ces programmes ne soient pas plus étroitement intégrées avec d’autres initiatives européennes et nationales en matière de compétences;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s’inquiète de la tendance observée au sein des dispositifs de garantie renforcée pour la jeunesse, à savoir l’abandon des services personnalisés au profit de services généralisés;</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s’inquiète de la tendance observée au sein des dispositifs de garantie renforcée pour la jeunesse, à savoir l’abandon des services personnalisés au profit de services généralisés;</w:t>
            </w:r>
          </w:p>
        </w:tc>
        <w:tc>
          <w:tcPr>
            <w:tcW w:w="4876" w:type="dxa"/>
            <w:tcBorders>
              <w:top w:val="nil"/>
              <w:left w:val="nil"/>
              <w:bottom w:val="nil"/>
              <w:right w:val="nil"/>
            </w:tcBorders>
          </w:tcPr>
          <w:p>
            <w:pPr>
              <w:pStyle w:val="Normal6a"/>
            </w:pPr>
            <w:r>
              <w:t>12.</w:t>
            </w:r>
            <w:r>
              <w:tab/>
            </w:r>
            <w:r>
              <w:t>s’inquiète de la tendance observée au sein des dispositifs de garantie renforcée pour la jeunesse, à savoir l’abandon des services personnalisés au profit de services généralisés</w:t>
            </w:r>
            <w:r>
              <w:rPr>
                <w:b/>
                <w:i/>
                <w:vertAlign w:val="superscript"/>
              </w:rPr>
              <w:t>27 bis</w:t>
            </w:r>
            <w:r>
              <w:t xml:space="preserve">; </w:t>
            </w:r>
            <w:r>
              <w:rPr>
                <w:b/>
                <w:i/>
              </w:rPr>
              <w:t>souligne que l’approche personnalisée est l’un des éléments clés du renforcement de la garantie pour la jeunesse et que cette approche est nécessaire pour les NEET, qui ont des besoins divers et dont les sous-groupes peuvent évoluer;</w:t>
            </w:r>
            <w:r>
              <w:t xml:space="preserve"> </w:t>
            </w:r>
            <w:r>
              <w:rPr>
                <w:b/>
                <w:i/>
              </w:rPr>
              <w:t>rappelle que les actions adaptées aux besoins des jeunes ont tendance à être plus efficaces et plus rentables, étant donné que les faibles coûts de la fourniture de services généraux ne compensent pas la faible efficacité de cette approche;</w:t>
            </w:r>
            <w:r>
              <w:t xml:space="preserve"> </w:t>
            </w:r>
            <w:r>
              <w:rPr>
                <w:b/>
                <w:i/>
              </w:rPr>
              <w:t>souligne néanmoins les efforts déployés par plusieurs États membres pour renforcer l’approche personnalisée de leurs dispositifs de garantie renforcée pour la jeunesse, notamment en incluant un plan d’action individuel fondé sur le profil du bénéficiaire au cœur de la phase préparatoire;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27 bis</w:t>
            </w:r>
            <w:r>
              <w:t xml:space="preserve"> </w:t>
            </w:r>
            <w:r>
              <w:rPr>
                <w:b/>
                <w:i/>
              </w:rPr>
              <w:t>Examen par le Comité de l’emploi de la mise en œuvre de la garantie pour la jeunesse – Messages clés (doc. 6831/24).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s’inquiète </w:t>
            </w:r>
            <w:r>
              <w:rPr>
                <w:b/>
                <w:i/>
              </w:rPr>
              <w:t>de la tendance observée au sein des dispositifs</w:t>
            </w:r>
            <w:r>
              <w:t xml:space="preserve"> de garantie renforcée pour la jeunesse</w:t>
            </w:r>
            <w:r>
              <w:rPr>
                <w:b/>
                <w:i/>
              </w:rPr>
              <w:t>, à savoir l’abandon</w:t>
            </w:r>
            <w:r>
              <w:t xml:space="preserve"> des services personnalisés </w:t>
            </w:r>
            <w:r>
              <w:rPr>
                <w:b/>
                <w:i/>
              </w:rPr>
              <w:t>au profit de services généralisés</w:t>
            </w:r>
            <w:r>
              <w:t>;</w:t>
            </w:r>
          </w:p>
        </w:tc>
        <w:tc>
          <w:tcPr>
            <w:tcW w:w="4876" w:type="dxa"/>
            <w:tcBorders>
              <w:top w:val="nil"/>
              <w:left w:val="nil"/>
              <w:bottom w:val="nil"/>
              <w:right w:val="nil"/>
            </w:tcBorders>
          </w:tcPr>
          <w:p>
            <w:pPr>
              <w:pStyle w:val="Normal6a"/>
            </w:pPr>
            <w:r>
              <w:t>12.</w:t>
            </w:r>
            <w:r>
              <w:tab/>
            </w:r>
            <w:r>
              <w:t xml:space="preserve">s’inquiète </w:t>
            </w:r>
            <w:r>
              <w:rPr>
                <w:b/>
                <w:i/>
              </w:rPr>
              <w:t>vivement de l’incapacité persistante des systèmes</w:t>
            </w:r>
            <w:r>
              <w:t xml:space="preserve"> de garantie renforcée pour la jeunesse </w:t>
            </w:r>
            <w:r>
              <w:rPr>
                <w:b/>
                <w:i/>
              </w:rPr>
              <w:t>à fournir</w:t>
            </w:r>
            <w:r>
              <w:t xml:space="preserve"> des services personnalisés </w:t>
            </w:r>
            <w:r>
              <w:rPr>
                <w:b/>
                <w:i/>
              </w:rPr>
              <w:t>et par la tendance à adopter des approches de plus en plus généralisées</w:t>
            </w:r>
            <w:r>
              <w:t xml:space="preserve">; </w:t>
            </w:r>
            <w:r>
              <w:rPr>
                <w:b/>
                <w:i/>
              </w:rPr>
              <w:t>souligne que les approches universelles ont contribué à la prévalence des offres de la garantie renforcée pour la jeunesse, qui ne correspondent pas aux compétences et aux profils individuels des bénéficiaires;</w:t>
            </w:r>
            <w:r>
              <w:t xml:space="preserve"> </w:t>
            </w:r>
            <w:r>
              <w:rPr>
                <w:b/>
                <w:i/>
              </w:rPr>
              <w:t>souligne que cela échoue systématiquement aux NEET vulnérables et de longue durée, qui font face à des obstacles multiples et aggravants, tout en donnant la priorité à ceux qui sont plus faciles à atteindre et à soutenir;</w:t>
            </w:r>
            <w:r>
              <w:t xml:space="preserve"> </w:t>
            </w:r>
            <w:r>
              <w:rPr>
                <w:b/>
                <w:i/>
              </w:rPr>
              <w:t>souligne que l’hétérogénéité des NEET et les différences importantes entre les conditions régionales et locales du marché du travail exigent des approches adaptées et personnalisées;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s’inquiète de la tendance observée au sein des dispositifs de garantie renforcée pour la jeunesse, à savoir l’abandon des services personnalisés au profit de services généralisés;</w:t>
            </w:r>
          </w:p>
        </w:tc>
        <w:tc>
          <w:tcPr>
            <w:tcW w:w="4876" w:type="dxa"/>
            <w:tcBorders>
              <w:top w:val="nil"/>
              <w:left w:val="nil"/>
              <w:bottom w:val="nil"/>
              <w:right w:val="nil"/>
            </w:tcBorders>
          </w:tcPr>
          <w:p>
            <w:pPr>
              <w:pStyle w:val="Normal6a"/>
            </w:pPr>
            <w:r>
              <w:t>12.</w:t>
            </w:r>
            <w:r>
              <w:tab/>
            </w:r>
            <w:r>
              <w:rPr>
                <w:b/>
                <w:i/>
              </w:rPr>
              <w:t>note que les NEET constituent un groupe diversifié avec des besoins différents et que les initiatives politiques devraient refléter cette diversité;</w:t>
            </w:r>
            <w:r>
              <w:t xml:space="preserve"> s’inquiète de la tendance observée au sein des dispositifs de garantie renforcée pour la jeunesse </w:t>
            </w:r>
            <w:r>
              <w:rPr>
                <w:b/>
                <w:i/>
              </w:rPr>
              <w:t>de certains États membres</w:t>
            </w:r>
            <w:r>
              <w:t>, à savoir l’abandon des services personnalisés au profit de services généralisés</w:t>
            </w:r>
            <w:r>
              <w:rPr>
                <w:b/>
                <w:i/>
              </w:rPr>
              <w:t>, qui se sont révélés moins efficaces pour attirer des jeunes moins favorisés et des NEET non inscrits et qui ne tiennent pas compte des difficultés multiples et aggravantes auxquelles font face les jeunes ayant des identités croisées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s’inquiète de la tendance observée au sein</w:t>
            </w:r>
            <w:r>
              <w:t xml:space="preserve"> des dispositifs de garantie renforcée pour la jeunesse, </w:t>
            </w:r>
            <w:r>
              <w:rPr>
                <w:b/>
                <w:i/>
              </w:rPr>
              <w:t>à savoir l’abandon des services personnalisés au profit de services généralisés</w:t>
            </w:r>
            <w:r>
              <w:t>;</w:t>
            </w:r>
          </w:p>
        </w:tc>
        <w:tc>
          <w:tcPr>
            <w:tcW w:w="4876" w:type="dxa"/>
            <w:tcBorders>
              <w:top w:val="nil"/>
              <w:left w:val="nil"/>
              <w:bottom w:val="nil"/>
              <w:right w:val="nil"/>
            </w:tcBorders>
          </w:tcPr>
          <w:p>
            <w:pPr>
              <w:pStyle w:val="Normal6a"/>
            </w:pPr>
            <w:r>
              <w:t>12.</w:t>
            </w:r>
            <w:r>
              <w:tab/>
            </w:r>
            <w:r>
              <w:rPr>
                <w:b/>
                <w:i/>
              </w:rPr>
              <w:t>souligne qu’il importe de fournir des services aussi personnalisés que possible dans le cadre</w:t>
            </w:r>
            <w:r>
              <w:t xml:space="preserve"> des dispositifs de garantie renforcée pour la jeunesse, </w:t>
            </w:r>
            <w:r>
              <w:rPr>
                <w:b/>
                <w:i/>
              </w:rPr>
              <w:t>en évitant, dans la mesure du possible, les approches plus généralisées afin d’offrir aux jeunes les possibilités d’emploi les plus adaptées à leur profil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note que la Commission estime que les mesures personnalisées sont généralement plus efficaces, en particulier pour les groupes défavorisés et les personnes les plus éloignées du marché du travail, et qu’elles peuvent également être plus rentables;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souligne que la mauvaise coordination horizontale entre les acteurs nationaux, régionaux et locaux s’est révélée un défi persistant pour la mise en œuvre effective de la garantie renforcée pour la jeunesse;</w:t>
            </w:r>
            <w:r>
              <w:t xml:space="preserve"> </w:t>
            </w:r>
            <w:r>
              <w:rPr>
                <w:b/>
                <w:i/>
              </w:rPr>
              <w:t>constate avec inquiétude qu’une coordination verticale insuffisante entre le niveau national et le niveau de l’Union a encore aggravé ces difficultés, les autorités nationales éprouvant d’importantes difficultés à accéder aux fonds de l’Union disponibles et à les utiliser;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rappelle que les mesures les plus efficaces pour améliorer l’employabilité des jeunes sont celles liées à la formation par le travail et aux compétences professionnelles avec la participation directe des employeurs, y compris les stages, les apprentissages et l’enseignement et la formation professionnels (EFP) de qualité et équitablement rémunérés;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quater.</w:t>
            </w:r>
            <w:r>
              <w:tab/>
            </w:r>
            <w:r>
              <w:rPr>
                <w:b/>
                <w:i/>
              </w:rPr>
              <w:t>déplore que de nombreuses autorités publiques n’aient pas suffisamment associé les partenaires sociaux, les organisations de la société civile et les organisations de jeunesse à la conception, à la mise en œuvre et à l’évaluation de la garantie renforcée pour la jeunesse, ce qui nuit à son efficacité;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quater.</w:t>
            </w:r>
            <w:r>
              <w:tab/>
            </w:r>
            <w:r>
              <w:rPr>
                <w:b/>
                <w:i/>
              </w:rPr>
              <w:t>souligne qu’une part élevée de l’apprentissage dans des environnements de travail réels est un puissant moteur d’employabilité, de développement des compétences et d’innovation;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quinquies.</w:t>
            </w:r>
            <w:r>
              <w:tab/>
            </w:r>
            <w:r>
              <w:rPr>
                <w:b/>
                <w:i/>
              </w:rPr>
              <w:t>rappelle que les systèmes de formation en alternance combinant apprentissage en classe et expérience professionnelle pratique sont particulièrement efficaces pour faciliter une transition en douceur vers un emploi stable;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sexies.</w:t>
            </w:r>
            <w:r>
              <w:tab/>
            </w:r>
            <w:r>
              <w:rPr>
                <w:b/>
                <w:i/>
              </w:rPr>
              <w:t>souligne que l’enseignement et formation professionnels de qualité joue un rôle fondamental dans l’amélioration de l’employabilité des jeunes et la réponse aux besoins du marché du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Maravillas Abadía Jover,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 septies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septies.</w:t>
            </w:r>
            <w:r>
              <w:tab/>
            </w:r>
            <w:r>
              <w:rPr>
                <w:b/>
                <w:i/>
              </w:rPr>
              <w:t>rappelle que les programmes d’enseignement et formation professionnels devraient constamment adapter les programmes, afin d’y inclure le bien-être sur le lieu de travail, l’employabilité, les compétences numériques, l’innovation, l’IA et les secteurs émergents;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Maravillas Abadía Jover,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 octies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octies.</w:t>
            </w:r>
            <w:r>
              <w:tab/>
            </w:r>
            <w:r>
              <w:rPr>
                <w:b/>
                <w:i/>
              </w:rPr>
              <w:t>note qu’il est essentiel d’aligner l’éducation, la formation et la reconversion sur les besoins du marché du travail pour permettre aux jeunes et aux adultes d’acquérir les compétences nécessaires à l’emploi;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 nonies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nonies.</w:t>
            </w:r>
            <w:r>
              <w:tab/>
            </w:r>
            <w:r>
              <w:rPr>
                <w:b/>
                <w:i/>
              </w:rPr>
              <w:t>souligne que les jeunes, touchés par les transitions numérique et écologique, ont besoin des compétences et des possibilités pour stimuler l’innovation, la compétitivité, la productivité et la croissance économique;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Maravillas Abadía Jover,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 decies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decies.</w:t>
            </w:r>
            <w:r>
              <w:tab/>
            </w:r>
            <w:r>
              <w:rPr>
                <w:b/>
                <w:i/>
              </w:rPr>
              <w:t>souligne qu’un trop grand nombre de jeunes quittent l’enseignement obligatoire sans disposer des compétences nécessaires à l’enseignement et formation professionnels ou à des emplois de qualité, ce qui accroît leur risque d’exclusion du marché du travail et aggrave les pénuries de compétences;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 undecies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undecies.</w:t>
            </w:r>
            <w:r>
              <w:tab/>
            </w:r>
            <w:r>
              <w:rPr>
                <w:b/>
                <w:i/>
              </w:rPr>
              <w:t>souligne que le renforcement de la préparation à la formation et la promotion de l’enseignement et formation professionnels en tant que parcours égalitaire et attrayant sont essentiels pour garantir des possibilités équitables et une main-d’œuvre qualifiée et résiliente dans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 duodecies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duodecies.</w:t>
            </w:r>
            <w:r>
              <w:tab/>
            </w:r>
            <w:r>
              <w:rPr>
                <w:b/>
                <w:i/>
              </w:rPr>
              <w:t>souligne que l’amélioration des parcours d’enseignement et formation professionnels, le renforcement de l’attractivité des professions techniques et l’alignement de la formation sur les transitions écologique et numérique sont essentiels pour l’emploi des jeunes et les objectifs de l’Union en matière de climat, de logement et d’infrastructures;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 terdecies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terdecies.</w:t>
            </w:r>
            <w:r>
              <w:tab/>
            </w:r>
            <w:r>
              <w:rPr>
                <w:b/>
                <w:i/>
              </w:rPr>
              <w:t>réaffirme que le fait de garantir aux jeunes, en particulier aux futurs parents et aux jeunes femmes ayant des responsabilités familiales, un accès gratuit et individuel à la formation pendant les heures de travail peut aider à surmonter les obstacles liés au temps, à la vie familiale et aux ressources financières, en soutenant l’apprentissage tout au long de la vie et l’inclusion sur le marché du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 quaterdecies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quaterdecies.</w:t>
            </w:r>
            <w:r>
              <w:tab/>
            </w:r>
            <w:r>
              <w:rPr>
                <w:b/>
                <w:i/>
              </w:rPr>
              <w:t>souligne que les soins informels, y compris la parentalité, développent des compétences précieuses et transférables qui sont directement pertinentes pour les besoins modernes du marché du travail, mais qui ne sont pas reconnues dans les systèmes formels;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 quindecies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quindecies.</w:t>
            </w:r>
            <w:r>
              <w:tab/>
            </w:r>
            <w:r>
              <w:rPr>
                <w:b/>
                <w:i/>
              </w:rPr>
              <w:t>souligne que les compétences acquises par les jeunes grâce à l’apprentissage formel, non formel et informel devraient être pleinement reconnues et valorisées pour leur carrière et leur développement professionnel;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 sexdecies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sexdecies.</w:t>
            </w:r>
            <w:r>
              <w:tab/>
            </w:r>
            <w:r>
              <w:rPr>
                <w:b/>
                <w:i/>
              </w:rPr>
              <w:t>souligne que la reconnaissance des compétences en matière de soins contribue à éviter les sanctions professionnelles pour les mères et les aidants, favorise le développement professionnel et réduit les obstacles à la réintégration sur le marché du travail, réduisant ainsi le risque de statut de NEET et d’exclusion économique à long terme;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 septdecies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septdecies.</w:t>
            </w:r>
            <w:r>
              <w:tab/>
            </w:r>
            <w:r>
              <w:rPr>
                <w:b/>
                <w:i/>
              </w:rPr>
              <w:t>souligne que les mesures de soutien à la mobilité sont essentielles pour garantir l’égalité d’accès à un enseignement et à une formation professionnels de qualité entre les régions;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 octodecies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octodecies.</w:t>
            </w:r>
            <w:r>
              <w:tab/>
            </w:r>
            <w:r>
              <w:rPr>
                <w:b/>
                <w:i/>
              </w:rPr>
              <w:t>souligne que les politiques d’inclusion des jeunes axées sur l’accès à une éducation de qualité, à l’emploi, à la mobilité de la main-d’œuvre et à l’entrepreneuriat peuvent contribuer à permettre aux jeunes de contribuer à leur communauté et au développement économique et social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 novodecies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novodecies.</w:t>
            </w:r>
            <w:r>
              <w:tab/>
            </w:r>
            <w:r>
              <w:rPr>
                <w:b/>
                <w:i/>
              </w:rPr>
              <w:t>rappelle avec force que les performances et la capacité d’apprentissage de tous les jeunes, y compris ceux âgés de 15 à 18 ans et au-delà, sont renforcées par une alimentation saine;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relève que, malgré l’accent mis sur l’alignement des critères de qualité sur les cadres de l’Union, la qualité des offres n’a connu qu’une amélioration tangible très limitée depuis l’introduction de la garantie renforcée pour la jeunesse;</w:t>
            </w:r>
          </w:p>
        </w:tc>
        <w:tc>
          <w:tcPr>
            <w:tcW w:w="4876" w:type="dxa"/>
            <w:tcBorders>
              <w:top w:val="nil"/>
              <w:left w:val="nil"/>
              <w:bottom w:val="nil"/>
              <w:right w:val="nil"/>
            </w:tcBorders>
          </w:tcPr>
          <w:p>
            <w:pPr>
              <w:pStyle w:val="Normal6a"/>
            </w:pPr>
            <w:r>
              <w:t>13.</w:t>
            </w:r>
            <w:r>
              <w:tab/>
            </w:r>
            <w:r>
              <w:t xml:space="preserve">relève que, malgré l’accent mis sur l’alignement des critères de qualité sur les cadres de l’Union, la qualité des offres n’a connu qu’une amélioration tangible très limitée depuis l’introduction de la garantie renforcée pour la jeunesse; </w:t>
            </w:r>
            <w:r>
              <w:rPr>
                <w:b/>
                <w:i/>
              </w:rPr>
              <w:t>est préoccupé par le retour d’information des parties prenantes indiquant une dépendance à l’égard des offres d’emploi subventionnées débouchant sur des contrats à durée déterminée, des stages sans objectifs d’apprentissage clairs ou un manque de lien entre les qualifications des participants et les offres reçues ainsi qu’entre les besoins et les services disponibles;</w:t>
            </w:r>
            <w:r>
              <w:t xml:space="preserve"> </w:t>
            </w:r>
            <w:r>
              <w:rPr>
                <w:b/>
                <w:i/>
              </w:rPr>
              <w:t>rappelle que la recommandation souligne que la qualité de l’offre devrait être garantie par un soutien et un retour d’information après le placement;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relève que, malgré l’accent mis sur l’alignement des critères de qualité sur les cadres de l’Union, la qualité des offres n’a connu qu’une amélioration tangible très limitée depuis l’introduction de la garantie renforcée pour la jeunesse;</w:t>
            </w:r>
          </w:p>
        </w:tc>
        <w:tc>
          <w:tcPr>
            <w:tcW w:w="4876" w:type="dxa"/>
            <w:tcBorders>
              <w:top w:val="nil"/>
              <w:left w:val="nil"/>
              <w:bottom w:val="nil"/>
              <w:right w:val="nil"/>
            </w:tcBorders>
          </w:tcPr>
          <w:p>
            <w:pPr>
              <w:pStyle w:val="Normal6a"/>
            </w:pPr>
            <w:r>
              <w:t>13.</w:t>
            </w:r>
            <w:r>
              <w:tab/>
            </w:r>
            <w:r>
              <w:t xml:space="preserve">relève que, malgré l’accent mis sur l’alignement des critères de qualité sur les cadres de l’Union, la qualité des offres n’a connu qu’une amélioration tangible très limitée depuis l’introduction de la garantie renforcée pour la jeunesse; </w:t>
            </w:r>
            <w:r>
              <w:rPr>
                <w:b/>
                <w:i/>
              </w:rPr>
              <w:t>souligne que les offres proposées dans les dispositifs de garantie renforcée pour la jeunesse devraient être de qualité réelle, conduire à l’acquisition effective des compétences actuellement requises ou à une intégration stable sur le marché du travail, et ne devraient pas impliquer le remplacement d’emplois réguliers, le recours abusif aux stages ou le recyclage des jeunes dans des régimes temporaires et précaires;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relève que, malgré l’accent mis sur l’alignement des critères de qualité sur les cadres de l’Union, la qualité des offres n’a connu qu’une amélioration tangible très limitée depuis l’introduction de la garantie renforcée pour la jeunesse;</w:t>
            </w:r>
          </w:p>
        </w:tc>
        <w:tc>
          <w:tcPr>
            <w:tcW w:w="4876" w:type="dxa"/>
            <w:tcBorders>
              <w:top w:val="nil"/>
              <w:left w:val="nil"/>
              <w:bottom w:val="nil"/>
              <w:right w:val="nil"/>
            </w:tcBorders>
          </w:tcPr>
          <w:p>
            <w:pPr>
              <w:pStyle w:val="Normal6a"/>
            </w:pPr>
            <w:r>
              <w:t>13.</w:t>
            </w:r>
            <w:r>
              <w:tab/>
            </w:r>
            <w:r>
              <w:t xml:space="preserve">relève que, malgré l’accent mis sur l’alignement des critères de qualité sur les cadres de l’Union, la qualité des offres n’a connu qu’une amélioration tangible très limitée depuis l’introduction de la garantie renforcée pour la jeunesse; </w:t>
            </w:r>
            <w:r>
              <w:rPr>
                <w:b/>
                <w:i/>
              </w:rPr>
              <w:t>souligne par ailleurs que les jeunes ont besoin de possibilités concrètes et de qualité, en particulier de formations, d’apprentissages, de stages et de premières expériences professionnelles liés au travail, qui correspondent aux besoins du marché du travail et contribuent à éviter l’inadéquation des compétences et les sorties potentielles de talents;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relève</w:t>
            </w:r>
            <w:r>
              <w:t xml:space="preserve"> que, malgré l’accent mis sur l’alignement des critères de qualité sur les cadres de l’Union, la qualité des offres n’a connu qu’une amélioration tangible très limitée depuis l’introduction de la garantie renforcée pour la jeunesse;</w:t>
            </w:r>
          </w:p>
        </w:tc>
        <w:tc>
          <w:tcPr>
            <w:tcW w:w="4876" w:type="dxa"/>
            <w:tcBorders>
              <w:top w:val="nil"/>
              <w:left w:val="nil"/>
              <w:bottom w:val="nil"/>
              <w:right w:val="nil"/>
            </w:tcBorders>
          </w:tcPr>
          <w:p>
            <w:pPr>
              <w:pStyle w:val="Normal6a"/>
            </w:pPr>
            <w:r>
              <w:t>13.</w:t>
            </w:r>
            <w:r>
              <w:tab/>
            </w:r>
            <w:r>
              <w:rPr>
                <w:b/>
                <w:i/>
              </w:rPr>
              <w:t>déplore</w:t>
            </w:r>
            <w:r>
              <w:t xml:space="preserve"> que, malgré l’accent mis sur l’alignement des critères de qualité sur les cadres de l’Union, la qualité des offres n’a connu qu’une amélioration tangible très limitée depuis l’introduction </w:t>
            </w:r>
            <w:r>
              <w:rPr>
                <w:b/>
                <w:i/>
              </w:rPr>
              <w:t>du renforcement de la garantie pour la jeunesse;</w:t>
            </w:r>
            <w:r>
              <w:t xml:space="preserve"> </w:t>
            </w:r>
            <w:r>
              <w:rPr>
                <w:b/>
                <w:i/>
              </w:rPr>
              <w:t>souligne qu’il convient d’accorder la priorité à l’amélioration de la qualité des offres</w:t>
            </w:r>
            <w:r>
              <w:t xml:space="preserve"> de la garantie renforcée pour la jeunesse; </w:t>
            </w:r>
            <w:r>
              <w:rPr>
                <w:b/>
                <w:i/>
              </w:rPr>
              <w:t>souligne qu’il est inacceptable que les offres non rémunérées ou le volontariat puissent relever du champ d’application de la garantie renforcée pour la jeunesse;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relève que, malgré l’accent mis sur l’alignement des critères de qualité sur les cadres de l’Union, la qualité des </w:t>
            </w:r>
            <w:r>
              <w:rPr>
                <w:b/>
                <w:i/>
              </w:rPr>
              <w:t>offres n’a connu qu’une amélioration tangible très limitée depuis l’introduction de la garantie renforcée pour la jeunesse</w:t>
            </w:r>
            <w:r>
              <w:t>;</w:t>
            </w:r>
          </w:p>
        </w:tc>
        <w:tc>
          <w:tcPr>
            <w:tcW w:w="4876" w:type="dxa"/>
            <w:tcBorders>
              <w:top w:val="nil"/>
              <w:left w:val="nil"/>
              <w:bottom w:val="nil"/>
              <w:right w:val="nil"/>
            </w:tcBorders>
          </w:tcPr>
          <w:p>
            <w:pPr>
              <w:pStyle w:val="Normal6a"/>
            </w:pPr>
            <w:r>
              <w:t>13.</w:t>
            </w:r>
            <w:r>
              <w:tab/>
            </w:r>
            <w:r>
              <w:t xml:space="preserve">relève que, malgré l’accent mis sur l’alignement des critères de qualité sur les cadres de l’Union, la qualité des </w:t>
            </w:r>
            <w:r>
              <w:rPr>
                <w:b/>
                <w:i/>
              </w:rPr>
              <w:t>emplois proposés est souvent médiocre, mal rémunérée et sans perspective de progression</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souligne que la garantie renforcée pour la jeunesse n’a pas permis de lutter activement contre la discrimination fondée sur l’âge et la prévalence du travail précaire, ce qui expose les NEET, et en particulier les NEET vulnérables, à un risque d’exploitation et de pauvreté des travailleurs en raison de bas salaires, d’un manque de protection sociale, d’un manque de sécurité de l’emploi et d’une inégalité de traitement;</w:t>
            </w:r>
            <w:r>
              <w:t xml:space="preserve"> </w:t>
            </w:r>
            <w:r>
              <w:rPr>
                <w:b/>
                <w:i/>
              </w:rPr>
              <w:t>s’inquiète du fait que cela puisse contribuer à la normalisation des emplois précaires et de mauvaise qualité sur le marché du travail, où des emplois stables et décents sont remplacés par des stages et des formes de travail précaires et atypiques;</w:t>
            </w:r>
            <w:r>
              <w:t xml:space="preserve"> </w:t>
            </w:r>
            <w:r>
              <w:rPr>
                <w:b/>
                <w:i/>
              </w:rPr>
              <w:t>souligne, à cet égard, la nécessité de détecter et de combattre les pratiques qui contournent l’objectif des stages, ainsi que l’utilisation de relations de travail classiques déguisées en stages;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reconnaît le potentiel d’innovation de l’initiative ALMA (Aim, Learn, Master, Achieve – Orientation, Apprentissage, Maîtrise, Réussite) pour les NEET défavorisés afin de fournir un soutien supplémentaire et une expérience de formation par le travail à l’étranger aux groupes cibles vulnérables dans le cadre des dispositifs de garantie renforcée pour la jeunesse;</w:t>
            </w:r>
            <w:r>
              <w:t xml:space="preserve"> </w:t>
            </w:r>
            <w:r>
              <w:rPr>
                <w:b/>
                <w:i/>
              </w:rPr>
              <w:t>souligne que les premiers retours d’information sur ce programme mettent en évidence des difficultés de fonctionnement et le décrochage d’un nombre considérable de participants, ce qui indique la nécessité d’un soutien accru aux organisations qui mettent en œuvre ou souhaitent mettre en œuvre des projets ALMA, ainsi que d’un soutien ciblé aux bénéficiaires</w:t>
            </w:r>
            <w:r>
              <w:rPr>
                <w:b/>
                <w:i/>
                <w:vertAlign w:val="superscript"/>
              </w:rPr>
              <w:t>28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28 bis</w:t>
            </w:r>
            <w:r>
              <w:t xml:space="preserve"> </w:t>
            </w:r>
            <w:r>
              <w:rPr>
                <w:b/>
                <w:i/>
              </w:rPr>
              <w:t>Impact evaluation of the projects implemented under the ALMA initiative (Évaluation de l’impact des projets mis en œuvre dans le cadre de l’initiative ALMA), rapport d’évaluation final, Social Innovation+ Initiative (Initiative pour l’innovation sociale+),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13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ter.</w:t>
            </w:r>
            <w:r>
              <w:tab/>
            </w:r>
            <w:r>
              <w:rPr>
                <w:b/>
                <w:i/>
              </w:rPr>
              <w:t>regrette que la mise en œuvre de la garantie renforcée pour la jeunesse reste insuffisamment liée aux systèmes de protection sociale, ce qui donne lieu à des cas où la participation aux régimes de la garantie renforcée pour la jeunesse peut entraîner une réduction ou un retrait des prestations sociales tant pour les NEET que pour leurs ménages;</w:t>
            </w:r>
            <w:r>
              <w:t xml:space="preserve"> </w:t>
            </w:r>
            <w:r>
              <w:rPr>
                <w:b/>
                <w:i/>
              </w:rPr>
              <w:t>estime que cela peut créer un piège de pauvreté dans lequel les NEET vulnérables peuvent être découragés d’accepter des offres d’emploi, d’éducation, de formation et de perfectionnement professionnel;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13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ter.</w:t>
            </w:r>
            <w:r>
              <w:tab/>
            </w:r>
            <w:r>
              <w:rPr>
                <w:b/>
                <w:i/>
              </w:rPr>
              <w:t>se félicite des programmes élaborés dans le cadre des dispositifs de garantie renforcée pour la jeunesse dans certains États membres visant à développer l’entrepreneuriat des jeunes et les incitations en faveur des jeunes pousses;</w:t>
            </w:r>
            <w:r>
              <w:t xml:space="preserve"> </w:t>
            </w:r>
            <w:r>
              <w:rPr>
                <w:b/>
                <w:i/>
              </w:rPr>
              <w:t>estime que les initiatives en faveur des jeunes pousses nécessitent un soutien renforcé et spécialisé dans l’élaboration d’un plan d’entreprise durable susceptible de déboucher sur une activité viable;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13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ter.</w:t>
            </w:r>
            <w:r>
              <w:tab/>
            </w:r>
            <w:r>
              <w:rPr>
                <w:b/>
                <w:i/>
              </w:rPr>
              <w:t>se félicite que les parties prenantes de la garantie pour la jeunesse estiment que les fonds de l’Union disponibles pour son financement sont généralement adéquats et accessibles;</w:t>
            </w:r>
            <w:r>
              <w:t xml:space="preserve"> </w:t>
            </w:r>
            <w:r>
              <w:rPr>
                <w:b/>
                <w:i/>
              </w:rPr>
              <w:t>relève toutefois la tendance de certains États membres à s’appuyer presque entièrement sur le FSE+ pour financer les dispositifs de garantie renforcée pour la jeunesse, ce qui soulève des questions quant à la durabilité de ces programmes ou à l’utilisation des fonds de l’Union pour remplacer les fonds nationaux préexistants, limitant ainsi la capacité des programmes à se développer en réponse à la demande;</w:t>
            </w:r>
            <w:r>
              <w:t xml:space="preserve"> </w:t>
            </w:r>
            <w:r>
              <w:rPr>
                <w:b/>
                <w:i/>
              </w:rPr>
              <w:t>est préoccupé par le retour d’information indiquant que les problèmes liés aux fonds de l’Union découlent d’un manque persistant de capacités humaines, d’une mauvaise coordination dans certains États membres et de procédures peu claires, qui empêchent l’absorption et l’utilisation efficaces des fonds disponibles;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13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ter.</w:t>
            </w:r>
            <w:r>
              <w:tab/>
            </w:r>
            <w:r>
              <w:rPr>
                <w:b/>
                <w:i/>
              </w:rPr>
              <w:t>se félicite du cadre d’indicateurs pour le suivi de la garantie pour la jeunesse par le Comité de l’emploi et de son suivi annuel de la mise en œuvre de l’instrument, et souligne la solidité et la comparabilité des données d’indicateurs agrégées au niveau de l’Union;</w:t>
            </w:r>
            <w:r>
              <w:t xml:space="preserve"> </w:t>
            </w:r>
            <w:r>
              <w:rPr>
                <w:b/>
                <w:i/>
              </w:rPr>
              <w:t>déplore toutefois que le cadre de suivi contenant les données communiquées par les États membres soit de moindre qualité en ce qui concerne la collecte de données, le système de suivi et la proportion élevée de situations inconnues dans les résultats de la garantie pour la jeunesse;</w:t>
            </w:r>
            <w:r>
              <w:t xml:space="preserve"> </w:t>
            </w:r>
            <w:r>
              <w:rPr>
                <w:b/>
                <w:i/>
              </w:rPr>
              <w:t>souligne, en particulier, que les cadres de suivi nationaux excluent souvent les NEET inactifs qui ne sont pas enregistrés auprès des services publics, ce qui rend invisible une grande partie du groupe cible de la garantie renforcée pour la jeunesse;</w:t>
            </w:r>
            <w:r>
              <w:t xml:space="preserve"> </w:t>
            </w:r>
            <w:r>
              <w:rPr>
                <w:b/>
                <w:i/>
              </w:rPr>
              <w:t>est préoccupé par le fait que les indicateurs de suivi sont totalement absents dans plusieurs États membres et ne tiennent pas compte de la qualité des offres;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estime que la garantie renforcée pour la jeunesse n’a pas pleinement atteint ses objectifs et qu’elle doit encore être améliorée pour combler le fossé entre l’ambition de cet instrument et sa mise en œuvre pratique;</w:t>
            </w:r>
          </w:p>
        </w:tc>
        <w:tc>
          <w:tcPr>
            <w:tcW w:w="4876" w:type="dxa"/>
            <w:tcBorders>
              <w:top w:val="nil"/>
              <w:left w:val="nil"/>
              <w:bottom w:val="nil"/>
              <w:right w:val="nil"/>
            </w:tcBorders>
          </w:tcPr>
          <w:p>
            <w:pPr>
              <w:pStyle w:val="Normal6a"/>
            </w:pPr>
            <w:r>
              <w:t>14.</w:t>
            </w:r>
            <w:r>
              <w:tab/>
            </w:r>
            <w:r>
              <w:t xml:space="preserve">estime que la garantie renforcée pour la jeunesse n’a pas pleinement atteint ses objectifs et qu’elle doit encore être améliorée pour combler le fossé entre l’ambition de cet instrument et sa mise en œuvre pratique; </w:t>
            </w:r>
            <w:r>
              <w:rPr>
                <w:b/>
                <w:i/>
              </w:rPr>
              <w:t>souligne que les éléments de la garantie renforcée pour la jeunesse répondent aux critiques formulées à l’égard de l’instrument initial, mais qu’ils ne sont pas encore sur la bonne voie en raison de difficultés opérationnelles persistantes, de l’absence d’objectifs définis et de l’évaluation des programmes;</w:t>
            </w:r>
            <w:r>
              <w:t xml:space="preserve"> </w:t>
            </w:r>
            <w:r>
              <w:rPr>
                <w:b/>
                <w:i/>
              </w:rPr>
              <w:t>reconnaît que la plupart de ces défis se situent au niveau des États membres, mais que l’Union doit continuer à jouer pleinement son rôle en les soutenant, en promouvant les bonnes pratiques et en fournissant une assistance technique si nécessaire;</w:t>
            </w:r>
            <w:r>
              <w:t xml:space="preserve"> </w:t>
            </w:r>
            <w:r>
              <w:rPr>
                <w:b/>
                <w:i/>
              </w:rPr>
              <w:t>déplore que la conclusion de la Cour des comptes européenne de 2017 selon laquelle les progrès de la garantie pour la jeunesse ne sont pas à la hauteur des attentes soit encore partiellement vraie près de dix ans plus tard;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estime que</w:t>
            </w:r>
            <w:r>
              <w:t xml:space="preserve"> la garantie renforcée pour la jeunesse </w:t>
            </w:r>
            <w:r>
              <w:rPr>
                <w:b/>
                <w:i/>
              </w:rPr>
              <w:t>n’a pas</w:t>
            </w:r>
            <w:r>
              <w:t xml:space="preserve"> pleinement </w:t>
            </w:r>
            <w:r>
              <w:rPr>
                <w:b/>
                <w:i/>
              </w:rPr>
              <w:t>atteint ses</w:t>
            </w:r>
            <w:r>
              <w:t xml:space="preserve"> objectifs </w:t>
            </w:r>
            <w:r>
              <w:rPr>
                <w:b/>
                <w:i/>
              </w:rPr>
              <w:t>et qu’elle doit</w:t>
            </w:r>
            <w:r>
              <w:t xml:space="preserve"> encore </w:t>
            </w:r>
            <w:r>
              <w:rPr>
                <w:b/>
                <w:i/>
              </w:rPr>
              <w:t>être améliorée</w:t>
            </w:r>
            <w:r>
              <w:t xml:space="preserve"> pour combler le fossé entre l’ambition de cet instrument et sa mise en œuvre pratique;</w:t>
            </w:r>
          </w:p>
        </w:tc>
        <w:tc>
          <w:tcPr>
            <w:tcW w:w="4876" w:type="dxa"/>
            <w:tcBorders>
              <w:top w:val="nil"/>
              <w:left w:val="nil"/>
              <w:bottom w:val="nil"/>
              <w:right w:val="nil"/>
            </w:tcBorders>
          </w:tcPr>
          <w:p>
            <w:pPr>
              <w:pStyle w:val="Normal6a"/>
            </w:pPr>
            <w:r>
              <w:t>14.</w:t>
            </w:r>
            <w:r>
              <w:tab/>
            </w:r>
            <w:r>
              <w:rPr>
                <w:b/>
                <w:i/>
              </w:rPr>
              <w:t>souligne le potentiel de transformation de</w:t>
            </w:r>
            <w:r>
              <w:t xml:space="preserve"> la garantie renforcée pour la jeunesse </w:t>
            </w:r>
            <w:r>
              <w:rPr>
                <w:b/>
                <w:i/>
              </w:rPr>
              <w:t>régionale en vue de réduire le chômage, le sous-emploi et l’exclusion sociale des jeunes;</w:t>
            </w:r>
            <w:r>
              <w:t xml:space="preserve"> </w:t>
            </w:r>
            <w:r>
              <w:rPr>
                <w:b/>
                <w:i/>
              </w:rPr>
              <w:t>déplore que ce potentiel n’ait pas encore été</w:t>
            </w:r>
            <w:r>
              <w:t xml:space="preserve"> pleinement </w:t>
            </w:r>
            <w:r>
              <w:rPr>
                <w:b/>
                <w:i/>
              </w:rPr>
              <w:t>exploité par les États membres et que les</w:t>
            </w:r>
            <w:r>
              <w:t xml:space="preserve"> objectifs </w:t>
            </w:r>
            <w:r>
              <w:rPr>
                <w:b/>
                <w:i/>
              </w:rPr>
              <w:t>fondamentaux de l’instrument visant à réduire l’inactivité à long terme et à réintégrer les NEET les plus éloignés du marché du travail n’aient donc pas</w:t>
            </w:r>
            <w:r>
              <w:t xml:space="preserve"> encore </w:t>
            </w:r>
            <w:r>
              <w:rPr>
                <w:b/>
                <w:i/>
              </w:rPr>
              <w:t>été atteints;</w:t>
            </w:r>
            <w:r>
              <w:t xml:space="preserve"> </w:t>
            </w:r>
            <w:r>
              <w:rPr>
                <w:b/>
                <w:i/>
              </w:rPr>
              <w:t>souligne qu’il est urgent de procéder à des réformes ambitieuses et à de nouvelles améliorations</w:t>
            </w:r>
            <w:r>
              <w:t xml:space="preserve"> pour combler le fossé entre l’ambition de cet instrument et sa mise en œuvre pratique;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estime que la garantie renforcée pour la jeunesse n’a pas pleinement atteint ses objectifs et qu’elle doit encore être améliorée pour combler le fossé entre l’ambition de cet instrument et sa mise en œuvre pratique;</w:t>
            </w:r>
          </w:p>
        </w:tc>
        <w:tc>
          <w:tcPr>
            <w:tcW w:w="4876" w:type="dxa"/>
            <w:tcBorders>
              <w:top w:val="nil"/>
              <w:left w:val="nil"/>
              <w:bottom w:val="nil"/>
              <w:right w:val="nil"/>
            </w:tcBorders>
          </w:tcPr>
          <w:p>
            <w:pPr>
              <w:pStyle w:val="Normal6a"/>
            </w:pPr>
            <w:r>
              <w:t>14.</w:t>
            </w:r>
            <w:r>
              <w:tab/>
            </w:r>
            <w:r>
              <w:t xml:space="preserve">estime que la garantie renforcée pour la jeunesse n’a pas pleinement atteint ses objectifs et qu’elle doit encore être améliorée pour combler le fossé entre l’ambition de cet instrument et sa mise en œuvre pratique; </w:t>
            </w:r>
            <w:r>
              <w:rPr>
                <w:b/>
                <w:i/>
              </w:rPr>
              <w:t>prend acte des récentes conclusions d’Eurofound selon lesquelles l’inadéquation entre les aspirations des jeunes en matière d’emploi et les résultats concrets sur le marché du travail est associée à un risque plus élevé de dépression et d’exclusion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estime que la garantie renforcée pour la jeunesse n’a pas pleinement atteint ses objectifs </w:t>
            </w:r>
            <w:r>
              <w:rPr>
                <w:b/>
                <w:i/>
              </w:rPr>
              <w:t>et qu’elle doit encore être améliorée pour combler le fossé entre l’ambition de cet instrument et sa mise en œuvre pratique</w:t>
            </w:r>
            <w:r>
              <w:t>;</w:t>
            </w:r>
          </w:p>
        </w:tc>
        <w:tc>
          <w:tcPr>
            <w:tcW w:w="4876" w:type="dxa"/>
            <w:tcBorders>
              <w:top w:val="nil"/>
              <w:left w:val="nil"/>
              <w:bottom w:val="nil"/>
              <w:right w:val="nil"/>
            </w:tcBorders>
          </w:tcPr>
          <w:p>
            <w:pPr>
              <w:pStyle w:val="Normal6a"/>
            </w:pPr>
            <w:r>
              <w:t>14.</w:t>
            </w:r>
            <w:r>
              <w:tab/>
            </w:r>
            <w:r>
              <w:t>estime que la garantie renforcée pour la jeunesse n’a pas pleinement atteint ses objectifs;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estime que la garantie renforcée pour la jeunesse n’a pas pleinement atteint ses objectifs </w:t>
            </w:r>
            <w:r>
              <w:rPr>
                <w:b/>
                <w:i/>
              </w:rPr>
              <w:t>et qu’elle doit encore être améliorée pour combler le fossé entre l’ambition de cet instrument et sa mise en œuvre pratique;</w:t>
            </w:r>
          </w:p>
        </w:tc>
        <w:tc>
          <w:tcPr>
            <w:tcW w:w="4876" w:type="dxa"/>
            <w:tcBorders>
              <w:top w:val="nil"/>
              <w:left w:val="nil"/>
              <w:bottom w:val="nil"/>
              <w:right w:val="nil"/>
            </w:tcBorders>
          </w:tcPr>
          <w:p>
            <w:pPr>
              <w:pStyle w:val="Normal6a"/>
            </w:pPr>
            <w:r>
              <w:t>14.</w:t>
            </w:r>
            <w:r>
              <w:tab/>
            </w:r>
            <w:r>
              <w:t>estime que la garantie renforcée pour la jeunesse n’a pas pleinement atteint ses objectifs</w:t>
            </w:r>
            <w:r>
              <w:rPr>
                <w:b/>
                <w:i/>
              </w:rP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souligne que les mesures en matière de logement adaptées aux zones où sont parlées des langues régionales, minoritaires ou nationales moins répandues doivent être élaborées en pleine coopération avec les communautés locales, car elles sont les mieux placées pour comprendre leurs propres besoins et les enjeux importants auxquels elles sont confrontées;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souligne l’importance d’un cadre stratégique propice à la mise en œuvre de la garantie renforcée pour la jeunesse, tel que des normes de qualité pour l’emploi, les conditions de travail, l’éducation, les stages et les apprentissages, la mise en place de structures de garde d’enfants supplémentaires pour libérer le potentiel des parents, des politiques d’inclusion pour les personnes handicapées, une politique des transports efficace, des mesures visant à garantir l’accessibilité financière du logement et des possibilités de formation appropriées;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invite les États membres à apporter des améliorations ciblées aux</w:t>
            </w:r>
            <w:r>
              <w:t xml:space="preserve"> capacités </w:t>
            </w:r>
            <w:r>
              <w:rPr>
                <w:b/>
                <w:i/>
              </w:rPr>
              <w:t>administratives spécifiques des services publics de l’emploi et des autres entités nationales</w:t>
            </w:r>
            <w:r>
              <w:t xml:space="preserve"> chargées de la mise en œuvre de la garantie renforcée pour la jeunesse;</w:t>
            </w:r>
          </w:p>
        </w:tc>
        <w:tc>
          <w:tcPr>
            <w:tcW w:w="4876" w:type="dxa"/>
            <w:tcBorders>
              <w:top w:val="nil"/>
              <w:left w:val="nil"/>
              <w:bottom w:val="nil"/>
              <w:right w:val="nil"/>
            </w:tcBorders>
          </w:tcPr>
          <w:p>
            <w:pPr>
              <w:pStyle w:val="Normal6a"/>
            </w:pPr>
            <w:r>
              <w:t>15.</w:t>
            </w:r>
            <w:r>
              <w:tab/>
            </w:r>
            <w:r>
              <w:rPr>
                <w:b/>
                <w:i/>
              </w:rPr>
              <w:t>encourage la Commission européenne à soutenir le renforcement des</w:t>
            </w:r>
            <w:r>
              <w:t xml:space="preserve"> capacités </w:t>
            </w:r>
            <w:r>
              <w:rPr>
                <w:b/>
                <w:i/>
              </w:rPr>
              <w:t>des autorités compétentes</w:t>
            </w:r>
            <w:r>
              <w:t xml:space="preserve"> chargées de la mise en œuvre de la garantie renforcée pour la jeunesse</w:t>
            </w:r>
            <w:r>
              <w:rPr>
                <w:b/>
                <w:i/>
              </w:rPr>
              <w:t>, notamment en renforçant les ressources administratives et humaines spécialisées dans le soutien à l’emploi des jeunes d’une manière proportionnée aux défis rencontrés</w:t>
            </w:r>
            <w:r>
              <w:t xml:space="preserve">; </w:t>
            </w:r>
            <w:r>
              <w:rPr>
                <w:b/>
                <w:i/>
              </w:rPr>
              <w:t>souligne que, dans les États membres où les compétences en matière de politiques actives du marché du travail et de formation professionnelle sont attribuées aux autorités infranationales, les programmes de renforcement des capacités doivent être accessibles aux autorités régionales et locales compétentes sur un pied d’égalité avec les autorités centrales;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invite les États membres à apporter des améliorations ciblées aux capacités administratives spécifiques des services publics de l’emploi et des autres entités nationales chargées de la mise en œuvre de la garantie renforcée pour la jeunesse;</w:t>
            </w:r>
          </w:p>
        </w:tc>
        <w:tc>
          <w:tcPr>
            <w:tcW w:w="4876" w:type="dxa"/>
            <w:tcBorders>
              <w:top w:val="nil"/>
              <w:left w:val="nil"/>
              <w:bottom w:val="nil"/>
              <w:right w:val="nil"/>
            </w:tcBorders>
          </w:tcPr>
          <w:p>
            <w:pPr>
              <w:pStyle w:val="Normal6a"/>
            </w:pPr>
            <w:r>
              <w:t>15.</w:t>
            </w:r>
            <w:r>
              <w:tab/>
            </w:r>
            <w:r>
              <w:t xml:space="preserve">invite les États membres à apporter des améliorations ciblées aux capacités administratives spécifiques des services publics de l’emploi et des autres entités nationales chargées de la mise en œuvre de la garantie renforcée pour la jeunesse; </w:t>
            </w:r>
            <w:r>
              <w:rPr>
                <w:b/>
                <w:i/>
              </w:rPr>
              <w:t>estime que cette modernisation et cette numérisation des services publics de l’emploi doivent s’accompagner d’investissements dans la formation de personnel spécialisé afin de permettre la fourniture de services efficaces et personnalisés;</w:t>
            </w:r>
            <w:r>
              <w:t xml:space="preserve"> </w:t>
            </w:r>
            <w:r>
              <w:rPr>
                <w:b/>
                <w:i/>
              </w:rPr>
              <w:t>invite la Commission à veiller à ce que les services publics de l’emploi soient mieux équipés pour atteindre les NEET faisant face à des obstacles complexes;</w:t>
            </w:r>
            <w:r>
              <w:t xml:space="preserve"> </w:t>
            </w:r>
            <w:r>
              <w:rPr>
                <w:b/>
                <w:i/>
              </w:rPr>
              <w:t>souligne le potentiel de coopération entre les services publics de l’emploi et les agences privées pour l’emploi;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invite les États membres à </w:t>
            </w:r>
            <w:r>
              <w:rPr>
                <w:b/>
                <w:i/>
              </w:rPr>
              <w:t>apporter des améliorations ciblées aux capacités administratives</w:t>
            </w:r>
            <w:r>
              <w:t xml:space="preserve"> spécifiques des services publics de l’emploi et </w:t>
            </w:r>
            <w:r>
              <w:rPr>
                <w:b/>
                <w:i/>
              </w:rPr>
              <w:t>des autres</w:t>
            </w:r>
            <w:r>
              <w:t xml:space="preserve"> entités nationales </w:t>
            </w:r>
            <w:r>
              <w:rPr>
                <w:b/>
                <w:i/>
              </w:rPr>
              <w:t>chargées de</w:t>
            </w:r>
            <w:r>
              <w:t xml:space="preserve"> la mise en œuvre de la garantie renforcée pour la jeunesse;</w:t>
            </w:r>
          </w:p>
        </w:tc>
        <w:tc>
          <w:tcPr>
            <w:tcW w:w="4876" w:type="dxa"/>
            <w:tcBorders>
              <w:top w:val="nil"/>
              <w:left w:val="nil"/>
              <w:bottom w:val="nil"/>
              <w:right w:val="nil"/>
            </w:tcBorders>
          </w:tcPr>
          <w:p>
            <w:pPr>
              <w:pStyle w:val="Normal6a"/>
            </w:pPr>
            <w:r>
              <w:t>15.</w:t>
            </w:r>
            <w:r>
              <w:tab/>
            </w:r>
            <w:r>
              <w:t xml:space="preserve">invite les États membres à </w:t>
            </w:r>
            <w:r>
              <w:rPr>
                <w:b/>
                <w:i/>
              </w:rPr>
              <w:t>allouer des ressources</w:t>
            </w:r>
            <w:r>
              <w:t xml:space="preserve"> spécifiques </w:t>
            </w:r>
            <w:r>
              <w:rPr>
                <w:b/>
                <w:i/>
              </w:rPr>
              <w:t>pour renforcer spécifiquement la capacité administrative</w:t>
            </w:r>
            <w:r>
              <w:t xml:space="preserve"> des services publics de l’emploi et </w:t>
            </w:r>
            <w:r>
              <w:rPr>
                <w:b/>
                <w:i/>
              </w:rPr>
              <w:t>d’autres</w:t>
            </w:r>
            <w:r>
              <w:t xml:space="preserve"> entités nationales </w:t>
            </w:r>
            <w:r>
              <w:rPr>
                <w:b/>
                <w:i/>
              </w:rPr>
              <w:t>concernées afin de garantir</w:t>
            </w:r>
            <w:r>
              <w:t xml:space="preserve"> la mise en œuvre </w:t>
            </w:r>
            <w:r>
              <w:rPr>
                <w:b/>
                <w:i/>
              </w:rPr>
              <w:t>effective</w:t>
            </w:r>
            <w:r>
              <w:t xml:space="preserve"> de la garantie renforcée pour la jeunesse </w:t>
            </w:r>
            <w:r>
              <w:rPr>
                <w:b/>
                <w:i/>
              </w:rPr>
              <w:t>et de fournir en temps utile un soutien personnalisé et efficace dans le délai d’intervention de quatre mois ainsi qu’un soutien de suivi durable</w:t>
            </w:r>
            <w:r>
              <w:t xml:space="preserve">; </w:t>
            </w:r>
            <w:r>
              <w:rPr>
                <w:b/>
                <w:i/>
              </w:rPr>
              <w:t>demande une formation obligatoire et structurée pour les travailleurs des services publics de l’emploi et les autres membres du personnel concernés sur les préjugés inconscients et la non-discrimination, l’identification proactive des NEET difficiles à atteindre, ainsi qu’une sensibilisation et un soutien efficaces aux NEET vulnérables;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invite les États membres à apporter des améliorations ciblées aux capacités administratives </w:t>
            </w:r>
            <w:r>
              <w:rPr>
                <w:b/>
                <w:i/>
              </w:rPr>
              <w:t>spécifiques</w:t>
            </w:r>
            <w:r>
              <w:t xml:space="preserve"> des services publics de l’emploi et des autres entités nationales chargées de la mise en œuvre de la garantie renforcée pour la jeunesse;</w:t>
            </w:r>
          </w:p>
        </w:tc>
        <w:tc>
          <w:tcPr>
            <w:tcW w:w="4876" w:type="dxa"/>
            <w:tcBorders>
              <w:top w:val="nil"/>
              <w:left w:val="nil"/>
              <w:bottom w:val="nil"/>
              <w:right w:val="nil"/>
            </w:tcBorders>
          </w:tcPr>
          <w:p>
            <w:pPr>
              <w:pStyle w:val="Normal6a"/>
            </w:pPr>
            <w:r>
              <w:t>15.</w:t>
            </w:r>
            <w:r>
              <w:tab/>
            </w:r>
            <w:r>
              <w:t xml:space="preserve">invite les États membres à apporter des améliorations ciblées aux capacités administratives des services publics de l’emploi et des autres entités nationales chargées de la mise en œuvre de la garantie renforcée pour la jeunesse; </w:t>
            </w:r>
            <w:r>
              <w:rPr>
                <w:b/>
                <w:i/>
              </w:rPr>
              <w:t>souligne la nécessité de renforcer les ressources et la formation des SPE, notamment au moyen d’une dotation en personnel suffisante, de la numérisation et de capacités de sensibilisation, afin de fournir un soutien personnalisé et inclusif aux jeunes, en particulier aux jeunes vulnérables;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invite les États membres à </w:t>
            </w:r>
            <w:r>
              <w:rPr>
                <w:b/>
                <w:i/>
              </w:rPr>
              <w:t>apporter des améliorations ciblées aux</w:t>
            </w:r>
            <w:r>
              <w:t xml:space="preserve"> capacités administratives </w:t>
            </w:r>
            <w:r>
              <w:rPr>
                <w:b/>
                <w:i/>
              </w:rPr>
              <w:t>spécifiques</w:t>
            </w:r>
            <w:r>
              <w:t xml:space="preserve"> des services publics de l’emploi et des autres </w:t>
            </w:r>
            <w:r>
              <w:rPr>
                <w:b/>
                <w:i/>
              </w:rPr>
              <w:t>entités nationales chargées</w:t>
            </w:r>
            <w:r>
              <w:t xml:space="preserve"> de la mise en œuvre de la garantie renforcée pour la jeunesse;</w:t>
            </w:r>
          </w:p>
        </w:tc>
        <w:tc>
          <w:tcPr>
            <w:tcW w:w="4876" w:type="dxa"/>
            <w:tcBorders>
              <w:top w:val="nil"/>
              <w:left w:val="nil"/>
              <w:bottom w:val="nil"/>
              <w:right w:val="nil"/>
            </w:tcBorders>
          </w:tcPr>
          <w:p>
            <w:pPr>
              <w:pStyle w:val="Normal6a"/>
            </w:pPr>
            <w:r>
              <w:t>15.</w:t>
            </w:r>
            <w:r>
              <w:tab/>
            </w:r>
            <w:r>
              <w:t xml:space="preserve">invite les États membres à </w:t>
            </w:r>
            <w:r>
              <w:rPr>
                <w:b/>
                <w:i/>
              </w:rPr>
              <w:t>renforcer les</w:t>
            </w:r>
            <w:r>
              <w:t xml:space="preserve"> capacités administratives </w:t>
            </w:r>
            <w:r>
              <w:rPr>
                <w:b/>
                <w:i/>
              </w:rPr>
              <w:t>et opérationnelles</w:t>
            </w:r>
            <w:r>
              <w:t xml:space="preserve"> des services publics de l’emploi </w:t>
            </w:r>
            <w:r>
              <w:rPr>
                <w:b/>
                <w:i/>
              </w:rPr>
              <w:t>(SPE)</w:t>
            </w:r>
            <w:r>
              <w:t xml:space="preserve"> et des autres </w:t>
            </w:r>
            <w:r>
              <w:rPr>
                <w:b/>
                <w:i/>
              </w:rPr>
              <w:t>organismes nationaux chargés</w:t>
            </w:r>
            <w:r>
              <w:t xml:space="preserve"> de la mise en œuvre de la garantie renforcée pour la jeunesse</w:t>
            </w:r>
            <w:r>
              <w:rPr>
                <w:b/>
                <w:i/>
              </w:rPr>
              <w:t>, notamment par une coopération plus étroite avec les écoles, les universités, les prestataires de formation professionnelle et les employeurs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invite les États membres à apporter des améliorations ciblées aux capacités administratives spécifiques des services publics de l’emploi et des autres entités nationales chargées de la mise en œuvre de la garantie renforcée pour la jeunesse;</w:t>
            </w:r>
          </w:p>
        </w:tc>
        <w:tc>
          <w:tcPr>
            <w:tcW w:w="4876" w:type="dxa"/>
            <w:tcBorders>
              <w:top w:val="nil"/>
              <w:left w:val="nil"/>
              <w:bottom w:val="nil"/>
              <w:right w:val="nil"/>
            </w:tcBorders>
          </w:tcPr>
          <w:p>
            <w:pPr>
              <w:pStyle w:val="Normal6a"/>
            </w:pPr>
            <w:r>
              <w:t>15.</w:t>
            </w:r>
            <w:r>
              <w:tab/>
            </w:r>
            <w:r>
              <w:t>invite les États membres à apporter des améliorations ciblées aux capacités administratives spécifiques des services publics de l’emploi et des autres entités nationales chargées de la mise en œuvre de la garantie renforcée pour la jeunesse</w:t>
            </w:r>
            <w:r>
              <w:rPr>
                <w:b/>
                <w:i/>
              </w:rPr>
              <w:t>,</w:t>
            </w:r>
            <w:r>
              <w:t xml:space="preserve"> </w:t>
            </w:r>
            <w:r>
              <w:rPr>
                <w:b/>
                <w:i/>
              </w:rPr>
              <w:t>en vue de faire de cet instrument un instrument permanent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invite les États membres à apporter des améliorations ciblées aux capacités administratives spécifiques des services publics de l’emploi et des autres entités nationales chargées de la mise en œuvre de la garantie renforcée pour la jeunesse;</w:t>
            </w:r>
          </w:p>
        </w:tc>
        <w:tc>
          <w:tcPr>
            <w:tcW w:w="4876" w:type="dxa"/>
            <w:tcBorders>
              <w:top w:val="nil"/>
              <w:left w:val="nil"/>
              <w:bottom w:val="nil"/>
              <w:right w:val="nil"/>
            </w:tcBorders>
          </w:tcPr>
          <w:p>
            <w:pPr>
              <w:pStyle w:val="Normal6a"/>
            </w:pPr>
            <w:r>
              <w:t>15.</w:t>
            </w:r>
            <w:r>
              <w:tab/>
            </w:r>
            <w:r>
              <w:t xml:space="preserve">invite les États membres à apporter des améliorations ciblées aux capacités administratives spécifiques des services publics de l’emploi et des autres entités nationales chargées de la mise en œuvre de la garantie renforcée pour la jeunesse </w:t>
            </w:r>
            <w:r>
              <w:rPr>
                <w:b/>
                <w:i/>
              </w:rPr>
              <w:t>en augmentant les investissements publics</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invite les États membres à donner aux inspections nationales du travail et aux autorités compétentes les moyens de détecter et de combattre efficacement les pratiques qui contournent l’objectif des stages et l’utilisation de relations de travail classiques déguisées en stages, à garantir la pleine application du droit de l’Union applicable aux travailleurs et à veiller à ce que les stagiaires aient accès à des canaux de signalement anonymes, sûrs et efficaces en cas de mauvaises pratiques et de mauvaises conditions de travail, de violations présumées des droits et obligations, et à fournir des informations sur ces canaux;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invite les États membres à veiller à ce que la mise en œuvre de la garantie renforcée pour la jeunesse reflète les messages clés du Comité de l’emploi, approuvés par le Conseil en 2018, 2019, 2021, 2023, 2025 et 2026, en renforçant la prévention et l’intervention précoce, en promouvant des partenariats efficaces à tous les niveaux et en renforçant les capacités et le rôle de coordination des services publics de l’emploi (SPE);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Martine Kemp, Regina Doherty, Liesbet Sommen, 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souligne qu’il importe de tirer pleinement parti du réseau européen des services publics de l’emploi pour promouvoir l’échange de bonnes pratiques, favoriser l’apprentissage par les pairs et l’évaluation comparative, et soutenir la convergence des performances entre les États membres;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ter.</w:t>
            </w:r>
            <w:r>
              <w:tab/>
            </w:r>
            <w:r>
              <w:rPr>
                <w:b/>
                <w:i/>
              </w:rPr>
              <w:t>invite les États membres à allouer des investissements ciblés et accrus à la mise en œuvre de la garantie renforcée pour la jeunesse dans les zones où les taux de chômage et d’inactivité des jeunes sont élevés et où les désavantages structurels et les difficultés de mise en œuvre sont plus importants;</w:t>
            </w:r>
            <w:r>
              <w:t xml:space="preserve"> </w:t>
            </w:r>
            <w:r>
              <w:rPr>
                <w:b/>
                <w:i/>
              </w:rPr>
              <w:t>demande le renforcement des capacités administratives, de sensibilisation et de mise en œuvre des services publics de l’emploi dans ces domaines afin de garantir un soutien efficace aux NEET difficiles à atteindre et vulnérables;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ter.</w:t>
            </w:r>
            <w:r>
              <w:tab/>
            </w:r>
            <w:r>
              <w:rPr>
                <w:b/>
                <w:i/>
              </w:rPr>
              <w:t>invite la Commission et les États membres à équiper efficacement le personnel des SPE, en les reconnaissant comme des acteurs de première ligne essentiels pour mobiliser les jeunes faisant face à des obstacles complexes;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quater.</w:t>
            </w:r>
            <w:r>
              <w:tab/>
            </w:r>
            <w:r>
              <w:rPr>
                <w:b/>
                <w:i/>
              </w:rPr>
              <w:t>invite les États membres à investir dans des infrastructures de sensibilisation décentralisées et axées sur la communauté pour les services publics de l’emploi et à établir des partenariats formels entre les services publics de l’emploi, les services sociaux et les organisations locales afin de mieux faire participer les NEET difficiles à atteindre, et en particulier les jeunes ruraux;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Niels Geuking, Romana Tomc, Liesbet Sommen, Maravillas Abadía Jover,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quinquies.</w:t>
            </w:r>
            <w:r>
              <w:tab/>
            </w:r>
            <w:r>
              <w:rPr>
                <w:b/>
                <w:i/>
              </w:rPr>
              <w:t>invite les États membres à veiller à ce que tous les modèles de garantie pour la jeunesse, qu’il s’agisse de systèmes ciblés fondés sur les parcours ou plus universalistes, s’adressent activement aux jeunes plutôt que de s’appuyer uniquement sur les inscriptions, afin d’apporter un soutien équitable indépendamment des circonstances ou de la localisation;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demande à la Commission et aux États membres d’apporter un soutien global pour lever les obstacles complexes auxquels sont confrontés les NEET, afin de s’attaquer aux causes profondes de l’exclusion sociale avant de remédier à la situation professionnelle des NEET;</w:t>
            </w:r>
          </w:p>
        </w:tc>
        <w:tc>
          <w:tcPr>
            <w:tcW w:w="4876" w:type="dxa"/>
            <w:tcBorders>
              <w:top w:val="nil"/>
              <w:left w:val="nil"/>
              <w:bottom w:val="nil"/>
              <w:right w:val="nil"/>
            </w:tcBorders>
          </w:tcPr>
          <w:p>
            <w:pPr>
              <w:pStyle w:val="Normal6a"/>
            </w:pPr>
            <w:r>
              <w:t>16.</w:t>
            </w:r>
            <w:r>
              <w:tab/>
            </w:r>
            <w:r>
              <w:t xml:space="preserve">demande à la Commission et aux États membres d’apporter un soutien global pour lever les obstacles complexes auxquels sont confrontés les NEET, afin de s’attaquer aux causes profondes de l’exclusion sociale avant de remédier à la situation professionnelle des NEET; </w:t>
            </w:r>
            <w:r>
              <w:rPr>
                <w:b/>
                <w:i/>
              </w:rPr>
              <w:t>souligne que ce soutien doit être fourni sous la forme d’un ensemble de mesures proposées par les services publics de l’emploi et d’autres services sociaux pertinents visant à aider à la prise en charge des enfants et des responsabilités familiales, à renforcer la planification familiale, à soutenir l’accès au logement et aux soins de santé, y compris la santé mentale, et à lutter contre la dépendance;</w:t>
            </w:r>
            <w:r>
              <w:t xml:space="preserve"> </w:t>
            </w:r>
            <w:r>
              <w:rPr>
                <w:b/>
                <w:i/>
              </w:rPr>
              <w:t>invite en outre les États membres dont le taux de sortie positif et en temps utile ou le taux de couverture est inférieur à la moyenne de l’Union à procéder à une évaluation complète de leurs dispositifs de garantie renforcée pour la jeunesse afin de déterminer les raisons de ces lacunes et d’y remédier en remaniant ces dispositifs sur la base des résultats;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demande à la Commission et aux États membres d’apporter un soutien global pour lever les obstacles complexes auxquels sont confrontés les NEET, afin de s’attaquer aux causes profondes de l’exclusion sociale avant de remédier à la situation professionnelle des NEET;</w:t>
            </w:r>
          </w:p>
        </w:tc>
        <w:tc>
          <w:tcPr>
            <w:tcW w:w="4876" w:type="dxa"/>
            <w:tcBorders>
              <w:top w:val="nil"/>
              <w:left w:val="nil"/>
              <w:bottom w:val="nil"/>
              <w:right w:val="nil"/>
            </w:tcBorders>
          </w:tcPr>
          <w:p>
            <w:pPr>
              <w:pStyle w:val="Normal6a"/>
            </w:pPr>
            <w:r>
              <w:t>16.</w:t>
            </w:r>
            <w:r>
              <w:tab/>
            </w:r>
            <w:r>
              <w:t xml:space="preserve">demande à la Commission et aux États membres d’apporter un soutien global pour lever les obstacles complexes auxquels sont confrontés les NEET, </w:t>
            </w:r>
            <w:r>
              <w:rPr>
                <w:b/>
                <w:i/>
              </w:rPr>
              <w:t>en s’attaquant en particulier aux difficultés en matière de logement, de santé mentale et de financement recensées comme étant les principaux obstacles à l’indépendance des jeunes,</w:t>
            </w:r>
            <w:r>
              <w:t xml:space="preserve"> afin de s’attaquer aux causes profondes de l’exclusion sociale avant de remédier à la situation professionnelle des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demande à la Commission et aux États membres d’apporter un soutien global pour lever les obstacles complexes auxquels sont confrontés les NEET, afin de s’attaquer aux causes profondes de l’exclusion sociale avant de remédier à la situation professionnelle des NEET;</w:t>
            </w:r>
          </w:p>
        </w:tc>
        <w:tc>
          <w:tcPr>
            <w:tcW w:w="4876" w:type="dxa"/>
            <w:tcBorders>
              <w:top w:val="nil"/>
              <w:left w:val="nil"/>
              <w:bottom w:val="nil"/>
              <w:right w:val="nil"/>
            </w:tcBorders>
          </w:tcPr>
          <w:p>
            <w:pPr>
              <w:pStyle w:val="Normal6a"/>
            </w:pPr>
            <w:r>
              <w:t>16.</w:t>
            </w:r>
            <w:r>
              <w:tab/>
            </w:r>
            <w:r>
              <w:t>demande à la Commission et aux États membres d’apporter un soutien global pour lever les obstacles complexes auxquels sont confrontés les NEET, afin de s’attaquer aux causes profondes de l’exclusion sociale avant de remédier à la situation professionnelle des NEET</w:t>
            </w:r>
            <w:r>
              <w:rPr>
                <w:b/>
                <w:i/>
              </w:rPr>
              <w:t>, y compris l’accès au logement, aux soins de santé et à l’aide au revenu</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demande à la Commission et aux États membres d’apporter un soutien global pour lever les obstacles complexes auxquels sont confrontés les NEET, afin de s’attaquer aux causes profondes de l’exclusion sociale avant de remédier à </w:t>
            </w:r>
            <w:r>
              <w:rPr>
                <w:b/>
                <w:i/>
              </w:rPr>
              <w:t>la</w:t>
            </w:r>
            <w:r>
              <w:t xml:space="preserve"> situation professionnelle </w:t>
            </w:r>
            <w:r>
              <w:rPr>
                <w:b/>
                <w:i/>
              </w:rPr>
              <w:t>des NEET</w:t>
            </w:r>
            <w:r>
              <w:t>;</w:t>
            </w:r>
          </w:p>
        </w:tc>
        <w:tc>
          <w:tcPr>
            <w:tcW w:w="4876" w:type="dxa"/>
            <w:tcBorders>
              <w:top w:val="nil"/>
              <w:left w:val="nil"/>
              <w:bottom w:val="nil"/>
              <w:right w:val="nil"/>
            </w:tcBorders>
          </w:tcPr>
          <w:p>
            <w:pPr>
              <w:pStyle w:val="Normal6a"/>
            </w:pPr>
            <w:r>
              <w:t>16.</w:t>
            </w:r>
            <w:r>
              <w:tab/>
            </w:r>
            <w:r>
              <w:t xml:space="preserve">demande à la Commission et aux États membres d’apporter un soutien global pour lever les obstacles </w:t>
            </w:r>
            <w:r>
              <w:rPr>
                <w:b/>
                <w:i/>
              </w:rPr>
              <w:t>structurels et souvent</w:t>
            </w:r>
            <w:r>
              <w:t xml:space="preserve"> complexes auxquels sont confrontés les NEET </w:t>
            </w:r>
            <w:r>
              <w:rPr>
                <w:b/>
                <w:i/>
              </w:rPr>
              <w:t>vulnérables</w:t>
            </w:r>
            <w:r>
              <w:t xml:space="preserve">, afin de s’attaquer aux causes profondes de l’exclusion sociale </w:t>
            </w:r>
            <w:r>
              <w:rPr>
                <w:b/>
                <w:i/>
              </w:rPr>
              <w:t>et du marché du travail</w:t>
            </w:r>
            <w:r>
              <w:t xml:space="preserve"> avant de remédier à </w:t>
            </w:r>
            <w:r>
              <w:rPr>
                <w:b/>
                <w:i/>
              </w:rPr>
              <w:t>leur</w:t>
            </w:r>
            <w:r>
              <w:t xml:space="preserve"> situation professionnelle;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demande à la Commission et aux</w:t>
            </w:r>
            <w:r>
              <w:t xml:space="preserve"> États membres </w:t>
            </w:r>
            <w:r>
              <w:rPr>
                <w:b/>
                <w:i/>
              </w:rPr>
              <w:t>d’apporter</w:t>
            </w:r>
            <w:r>
              <w:t xml:space="preserve"> un soutien global pour lever les obstacles complexes auxquels sont confrontés les NEET, afin de s’attaquer aux causes profondes de l’exclusion sociale avant de remédier à la situation professionnelle des NEET;</w:t>
            </w:r>
          </w:p>
        </w:tc>
        <w:tc>
          <w:tcPr>
            <w:tcW w:w="4876" w:type="dxa"/>
            <w:tcBorders>
              <w:top w:val="nil"/>
              <w:left w:val="nil"/>
              <w:bottom w:val="nil"/>
              <w:right w:val="nil"/>
            </w:tcBorders>
          </w:tcPr>
          <w:p>
            <w:pPr>
              <w:pStyle w:val="Normal6a"/>
            </w:pPr>
            <w:r>
              <w:t>16.</w:t>
            </w:r>
            <w:r>
              <w:tab/>
            </w:r>
            <w:r>
              <w:rPr>
                <w:b/>
                <w:i/>
              </w:rPr>
              <w:t>invite les</w:t>
            </w:r>
            <w:r>
              <w:t xml:space="preserve"> États membres </w:t>
            </w:r>
            <w:r>
              <w:rPr>
                <w:b/>
                <w:i/>
              </w:rPr>
              <w:t>à apporter</w:t>
            </w:r>
            <w:r>
              <w:t xml:space="preserve"> un soutien global pour lever les obstacles complexes auxquels sont confrontés les NEET, afin de s’attaquer aux causes profondes de l’exclusion sociale avant de remédier à la situation professionnelle des NEET;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demande à la Commission et aux États membres d’apporter un soutien global pour lever les obstacles complexes auxquels sont confrontés les NEET, afin de s’attaquer aux causes profondes de l’exclusion sociale </w:t>
            </w:r>
            <w:r>
              <w:rPr>
                <w:b/>
                <w:i/>
              </w:rPr>
              <w:t>avant de remédier à la situation professionnelle des NEET</w:t>
            </w:r>
            <w:r>
              <w:t>;</w:t>
            </w:r>
          </w:p>
        </w:tc>
        <w:tc>
          <w:tcPr>
            <w:tcW w:w="4876" w:type="dxa"/>
            <w:tcBorders>
              <w:top w:val="nil"/>
              <w:left w:val="nil"/>
              <w:bottom w:val="nil"/>
              <w:right w:val="nil"/>
            </w:tcBorders>
          </w:tcPr>
          <w:p>
            <w:pPr>
              <w:pStyle w:val="Normal6a"/>
            </w:pPr>
            <w:r>
              <w:t>16.</w:t>
            </w:r>
            <w:r>
              <w:tab/>
            </w:r>
            <w:r>
              <w:t xml:space="preserve">demande à la Commission et aux États membres d’apporter un soutien global pour lever les obstacles complexes auxquels sont confrontés les NEET, afin </w:t>
            </w:r>
            <w:r>
              <w:rPr>
                <w:b/>
                <w:i/>
              </w:rPr>
              <w:t>d’améliorer leur situation professionnelle et</w:t>
            </w:r>
            <w:r>
              <w:t xml:space="preserve"> de s’attaquer aux causes profondes de l’exclusion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souligne que la mauvaise santé mentale, l’isolement social et l’absence de soutien psychosocial individualisé constituent des obstacles majeurs à l’inclusion de nombreux jeunes dans l’éducation, la formation et le marché du travail;</w:t>
            </w:r>
            <w:r>
              <w:t xml:space="preserve"> </w:t>
            </w:r>
            <w:r>
              <w:rPr>
                <w:b/>
                <w:i/>
              </w:rPr>
              <w:t>invite les États membres à intégrer des services de soutien psychosocial appropriés dans les mesures de mise en œuvre de la garantie renforcée pour la jeunesse;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invite les États membres à veiller à ce que tous les emplois proposés dans le cadre de la garantie renforcée pour la jeunesse offrent des salaires décents, au moins au niveau du salaire minimum ou des conventions collectives;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16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ter.</w:t>
            </w:r>
            <w:r>
              <w:tab/>
            </w:r>
            <w:r>
              <w:rPr>
                <w:b/>
                <w:i/>
              </w:rPr>
              <w:t>souligne que les jeunes vivant dans des régions insulaires et isolées, en particulier dans les îles de la mer Égée et dans les régions frontalières de l’Union limitrophes de pays tiers, ainsi que dans les régions situées à la frontière extérieure orientale de l’Union, sont confrontés à des difficultés particulières et persistantes en matière d’accès à l’éducation, à la formation et à l’emploi;</w:t>
            </w:r>
            <w:r>
              <w:t xml:space="preserve"> </w:t>
            </w:r>
            <w:r>
              <w:rPr>
                <w:b/>
                <w:i/>
              </w:rPr>
              <w:t>souligne que ces défis sont aggravés par l’isolement géographique, les coûts élevés des déplacements domicile-travail et le déclin démographique continu;</w:t>
            </w:r>
            <w:r>
              <w:t xml:space="preserve"> </w:t>
            </w:r>
            <w:r>
              <w:rPr>
                <w:b/>
                <w:i/>
              </w:rPr>
              <w:t>invite la Commission et les États membres à mettre en place des mesures spécifiques et ciblées dans le cadre de la garantie renforcée pour la jeunesse, dans le but de soutenir l’emploi local et d’empêcher les jeunes de partir;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souligne qu’une démarche collaborative est essentielle pour garantir la bonne mise en œuvre de la garantie renforcée pour la jeunesse; invite les États membres à renforcer la coopération entre les ministères, les services publics de l’emploi, les partenaires sociaux, les acteurs du marché du travail, les conseils nationaux de la jeunesse et la société civile aux niveaux central et local afin que chacun travaille au sein d’un réseau intégré de services destinés aux NEET;</w:t>
            </w:r>
          </w:p>
        </w:tc>
        <w:tc>
          <w:tcPr>
            <w:tcW w:w="4876" w:type="dxa"/>
            <w:tcBorders>
              <w:top w:val="nil"/>
              <w:left w:val="nil"/>
              <w:bottom w:val="nil"/>
              <w:right w:val="nil"/>
            </w:tcBorders>
          </w:tcPr>
          <w:p>
            <w:pPr>
              <w:pStyle w:val="Normal6a"/>
            </w:pPr>
            <w:r>
              <w:t>17.</w:t>
            </w:r>
            <w:r>
              <w:tab/>
            </w:r>
            <w:r>
              <w:t xml:space="preserve">souligne qu’une démarche collaborative est essentielle pour garantir la bonne mise en œuvre de la garantie renforcée pour la jeunesse </w:t>
            </w:r>
            <w:r>
              <w:rPr>
                <w:b/>
                <w:i/>
              </w:rPr>
              <w:t>dans toutes ses phases</w:t>
            </w:r>
            <w:r>
              <w:t>; invite les États membres à renforcer la coopération entre les ministères, les services publics de l’emploi, les partenaires sociaux, les acteurs du marché du travail</w:t>
            </w:r>
            <w:r>
              <w:rPr>
                <w:b/>
                <w:i/>
              </w:rPr>
              <w:t>, les établissements d’enseignement et de formation</w:t>
            </w:r>
            <w:r>
              <w:t xml:space="preserve">, les conseils nationaux de la jeunesse et la société civile aux niveaux central et local afin que chacun travaille au sein d’un réseau intégré de services destinés aux NEET; </w:t>
            </w:r>
            <w:r>
              <w:rPr>
                <w:b/>
                <w:i/>
              </w:rPr>
              <w:t>souligne l’importance d’une coopération formelle, telle que des commissions tripartites, des accords de coopération ou des protocoles au niveau national entre les écoles, les services publics de l’emploi et les partenaires sociaux, afin d’atteindre cet objectif;</w:t>
            </w:r>
            <w:r>
              <w:t xml:space="preserve"> </w:t>
            </w:r>
            <w:r>
              <w:rPr>
                <w:b/>
                <w:i/>
              </w:rPr>
              <w:t>souligne la nécessité de renforcer la confiance entre les prestataires de la garantie renforcée pour la jeunesse et les communautés locales, par exemple en alignant les offres d’éducation et de formation sur les besoins du marché du travail et en ne plaçant les jeunes sur le marché du travail que lorsqu’ils sont bien préparés à y entrer;</w:t>
            </w:r>
            <w:r>
              <w:t xml:space="preserve"> </w:t>
            </w:r>
            <w:r>
              <w:rPr>
                <w:b/>
                <w:i/>
              </w:rPr>
              <w:t>encourage les États membres à étendre les bonnes pratiques telles que les initiatives de formation en partenariat direct avec les employeurs visant à garantir le recrutement à la fin de la formation, les salons de l’emploi, les journées d’information ou d’autres événements de mise en relation des employeurs et des jeunes;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souligne </w:t>
            </w:r>
            <w:r>
              <w:rPr>
                <w:b/>
                <w:i/>
              </w:rPr>
              <w:t>qu’une démarche collaborative est essentielle pour garantir la bonne mise en œuvre</w:t>
            </w:r>
            <w:r>
              <w:t xml:space="preserve"> de la garantie renforcée pour la jeunesse</w:t>
            </w:r>
            <w:r>
              <w:rPr>
                <w:b/>
                <w:i/>
              </w:rPr>
              <w:t>;</w:t>
            </w:r>
            <w:r>
              <w:t xml:space="preserve"> </w:t>
            </w:r>
            <w:r>
              <w:rPr>
                <w:b/>
                <w:i/>
              </w:rPr>
              <w:t>invite les États membres à renforcer la coopération</w:t>
            </w:r>
            <w:r>
              <w:t xml:space="preserve"> entre les </w:t>
            </w:r>
            <w:r>
              <w:rPr>
                <w:b/>
                <w:i/>
              </w:rPr>
              <w:t>ministères</w:t>
            </w:r>
            <w:r>
              <w:t xml:space="preserve">, les services publics de l’emploi, les partenaires sociaux, les </w:t>
            </w:r>
            <w:r>
              <w:rPr>
                <w:b/>
                <w:i/>
              </w:rPr>
              <w:t>acteurs du marché du travail, les conseils nationaux de la jeunesse et la société civile aux niveaux central et local</w:t>
            </w:r>
            <w:r>
              <w:t xml:space="preserve"> afin que chacun travaille au sein d’un réseau intégré de services destinés aux NEET;</w:t>
            </w:r>
          </w:p>
        </w:tc>
        <w:tc>
          <w:tcPr>
            <w:tcW w:w="4876" w:type="dxa"/>
            <w:tcBorders>
              <w:top w:val="nil"/>
              <w:left w:val="nil"/>
              <w:bottom w:val="nil"/>
              <w:right w:val="nil"/>
            </w:tcBorders>
          </w:tcPr>
          <w:p>
            <w:pPr>
              <w:pStyle w:val="Normal6a"/>
            </w:pPr>
            <w:r>
              <w:t>17.</w:t>
            </w:r>
            <w:r>
              <w:tab/>
            </w:r>
            <w:r>
              <w:t xml:space="preserve">souligne </w:t>
            </w:r>
            <w:r>
              <w:rPr>
                <w:b/>
                <w:i/>
              </w:rPr>
              <w:t>la nécessité d’améliorer la gouvernance</w:t>
            </w:r>
            <w:r>
              <w:t xml:space="preserve"> de la garantie renforcée pour la jeunesse </w:t>
            </w:r>
            <w:r>
              <w:rPr>
                <w:b/>
                <w:i/>
              </w:rPr>
              <w:t>grâce à une meilleure coordination</w:t>
            </w:r>
            <w:r>
              <w:t xml:space="preserve"> entre les </w:t>
            </w:r>
            <w:r>
              <w:rPr>
                <w:b/>
                <w:i/>
              </w:rPr>
              <w:t>autorités nationales, régionales et locales compétentes, les acteurs de la formation professionnelle et les établissements d’enseignement et de formation</w:t>
            </w:r>
            <w:r>
              <w:t xml:space="preserve">, les services publics de l’emploi, les partenaires sociaux, les </w:t>
            </w:r>
            <w:r>
              <w:rPr>
                <w:b/>
                <w:i/>
              </w:rPr>
              <w:t>entreprises et les entités du secteur tertiaire,</w:t>
            </w:r>
            <w:r>
              <w:t xml:space="preserve"> afin que chacun travaille au sein d’un réseau intégré de services destinés aux NEET </w:t>
            </w:r>
            <w:r>
              <w:rPr>
                <w:b/>
                <w:i/>
              </w:rPr>
              <w:t>et d’offrir aux jeunes des possibilités de formation et d’emploi en fonction des besoins des différents milieux économiques régionaux</w:t>
            </w:r>
            <w:r>
              <w:t xml:space="preserve">; </w:t>
            </w:r>
            <w:r>
              <w:rPr>
                <w:b/>
                <w:i/>
              </w:rPr>
              <w:t>souligne que, dans les États membres où les compétences en matière de formation professionnelle et de politiques actives de l’emploi sont attribuées aux autorités infranationales, les autorités régionales et locales doivent être considérées comme des interlocuteurs principaux dans la mise en œuvre de la garantie renforcée pour la jeunesse et disposer de canaux d’accès directs aux programmes de financement européens;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souligne qu’une démarche collaborative est essentielle pour garantir la bonne mise en œuvre de la garantie renforcée pour la jeunesse; invite les États membres à renforcer la coopération </w:t>
            </w:r>
            <w:r>
              <w:rPr>
                <w:b/>
                <w:i/>
              </w:rPr>
              <w:t>entre les ministères</w:t>
            </w:r>
            <w:r>
              <w:t xml:space="preserve">, les services publics de l’emploi, les partenaires sociaux, les acteurs du marché du travail, les conseils nationaux de la jeunesse et la société civile aux niveaux </w:t>
            </w:r>
            <w:r>
              <w:rPr>
                <w:b/>
                <w:i/>
              </w:rPr>
              <w:t>central</w:t>
            </w:r>
            <w:r>
              <w:t xml:space="preserve"> et local afin </w:t>
            </w:r>
            <w:r>
              <w:rPr>
                <w:b/>
                <w:i/>
              </w:rPr>
              <w:t>que chacun travaille au sein d’un réseau intégré</w:t>
            </w:r>
            <w:r>
              <w:t xml:space="preserve"> de services </w:t>
            </w:r>
            <w:r>
              <w:rPr>
                <w:b/>
                <w:i/>
              </w:rPr>
              <w:t>destinés aux</w:t>
            </w:r>
            <w:r>
              <w:t xml:space="preserve"> NEET;</w:t>
            </w:r>
          </w:p>
        </w:tc>
        <w:tc>
          <w:tcPr>
            <w:tcW w:w="4876" w:type="dxa"/>
            <w:tcBorders>
              <w:top w:val="nil"/>
              <w:left w:val="nil"/>
              <w:bottom w:val="nil"/>
              <w:right w:val="nil"/>
            </w:tcBorders>
          </w:tcPr>
          <w:p>
            <w:pPr>
              <w:pStyle w:val="Normal6a"/>
            </w:pPr>
            <w:r>
              <w:t>17.</w:t>
            </w:r>
            <w:r>
              <w:tab/>
            </w:r>
            <w:r>
              <w:t xml:space="preserve">souligne qu’une démarche collaborative </w:t>
            </w:r>
            <w:r>
              <w:rPr>
                <w:b/>
                <w:i/>
              </w:rPr>
              <w:t>et communautaire adaptée aux contextes locaux et régionaux</w:t>
            </w:r>
            <w:r>
              <w:t xml:space="preserve"> est essentielle pour garantir la bonne mise en œuvre de la garantie renforcée pour la jeunesse </w:t>
            </w:r>
            <w:r>
              <w:rPr>
                <w:b/>
                <w:i/>
              </w:rPr>
              <w:t>et atteindre les NEET les plus vulnérables</w:t>
            </w:r>
            <w:r>
              <w:t xml:space="preserve">; invite les États membres à renforcer la coopération </w:t>
            </w:r>
            <w:r>
              <w:rPr>
                <w:b/>
                <w:i/>
              </w:rPr>
              <w:t>et à établir des partenariats formels avec les établissements d’enseignement et de formation</w:t>
            </w:r>
            <w:r>
              <w:t xml:space="preserve">, les services publics de l’emploi, les partenaires sociaux, les acteurs </w:t>
            </w:r>
            <w:r>
              <w:rPr>
                <w:b/>
                <w:i/>
              </w:rPr>
              <w:t>concernés</w:t>
            </w:r>
            <w:r>
              <w:t xml:space="preserve"> du marché du travail, les conseils nationaux de la jeunesse et la société civile aux niveaux </w:t>
            </w:r>
            <w:r>
              <w:rPr>
                <w:b/>
                <w:i/>
              </w:rPr>
              <w:t>national, régional</w:t>
            </w:r>
            <w:r>
              <w:t xml:space="preserve"> et local afin </w:t>
            </w:r>
            <w:r>
              <w:rPr>
                <w:b/>
                <w:i/>
              </w:rPr>
              <w:t>de créer des réseaux intégrés</w:t>
            </w:r>
            <w:r>
              <w:t xml:space="preserve"> de services </w:t>
            </w:r>
            <w:r>
              <w:rPr>
                <w:b/>
                <w:i/>
              </w:rPr>
              <w:t>et de permettre l’identification précoce et le soutien des</w:t>
            </w:r>
            <w:r>
              <w:t xml:space="preserve"> NEET; </w:t>
            </w:r>
            <w:r>
              <w:rPr>
                <w:b/>
                <w:i/>
              </w:rPr>
              <w:t>demande, à cet égard, que ces partenaires soient associés de manière significative à la conception, au suivi et à l’application d’offres de stages de qualité;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souligne qu’une démarche collaborative est essentielle pour garantir la bonne mise en œuvre de la garantie renforcée pour la jeunesse; invite les États membres à renforcer la coopération entre les ministères, les services publics de l’emploi, les partenaires sociaux, les acteurs du marché du travail, les conseils nationaux de la jeunesse et la société civile aux niveaux central et local afin que chacun travaille au sein d’un réseau intégré de services destinés aux NEET;</w:t>
            </w:r>
          </w:p>
        </w:tc>
        <w:tc>
          <w:tcPr>
            <w:tcW w:w="4876" w:type="dxa"/>
            <w:tcBorders>
              <w:top w:val="nil"/>
              <w:left w:val="nil"/>
              <w:bottom w:val="nil"/>
              <w:right w:val="nil"/>
            </w:tcBorders>
          </w:tcPr>
          <w:p>
            <w:pPr>
              <w:pStyle w:val="Normal6a"/>
            </w:pPr>
            <w:r>
              <w:t>17.</w:t>
            </w:r>
            <w:r>
              <w:tab/>
            </w:r>
            <w:r>
              <w:t xml:space="preserve">souligne qu’une démarche collaborative est essentielle pour garantir la bonne mise en œuvre de la garantie renforcée pour la jeunesse; invite les États membres à renforcer la coopération entre les ministères, les </w:t>
            </w:r>
            <w:r>
              <w:rPr>
                <w:b/>
                <w:i/>
              </w:rPr>
              <w:t>autorités locales, les</w:t>
            </w:r>
            <w:r>
              <w:t xml:space="preserve"> services publics de l’emploi, les partenaires sociaux, les </w:t>
            </w:r>
            <w:r>
              <w:rPr>
                <w:b/>
                <w:i/>
              </w:rPr>
              <w:t>services sociaux et de santé, les</w:t>
            </w:r>
            <w:r>
              <w:t xml:space="preserve"> acteurs du marché du travail, les </w:t>
            </w:r>
            <w:r>
              <w:rPr>
                <w:b/>
                <w:i/>
              </w:rPr>
              <w:t>prestataires d’enseignement et de formation, les</w:t>
            </w:r>
            <w:r>
              <w:t xml:space="preserve"> conseils </w:t>
            </w:r>
            <w:r>
              <w:rPr>
                <w:b/>
                <w:i/>
              </w:rPr>
              <w:t>et organisations</w:t>
            </w:r>
            <w:r>
              <w:t xml:space="preserve"> nationaux de la jeunesse et la société civile aux niveaux central et local</w:t>
            </w:r>
            <w:r>
              <w:rPr>
                <w:b/>
                <w:i/>
              </w:rPr>
              <w:t>, y compris les organisations de proximité, de terrain, dirigées par des jeunes ou les ambassadeurs de la jeunesse travaillant directement avec des jeunes mal desservis,</w:t>
            </w:r>
            <w:r>
              <w:t xml:space="preserve"> afin que chacun travaille au sein d’un réseau intégré de services destinés aux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souligne qu’une </w:t>
            </w:r>
            <w:r>
              <w:rPr>
                <w:b/>
                <w:i/>
              </w:rPr>
              <w:t>démarche collaborative est essentielle pour garantir la bonne mise en œuvre de la garantie renforcée pour la jeunesse;</w:t>
            </w:r>
            <w:r>
              <w:t xml:space="preserve"> </w:t>
            </w:r>
            <w:r>
              <w:rPr>
                <w:b/>
                <w:i/>
              </w:rPr>
              <w:t>invite les États membres à renforcer la</w:t>
            </w:r>
            <w:r>
              <w:t xml:space="preserve"> coopération entre les </w:t>
            </w:r>
            <w:r>
              <w:rPr>
                <w:b/>
                <w:i/>
              </w:rPr>
              <w:t>ministères, les services publics de l’emploi</w:t>
            </w:r>
            <w:r>
              <w:t>, les partenaires sociaux</w:t>
            </w:r>
            <w:r>
              <w:rPr>
                <w:b/>
                <w:i/>
              </w:rPr>
              <w:t>, les acteurs du marché du travail, les conseils nationaux de la</w:t>
            </w:r>
            <w:r>
              <w:t xml:space="preserve"> jeunesse </w:t>
            </w:r>
            <w:r>
              <w:rPr>
                <w:b/>
                <w:i/>
              </w:rPr>
              <w:t>et la société civile</w:t>
            </w:r>
            <w:r>
              <w:t xml:space="preserve"> aux niveaux central et local </w:t>
            </w:r>
            <w:r>
              <w:rPr>
                <w:b/>
                <w:i/>
              </w:rPr>
              <w:t>afin que chacun travaille au sein d’un réseau intégré de services destinés</w:t>
            </w:r>
            <w:r>
              <w:t xml:space="preserve"> aux NEET;</w:t>
            </w:r>
          </w:p>
        </w:tc>
        <w:tc>
          <w:tcPr>
            <w:tcW w:w="4876" w:type="dxa"/>
            <w:tcBorders>
              <w:top w:val="nil"/>
              <w:left w:val="nil"/>
              <w:bottom w:val="nil"/>
              <w:right w:val="nil"/>
            </w:tcBorders>
          </w:tcPr>
          <w:p>
            <w:pPr>
              <w:pStyle w:val="Normal6a"/>
            </w:pPr>
            <w:r>
              <w:t>17.</w:t>
            </w:r>
            <w:r>
              <w:tab/>
            </w:r>
            <w:r>
              <w:t xml:space="preserve">souligne qu’une coopération </w:t>
            </w:r>
            <w:r>
              <w:rPr>
                <w:b/>
                <w:i/>
              </w:rPr>
              <w:t>renforcée</w:t>
            </w:r>
            <w:r>
              <w:t xml:space="preserve"> entre les </w:t>
            </w:r>
            <w:r>
              <w:rPr>
                <w:b/>
                <w:i/>
              </w:rPr>
              <w:t>autorités compétentes</w:t>
            </w:r>
            <w:r>
              <w:t xml:space="preserve">, les partenaires sociaux </w:t>
            </w:r>
            <w:r>
              <w:rPr>
                <w:b/>
                <w:i/>
              </w:rPr>
              <w:t>et les organismes de</w:t>
            </w:r>
            <w:r>
              <w:t xml:space="preserve"> jeunesse aux niveaux central et local </w:t>
            </w:r>
            <w:r>
              <w:rPr>
                <w:b/>
                <w:i/>
              </w:rPr>
              <w:t>est nécessaire pour garantir un soutien global</w:t>
            </w:r>
            <w:r>
              <w:t xml:space="preserve"> aux NEET;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souligne qu’une démarche collaborative est essentielle pour garantir la bonne mise en œuvre de la garantie renforcée pour la jeunesse; invite les États membres à renforcer la coopération entre les ministères, les services publics de l’emploi, les partenaires sociaux, les acteurs du marché du travail, les conseils nationaux de la jeunesse et la société civile aux niveaux central et local afin que chacun travaille au sein d’un réseau intégré de services destinés aux NEET;</w:t>
            </w:r>
          </w:p>
        </w:tc>
        <w:tc>
          <w:tcPr>
            <w:tcW w:w="4876" w:type="dxa"/>
            <w:tcBorders>
              <w:top w:val="nil"/>
              <w:left w:val="nil"/>
              <w:bottom w:val="nil"/>
              <w:right w:val="nil"/>
            </w:tcBorders>
          </w:tcPr>
          <w:p>
            <w:pPr>
              <w:pStyle w:val="Normal6a"/>
            </w:pPr>
            <w:r>
              <w:t>17.</w:t>
            </w:r>
            <w:r>
              <w:tab/>
            </w:r>
            <w:r>
              <w:t xml:space="preserve">souligne qu’une démarche collaborative est essentielle pour garantir la bonne mise en œuvre de la garantie renforcée pour la jeunesse; invite les États membres à renforcer la coopération entre les ministères, les services publics de l’emploi, les partenaires sociaux, les acteurs du marché du travail, les conseils nationaux de la jeunesse et la société civile aux niveaux central et local afin que chacun travaille au sein d’un réseau intégré de services destinés aux NEET; </w:t>
            </w:r>
            <w:r>
              <w:rPr>
                <w:b/>
                <w:i/>
              </w:rPr>
              <w:t>encourage le développement de systèmes de formation en alternance, d’apprentissages et de programmes de formation par le travail en tant qu’instruments essentiels pour améliorer l’employabilité des jeunes;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souligne qu’une démarche collaborative est essentielle pour garantir la bonne mise en œuvre de la garantie renforcée pour la jeunesse; invite les États membres à renforcer la coopération entre les ministères, les services publics de l’emploi, les partenaires sociaux, les acteurs du marché du travail, les conseils nationaux de la jeunesse et la société civile aux niveaux central et local afin que chacun travaille au sein d’un réseau intégré de services destinés aux NEET;</w:t>
            </w:r>
          </w:p>
        </w:tc>
        <w:tc>
          <w:tcPr>
            <w:tcW w:w="4876" w:type="dxa"/>
            <w:tcBorders>
              <w:top w:val="nil"/>
              <w:left w:val="nil"/>
              <w:bottom w:val="nil"/>
              <w:right w:val="nil"/>
            </w:tcBorders>
          </w:tcPr>
          <w:p>
            <w:pPr>
              <w:pStyle w:val="Normal6a"/>
            </w:pPr>
            <w:r>
              <w:t>17.</w:t>
            </w:r>
            <w:r>
              <w:tab/>
            </w:r>
            <w:r>
              <w:t xml:space="preserve">souligne qu’une démarche collaborative est essentielle pour garantir la bonne mise en œuvre de la garantie renforcée pour la jeunesse; invite les États membres à renforcer la coopération entre les ministères, les services publics de l’emploi, </w:t>
            </w:r>
            <w:r>
              <w:rPr>
                <w:b/>
                <w:i/>
              </w:rPr>
              <w:t>avec une participation significative à la prise de décision des syndicats,</w:t>
            </w:r>
            <w:r>
              <w:t xml:space="preserve"> les partenaires sociaux, les acteurs du marché du travail, les conseils nationaux de la jeunesse et la société civile aux niveaux central et local afin que chacun travaille au sein d’un réseau intégré de services destinés aux NEET;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Niels Geuking, Romana Tomc, Liesbet Sommen, Maravillas Abadía Jover,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souligne qu’une démarche collaborative est essentielle pour garantir la bonne mise en œuvre de la garantie renforcée pour la jeunesse; invite les États membres à renforcer la coopération entre les ministères, les services publics de l’emploi, les partenaires sociaux, les acteurs du marché du travail, les conseils nationaux de la jeunesse et la société civile aux niveaux central et local afin que chacun travaille au sein d’un réseau intégré de services destinés aux NEET;</w:t>
            </w:r>
          </w:p>
        </w:tc>
        <w:tc>
          <w:tcPr>
            <w:tcW w:w="4876" w:type="dxa"/>
            <w:tcBorders>
              <w:top w:val="nil"/>
              <w:left w:val="nil"/>
              <w:bottom w:val="nil"/>
              <w:right w:val="nil"/>
            </w:tcBorders>
          </w:tcPr>
          <w:p>
            <w:pPr>
              <w:pStyle w:val="Normal6a"/>
            </w:pPr>
            <w:r>
              <w:t>17.</w:t>
            </w:r>
            <w:r>
              <w:tab/>
            </w:r>
            <w:r>
              <w:t xml:space="preserve">souligne qu’une démarche collaborative est essentielle pour garantir la bonne mise en œuvre de la garantie renforcée pour la jeunesse; invite les États membres à renforcer la coopération entre les ministères, les services publics de l’emploi, les partenaires sociaux, les </w:t>
            </w:r>
            <w:r>
              <w:rPr>
                <w:b/>
                <w:i/>
              </w:rPr>
              <w:t>organismes de sécurité sociale, les</w:t>
            </w:r>
            <w:r>
              <w:t xml:space="preserve"> acteurs du marché du travail, les conseils nationaux de la jeunesse et la société civile aux niveaux central et local afin que chacun travaille au sein d’un réseau </w:t>
            </w:r>
            <w:r>
              <w:rPr>
                <w:b/>
                <w:i/>
              </w:rPr>
              <w:t>coordonné et</w:t>
            </w:r>
            <w:r>
              <w:t xml:space="preserve"> intégré de services destinés aux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souligne qu’une démarche collaborative est essentielle pour garantir la bonne mise en œuvre de la garantie renforcée pour la jeunesse; invite les États membres à renforcer la coopération entre les ministères, les services publics de l’emploi, les partenaires sociaux, les acteurs du marché du travail, les conseils nationaux de la jeunesse et la société civile aux niveaux central et local afin que chacun travaille au sein d’un réseau intégré de services destinés aux NEET;</w:t>
            </w:r>
          </w:p>
        </w:tc>
        <w:tc>
          <w:tcPr>
            <w:tcW w:w="4876" w:type="dxa"/>
            <w:tcBorders>
              <w:top w:val="nil"/>
              <w:left w:val="nil"/>
              <w:bottom w:val="nil"/>
              <w:right w:val="nil"/>
            </w:tcBorders>
          </w:tcPr>
          <w:p>
            <w:pPr>
              <w:pStyle w:val="Normal6a"/>
            </w:pPr>
            <w:r>
              <w:t>17.</w:t>
            </w:r>
            <w:r>
              <w:tab/>
            </w:r>
            <w:r>
              <w:t xml:space="preserve">souligne qu’une démarche collaborative est essentielle pour garantir la bonne mise en œuvre de la garantie renforcée pour la jeunesse; </w:t>
            </w:r>
            <w:r>
              <w:rPr>
                <w:b/>
                <w:i/>
              </w:rPr>
              <w:t>souligne qu’une démarche collaborative est essentielle pour garantir la bonne mise en œuvre de la garantie renforcée pour la jeunesse;</w:t>
            </w:r>
            <w:r>
              <w:t>invite les États membres à renforcer la coopération entre les ministères, les services publics de l’emploi, les partenaires sociaux, les acteurs du marché du travail, les conseils nationaux de la jeunesse et la société civile</w:t>
            </w:r>
            <w:r>
              <w:rPr>
                <w:b/>
                <w:i/>
              </w:rPr>
              <w:t>, y compris les organisations de jeunesse aux niveaux central et local,</w:t>
            </w:r>
            <w:r>
              <w:t xml:space="preserve"> aux niveaux central et local afin que chacun travaille au sein d’un réseau intégré de services destinés aux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Martine Kemp, Regina Doherty, Liesbet Sommen, 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 – alinéa 1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souligne qu’il importe de développer des partenariats sectoriels et des réseaux d’employeurs locaux, y compris avec les PME et les acteurs de l’économie sociale, afin d’améliorer la sensibilisation, de concevoir conjointement les offres de garantie pour la jeunesse et d’améliorer l’adéquation entre l’offre et la demande d’emploi et les possibilités d’emploi pour les jeunes;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Hristo Petrov, Irena Joveva,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encourage les États membres à adopter une approche régionale et territoriale pour la mise en œuvre de la garantie renforcée pour la jeunesse, en ciblant les régions NUTS 2 présentant les taux de NEET et de chômage des jeunes les plus élevés;</w:t>
            </w:r>
            <w:r>
              <w:t xml:space="preserve"> </w:t>
            </w:r>
            <w:r>
              <w:rPr>
                <w:b/>
                <w:i/>
              </w:rPr>
              <w:t>souligne que cette approche territoriale doit être liée à une dotation budgétaire et bénéficier d’une supervision nationale afin de garantir des normes égales de soutien et de fourniture dans l’ensemble du pays;</w:t>
            </w:r>
            <w:r>
              <w:t xml:space="preserve"> </w:t>
            </w:r>
            <w:r>
              <w:rPr>
                <w:b/>
                <w:i/>
              </w:rPr>
              <w:t>souligne en outre que cette approche devrait inclure des mesures spécifiques pour les zones rurales, telles qu’une formation spéciale pour les jeunes sans emploi, sortis du système scolaire et sans formation (NEET) en milieu rural, l’amélioration des infrastructures physiques des services publics de l’emploi combinée à des solutions numériques et mobiles;</w:t>
            </w:r>
            <w:r>
              <w:t xml:space="preserve"> </w:t>
            </w:r>
            <w:r>
              <w:rPr>
                <w:b/>
                <w:i/>
              </w:rPr>
              <w:t>invite en outre les États membres à associer plus étroitement les autorités locales à la conception des régimes de garantie renforcée pour la jeunesse, afin d’accroître leur sentiment d’appropriation et de garantir une mise en œuvre cohérente sur l’ensemble de leur territoire avec le plan d’action national;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souligne qu’il importe d’aligner les mesures de la garantie pour la jeunesse sur les priorités nationales du marché du travail et les stratégies sectorielles en matière de compétences, en particulier dans les secteurs confrontés à des pénuries structurelles de main-d’œuvre tels que l’industrie manufacturière, les technologies numériques, les services de santé et les professions techniques;</w:t>
            </w:r>
            <w:r>
              <w:t xml:space="preserve"> </w:t>
            </w:r>
            <w:r>
              <w:rPr>
                <w:b/>
                <w:i/>
              </w:rPr>
              <w:t>souligne que les politiques de l’emploi des jeunes doivent répondre à une demande économique réelle et contribuer à renforcer la capacité de production et la compétitivité de l’Europe;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invite la Commission et les États membres à associer de manière significative les organisations de jeunesse à la mise en œuvre, au suivi et à l’évaluation de la garantie pour la jeunesse ainsi qu’à toute révision future des politiques;</w:t>
            </w:r>
            <w:r>
              <w:t xml:space="preserve"> </w:t>
            </w:r>
            <w:r>
              <w:rPr>
                <w:b/>
                <w:i/>
              </w:rPr>
              <w:t>souligne que la consultation des jeunes, en particulier des NEET et des NEET vulnérables, garantit que leurs expériences vécues contribuent directement à une plus grande efficacité des actions de sensibilisation, de proximité et de mise en œuvre, notamment pour les personnes les plus éloignées du marché du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ter.</w:t>
            </w:r>
            <w:r>
              <w:tab/>
            </w:r>
            <w:r>
              <w:rPr>
                <w:b/>
                <w:i/>
              </w:rPr>
              <w:t>se félicite du centre de connaissances sur la garantie pour la jeunesse</w:t>
            </w:r>
            <w:r>
              <w:rPr>
                <w:b/>
                <w:i/>
                <w:vertAlign w:val="superscript"/>
              </w:rPr>
              <w:t>29 bis</w:t>
            </w:r>
            <w:r>
              <w:t xml:space="preserve"> </w:t>
            </w:r>
            <w:r>
              <w:rPr>
                <w:b/>
                <w:i/>
              </w:rPr>
              <w:t>et invite la Commission à mettre à jour cette base de données, en mettant l’accent sur les initiatives passées qui se sont révélées efficaces pour soutenir les NEET et les intégrer durablement sur le marché du travail;</w:t>
            </w:r>
            <w:r>
              <w:t xml:space="preserve"> </w:t>
            </w:r>
            <w:r>
              <w:rPr>
                <w:b/>
                <w:i/>
              </w:rPr>
              <w:t>estime que ce centre de connaissances devrait servir de base à des échanges plus fréquents de bonnes pratiques entre les États membres, notamment en ce qui concerne le suivi, l’établissement de rapports, la gouvernance et la coopération;</w:t>
            </w:r>
            <w:r>
              <w:t xml:space="preserve"> </w:t>
            </w:r>
            <w:r>
              <w:rPr>
                <w:b/>
                <w:i/>
              </w:rPr>
              <w:t>encourage les examens par les pairs entre les États membres ainsi que l’organisation de projets transfrontaliers sur la mise en œuvre de la garantie renforcée pour la jeunesse;</w:t>
            </w:r>
            <w:r>
              <w:t xml:space="preserve"> </w:t>
            </w:r>
            <w:r>
              <w:rPr>
                <w:b/>
                <w:i/>
              </w:rPr>
              <w:t>invite la Commission à garantir une plus grande transparence en ce qui concerne les réunions des coordinateurs de la garantie pour la jeunesse et à élargir leur participation à d’autres parties prenantes telles que la société civile, le cas échéant;</w:t>
            </w:r>
            <w:r>
              <w:t xml:space="preserve"> </w:t>
            </w:r>
            <w:r>
              <w:rPr>
                <w:b/>
                <w:i/>
              </w:rPr>
              <w:t>estime que cette coopération au niveau européen devrait aller de pair avec des relations interparlementaires plus étroites;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29 bis</w:t>
            </w:r>
            <w:r>
              <w:t xml:space="preserve"> </w:t>
            </w:r>
            <w:r>
              <w:rPr>
                <w:b/>
                <w:i/>
              </w:rPr>
              <w:t>https://employment-social-affairs.ec.europa.eu/policies-and-activities/eu-employment-policies/youth-employment-support/reinforced-youth-guarantee/youth-guarantee-knowledge-centre_en.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ter.</w:t>
            </w:r>
            <w:r>
              <w:tab/>
            </w:r>
            <w:r>
              <w:rPr>
                <w:b/>
                <w:i/>
              </w:rPr>
              <w:t>invite la Commission et les États membres à mieux faire connaître la garantie renforcée pour la jeunesse et à améliorer son accessibilité et sa facilité d’utilisation;</w:t>
            </w:r>
            <w:r>
              <w:t xml:space="preserve"> </w:t>
            </w:r>
            <w:r>
              <w:rPr>
                <w:b/>
                <w:i/>
              </w:rPr>
              <w:t>demande une collaboration avec les groupes de jeunes afin de mettre au point des canaux de communication plus inclusifs ainsi qu’un langage et des procédures simplifiés, clairs et conviviaux;</w:t>
            </w:r>
            <w:r>
              <w:t xml:space="preserve"> </w:t>
            </w:r>
            <w:r>
              <w:rPr>
                <w:b/>
                <w:i/>
              </w:rPr>
              <w:t>souligne l’importance d’une image de marque cohérente et durable, y compris d’une identité visuelle reconnaissable, pour la communiquer clairement en tant qu’initiative financée par l’Union afin de sensibiliser davantage le public;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demande à la Commission et aux États membres d’inclure dans les dispositifs de garantie renforcée pour la jeunesse une série de mesures préventives axées sur le décrochage scolaire de manière à éviter des répercussions ultérieures sur la vie des jeunes;</w:t>
            </w:r>
          </w:p>
        </w:tc>
        <w:tc>
          <w:tcPr>
            <w:tcW w:w="4876" w:type="dxa"/>
            <w:tcBorders>
              <w:top w:val="nil"/>
              <w:left w:val="nil"/>
              <w:bottom w:val="nil"/>
              <w:right w:val="nil"/>
            </w:tcBorders>
          </w:tcPr>
          <w:p>
            <w:pPr>
              <w:pStyle w:val="Normal6a"/>
            </w:pPr>
            <w:r>
              <w:t>18.</w:t>
            </w:r>
            <w:r>
              <w:tab/>
            </w:r>
            <w:r>
              <w:t xml:space="preserve">demande à la Commission et aux États membres d’inclure dans les dispositifs de garantie renforcée pour la jeunesse une série de mesures préventives axées sur </w:t>
            </w:r>
            <w:r>
              <w:rPr>
                <w:b/>
                <w:i/>
              </w:rPr>
              <w:t>des conseils et un soutien personnalisés pour lutter contre</w:t>
            </w:r>
            <w:r>
              <w:t xml:space="preserve"> le décrochage scolaire </w:t>
            </w:r>
            <w:r>
              <w:rPr>
                <w:b/>
                <w:i/>
              </w:rPr>
              <w:t>ainsi que des mesures psychosociales de soutien à la formation continue et à l’intégration professionnelle,</w:t>
            </w:r>
            <w:r>
              <w:t xml:space="preserve"> de manière à éviter des répercussions ultérieures sur la vie des jeunes; </w:t>
            </w:r>
            <w:r>
              <w:rPr>
                <w:b/>
                <w:i/>
              </w:rPr>
              <w:t>encourage les États membres à élaborer des programmes de formation sur les compétences numériques et les compétences en matière d’IA dans le cadre de la garantie renforcée pour la jeunesse, en veillant à ce que les jeunes bénéficiaires acquièrent à la fois des compétences opérationnelles de base pour l’utilisation des outils numériques et des systèmes d’IA, et une capacité critique pour évaluer leurs risques et leurs implications éthiques, conformément à l’article 4 du règlement (UE) 2024/1689 (règlement sur l’IA) relatif à la diffusion de la littérature sur l’IA;</w:t>
            </w:r>
            <w:r>
              <w:t xml:space="preserve"> </w:t>
            </w:r>
            <w:r>
              <w:rPr>
                <w:b/>
                <w:i/>
              </w:rPr>
              <w:t>souligne que les compétences numériques et en matière d’IA doivent être intégrées dans les parcours d’enseignement et de formation professionnels, et non traitées comme des modules supplémentaires facultatifs;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demande à</w:t>
            </w:r>
            <w:r>
              <w:t xml:space="preserve"> la Commission et </w:t>
            </w:r>
            <w:r>
              <w:rPr>
                <w:b/>
                <w:i/>
              </w:rPr>
              <w:t>aux</w:t>
            </w:r>
            <w:r>
              <w:t xml:space="preserve"> États membres </w:t>
            </w:r>
            <w:r>
              <w:rPr>
                <w:b/>
                <w:i/>
              </w:rPr>
              <w:t>d’inclure</w:t>
            </w:r>
            <w:r>
              <w:t xml:space="preserve"> dans les dispositifs de garantie renforcée pour la jeunesse une série de mesures préventives axées sur le décrochage scolaire de manière à éviter des répercussions ultérieures sur la vie des jeunes;</w:t>
            </w:r>
          </w:p>
        </w:tc>
        <w:tc>
          <w:tcPr>
            <w:tcW w:w="4876" w:type="dxa"/>
            <w:tcBorders>
              <w:top w:val="nil"/>
              <w:left w:val="nil"/>
              <w:bottom w:val="nil"/>
              <w:right w:val="nil"/>
            </w:tcBorders>
          </w:tcPr>
          <w:p>
            <w:pPr>
              <w:pStyle w:val="Normal6a"/>
            </w:pPr>
            <w:r>
              <w:t>18.</w:t>
            </w:r>
            <w:r>
              <w:tab/>
            </w:r>
            <w:r>
              <w:rPr>
                <w:b/>
                <w:i/>
              </w:rPr>
              <w:t>invite</w:t>
            </w:r>
            <w:r>
              <w:t xml:space="preserve"> la Commission et </w:t>
            </w:r>
            <w:r>
              <w:rPr>
                <w:b/>
                <w:i/>
              </w:rPr>
              <w:t>les</w:t>
            </w:r>
            <w:r>
              <w:t xml:space="preserve"> États membres </w:t>
            </w:r>
            <w:r>
              <w:rPr>
                <w:b/>
                <w:i/>
              </w:rPr>
              <w:t>à inclure</w:t>
            </w:r>
            <w:r>
              <w:t xml:space="preserve"> dans les dispositifs de garantie renforcée pour la jeunesse une série de mesures préventives axées sur le décrochage scolaire de manière à éviter des répercussions ultérieures sur la vie des jeunes; </w:t>
            </w:r>
            <w:r>
              <w:rPr>
                <w:b/>
                <w:i/>
              </w:rPr>
              <w:t>suggère que ces programmes comprennent des mécanismes permettant aux écoles de signaler les cas à risque fondés sur la fréquentation scolaire ou les résultats scolaires aux services responsables de la garantie renforcée pour la jeunesse afin d’améliorer la cartographie, des mesures d’accompagnement pour les jeunes exposés au risque de décrochage scolaire, une coopération visant à renforcer les capacités familiales, à développer l’apprentissage de la citoyenneté et leur sens des responsabilités dans leurs décisions de carrière, ainsi qu’une obligation de mener des entretiens de sortie avec les jeunes en décrochage scolaire afin de progresser dans une stratégie individuelle pour la poursuite de leurs objectifs d’apprentissage, de travail ou autres;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demande à</w:t>
            </w:r>
            <w:r>
              <w:t xml:space="preserve"> la Commission et </w:t>
            </w:r>
            <w:r>
              <w:rPr>
                <w:b/>
                <w:i/>
              </w:rPr>
              <w:t>aux</w:t>
            </w:r>
            <w:r>
              <w:t xml:space="preserve"> États membres </w:t>
            </w:r>
            <w:r>
              <w:rPr>
                <w:b/>
                <w:i/>
              </w:rPr>
              <w:t>d’inclure</w:t>
            </w:r>
            <w:r>
              <w:t xml:space="preserve"> dans les dispositifs de garantie renforcée pour la jeunesse une série de mesures préventives axées sur le décrochage scolaire de manière à éviter des répercussions ultérieures sur la vie des jeunes;</w:t>
            </w:r>
          </w:p>
        </w:tc>
        <w:tc>
          <w:tcPr>
            <w:tcW w:w="4876" w:type="dxa"/>
            <w:tcBorders>
              <w:top w:val="nil"/>
              <w:left w:val="nil"/>
              <w:bottom w:val="nil"/>
              <w:right w:val="nil"/>
            </w:tcBorders>
          </w:tcPr>
          <w:p>
            <w:pPr>
              <w:pStyle w:val="Normal6a"/>
            </w:pPr>
            <w:r>
              <w:t>18.</w:t>
            </w:r>
            <w:r>
              <w:tab/>
            </w:r>
            <w:r>
              <w:rPr>
                <w:b/>
                <w:i/>
              </w:rPr>
              <w:t>invite</w:t>
            </w:r>
            <w:r>
              <w:t xml:space="preserve"> la Commission et </w:t>
            </w:r>
            <w:r>
              <w:rPr>
                <w:b/>
                <w:i/>
              </w:rPr>
              <w:t>les</w:t>
            </w:r>
            <w:r>
              <w:t xml:space="preserve"> États membres </w:t>
            </w:r>
            <w:r>
              <w:rPr>
                <w:b/>
                <w:i/>
              </w:rPr>
              <w:t>à inclure</w:t>
            </w:r>
            <w:r>
              <w:t xml:space="preserve"> dans les dispositifs de garantie renforcée pour la jeunesse une série de mesures préventives axées sur le décrochage scolaire de manière à éviter des répercussions ultérieures sur la vie des jeunes; </w:t>
            </w:r>
            <w:r>
              <w:rPr>
                <w:b/>
                <w:i/>
              </w:rPr>
              <w:t>fait valoir que ces politiques devraient également inclure des services d’orientation professionnelle renforcés et des programmes de mentorat associant les employeurs et les professionnels, afin d’aider les jeunes à faire des choix éclairés en matière d’éducation et de formation;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demande à la Commission et aux États membres </w:t>
            </w:r>
            <w:r>
              <w:rPr>
                <w:b/>
                <w:i/>
              </w:rPr>
              <w:t>d’inclure dans les</w:t>
            </w:r>
            <w:r>
              <w:t xml:space="preserve"> dispositifs de garantie renforcée pour la jeunesse </w:t>
            </w:r>
            <w:r>
              <w:rPr>
                <w:b/>
                <w:i/>
              </w:rPr>
              <w:t>une série de</w:t>
            </w:r>
            <w:r>
              <w:t xml:space="preserve"> mesures préventives </w:t>
            </w:r>
            <w:r>
              <w:rPr>
                <w:b/>
                <w:i/>
              </w:rPr>
              <w:t>axées sur</w:t>
            </w:r>
            <w:r>
              <w:t xml:space="preserve"> le décrochage scolaire </w:t>
            </w:r>
            <w:r>
              <w:rPr>
                <w:b/>
                <w:i/>
              </w:rPr>
              <w:t>de manière à éviter des répercussions ultérieures sur la vie des jeunes</w:t>
            </w:r>
            <w:r>
              <w:t>;</w:t>
            </w:r>
          </w:p>
        </w:tc>
        <w:tc>
          <w:tcPr>
            <w:tcW w:w="4876" w:type="dxa"/>
            <w:tcBorders>
              <w:top w:val="nil"/>
              <w:left w:val="nil"/>
              <w:bottom w:val="nil"/>
              <w:right w:val="nil"/>
            </w:tcBorders>
          </w:tcPr>
          <w:p>
            <w:pPr>
              <w:pStyle w:val="Normal6a"/>
            </w:pPr>
            <w:r>
              <w:t>18.</w:t>
            </w:r>
            <w:r>
              <w:tab/>
            </w:r>
            <w:r>
              <w:t xml:space="preserve">demande à la Commission et aux États membres </w:t>
            </w:r>
            <w:r>
              <w:rPr>
                <w:b/>
                <w:i/>
              </w:rPr>
              <w:t>de renforcer encore les systèmes d’alerte précoce dans le cadre des</w:t>
            </w:r>
            <w:r>
              <w:t xml:space="preserve"> dispositifs de garantie renforcée pour la jeunesse </w:t>
            </w:r>
            <w:r>
              <w:rPr>
                <w:b/>
                <w:i/>
              </w:rPr>
              <w:t>afin d’identifier les jeunes qui risquent de devenir des NEET;</w:t>
            </w:r>
            <w:r>
              <w:t xml:space="preserve"> </w:t>
            </w:r>
            <w:r>
              <w:rPr>
                <w:b/>
                <w:i/>
              </w:rPr>
              <w:t>demande que des</w:t>
            </w:r>
            <w:r>
              <w:t xml:space="preserve"> mesures préventives</w:t>
            </w:r>
            <w:r>
              <w:rPr>
                <w:b/>
                <w:i/>
              </w:rPr>
              <w:t>, telles que l’évaluation des compétences et l’orientation professionnelle, soient prises pour lutter contre</w:t>
            </w:r>
            <w:r>
              <w:t xml:space="preserve"> le décrochage scolaire </w:t>
            </w:r>
            <w:r>
              <w:rPr>
                <w:b/>
                <w:i/>
              </w:rPr>
              <w:t>afin de réduire la probabilité d’une exclusion à long terme du marché du travail et ses effets négatifs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demande à la Commission et aux États membres d’inclure dans les dispositifs de garantie renforcée pour la jeunesse une série de mesures préventives axées sur le décrochage scolaire de manière à éviter des répercussions </w:t>
            </w:r>
            <w:r>
              <w:rPr>
                <w:b/>
                <w:i/>
              </w:rPr>
              <w:t>ultérieures</w:t>
            </w:r>
            <w:r>
              <w:t xml:space="preserve"> sur la vie des jeunes;</w:t>
            </w:r>
          </w:p>
        </w:tc>
        <w:tc>
          <w:tcPr>
            <w:tcW w:w="4876" w:type="dxa"/>
            <w:tcBorders>
              <w:top w:val="nil"/>
              <w:left w:val="nil"/>
              <w:bottom w:val="nil"/>
              <w:right w:val="nil"/>
            </w:tcBorders>
          </w:tcPr>
          <w:p>
            <w:pPr>
              <w:pStyle w:val="Normal6a"/>
            </w:pPr>
            <w:r>
              <w:t>18.</w:t>
            </w:r>
            <w:r>
              <w:tab/>
            </w:r>
            <w:r>
              <w:t>demande à la Commission et aux États membres d’inclure dans les dispositifs de garantie renforcée pour la jeunesse une série de mesures préventives axées sur le décrochage scolaire</w:t>
            </w:r>
            <w:r>
              <w:rPr>
                <w:b/>
                <w:i/>
              </w:rPr>
              <w:t>, notamment par le renforcement des services de soutien, d’orientation et de conseil, ainsi que par une coopération plus étroite entre les services d’éducation, sociaux et d’emploi,</w:t>
            </w:r>
            <w:r>
              <w:t xml:space="preserve"> de manière à éviter des répercussions </w:t>
            </w:r>
            <w:r>
              <w:rPr>
                <w:b/>
                <w:i/>
              </w:rPr>
              <w:t>à long terme</w:t>
            </w:r>
            <w:r>
              <w:t xml:space="preserve"> sur la vie des jeunes;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demande à la Commission et aux</w:t>
            </w:r>
            <w:r>
              <w:t xml:space="preserve"> États membres </w:t>
            </w:r>
            <w:r>
              <w:rPr>
                <w:b/>
                <w:i/>
              </w:rPr>
              <w:t>d’inclure</w:t>
            </w:r>
            <w:r>
              <w:t xml:space="preserve"> dans les dispositifs de garantie renforcée pour la jeunesse une série de mesures préventives axées sur le décrochage scolaire de manière à éviter des répercussions ultérieures sur la vie des jeunes;</w:t>
            </w:r>
          </w:p>
        </w:tc>
        <w:tc>
          <w:tcPr>
            <w:tcW w:w="4876" w:type="dxa"/>
            <w:tcBorders>
              <w:top w:val="nil"/>
              <w:left w:val="nil"/>
              <w:bottom w:val="nil"/>
              <w:right w:val="nil"/>
            </w:tcBorders>
          </w:tcPr>
          <w:p>
            <w:pPr>
              <w:pStyle w:val="Normal6a"/>
            </w:pPr>
            <w:r>
              <w:t>18.</w:t>
            </w:r>
            <w:r>
              <w:tab/>
            </w:r>
            <w:r>
              <w:rPr>
                <w:b/>
                <w:i/>
              </w:rPr>
              <w:t>Invite les</w:t>
            </w:r>
            <w:r>
              <w:t xml:space="preserve"> États membres </w:t>
            </w:r>
            <w:r>
              <w:rPr>
                <w:b/>
                <w:i/>
              </w:rPr>
              <w:t>à inclure</w:t>
            </w:r>
            <w:r>
              <w:t xml:space="preserve"> dans les dispositifs de garantie renforcée pour la jeunesse une série de mesures préventives axées sur le décrochage scolaire de manière à éviter des répercussions ultérieures sur la vie des jeunes;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estime que ces mesures préventives devraient inclure une orientation tout au long de la vie qui permette aux individus, dès leur plus jeune âge, de comprendre leur parcours d’apprentissage et leurs besoins professionnels, ainsi que des informations sur les possibilités de mettre à jour leurs compétences en fonction du marché du travail, dans le but de leur donner les moyens de prendre le contrôle de leur vie et de leur parcours professionnel;</w:t>
            </w:r>
            <w:r>
              <w:t xml:space="preserve"> </w:t>
            </w:r>
            <w:r>
              <w:rPr>
                <w:b/>
                <w:i/>
              </w:rPr>
              <w:t>souligne que l’orientation tout au long de la vie peut également prendre des formes non formelles ou informelles afin d’atteindre les groupes vulnérables;</w:t>
            </w:r>
            <w:r>
              <w:t xml:space="preserve"> </w:t>
            </w:r>
            <w:r>
              <w:rPr>
                <w:b/>
                <w:i/>
              </w:rPr>
              <w:t>encourage les États membres à élaborer des politiques d’orientation tout au long de la vie fondées sur des données probantes et ancrées dans des normes de qualité, y compris l’orientation professionnelle dans les programmes scolaires et les modules de réinsertion dans les compétences de base et les compétences non techniques pour les chômeurs de longue durée ou les jeunes inactifs;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invite la Commission et les États membres à améliorer les outils et les pratiques de profilage et de sélection des NEET, en adoptant une approche sensible au genre, afin de mieux faire correspondre les besoins et les réponses et de combler l’écart entre les hommes et les femmes;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ter.</w:t>
            </w:r>
            <w:r>
              <w:tab/>
            </w:r>
            <w:r>
              <w:rPr>
                <w:b/>
                <w:i/>
              </w:rPr>
              <w:t>demande instamment la mise à niveau des compétences des NEET peu qualifiés au moyen d’offres sur mesure telles que des cours en ligne de courte durée sur le numérique, la langue, les compétences de base et entrepreneuriales, la culture financière, certifiés par des microcertifications;</w:t>
            </w:r>
            <w:r>
              <w:t xml:space="preserve"> </w:t>
            </w:r>
            <w:r>
              <w:rPr>
                <w:b/>
                <w:i/>
              </w:rPr>
              <w:t>reconnaît les efforts déployés par les États membres en ce qui concerne les programmes de perfectionnement et de reconversion professionnels;</w:t>
            </w:r>
            <w:r>
              <w:t xml:space="preserve"> </w:t>
            </w:r>
            <w:r>
              <w:rPr>
                <w:b/>
                <w:i/>
              </w:rPr>
              <w:t>souligne que, dans la plupart des cas, il n’est pas nécessaire de créer des programmes de formation spécifiques pour la garantie renforcée pour la jeunesse, mais plutôt de créer des possibilités spécifiques pour les bénéficiaires au sein des systèmes nationaux existants;</w:t>
            </w:r>
            <w:r>
              <w:t xml:space="preserve"> </w:t>
            </w:r>
            <w:r>
              <w:rPr>
                <w:b/>
                <w:i/>
              </w:rPr>
              <w:t>estime qu’il convient de soutenir davantage les jeunes vulnérables dans l’accès à l’apprentissage et à la formation professionnelle, en particulier dans les secteurs en transition;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invite les États membres à renforcer </w:t>
            </w:r>
            <w:r>
              <w:rPr>
                <w:b/>
                <w:i/>
              </w:rPr>
              <w:t>leur offre</w:t>
            </w:r>
            <w:r>
              <w:t xml:space="preserve"> en matière d’enseignement et de formation professionnels et à moderniser leurs systèmes d’apprentissage tout au long de la vie, notamment en étudiant la possibilité de mettre en place des comptes personnels de formation </w:t>
            </w:r>
            <w:r>
              <w:rPr>
                <w:b/>
                <w:i/>
              </w:rPr>
              <w:t>ou</w:t>
            </w:r>
            <w:r>
              <w:t xml:space="preserve"> des fonds de formation conformément aux modèles nationaux;</w:t>
            </w:r>
          </w:p>
        </w:tc>
        <w:tc>
          <w:tcPr>
            <w:tcW w:w="4876" w:type="dxa"/>
            <w:tcBorders>
              <w:top w:val="nil"/>
              <w:left w:val="nil"/>
              <w:bottom w:val="nil"/>
              <w:right w:val="nil"/>
            </w:tcBorders>
          </w:tcPr>
          <w:p>
            <w:pPr>
              <w:pStyle w:val="Normal6a"/>
            </w:pPr>
            <w:r>
              <w:t>19.</w:t>
            </w:r>
            <w:r>
              <w:tab/>
            </w:r>
            <w:r>
              <w:rPr>
                <w:b/>
                <w:i/>
              </w:rPr>
              <w:t>rappelle que la directive (UE) 2019/1152 établit déjà que la formation obligatoire doit être dispensée gratuitement, être considérée comme du temps de travail et avoir lieu pendant les heures de travail des travailleurs, tout en notant que la transposition et l’application de ces dispositions restent inégales d’un État membre à l’autre;</w:t>
            </w:r>
            <w:r>
              <w:t xml:space="preserve"> </w:t>
            </w:r>
            <w:r>
              <w:rPr>
                <w:b/>
                <w:i/>
              </w:rPr>
              <w:t>souligne que les NEET restent totalement en dehors du champ d’application de ces protections;</w:t>
            </w:r>
            <w:r>
              <w:t xml:space="preserve"> </w:t>
            </w:r>
            <w:r>
              <w:rPr>
                <w:b/>
                <w:i/>
              </w:rPr>
              <w:t>invite les États membres à reconnaître le droit individuel à la formation et à l’apprentissage tout au long de la vie pour tous les jeunes, quel que soit leur statut professionnel, et, pour les personnes ayant un emploi, pendant les heures de travail, gratuitement et en comptant comme temps de travail, afin de garantir le perfectionnement et la reconversion professionnels ainsi qu’un soutien à l’évolution de carrière;</w:t>
            </w:r>
            <w:r>
              <w:t xml:space="preserve"> invite les États membres à renforcer </w:t>
            </w:r>
            <w:r>
              <w:rPr>
                <w:b/>
                <w:i/>
              </w:rPr>
              <w:t>leurs offres</w:t>
            </w:r>
            <w:r>
              <w:t xml:space="preserve"> en matière d’enseignement et de formation professionnels et à moderniser leurs systèmes d’apprentissage tout au long de la vie </w:t>
            </w:r>
            <w:r>
              <w:rPr>
                <w:b/>
                <w:i/>
              </w:rPr>
              <w:t>en étroite coopération avec les partenaires sociaux et les établissements d’enseignement et de formation</w:t>
            </w:r>
            <w:r>
              <w:t xml:space="preserve">, notamment en étudiant la possibilité de mettre en place des comptes personnels de formation </w:t>
            </w:r>
            <w:r>
              <w:rPr>
                <w:b/>
                <w:i/>
              </w:rPr>
              <w:t>individuels et</w:t>
            </w:r>
            <w:r>
              <w:t xml:space="preserve"> des fonds de formation conformément aux modèles nationaux</w:t>
            </w:r>
            <w:r>
              <w:rPr>
                <w:b/>
                <w:i/>
              </w:rPr>
              <w:t>, et à veiller à ce que les formations proposées dans le cadre des programmes de garantie renforcée pour la jeunesse soient comptabilisées dans les qualifications reconnues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invite les États membres à renforcer leur offre en matière d’enseignement et de formation professionnels et à moderniser leurs systèmes d’apprentissage tout au long de la vie, notamment en étudiant la possibilité de mettre en place des comptes personnels de formation ou des fonds de formation conformément aux modèles nationaux;</w:t>
            </w:r>
          </w:p>
        </w:tc>
        <w:tc>
          <w:tcPr>
            <w:tcW w:w="4876" w:type="dxa"/>
            <w:tcBorders>
              <w:top w:val="nil"/>
              <w:left w:val="nil"/>
              <w:bottom w:val="nil"/>
              <w:right w:val="nil"/>
            </w:tcBorders>
          </w:tcPr>
          <w:p>
            <w:pPr>
              <w:pStyle w:val="Normal6a"/>
            </w:pPr>
            <w:r>
              <w:t>19.</w:t>
            </w:r>
            <w:r>
              <w:tab/>
            </w:r>
            <w:r>
              <w:t xml:space="preserve">invite les États membres à renforcer leur offre en matière d’enseignement et de formation professionnels et à moderniser leurs systèmes d’apprentissage tout au long de la vie, notamment en étudiant la possibilité de mettre en place des comptes personnels de formation ou des fonds de formation conformément aux modèles nationaux; </w:t>
            </w:r>
            <w:r>
              <w:rPr>
                <w:b/>
                <w:i/>
              </w:rPr>
              <w:t>invite la Commission à s’appuyer sur la déclaration de Herning</w:t>
            </w:r>
            <w:r>
              <w:rPr>
                <w:b/>
                <w:i/>
                <w:vertAlign w:val="superscript"/>
              </w:rPr>
              <w:t>30 bis</w:t>
            </w:r>
            <w:r>
              <w:t xml:space="preserve"> </w:t>
            </w:r>
            <w:r>
              <w:rPr>
                <w:b/>
                <w:i/>
              </w:rPr>
              <w:t>dans la future stratégie de l’Union en matière d’enseignement et formation professionnels afin d’améliorer l’attractivité, la qualité, la portabilité et le caractère inclusif de ces possibilités pour les jeunes et de démontrer concrètement les possibilités de carrière qu’elles offrent, en particulier dans le contexte de la double transition et de la demande du marché du travail;</w:t>
            </w:r>
            <w:r>
              <w:t xml:space="preserve"> </w:t>
            </w:r>
            <w:r>
              <w:rPr>
                <w:b/>
                <w:i/>
              </w:rPr>
              <w:t>se félicite, dans ce contexte, de l’annonce de la création d’un observatoire européen de veille stratégique sur les besoins en compétences, notamment pour améliorer la capacité de prévision des compétences;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30 bis</w:t>
            </w:r>
            <w:r>
              <w:t xml:space="preserve"> </w:t>
            </w:r>
            <w:r>
              <w:rPr>
                <w:b/>
                <w:i/>
              </w:rPr>
              <w:t>Déclaration d'Herning sur un enseignement et une formation professionnels attractifs et inclusifs pour une compétitivité accrue et des emplois de qualités sur la période 2026-2030 (septembre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invite les États membres à </w:t>
            </w:r>
            <w:r>
              <w:rPr>
                <w:b/>
                <w:i/>
              </w:rPr>
              <w:t>renforcer leur offre en matière</w:t>
            </w:r>
            <w:r>
              <w:t xml:space="preserve"> d’enseignement et de formation professionnels </w:t>
            </w:r>
            <w:r>
              <w:rPr>
                <w:b/>
                <w:i/>
              </w:rPr>
              <w:t>et à moderniser leurs systèmes d’apprentissage</w:t>
            </w:r>
            <w:r>
              <w:t xml:space="preserve"> tout au long de la vie</w:t>
            </w:r>
            <w:r>
              <w:rPr>
                <w:b/>
                <w:i/>
              </w:rPr>
              <w:t>, notamment en étudiant la possibilité de mettre en place des comptes personnels de formation ou des fonds de formation conformément aux modèles nationaux</w:t>
            </w:r>
            <w:r>
              <w:t>;</w:t>
            </w:r>
          </w:p>
        </w:tc>
        <w:tc>
          <w:tcPr>
            <w:tcW w:w="4876" w:type="dxa"/>
            <w:tcBorders>
              <w:top w:val="nil"/>
              <w:left w:val="nil"/>
              <w:bottom w:val="nil"/>
              <w:right w:val="nil"/>
            </w:tcBorders>
          </w:tcPr>
          <w:p>
            <w:pPr>
              <w:pStyle w:val="Normal6a"/>
            </w:pPr>
            <w:r>
              <w:t>19.</w:t>
            </w:r>
            <w:r>
              <w:tab/>
            </w:r>
            <w:r>
              <w:t xml:space="preserve">invite les États membres à </w:t>
            </w:r>
            <w:r>
              <w:rPr>
                <w:b/>
                <w:i/>
              </w:rPr>
              <w:t>investir dans des systèmes</w:t>
            </w:r>
            <w:r>
              <w:t xml:space="preserve"> d’enseignement et de formation professionnels </w:t>
            </w:r>
            <w:r>
              <w:rPr>
                <w:b/>
                <w:i/>
              </w:rPr>
              <w:t>de qualité à tous les niveaux, y compris dans l’enseignement professionnel supérieur, qui puissent répondre efficacement aux besoins du marché du travail;</w:t>
            </w:r>
            <w:r>
              <w:t xml:space="preserve"> </w:t>
            </w:r>
            <w:r>
              <w:rPr>
                <w:b/>
                <w:i/>
              </w:rPr>
              <w:t>demande également la promotion et le renforcement des mécanismes de formation conjointe dans les entreprises gérées par les partenaires sociaux, en tant qu’outil essentiel pour assurer la continuité des parcours de formation</w:t>
            </w:r>
            <w:r>
              <w:t xml:space="preserve"> tout au long de la vie </w:t>
            </w:r>
            <w:r>
              <w:rPr>
                <w:b/>
                <w:i/>
              </w:rPr>
              <w:t>professionnelle et prévenir l’obsolescence précoce des compétences</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invite les États membres à renforcer </w:t>
            </w:r>
            <w:r>
              <w:rPr>
                <w:b/>
                <w:i/>
              </w:rPr>
              <w:t>leur offre</w:t>
            </w:r>
            <w:r>
              <w:t xml:space="preserve"> en matière d’enseignement et de formation professionnels et à moderniser leurs systèmes d’apprentissage tout au long de la vie, notamment en </w:t>
            </w:r>
            <w:r>
              <w:rPr>
                <w:b/>
                <w:i/>
              </w:rPr>
              <w:t>étudiant la possibilité de mettre en place des comptes personnels</w:t>
            </w:r>
            <w:r>
              <w:t xml:space="preserve"> de formation </w:t>
            </w:r>
            <w:r>
              <w:rPr>
                <w:b/>
                <w:i/>
              </w:rPr>
              <w:t>ou des fonds de formation</w:t>
            </w:r>
            <w:r>
              <w:t xml:space="preserve"> conformément aux modèles nationaux;</w:t>
            </w:r>
          </w:p>
        </w:tc>
        <w:tc>
          <w:tcPr>
            <w:tcW w:w="4876" w:type="dxa"/>
            <w:tcBorders>
              <w:top w:val="nil"/>
              <w:left w:val="nil"/>
              <w:bottom w:val="nil"/>
              <w:right w:val="nil"/>
            </w:tcBorders>
          </w:tcPr>
          <w:p>
            <w:pPr>
              <w:pStyle w:val="Normal6a"/>
            </w:pPr>
            <w:r>
              <w:t>19.</w:t>
            </w:r>
            <w:r>
              <w:tab/>
            </w:r>
            <w:r>
              <w:t xml:space="preserve">invite les États membres à renforcer </w:t>
            </w:r>
            <w:r>
              <w:rPr>
                <w:b/>
                <w:i/>
              </w:rPr>
              <w:t>leurs offres</w:t>
            </w:r>
            <w:r>
              <w:t xml:space="preserve"> en matière d’enseignement et de formation professionnels </w:t>
            </w:r>
            <w:r>
              <w:rPr>
                <w:b/>
                <w:i/>
              </w:rPr>
              <w:t>et en matière de compétences numériques</w:t>
            </w:r>
            <w:r>
              <w:t xml:space="preserve"> et à moderniser leurs systèmes d’apprentissage tout au long de la vie, notamment en </w:t>
            </w:r>
            <w:r>
              <w:rPr>
                <w:b/>
                <w:i/>
              </w:rPr>
              <w:t>développant des synergies avec d’autres initiatives de l’Union, telles que le programme Erasmus+ et les CEP, ainsi qu’en promouvant l’apprentissage, les systèmes</w:t>
            </w:r>
            <w:r>
              <w:t xml:space="preserve"> de formation </w:t>
            </w:r>
            <w:r>
              <w:rPr>
                <w:b/>
                <w:i/>
              </w:rPr>
              <w:t>en alternance, le perfectionnement et la reconversion professionnels et la coopération avec les entreprises locales et les PME</w:t>
            </w:r>
            <w:r>
              <w:t xml:space="preserve"> conformément aux modèles nationaux;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invite les États membres à renforcer leur offre en matière d’enseignement et de formation professionnels et à moderniser leurs systèmes d’apprentissage tout au long de la vie, notamment en étudiant la possibilité de mettre en place des comptes personnels de formation ou des fonds de formation conformément aux modèles nationaux;</w:t>
            </w:r>
          </w:p>
        </w:tc>
        <w:tc>
          <w:tcPr>
            <w:tcW w:w="4876" w:type="dxa"/>
            <w:tcBorders>
              <w:top w:val="nil"/>
              <w:left w:val="nil"/>
              <w:bottom w:val="nil"/>
              <w:right w:val="nil"/>
            </w:tcBorders>
          </w:tcPr>
          <w:p>
            <w:pPr>
              <w:pStyle w:val="Normal6a"/>
            </w:pPr>
            <w:r>
              <w:t>19.</w:t>
            </w:r>
            <w:r>
              <w:tab/>
            </w:r>
            <w:r>
              <w:t xml:space="preserve">invite les États membres à renforcer leur offre en matière d’enseignement et de formation professionnels et à moderniser leurs systèmes d’apprentissage tout au long de la vie, notamment en étudiant la possibilité de mettre en place des comptes personnels de formation ou des fonds de formation conformément aux modèles nationaux; </w:t>
            </w:r>
            <w:r>
              <w:rPr>
                <w:b/>
                <w:i/>
              </w:rPr>
              <w:t>souligne que ces investissements devraient accorder une priorité particulière aux spécialisations et compétences numériques, techniques et industrielles qui répondent aux besoins réels des marchés du travail régionaux et locaux;</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invite les États membres à renforcer leur offre en matière d’enseignement et de formation professionnels et à moderniser leurs systèmes d’apprentissage tout au long de la vie, notamment en étudiant la possibilité de mettre en place des comptes personnels de formation ou des fonds de formation conformément aux modèles nationaux;</w:t>
            </w:r>
          </w:p>
        </w:tc>
        <w:tc>
          <w:tcPr>
            <w:tcW w:w="4876" w:type="dxa"/>
            <w:tcBorders>
              <w:top w:val="nil"/>
              <w:left w:val="nil"/>
              <w:bottom w:val="nil"/>
              <w:right w:val="nil"/>
            </w:tcBorders>
          </w:tcPr>
          <w:p>
            <w:pPr>
              <w:pStyle w:val="Normal6a"/>
            </w:pPr>
            <w:r>
              <w:t>19.</w:t>
            </w:r>
            <w:r>
              <w:tab/>
            </w:r>
            <w:r>
              <w:t xml:space="preserve">invite les États membres à renforcer leur offre en matière d’enseignement et de formation professionnels et à moderniser leurs systèmes d’apprentissage tout au long de la vie, </w:t>
            </w:r>
            <w:r>
              <w:rPr>
                <w:b/>
                <w:i/>
              </w:rPr>
              <w:t>en veillant à ce qu’ils soient inclusifs et répondent aux besoins du marché du travail et de la société,</w:t>
            </w:r>
            <w:r>
              <w:t xml:space="preserve"> notamment </w:t>
            </w:r>
            <w:r>
              <w:rPr>
                <w:b/>
                <w:i/>
              </w:rPr>
              <w:t>dans le contexte des transitions écologique et numérique,</w:t>
            </w:r>
            <w:r>
              <w:t xml:space="preserve"> en étudiant la possibilité de mettre en place des comptes personnels de formation ou des fonds de formation conformément aux modèles nationaux</w:t>
            </w:r>
            <w:r>
              <w:rPr>
                <w:b/>
                <w:i/>
              </w:rPr>
              <w:t>, tout en garantissant des normes minimales de qualité, d’accessibilité et d’équité dans l’ensemble de l’Union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invite les États membres à renforcer leur offre en matière d’enseignement et de formation professionnels et à </w:t>
            </w:r>
            <w:r>
              <w:rPr>
                <w:b/>
                <w:i/>
              </w:rPr>
              <w:t>moderniser leurs systèmes d’apprentissage tout au long de la vie, notamment en étudiant la possibilité de mettre en place des comptes personnels de formation ou des fonds de formation conformément aux modèles nationaux;</w:t>
            </w:r>
          </w:p>
        </w:tc>
        <w:tc>
          <w:tcPr>
            <w:tcW w:w="4876" w:type="dxa"/>
            <w:tcBorders>
              <w:top w:val="nil"/>
              <w:left w:val="nil"/>
              <w:bottom w:val="nil"/>
              <w:right w:val="nil"/>
            </w:tcBorders>
          </w:tcPr>
          <w:p>
            <w:pPr>
              <w:pStyle w:val="Normal6a"/>
            </w:pPr>
            <w:r>
              <w:t>19.</w:t>
            </w:r>
            <w:r>
              <w:tab/>
            </w:r>
            <w:r>
              <w:t xml:space="preserve">invite les États membres à renforcer leur offre en matière d’enseignement et de formation professionnels et à </w:t>
            </w:r>
            <w:r>
              <w:rPr>
                <w:b/>
                <w:i/>
              </w:rPr>
              <w:t>adopter des mesures fiscales incitatives ciblant la jeunesse, telles que l'exonération de l'impôt sur le revenu pour les jeunes actifs et la suppression de l'impôt sur les sociétés pour les jeunes entrepreneurs, afin de retenir le capital humain national et d'endiguer la fuite des cerveaux;</w:t>
            </w:r>
            <w:r>
              <w:t xml:space="preserve"> </w:t>
            </w:r>
            <w:r>
              <w:rPr>
                <w:b/>
                <w:i/>
              </w:rPr>
              <w:t>rappelle que le financement de ces dispositifs par l'Union doit bénéficier de manière exclusive aux jeunes citoyens des États membres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invite les États membres à renforcer leur offre en matière d’enseignement et de formation professionnels et à moderniser leurs systèmes d’apprentissage tout au long de la vie, notamment en étudiant la possibilité de mettre en place des comptes personnels de formation ou des fonds de formation conformément aux modèles nationaux;</w:t>
            </w:r>
          </w:p>
        </w:tc>
        <w:tc>
          <w:tcPr>
            <w:tcW w:w="4876" w:type="dxa"/>
            <w:tcBorders>
              <w:top w:val="nil"/>
              <w:left w:val="nil"/>
              <w:bottom w:val="nil"/>
              <w:right w:val="nil"/>
            </w:tcBorders>
          </w:tcPr>
          <w:p>
            <w:pPr>
              <w:pStyle w:val="Normal6a"/>
            </w:pPr>
            <w:r>
              <w:t>19.</w:t>
            </w:r>
            <w:r>
              <w:tab/>
            </w:r>
            <w:r>
              <w:t>invite les États membres à renforcer leur offre en matière d’enseignement et de formation professionnels et à moderniser leurs systèmes d’apprentissage tout au long de la vie, notamment en étudiant la possibilité de mettre en place des comptes personnels de formation ou des fonds de formation conformément aux modèles nationaux</w:t>
            </w:r>
            <w:r>
              <w:rPr>
                <w:b/>
                <w:i/>
              </w:rPr>
              <w:t>, sans remplacer la responsabilité publique en matière d’éducation gratuite, publique et universelle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Martine Kemp, Regina Doherty, Liesbet Sommen, 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 – alinéa 1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insiste sur la nécessité de parcours de formation flexibles et adaptés au marché du travail et souligne le potentiel des formats d’apprentissage modulaires courts, y compris les microcertifications, pour soutenir le perfectionnement et la reconversion professionnels, remédier aux déficits de compétences et faire participer les jeunes difficiles à atteindre;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invite la Commission et les États membres à soutenir, notamment par l’intermédiaire du FSE +, du Fonds de cohésion et d’autres instruments appropriés de l’Union, la création, le renforcement et l’interconnexion de réseaux qui favorisent l’esprit d’entreprise, l’innovation et les compétences en matière d’emploi indépendant chez les jeunes, en particulier dans les régions montagneuses, insulaires et reculées de l’Union;</w:t>
            </w:r>
            <w:r>
              <w:t xml:space="preserve"> </w:t>
            </w:r>
            <w:r>
              <w:rPr>
                <w:b/>
                <w:i/>
              </w:rPr>
              <w:t>souligne que l’objectif doit être le développement des compétences, le mentorat, l’échange de bonnes pratiques et l’accès des jeunes à de réelles possibilités d’intégration professionnelle et d’entrepreneuriat;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Martine Kemp, Regina Doherty, Liesbet Sommen, 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invite les États membres à donner la priorité à la mise en œuvre de la garantie renforcée pour la jeunesse dans les secteurs confrontés à des pénuries de main-d’œuvre et de compétences, en étroite coopération avec les employeurs et les partenaires sociaux, afin de garantir une intégration plus rapide et plus durable des jeunes sur le marché du travail ouvert;</w:t>
            </w:r>
            <w:r>
              <w:t xml:space="preserve"> </w:t>
            </w:r>
            <w:r>
              <w:rPr>
                <w:b/>
                <w:i/>
              </w:rPr>
              <w:t>souligne que les offres devraient être axées sur la demande, correspondre aux besoins régionaux du marché du travail et contribuer à la compétitivité de l’Union et aux transitions écologique et numérique;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invite les États membres à améliorer la qualité et le caractère inclusif de l’enseignement scolaire, afin que tous les apprenants acquièrent les compétences fondamentales, numériques, STIM et transversales essentielles, y compris les compétences non techniques, nécessaires pour progresser avec succès vers l’enseignement et la formation professionnels (EFP) et s’adapter aux besoins du marché du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ter.</w:t>
            </w:r>
            <w:r>
              <w:tab/>
            </w:r>
            <w:r>
              <w:rPr>
                <w:b/>
                <w:i/>
              </w:rPr>
              <w:t>souligne l’importance de l’entrepreneuriat social en tant qu’outil de promotion de l’emploi des jeunes, en particulier des jeunes en situation de vulnérabilité ou sans emploi qui ne suivent ni études ni formation (NEET);</w:t>
            </w:r>
            <w:r>
              <w:t xml:space="preserve"> </w:t>
            </w:r>
            <w:r>
              <w:rPr>
                <w:b/>
                <w:i/>
              </w:rPr>
              <w:t>souligne que les entreprises sociales peuvent contribuer au développement des compétences, à l’inclusion sociale et à la création d’emplois durables ayant une incidence locale;</w:t>
            </w:r>
            <w:r>
              <w:t xml:space="preserve"> </w:t>
            </w:r>
            <w:r>
              <w:rPr>
                <w:b/>
                <w:i/>
              </w:rPr>
              <w:t>invite la Commission et les États membres à renforcer le soutien aux entreprises sociales dans le cadre de la garantie renforcée pour la jeunesse, notamment par un financement approprié, la formation, le mentorat et l’accès aux réseaux de coopération;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ter.</w:t>
            </w:r>
            <w:r>
              <w:tab/>
            </w:r>
            <w:r>
              <w:rPr>
                <w:b/>
                <w:i/>
              </w:rPr>
              <w:t>invite les États membres à veiller à ce que l’enseignement et formation professionnels, y compris les systèmes d’enseignement en alternance combinant apprentissage en classe et expérience professionnelle pratique, soit un parcours respecté et attrayant, au même titre que l’enseignement universitaire;</w:t>
            </w:r>
            <w:r>
              <w:t xml:space="preserve"> </w:t>
            </w:r>
            <w:r>
              <w:rPr>
                <w:b/>
                <w:i/>
              </w:rPr>
              <w:t>invite les États membres à promouvoir les principes de formation en alternance afin de faciliter les transitions en douceur vers un emploi stable;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quater.</w:t>
            </w:r>
            <w:r>
              <w:tab/>
            </w:r>
            <w:r>
              <w:rPr>
                <w:b/>
                <w:i/>
              </w:rPr>
              <w:t>invite la Commission et les États membres à assurer un suivi continu et une analyse prospective des besoins en compétences afin d’aligner les systèmes d’éducation et de formation sur l’évolution du marché du travail, en particulier pour les jeunes, et en gardant toujours à l’esprit le développement global des jeunes (compétences de la vie courante);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quinquies.</w:t>
            </w:r>
            <w:r>
              <w:tab/>
            </w:r>
            <w:r>
              <w:rPr>
                <w:b/>
                <w:i/>
              </w:rPr>
              <w:t>invite la Commission et les États membres à promouvoir un accès équitable aux possibilités de formation et de reconversion pour les jeunes, y compris les futurs parents et les jeunes femmes ayant des responsabilités familiales, en facilitant l’accès à une formation individuelle gratuite pendant les heures de travail et en s’attaquant aux obstacles liés aux contraintes de temps, aux responsabilités familiales et aux coûts financiers;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Niels Geuking, Romana Tomc,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sexies.</w:t>
            </w:r>
            <w:r>
              <w:tab/>
            </w:r>
            <w:r>
              <w:rPr>
                <w:b/>
                <w:i/>
              </w:rPr>
              <w:t>invite la Commission et les États membres à veiller à ce que chaque enfant et chaque jeune fréquentant une structure d’accueil ou une école ait accès à un repas chaud quotidien gratuit</w:t>
            </w:r>
            <w:r>
              <w:rPr>
                <w:b/>
                <w:i/>
                <w:vertAlign w:val="superscript"/>
              </w:rPr>
              <w:t>4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 bis</w:t>
            </w:r>
            <w:r>
              <w:t xml:space="preserve"> </w:t>
            </w:r>
            <w:r>
              <w:rPr>
                <w:b/>
                <w:i/>
              </w:rPr>
              <w:t>https://commission.europa.eu/publications/school-fruit-vegetables-and-milk-scheme-eu-school-scheme_en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appelle de ses vœux, tant au niveau de l’Union qu’au niveau national, une plus grande synergie entre la garantie pour la jeunesse et les instruments de la garantie pour l’enfance, en particulier pour apporter un soutien continu aux enfants dans le besoin, de 15 à 18 ans et lorsqu’ils deviennent de jeunes adultes; souligne que cette démarche intégrée doit viser à prévenir le phénomène de la rupture brutale de la prise en charge;</w:t>
            </w:r>
          </w:p>
        </w:tc>
        <w:tc>
          <w:tcPr>
            <w:tcW w:w="4876" w:type="dxa"/>
            <w:tcBorders>
              <w:top w:val="nil"/>
              <w:left w:val="nil"/>
              <w:bottom w:val="nil"/>
              <w:right w:val="nil"/>
            </w:tcBorders>
          </w:tcPr>
          <w:p>
            <w:pPr>
              <w:pStyle w:val="Normal6a"/>
            </w:pPr>
            <w:r>
              <w:t>20.</w:t>
            </w:r>
            <w:r>
              <w:tab/>
            </w:r>
            <w:r>
              <w:t>appelle de ses vœux, tant au niveau de l’Union qu’au niveau national, une plus grande synergie entre la garantie pour la jeunesse et les instruments de la garantie pour l’enfance, en particulier pour apporter un soutien continu aux enfants dans le besoin, de 15 à 18 ans et lorsqu’ils deviennent de jeunes adultes; souligne que cette démarche intégrée doit viser à prévenir le phénomène de la rupture brutale de la prise en charge</w:t>
            </w:r>
            <w:r>
              <w:rPr>
                <w:b/>
                <w:i/>
                <w:vertAlign w:val="superscript"/>
              </w:rPr>
              <w:t>31 bis</w:t>
            </w:r>
            <w:r>
              <w:rPr>
                <w:b/>
                <w:i/>
              </w:rPr>
              <w:t>, dans le cadre duquel les personnes quittant les soins sont confrontées à un manque total de soutien après avoir atteint l’âge adulte</w:t>
            </w:r>
            <w:r>
              <w:t xml:space="preserve">; </w:t>
            </w:r>
            <w:r>
              <w:rPr>
                <w:b/>
                <w:i/>
              </w:rPr>
              <w:t>souligne la nécessité de renforcer la coopération avec les services sociaux et les prestataires de soins alternatifs afin de veiller à ce que les enfants qui sortent de la prise en charge ne passent pas à côté des possibilités d’éducation, y compris par des parcours de soutien précoces et continus;</w:t>
            </w:r>
            <w:r>
              <w:t xml:space="preserve"> </w:t>
            </w:r>
            <w:r>
              <w:rPr>
                <w:b/>
                <w:i/>
              </w:rPr>
              <w:t>souligne qu’il importe d’améliorer la collecte et la disponibilité de données ventilées et fiables sur les enfants placés et ceux qui approchent de l’âge de la prise en charge, afin de mieux éclairer les politiques ciblées, y compris la garantie renforcée pour la jeunesse;</w:t>
            </w:r>
            <w:r>
              <w:t xml:space="preserve"> </w:t>
            </w:r>
            <w:r>
              <w:rPr>
                <w:b/>
                <w:i/>
              </w:rPr>
              <w:t>invite les États membres et les services publics de l’emploi à étendre les mesures de sensibilisation et les services de soutien à tous les environnements de soins, y compris les foyers pour petits groupes et les environnements institutionnels, afin de garantir l’égalité d’accès à l’éducation, à la formation et aux perspectives d’avenir pour tous les enfants concernés;</w:t>
            </w:r>
            <w:r>
              <w:t xml:space="preserve"> </w:t>
            </w:r>
            <w:r>
              <w:rPr>
                <w:b/>
                <w:i/>
              </w:rPr>
              <w:t>souligne le potentiel de synergies entre la garantie pour la jeunesse et d’autres programmes tels qu’ALMA, Erasmus+ et le cadre stratégique de l’Union pour les Roms;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31 bis</w:t>
            </w:r>
            <w:r>
              <w:t xml:space="preserve"> </w:t>
            </w:r>
            <w:r>
              <w:rPr>
                <w:b/>
                <w:i/>
              </w:rPr>
              <w:t>Field, A, Sen, R, Johnston, C &amp; Ellis, K 2021, «Turning 18 in Specialised Residential Therapeutic Care:</w:t>
            </w:r>
            <w:r>
              <w:t xml:space="preserve"> </w:t>
            </w:r>
            <w:r>
              <w:rPr>
                <w:b/>
                <w:i/>
              </w:rPr>
              <w:t>Independent or a Cliff Edge?», Children &amp; Society, vol. 35, no 5, p. 784-798. https://doi.org/10.1111/chso.12450.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appelle de ses vœux</w:t>
            </w:r>
            <w:r>
              <w:rPr>
                <w:b/>
                <w:i/>
              </w:rPr>
              <w:t>, tant au niveau de l’Union qu’au niveau national,</w:t>
            </w:r>
            <w:r>
              <w:t xml:space="preserve"> une plus grande synergie entre la garantie pour la jeunesse et les instruments de la garantie pour l’enfance, en particulier pour apporter un soutien continu aux </w:t>
            </w:r>
            <w:r>
              <w:rPr>
                <w:b/>
                <w:i/>
              </w:rPr>
              <w:t>enfants</w:t>
            </w:r>
            <w:r>
              <w:t xml:space="preserve"> dans le besoin</w:t>
            </w:r>
            <w:r>
              <w:rPr>
                <w:b/>
                <w:i/>
              </w:rPr>
              <w:t>, de 15 à 18 ans et lorsqu’ils deviennent de jeunes adultes</w:t>
            </w:r>
            <w:r>
              <w:t>; souligne que cette démarche intégrée doit viser à prévenir le phénomène de la rupture brutale de la prise en charge;</w:t>
            </w:r>
          </w:p>
        </w:tc>
        <w:tc>
          <w:tcPr>
            <w:tcW w:w="4876" w:type="dxa"/>
            <w:tcBorders>
              <w:top w:val="nil"/>
              <w:left w:val="nil"/>
              <w:bottom w:val="nil"/>
              <w:right w:val="nil"/>
            </w:tcBorders>
          </w:tcPr>
          <w:p>
            <w:pPr>
              <w:pStyle w:val="Normal6a"/>
            </w:pPr>
            <w:r>
              <w:t>20.</w:t>
            </w:r>
            <w:r>
              <w:tab/>
            </w:r>
            <w:r>
              <w:t xml:space="preserve">appelle de ses vœux une plus grande synergie entre la garantie </w:t>
            </w:r>
            <w:r>
              <w:rPr>
                <w:b/>
                <w:i/>
              </w:rPr>
              <w:t>renforcée</w:t>
            </w:r>
            <w:r>
              <w:t xml:space="preserve"> pour la jeunesse et les instruments de la garantie pour l’enfance, </w:t>
            </w:r>
            <w:r>
              <w:rPr>
                <w:b/>
                <w:i/>
              </w:rPr>
              <w:t>tant au niveau de l’Union qu’au niveau national,</w:t>
            </w:r>
            <w:r>
              <w:t xml:space="preserve"> en particulier pour apporter un soutien continu aux </w:t>
            </w:r>
            <w:r>
              <w:rPr>
                <w:b/>
                <w:i/>
              </w:rPr>
              <w:t>jeunes et aux jeunes adultes</w:t>
            </w:r>
            <w:r>
              <w:t xml:space="preserve"> dans le besoin; souligne que cette démarche intégrée doit viser à prévenir le phénomène de la rupture brutale de la prise en charge</w:t>
            </w:r>
            <w:r>
              <w:rPr>
                <w:b/>
                <w:i/>
              </w:rPr>
              <w:t>, par lequel les jeunes qui quittent les structures d’accueil subissent une perte soudaine de logement, d’aide sociale, d’aide à l’éducation et d’aide à l’emploi lorsqu’ils atteignent l’âge adulte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déplore qu’en dépit des efforts déployés, aucun État membre ne soit actuellement sur le point d’atteindre les objectifs fixés au niveau de l’Union dans le cadre stratégique de l’Union pour l’égalité, l’inclusion et la participation des Roms, en particulier l’objectif de réduire de moitié, d’ici à 2030, l’écart entre les taux de NEET des jeunes Roms et de la population générale;</w:t>
            </w:r>
            <w:r>
              <w:t xml:space="preserve"> </w:t>
            </w:r>
            <w:r>
              <w:rPr>
                <w:b/>
                <w:i/>
              </w:rPr>
              <w:t>souligne que l’identification des Roms, en particulier ceux des zones rurales et isolées, en tant que groupe cible prioritaire dans le cadre de la garantie pour la jeunesse, et la coordination de ces deux instruments en synergie, peuvent apporter des améliorations mesurables en ce qui concerne les résultats en matière d’éducation, de formation et d’emploi;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rappelle la nécessité d’augmenter de toute urgence le financement de la garantie pour l’enfance, en lui allouant spécifiquement un budget d’au moins 20 milliards d’euros;</w:t>
            </w:r>
            <w:r>
              <w:t xml:space="preserve"> </w:t>
            </w:r>
            <w:r>
              <w:rPr>
                <w:b/>
                <w:i/>
              </w:rPr>
              <w:t>insiste sur le fait que ce budget spécifique doit être ancré dans le prochain CFP et mis en œuvre par l’intermédiaire du FSE distinct et autonome, avec l’obligation contraignante pour chaque État membre d’affecter au moins 5 % de sa dotation nationale au titre du FSE à la lutte contre la pauvreté infantile;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Martine Kemp, Regina Doherty, Liesbet Sommen, 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souligne la nécessité de renforcer les synergies et les complémentarités avec d’autres programmes et instruments de l’Union, y compris Erasmus+, le corps européen de solidarité et EURES, afin d’offrir aux jeunes des parcours plus complets et intégrés, combinant des possibilités d’éducation, de formation, de mobilité et d’emploi;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invite la Commission et les États membres à mettre en œuvre la garantie renforcée pour la jeunesse au moyen d’une approche axée sur la famille et le parcours de vie, en garantissant une synergie totale entre la garantie pour la jeunesse et la garantie pour l’enfance, ainsi que l’initiative «Des familles plus fortes» et le contrat familial européen;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ter.</w:t>
            </w:r>
            <w:r>
              <w:tab/>
            </w:r>
            <w:r>
              <w:rPr>
                <w:b/>
                <w:i/>
              </w:rPr>
              <w:t>estime qu’une plus grande interopérabilité entre les programmes et les plans d’action de l’Union renforcerait l’action globale des États membres, tout en garantissant la valeur ajoutée de chaque programme et leurs efforts ciblés de manière complémentaire;</w:t>
            </w:r>
            <w:r>
              <w:t xml:space="preserve"> </w:t>
            </w:r>
            <w:r>
              <w:rPr>
                <w:b/>
                <w:i/>
              </w:rPr>
              <w:t>invite les États membres à renforcer les liens entre leurs dispositifs de garantie pour la jeunesse et d’autres programmes nationaux en faveur de la jeunesse, en fixant des priorités pour les bénéficiaires de la garantie renforcée pour la jeunesse;</w:t>
            </w:r>
            <w:r>
              <w:t xml:space="preserve"> </w:t>
            </w:r>
            <w:r>
              <w:rPr>
                <w:b/>
                <w:i/>
              </w:rPr>
              <w:t>invite à cet égard les États membres à élaborer un plan national de coopération pour la jeunesse et à évaluer régulièrement l’approche intégrée et transversale en faveur des jeunes et à en rendre compte;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ter.</w:t>
            </w:r>
            <w:r>
              <w:tab/>
            </w:r>
            <w:r>
              <w:rPr>
                <w:b/>
                <w:i/>
              </w:rPr>
              <w:t>invite les États membres à mettre en place un parcours spécifique pour les personnes ayant quitté le système de soins dans le besoin dans le cadre de la mise en œuvre de la garantie renforcée pour la jeunesse, y compris l’identification précoce et l’inscription automatique aux services de la garantie renforcée pour la jeunesse, la gestion coordonnée des cas entre les services sociaux et les services des SPE, et la continuité de l’accès à l’aide à l’emploi, à la protection sociale, à l’aide au logement et à d’autres services nécessaires à une intégration efficace sur le marché du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ter.</w:t>
            </w:r>
            <w:r>
              <w:tab/>
            </w:r>
            <w:r>
              <w:rPr>
                <w:b/>
                <w:i/>
              </w:rPr>
              <w:t>demande que les jeunes, en particulier les jeunes parents, bénéficient d’un soutien adéquat pour participer aux mesures de la garantie pour la jeunesse grâce à l’accès à des services de garde d’enfants abordables et de qualité, à des aménagements du temps de travail favorables à la famille et, le cas échéant, à une aide financière, afin les responsabilités familiales n’entraînent pas l’exclusion du marché du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quater.</w:t>
            </w:r>
            <w:r>
              <w:tab/>
            </w:r>
            <w:r>
              <w:rPr>
                <w:b/>
                <w:i/>
              </w:rPr>
              <w:t>demande un soutien ciblé et accessible en matière de santé mentale au titre de la garantie pour la jeunesse pour les jeunes mères et pères, qui sont particulièrement exposés au risque de dépression postnatale, de surcharge et de mauvais équilibre entre vie professionnelle et vie privée, afin d’éviter des interruptions durables de leurs parcours professionnels;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quinquies.</w:t>
            </w:r>
            <w:r>
              <w:tab/>
            </w:r>
            <w:r>
              <w:rPr>
                <w:b/>
                <w:i/>
              </w:rPr>
              <w:t>invite les États membres à fournir un soutien accessible et non stigmatisant en matière de santé mentale au titre de la garantie pour la jeunesse, tel que l’accompagnement et le mentorat par les pairs, aux jeunes exclus du marché du travail en raison de l’anxiété, de la dépression ou de l’épuisement professionnel, conduisant à l’autonomisation et à la complémentarité avec les soins médicaux;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invite les États membres à renforcer les actions d’information</w:t>
            </w:r>
            <w:r>
              <w:t xml:space="preserve"> sur le </w:t>
            </w:r>
            <w:r>
              <w:rPr>
                <w:b/>
                <w:i/>
              </w:rPr>
              <w:t>terrain ciblant les NEET vulnérables aux niveaux national et local et à faire de la mobilisation de ce groupe la priorité absolue de</w:t>
            </w:r>
            <w:r>
              <w:t xml:space="preserve"> la garantie renforcée pour la jeunesse </w:t>
            </w:r>
            <w:r>
              <w:rPr>
                <w:b/>
                <w:i/>
              </w:rPr>
              <w:t>dans le cadre de sa mise en œuvre</w:t>
            </w:r>
            <w:r>
              <w:t>;</w:t>
            </w:r>
          </w:p>
        </w:tc>
        <w:tc>
          <w:tcPr>
            <w:tcW w:w="4876" w:type="dxa"/>
            <w:tcBorders>
              <w:top w:val="nil"/>
              <w:left w:val="nil"/>
              <w:bottom w:val="nil"/>
              <w:right w:val="nil"/>
            </w:tcBorders>
          </w:tcPr>
          <w:p>
            <w:pPr>
              <w:pStyle w:val="Normal6a"/>
            </w:pPr>
            <w:r>
              <w:t>21.</w:t>
            </w:r>
            <w:r>
              <w:tab/>
            </w:r>
            <w:r>
              <w:rPr>
                <w:b/>
                <w:i/>
              </w:rPr>
              <w:t>souligne l’importance d’approches personnalisées et différenciées pour la réinsertion des jeunes NEET</w:t>
            </w:r>
            <w:r>
              <w:t xml:space="preserve"> sur le </w:t>
            </w:r>
            <w:r>
              <w:rPr>
                <w:b/>
                <w:i/>
              </w:rPr>
              <w:t>marché du travail ou dans l’éducation et la formation;</w:t>
            </w:r>
            <w:r>
              <w:t xml:space="preserve"> </w:t>
            </w:r>
            <w:r>
              <w:rPr>
                <w:b/>
                <w:i/>
              </w:rPr>
              <w:t>demande que les systèmes nationaux mettant en œuvre</w:t>
            </w:r>
            <w:r>
              <w:t xml:space="preserve"> la garantie renforcée pour la jeunesse </w:t>
            </w:r>
            <w:r>
              <w:rPr>
                <w:b/>
                <w:i/>
              </w:rPr>
              <w:t>prévoient un premier profilage précis des bénéficiaires, visant à déterminer le niveau d’employabilité et les obstacles spécifiques à la participation, et s’appuient, sur cette base, sur des parcours de prise en charge différenciés par profil;</w:t>
            </w:r>
            <w:r>
              <w:t xml:space="preserve"> </w:t>
            </w:r>
            <w:r>
              <w:rPr>
                <w:b/>
                <w:i/>
              </w:rPr>
              <w:t>souligne le rôle irremplaçable des acteurs intermédiaires (organismes de formation professionnelle, organisations du tiers secteur et services de proximité) dans la prise en charge des jeunes les plus éloignés du marché du travail, qui souvent n’entrent pas en contact avec les services publics de l’emploi par les canaux ordinaires</w:t>
            </w:r>
            <w:r>
              <w:t xml:space="preserve">; </w:t>
            </w:r>
            <w:r>
              <w:rPr>
                <w:b/>
                <w:i/>
              </w:rPr>
              <w:t>demande que les parcours d’activation pour les femmes sans emploi qui ne suivent ni études ni formation (NEET) soient accompagnés de mesures intégrées visant à favoriser l’équilibre entre vie professionnelle et vie privée, étant donné que les responsabilités familiales non rémunérées sont la principale cause structurelle de l’écart entre les hommes et les femmes en ce qui concerne le statut de NEET;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invite les États membres à renforcer les actions d’information sur le terrain ciblant les NEET vulnérables aux niveaux national et local et à faire de la mobilisation de ce groupe la priorité absolue de la garantie renforcée pour la jeunesse dans le cadre de sa mise en œuvre;</w:t>
            </w:r>
          </w:p>
        </w:tc>
        <w:tc>
          <w:tcPr>
            <w:tcW w:w="4876" w:type="dxa"/>
            <w:tcBorders>
              <w:top w:val="nil"/>
              <w:left w:val="nil"/>
              <w:bottom w:val="nil"/>
              <w:right w:val="nil"/>
            </w:tcBorders>
          </w:tcPr>
          <w:p>
            <w:pPr>
              <w:pStyle w:val="Normal6a"/>
            </w:pPr>
            <w:r>
              <w:t>21.</w:t>
            </w:r>
            <w:r>
              <w:tab/>
            </w:r>
            <w:r>
              <w:t xml:space="preserve">invite les États membres à renforcer les actions d’information sur le terrain ciblant les NEET vulnérables aux niveaux national et local et à faire de la mobilisation de ce groupe la priorité absolue de la garantie renforcée pour la jeunesse dans le cadre de sa mise en œuvre; </w:t>
            </w:r>
            <w:r>
              <w:rPr>
                <w:b/>
                <w:i/>
              </w:rPr>
              <w:t>demande en particulier d’investir dans des infrastructures de sensibilisation décentralisées et communautaires, combinées à la fourniture de services intégrés, et de s’écarter d’un modèle traditionnel reposant uniquement sur un système d’enregistrement;</w:t>
            </w:r>
            <w:r>
              <w:t xml:space="preserve"> </w:t>
            </w:r>
            <w:r>
              <w:rPr>
                <w:b/>
                <w:i/>
              </w:rPr>
              <w:t>souligne que de nombreuses mesures se sont révélées efficaces pour atteindre les NEET difficiles à atteindre et qu’elles doivent désormais être renforcées au niveau national, notamment les médiateurs roms, les spécialistes de l’activation, les unités mobiles des SPE, les services virtuels, l’animation socio-éducative ouverte, la sensibilisation directe dans la rue, l’utilisation des médias sociaux, les programmes de mentorat, les animateurs socio-éducatifs, la présence dans les clubs sportifs, les lieux de loisirs, les centres commerciaux et les programmes d’ambassadeurs;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invite les États membres à renforcer les actions d’information sur le terrain ciblant les NEET vulnérables aux niveaux national et local et à faire de </w:t>
            </w:r>
            <w:r>
              <w:rPr>
                <w:b/>
                <w:i/>
              </w:rPr>
              <w:t>la mobilisation</w:t>
            </w:r>
            <w:r>
              <w:t xml:space="preserve"> de ce groupe la priorité absolue de la garantie renforcée pour la jeunesse dans le cadre de sa mise en œuvre;</w:t>
            </w:r>
          </w:p>
        </w:tc>
        <w:tc>
          <w:tcPr>
            <w:tcW w:w="4876" w:type="dxa"/>
            <w:tcBorders>
              <w:top w:val="nil"/>
              <w:left w:val="nil"/>
              <w:bottom w:val="nil"/>
              <w:right w:val="nil"/>
            </w:tcBorders>
          </w:tcPr>
          <w:p>
            <w:pPr>
              <w:pStyle w:val="Normal6a"/>
            </w:pPr>
            <w:r>
              <w:t>21.</w:t>
            </w:r>
            <w:r>
              <w:tab/>
            </w:r>
            <w:r>
              <w:t xml:space="preserve">invite les États membres à renforcer les actions d’information sur le terrain ciblant les NEET vulnérables aux niveaux national et local et à faire de </w:t>
            </w:r>
            <w:r>
              <w:rPr>
                <w:b/>
                <w:i/>
              </w:rPr>
              <w:t>l’inclusion sociale et du soutien à la transition de l’éducation vers le marché du travail</w:t>
            </w:r>
            <w:r>
              <w:t xml:space="preserve"> de ce groupe la priorité absolue de la garantie renforcée pour la jeunesse dans le cadre de sa mise en œuvre</w:t>
            </w:r>
            <w:r>
              <w:rPr>
                <w:b/>
                <w:i/>
              </w:rPr>
              <w:t>, y compris au moyen de formations de sensibilité culturelle et sociale destinées à tous les prestataires de services</w:t>
            </w:r>
            <w:r>
              <w:t xml:space="preserve">; </w:t>
            </w:r>
            <w:r>
              <w:rPr>
                <w:b/>
                <w:i/>
              </w:rPr>
              <w:t>souligne la nécessité d’aller au-delà du recours à des systèmes fondés sur l’inscription pour adopter des approches de sensibilisation proactives, décentralisées et communautaires, en rapprochant les services des jeunes et en renforçant la capacité des services publics de l’emploi à associer efficacement les plus vulnérables;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invite les États membres à renforcer les actions d’information sur le terrain ciblant les NEET vulnérables aux niveaux national et local et à faire de la mobilisation de ce groupe la priorité absolue de la garantie renforcée pour la jeunesse dans le cadre de sa mise en œuvre;</w:t>
            </w:r>
          </w:p>
        </w:tc>
        <w:tc>
          <w:tcPr>
            <w:tcW w:w="4876" w:type="dxa"/>
            <w:tcBorders>
              <w:top w:val="nil"/>
              <w:left w:val="nil"/>
              <w:bottom w:val="nil"/>
              <w:right w:val="nil"/>
            </w:tcBorders>
          </w:tcPr>
          <w:p>
            <w:pPr>
              <w:pStyle w:val="Normal6a"/>
            </w:pPr>
            <w:r>
              <w:t>21.</w:t>
            </w:r>
            <w:r>
              <w:tab/>
            </w:r>
            <w:r>
              <w:t xml:space="preserve">invite les États membres à renforcer les actions d’information sur le terrain ciblant les NEET vulnérables aux niveaux national et local et à faire de la mobilisation de ce groupe la priorité absolue de la garantie renforcée pour la jeunesse dans le cadre de sa mise en œuvre; </w:t>
            </w:r>
            <w:r>
              <w:rPr>
                <w:b/>
                <w:i/>
              </w:rPr>
              <w:t>souligne la nécessité de garantir la pleine accessibilité des programmes de garantie pour la jeunesse pour les jeunes handicapés, notamment au moyen d’infrastructures de formation accessibles, de services de soutien sur mesure et d’une coopération renforcée avec les organisations représentant les personnes handicapées, afin de garantir l’égalité des chances en matière d’accès à l’emploi, à la formation et à l’apprentissage;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invite les États membres à renforcer les actions d’information sur le terrain ciblant les NEET </w:t>
            </w:r>
            <w:r>
              <w:rPr>
                <w:b/>
                <w:i/>
              </w:rPr>
              <w:t>vulnérables aux niveaux national et local</w:t>
            </w:r>
            <w:r>
              <w:t xml:space="preserve"> et à faire de </w:t>
            </w:r>
            <w:r>
              <w:rPr>
                <w:b/>
                <w:i/>
              </w:rPr>
              <w:t>la mobilisation de ce groupe</w:t>
            </w:r>
            <w:r>
              <w:t xml:space="preserve"> la priorité absolue de la garantie renforcée pour la jeunesse </w:t>
            </w:r>
            <w:r>
              <w:rPr>
                <w:b/>
                <w:i/>
              </w:rPr>
              <w:t>dans le cadre de sa mise en œuvre</w:t>
            </w:r>
            <w:r>
              <w:t>;</w:t>
            </w:r>
          </w:p>
        </w:tc>
        <w:tc>
          <w:tcPr>
            <w:tcW w:w="4876" w:type="dxa"/>
            <w:tcBorders>
              <w:top w:val="nil"/>
              <w:left w:val="nil"/>
              <w:bottom w:val="nil"/>
              <w:right w:val="nil"/>
            </w:tcBorders>
          </w:tcPr>
          <w:p>
            <w:pPr>
              <w:pStyle w:val="Normal6a"/>
            </w:pPr>
            <w:r>
              <w:t>21.</w:t>
            </w:r>
            <w:r>
              <w:tab/>
            </w:r>
            <w:r>
              <w:t xml:space="preserve">invite les États membres à renforcer les actions d’information sur le terrain </w:t>
            </w:r>
            <w:r>
              <w:rPr>
                <w:b/>
                <w:i/>
              </w:rPr>
              <w:t>nationales, régionales et locales</w:t>
            </w:r>
            <w:r>
              <w:t xml:space="preserve"> ciblant les NEET </w:t>
            </w:r>
            <w:r>
              <w:rPr>
                <w:b/>
                <w:i/>
              </w:rPr>
              <w:t>difficiles à atteindre</w:t>
            </w:r>
            <w:r>
              <w:t xml:space="preserve"> et à faire de </w:t>
            </w:r>
            <w:r>
              <w:rPr>
                <w:b/>
                <w:i/>
              </w:rPr>
              <w:t>leur intégration sur le marché du travail</w:t>
            </w:r>
            <w:r>
              <w:t xml:space="preserve"> la priorité absolue </w:t>
            </w:r>
            <w:r>
              <w:rPr>
                <w:b/>
                <w:i/>
              </w:rPr>
              <w:t>de la mise en œuvre</w:t>
            </w:r>
            <w:r>
              <w:t xml:space="preserve"> de la garantie renforcée pour la jeunesse</w:t>
            </w:r>
            <w:r>
              <w:rPr>
                <w:b/>
                <w:i/>
              </w:rPr>
              <w:t>;</w:t>
            </w:r>
            <w:r>
              <w:t xml:space="preserve"> </w:t>
            </w:r>
            <w:r>
              <w:rPr>
                <w:b/>
                <w:i/>
              </w:rPr>
              <w:t>demande à la fois des mesures de sensibilisation ciblées et des mesures de soutien spécifiques pour les NEET vulnérables, adaptées pour surmonter tous les obstacles spécifiques auxquels ils sont confrontés, tels que la discrimination, les problèmes de santé, les responsabilités en matière de soins et le sans-abrisme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invite les États membres à renforcer les actions d’information sur le terrain ciblant les NEET vulnérables aux niveaux national et local et à faire de la mobilisation de ce groupe la priorité absolue de la garantie renforcée pour la jeunesse dans le cadre de sa mise en œuvre;</w:t>
            </w:r>
          </w:p>
        </w:tc>
        <w:tc>
          <w:tcPr>
            <w:tcW w:w="4876" w:type="dxa"/>
            <w:tcBorders>
              <w:top w:val="nil"/>
              <w:left w:val="nil"/>
              <w:bottom w:val="nil"/>
              <w:right w:val="nil"/>
            </w:tcBorders>
          </w:tcPr>
          <w:p>
            <w:pPr>
              <w:pStyle w:val="Normal6a"/>
            </w:pPr>
            <w:r>
              <w:t>21.</w:t>
            </w:r>
            <w:r>
              <w:tab/>
            </w:r>
            <w:r>
              <w:t xml:space="preserve">invite les États membres à renforcer les actions d’information sur le terrain ciblant les NEET vulnérables aux niveaux national et local et à faire de la mobilisation de ce groupe la priorité absolue de la garantie renforcée pour la jeunesse dans le cadre de sa mise en œuvre; </w:t>
            </w:r>
            <w:r>
              <w:rPr>
                <w:b/>
                <w:i/>
              </w:rPr>
              <w:t>invite, à cet égard, les États membres à mettre en place des mécanismes permettant une transition en douceur de la protection de l’enfance vers les services pour la jeunesse, l’éducation, la formation et l’emploi;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invite les États membres à renforcer les actions d’information sur le terrain ciblant les NEET vulnérables aux niveaux national et local et à faire de la mobilisation de ce groupe la priorité absolue de la garantie renforcée pour la jeunesse dans le cadre de sa mise en œuvre;</w:t>
            </w:r>
          </w:p>
        </w:tc>
        <w:tc>
          <w:tcPr>
            <w:tcW w:w="4876" w:type="dxa"/>
            <w:tcBorders>
              <w:top w:val="nil"/>
              <w:left w:val="nil"/>
              <w:bottom w:val="nil"/>
              <w:right w:val="nil"/>
            </w:tcBorders>
          </w:tcPr>
          <w:p>
            <w:pPr>
              <w:pStyle w:val="Normal6a"/>
            </w:pPr>
            <w:r>
              <w:t>21.</w:t>
            </w:r>
            <w:r>
              <w:tab/>
            </w:r>
            <w:r>
              <w:t>invite les États membres à renforcer les actions d’information sur le terrain ciblant les NEET vulnérables aux niveaux national et local et à faire de la mobilisation de ce groupe la priorité absolue de la garantie renforcée pour la jeunesse dans le cadre de sa mise en œuvre</w:t>
            </w:r>
            <w:r>
              <w:rPr>
                <w:b/>
                <w:i/>
              </w:rPr>
              <w:t>, et demande à cet égard que des efforts soient déployés pour garantir l’inclusion sociale et une transition soutenue de ce groupe de l’éducation au marché du travail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souligne que l’intensification de ces actions d’information sur le terrain doit permettre d’atteindre les jeunes vulnérables qui ont jusqu’à présent été invisibles dans les dispositifs de garantie pour la jeunesse;</w:t>
            </w:r>
            <w:r>
              <w:t xml:space="preserve"> </w:t>
            </w:r>
            <w:r>
              <w:rPr>
                <w:b/>
                <w:i/>
              </w:rPr>
              <w:t>constate que les jeunes vulnérables ne s’identifient pas nécessairement à la catégorie des NEET, et invite à cet égard les prestataires de la garantie pour la jeunesse à étendre leur champ d’action au-delà de cette catégorie;</w:t>
            </w:r>
            <w:r>
              <w:t xml:space="preserve"> </w:t>
            </w:r>
            <w:r>
              <w:rPr>
                <w:b/>
                <w:i/>
              </w:rPr>
              <w:t>estime que la participation d’intermédiaires entre pairs, d’ONG et d’organisations locales est essentielle pour atteindre directement les NEET dans leur communauté;</w:t>
            </w:r>
            <w:r>
              <w:t xml:space="preserve"> </w:t>
            </w:r>
            <w:r>
              <w:rPr>
                <w:b/>
                <w:i/>
              </w:rPr>
              <w:t>note que, pour les jeunes qui se trouvent dans des situations de difficulté plus aiguë, l’approche doit être volontaire et fixer un seuil bas, sans qu’il soit nécessaire de s’enregistrer, de fournir des documents ou de s’engager, mais plutôt fondée sur une compréhension des problèmes rencontrés et sur la sensibilité à leurs valeurs et à leurs pratiques;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invite les États membres à allouer des ressources spécifiques au développement d’actions de sensibilisation volontaristes, décentralisées et communautaires et à réduire la dépendance exclusive à l’égard des systèmes passifs, fondés sur l’enregistrement et exclusivement numériques;</w:t>
            </w:r>
            <w:r>
              <w:t xml:space="preserve"> </w:t>
            </w:r>
            <w:r>
              <w:rPr>
                <w:b/>
                <w:i/>
              </w:rPr>
              <w:t>souligne qu’une telle sensibilisation est essentielle pour atteindre les NEET difficiles à atteindre et vulnérables dans leur contexte local et pour renforcer la confiance à leur égard, ainsi que pour réduire le risque d’exclusion découlant de la stigmatisation, de la méfiance institutionnelle et des inégalités numériques;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invite les États membres à soutenir les NEET vulnérables, tels que les jeunes dans les zones rurales, les jeunes parents, et en particulier les jeunes mères et les femmes NEET, au moyen de mesures ciblées, en fournissant une sensibilisation précoce, un accès à des services de garde d’enfants, des possibilités d’apprentissage et de travail flexibles et un soutien social et à l’emploi coordonné afin de garantir une intégration durable sur le marché du travail, l’égalité entre les hommes et les femmes et la prévention de l’exclusion à long terme;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reconnaît la crise du logement et son incidence disproportionnée sur les jeunes;</w:t>
            </w:r>
            <w:r>
              <w:t xml:space="preserve"> </w:t>
            </w:r>
            <w:r>
              <w:rPr>
                <w:b/>
                <w:i/>
              </w:rPr>
              <w:t>invite la Commission, les États membres et les collectivités locales et régionales à veiller à ce que les initiatives politiques conçues pour résoudre cette crise fassent l’objet de «tests jeunesse» afin qu’elles tiennent compte des besoins des jeunes;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ter.</w:t>
            </w:r>
            <w:r>
              <w:tab/>
            </w:r>
            <w:r>
              <w:rPr>
                <w:b/>
                <w:i/>
              </w:rPr>
              <w:t>invite la Commission et les États membres à fournir un soutien adapté et ciblé aux jeunes mères dans le cadre des dispositifs de garantie pour la jeunesse;</w:t>
            </w:r>
            <w:r>
              <w:t xml:space="preserve"> </w:t>
            </w:r>
            <w:r>
              <w:rPr>
                <w:b/>
                <w:i/>
              </w:rPr>
              <w:t>souligne que la contribution des jeunes mères au marché du travail devrait être comprise plus largement que le seul emploi et devrait reconnaître le travail de soins;</w:t>
            </w:r>
            <w:r>
              <w:t xml:space="preserve"> </w:t>
            </w:r>
            <w:r>
              <w:rPr>
                <w:b/>
                <w:i/>
              </w:rPr>
              <w:t>déplore que la stigmatisation et la discrimination, les responsabilités familiales disproportionnées et les pressions financières puissent réduire la probabilité que les jeunes mères soient en mesure d’accéder à des possibilités d’éducation, de formation et d’emploi nécessitant beaucoup de temps;</w:t>
            </w:r>
            <w:r>
              <w:t xml:space="preserve"> </w:t>
            </w:r>
            <w:r>
              <w:rPr>
                <w:b/>
                <w:i/>
              </w:rPr>
              <w:t>souligne l’importance de services publics de garde d’enfants gratuits ou abordables pour faciliter l’accès des jeunes mères à l’éducation, à la formation et à l’emploi;</w:t>
            </w:r>
            <w:r>
              <w:t xml:space="preserve"> </w:t>
            </w:r>
            <w:r>
              <w:rPr>
                <w:b/>
                <w:i/>
              </w:rPr>
              <w:t>demande des mesures ciblées telles que des formules souples de travail et un soutien financier spécifique dans ce contexte;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ter.</w:t>
            </w:r>
            <w:r>
              <w:tab/>
            </w:r>
            <w:r>
              <w:rPr>
                <w:b/>
                <w:i/>
              </w:rPr>
              <w:t>invite les États membres à dispenser une formation sur les préjugés inconscients et la non-discrimination aux chercheurs, aux fonctionnaires, au personnel des services de l’emploi et aux autres professionnels participant à la cartographie et au ciblage des groupes vulnérables dans le cadre de la garantie pour la jeunesse;</w:t>
            </w:r>
            <w:r>
              <w:t xml:space="preserve"> </w:t>
            </w:r>
            <w:r>
              <w:rPr>
                <w:b/>
                <w:i/>
              </w:rPr>
              <w:t>encourage les États membres à élaborer des programmes de formation et de sensibilisation à l’intention des employeurs participant aux dispositifs de garantie pour la jeunesse afin de lutter contre la discrimination et les préjugés dans les pratiques de recrutement et sur le lieu de travail, y compris ceux fondés sur l’origine ethnique, le genre, les handicaps physiques et intellectuels de développement ou le milieu socio-économique;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ter.</w:t>
            </w:r>
            <w:r>
              <w:tab/>
            </w:r>
            <w:r>
              <w:rPr>
                <w:b/>
                <w:i/>
              </w:rPr>
              <w:t>souligne l’incidence unique et négative de la crise du logement sur nos langues régionales, minoritaires et moins répandues, et la manière dont elle peut affecter de manière disproportionnée les jeunes qui souhaitent rester dans leurs communautés; invite dès lors les autorités locales, régionales, nationales et de l’Union à adopter des mesures adaptées en matière de logement et à procéder à des tests jeunesse dans les zones où ces langues sont parlées, y compris, le cas échéant, des dérogations ciblées pour protéger les jeunes de ces communautés;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ter.</w:t>
            </w:r>
            <w:r>
              <w:tab/>
            </w:r>
            <w:r>
              <w:rPr>
                <w:b/>
                <w:i/>
              </w:rPr>
              <w:t>invite les États membres à fournir aux jeunes parents des dispositifs de garantie pour la jeunesse des services de garde d’enfants toute la journée, y compris des repas et des horaires flexibles, afin d’éliminer les obstacles à la participation au marché du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quater.</w:t>
            </w:r>
            <w:r>
              <w:tab/>
            </w:r>
            <w:r>
              <w:rPr>
                <w:b/>
                <w:i/>
              </w:rPr>
              <w:t>demande que des mesures ciblées soient prises dans le cadre de la garantie renforcée pour la jeunesse afin de soutenir les NEET qui sont incarcérés ou qui ont quitté les systèmes pénitentiaires, ainsi que ceux qui luttent contre la dépendance;</w:t>
            </w:r>
            <w:r>
              <w:t xml:space="preserve"> </w:t>
            </w:r>
            <w:r>
              <w:rPr>
                <w:b/>
                <w:i/>
              </w:rPr>
              <w:t>demande des programmes sur mesure et un soutien durable pour réduire la stigmatisation et faciliter leur renforcement des compétences et leur réintégration effective et durable dans la société et dans l’emploi;</w:t>
            </w:r>
            <w:r>
              <w:t xml:space="preserve"> </w:t>
            </w:r>
            <w:r>
              <w:rPr>
                <w:b/>
                <w:i/>
              </w:rPr>
              <w:t>souligne l’incidence préventive de la participation inclusive et active à l’éducation, à la formation et à l’emploi sur la réduction des risques d’abus de substances et d’alcool et sur la réduction des taux d’infraction et de détention des jeunes;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quater.</w:t>
            </w:r>
            <w:r>
              <w:tab/>
            </w:r>
            <w:r>
              <w:rPr>
                <w:b/>
                <w:i/>
              </w:rPr>
              <w:t>propose de systématiser la mention de la garantie renforcée pour la jeunesse dans les programmes nationaux et locaux afin d’améliorer la visibilité et de sensibiliser les administrations, les autorités locales et les bénéficiaires;</w:t>
            </w:r>
            <w:r>
              <w:t xml:space="preserve"> </w:t>
            </w:r>
            <w:r>
              <w:rPr>
                <w:b/>
                <w:i/>
              </w:rPr>
              <w:t>souligne qu’il est essentiel que les bénéficiaires sachent qu’ils font partie d’un dispositif de garantie renforcée pour la jeunesse afin de comprendre le soutien global dont ils disposent;</w:t>
            </w:r>
            <w:r>
              <w:t xml:space="preserve"> </w:t>
            </w:r>
            <w:r>
              <w:rPr>
                <w:b/>
                <w:i/>
              </w:rPr>
              <w:t>invite la Commission à élaborer, en collaboration avec les États membres, un ensemble de règles de visibilité pour les dispositifs de garantie renforcée pour la jeunesse;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quater.</w:t>
            </w:r>
            <w:r>
              <w:tab/>
            </w:r>
            <w:r>
              <w:rPr>
                <w:b/>
                <w:i/>
              </w:rPr>
              <w:t>invite les États membres à soutenir efficacement les femmes sans emploi qui ne suivent ni études ni formation (NEET) en sensibilisant les décideurs politiques aux défis et obstacles spécifiques auxquels sont confrontées les femmes, en collectant et en analysant des données ventilées par sexe sur les NEET afin de concevoir des mesures de sensibilisation et d’activation ciblées, et en promouvant les possibilités d’enseignement et formation professionnels pour les femmes NEET afin de permettre la reconversion professionnelle, l’emploi et l’intégration durable sur le marché du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quinquies.</w:t>
            </w:r>
            <w:r>
              <w:tab/>
            </w:r>
            <w:r>
              <w:rPr>
                <w:b/>
                <w:i/>
              </w:rPr>
              <w:t>invite les États membres à étudier des mesures visant à assurer la continuité de la couverture et du soutien au titre de la garantie pour la jeunesse pour les jeunes exerçant un travail saisonnier ou temporaire à l’étranger, en tenant compte du fait que nombre d’entre eux ne passent qu’une partie de l’année à travailler à l’étranger et retournent chez eux sans revenus pour le reste de l’année;</w:t>
            </w:r>
            <w:r>
              <w:t xml:space="preserve"> </w:t>
            </w:r>
            <w:r>
              <w:rPr>
                <w:b/>
                <w:i/>
              </w:rPr>
              <w:t>souligne qu’il importe de garantir la reconnaissance des compétences acquises à l’étranger et une prise de contact rapide avec les services de l’emploi à leur retour;</w:t>
            </w:r>
            <w:r>
              <w:t xml:space="preserve"> </w:t>
            </w:r>
            <w:r>
              <w:rPr>
                <w:b/>
                <w:i/>
              </w:rPr>
              <w:t>invite en outre les États membres à collecter et à mettre à jour systématiquement, sur une base annuelle, des données sur le nombre de jeunes qui entreprennent un travail saisonnier ou temporaire à l’étranger afin de mieux éclairer les réponses politiques et de garantir un soutien sur mesure;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quinquies.</w:t>
            </w:r>
            <w:r>
              <w:tab/>
            </w:r>
            <w:r>
              <w:rPr>
                <w:b/>
                <w:i/>
              </w:rPr>
              <w:t>souligne que la réussite de l’intégration sur le marché du travail des NEET vulnérables dépend de leur accès à des conditions de vie de base adéquates;</w:t>
            </w:r>
            <w:r>
              <w:t xml:space="preserve"> </w:t>
            </w:r>
            <w:r>
              <w:rPr>
                <w:b/>
                <w:i/>
              </w:rPr>
              <w:t>invite la Commission et les États membres à veiller à ce que la mise en œuvre de la garantie renforcée pour la jeunesse soit structurellement liée aux politiques en matière de logement, de soins, de protection sociale et de santé, afin de remédier aux multiples obstacles auxquels sont confrontés les NEET vulnérables dans l’accès à un emploi, à une éducation et à une formation de qualité;</w:t>
            </w:r>
            <w:r>
              <w:t xml:space="preserve"> </w:t>
            </w:r>
            <w:r>
              <w:rPr>
                <w:b/>
                <w:i/>
              </w:rPr>
              <w:t>invite les États membres à veiller à ce que les offres de la garantie renforcée pour la jeunesse pour les NEET vulnérables soient soutenues par un accès adéquat aux services de soutien essentiels, y compris l’aide au logement, la garde d’enfants, les transports et les soins de santé;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quinquies.</w:t>
            </w:r>
            <w:r>
              <w:tab/>
            </w:r>
            <w:r>
              <w:rPr>
                <w:b/>
                <w:i/>
              </w:rPr>
              <w:t>invite les États membres à promouvoir l’égalité entre les hommes et les femmes et l’équilibre entre vie professionnelle et vie privée et à prévenir l’exclusion sociale à long terme, tout en réduisant les coûts sociaux et économiques liés à l’abandon précoce et à la prolongation du statut de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sexies.</w:t>
            </w:r>
            <w:r>
              <w:tab/>
            </w:r>
            <w:r>
              <w:rPr>
                <w:b/>
                <w:i/>
              </w:rPr>
              <w:t>souligne la nécessité de déployer des efforts supplémentaires de cartographie afin de recenser les lacunes actuelles et d’adapter les stratégies de sensibilisation, ainsi que de proposer des mesures et des investissements ciblés pour les différents sous-groupes de NEET;</w:t>
            </w:r>
            <w:r>
              <w:t xml:space="preserve"> </w:t>
            </w:r>
            <w:r>
              <w:rPr>
                <w:b/>
                <w:i/>
              </w:rPr>
              <w:t>invite en particulier les États membres à procéder à une analyse complète et régionale des caractéristiques des populations NEET, ainsi que des critères qui augmentent les risques de devenir NEET, tels que le sexe, l’âge, le handicap ou le niveau d’éducation, afin de veiller à ce que les mesures soient adaptées aux besoins de ces jeunes;</w:t>
            </w:r>
            <w:r>
              <w:t xml:space="preserve"> </w:t>
            </w:r>
            <w:r>
              <w:rPr>
                <w:b/>
                <w:i/>
              </w:rPr>
              <w:t>suggère que cette analyse comprenne une consultation des groupes cibles et des parties prenantes concernées, telles que la société civile et les partenaires sociaux;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sexies.</w:t>
            </w:r>
            <w:r>
              <w:tab/>
            </w:r>
            <w:r>
              <w:rPr>
                <w:b/>
                <w:i/>
              </w:rPr>
              <w:t>invite les États membres à élaborer ou à renforcer des modèles de mise en œuvre du «guichet unique» pour les services de la garantie renforcée pour la jeunesse afin de réduire la fragmentation et les charges administratives, et d’améliorer les taux de participation des NEET vulnérables et difficiles à atteindre;</w:t>
            </w:r>
            <w:r>
              <w:t xml:space="preserve"> </w:t>
            </w:r>
            <w:r>
              <w:rPr>
                <w:b/>
                <w:i/>
              </w:rPr>
              <w:t>souligne l’importance des centres interservices à bas seuil pour les jeunes, qui centralisent le soutien de la garantie renforcée pour la jeunesse, ainsi que l’emploi, l’éducation, la formation et les services sociaux en un seul endroit accessible;</w:t>
            </w:r>
            <w:r>
              <w:t xml:space="preserve"> </w:t>
            </w:r>
            <w:r>
              <w:rPr>
                <w:b/>
                <w:i/>
              </w:rPr>
              <w:t>souligne que ce modèle a fait ses preuves dans plusieurs États membres en supprimant les obstacles et en fournissant le soutien global nécessaire à une intégration efficace sur le marché du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sexies.</w:t>
            </w:r>
            <w:r>
              <w:tab/>
            </w:r>
            <w:r>
              <w:rPr>
                <w:b/>
                <w:i/>
              </w:rPr>
              <w:t>encourage la création d’un «mentorat des jeunes» dans toutes les régions de l’Union afin de permettre aux particuliers et aux volontaires formés de parrainer et d’orienter les jeunes difficiles à atteindre dans les domaines de l’éducation, de la formation et de l’évolution de carrière, qui atteignent les jeunes là où ils se trouvent;</w:t>
            </w:r>
            <w:r>
              <w:t xml:space="preserve"> </w:t>
            </w:r>
            <w:r>
              <w:rPr>
                <w:b/>
                <w:i/>
              </w:rPr>
              <w:t>souligne que ces programmes de mentorat devraient compléter, mais pas remplacer, les services de conseil professionnels des SPE;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 septies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septies.</w:t>
            </w:r>
            <w:r>
              <w:tab/>
            </w:r>
            <w:r>
              <w:rPr>
                <w:b/>
                <w:i/>
              </w:rPr>
              <w:t>invite la Commission à fournir une assistance technique ciblée aux États membres pour le développement d’outils numériques permettant de recenser les besoins des bénéficiaires de la garantie pour la jeunesse sur la base des bonnes pratiques en matière de soutien individualisé;</w:t>
            </w:r>
            <w:r>
              <w:t xml:space="preserve"> </w:t>
            </w:r>
            <w:r>
              <w:rPr>
                <w:b/>
                <w:i/>
              </w:rPr>
              <w:t>souligne à cet égard l’utilisation prometteuse des outils de profilage fondés sur l’IA dans certains États membres, mais insiste sur la nécessité d’un contrôle humain afin d’éviter une classification erronée;</w:t>
            </w:r>
            <w:r>
              <w:t xml:space="preserve"> </w:t>
            </w:r>
            <w:r>
              <w:rPr>
                <w:b/>
                <w:i/>
              </w:rPr>
              <w:t>recommande également aux États membres de fournir des outils d’autoévaluation automatisés qui évaluent les facteurs déterminant le soutien disponible, en notant que les canaux en ligne peuvent être plus faciles à utiliser pour les premiers contacts de certains jeunes;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 septies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septies.</w:t>
            </w:r>
            <w:r>
              <w:tab/>
            </w:r>
            <w:r>
              <w:rPr>
                <w:b/>
                <w:i/>
              </w:rPr>
              <w:t>invite les États membres à assurer un lien structurel entre les dispositifs de garantie renforcée pour la jeunesse et les systèmes de protection sociale, en garantissant une aide individuelle au revenu continue et adéquate pour les jeunes dans le besoin avant, pendant et après les offres de garantie renforcée pour la jeunesse, afin de prévenir les écarts de couverture, de réduire les risques de pauvreté pendant les transitions et de veiller à ce que les NEET vulnérables puissent participer de manière significative à l’emploi, à l’éducation et à la formation;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 octies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octies.</w:t>
            </w:r>
            <w:r>
              <w:tab/>
            </w:r>
            <w:r>
              <w:rPr>
                <w:b/>
                <w:i/>
              </w:rPr>
              <w:t>invite la Commission et les États membres à garantir l’égalité d’accès à un revenu minimum adéquat pour les jeunes dans le besoin;</w:t>
            </w:r>
            <w:r>
              <w:t xml:space="preserve"> </w:t>
            </w:r>
            <w:r>
              <w:rPr>
                <w:b/>
                <w:i/>
              </w:rPr>
              <w:t>invite les États membres à supprimer les restrictions liées à l’âge dans les systèmes de protection sociale et à veiller à ce que les jeunes aient accès à des prestations sociales adéquates, fondées sur le critère des ressources individuelles plutôt que sur le critère des ressources du ménage;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 nonies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nonies.</w:t>
            </w:r>
            <w:r>
              <w:tab/>
            </w:r>
            <w:r>
              <w:rPr>
                <w:b/>
                <w:i/>
              </w:rPr>
              <w:t>invite la Commission à présenter une proposition de directive relative à des régimes de revenu minimum adéquats, garantissant une aide au revenu qui garantisse une vie dans la dignité à toutes les personnes dans le besoin, quel que soit leur âge;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demande aux États membres, conformément à la recommandation du Conseil de 2012, de renforcer leurs systèmes de validation de l’apprentissage non formel et informel; encourage l’adaptation de ces systèmes afin d’atteindre les NEET vulnérables en renforçant les capacités des personnes chargées de la validation ou en proposant des dispositions spécifiques, tout en garantissant la qualité de ces procédures;</w:t>
            </w:r>
          </w:p>
        </w:tc>
        <w:tc>
          <w:tcPr>
            <w:tcW w:w="4876" w:type="dxa"/>
            <w:tcBorders>
              <w:top w:val="nil"/>
              <w:left w:val="nil"/>
              <w:bottom w:val="nil"/>
              <w:right w:val="nil"/>
            </w:tcBorders>
          </w:tcPr>
          <w:p>
            <w:pPr>
              <w:pStyle w:val="Normal6a"/>
            </w:pPr>
            <w:r>
              <w:t>22.</w:t>
            </w:r>
            <w:r>
              <w:tab/>
            </w:r>
            <w:r>
              <w:t>demande aux États membres, conformément à la recommandation du Conseil de 2012</w:t>
            </w:r>
            <w:r>
              <w:rPr>
                <w:b/>
                <w:i/>
                <w:vertAlign w:val="superscript"/>
              </w:rPr>
              <w:t>32 bis</w:t>
            </w:r>
            <w:r>
              <w:t>, de renforcer leurs systèmes de validation de l’apprentissage non formel et informel; encourage l’adaptation de ces systèmes afin d’atteindre les NEET vulnérables en renforçant les capacités des personnes chargées de la validation</w:t>
            </w:r>
            <w:r>
              <w:rPr>
                <w:b/>
                <w:i/>
              </w:rPr>
              <w:t>, en diversifiant la certification qui peut être obtenue par la validation</w:t>
            </w:r>
            <w:r>
              <w:t xml:space="preserve"> ou en proposant des dispositions spécifiques, tout en garantissant la qualité de ces procédures; </w:t>
            </w:r>
            <w:r>
              <w:rPr>
                <w:b/>
                <w:i/>
              </w:rPr>
              <w:t>souligne les bonnes pratiques de validation recensées dans l’inventaire européen de la validation de l’apprentissage non formel et informel</w:t>
            </w:r>
            <w:r>
              <w:rPr>
                <w:b/>
                <w:i/>
                <w:vertAlign w:val="superscript"/>
              </w:rPr>
              <w:t>33 bis</w:t>
            </w:r>
            <w:r>
              <w:rPr>
                <w:b/>
                <w:i/>
              </w:rPr>
              <w:t>, en particulier le lien avec le cadre européen des certifications et la participation des employeurs à ces procédures afin de garantir la reconnaissance des certifications;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32 bis</w:t>
            </w:r>
            <w:r>
              <w:t xml:space="preserve"> </w:t>
            </w:r>
            <w:r>
              <w:rPr>
                <w:b/>
                <w:i/>
              </w:rPr>
              <w:t>JO C 398 du 22.12.2012, p. 1-5.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33 bis</w:t>
            </w:r>
            <w:r>
              <w:t xml:space="preserve"> </w:t>
            </w:r>
            <w:r>
              <w:rPr>
                <w:b/>
                <w:i/>
              </w:rPr>
              <w:t>https://www.cedefop.europa.eu/en/country-reports/european-inventory-on-validation.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demande aux États membres, conformément à la recommandation du Conseil de 2012, de renforcer leurs systèmes de validation </w:t>
            </w:r>
            <w:r>
              <w:rPr>
                <w:b/>
                <w:i/>
              </w:rPr>
              <w:t>de</w:t>
            </w:r>
            <w:r>
              <w:t xml:space="preserve"> l’apprentissage non formel et informel; encourage l’adaptation de ces systèmes afin d’atteindre les NEET vulnérables en renforçant les capacités des personnes chargées de la validation ou en proposant des dispositions spécifiques, tout en garantissant la qualité de ces procédures;</w:t>
            </w:r>
          </w:p>
        </w:tc>
        <w:tc>
          <w:tcPr>
            <w:tcW w:w="4876" w:type="dxa"/>
            <w:tcBorders>
              <w:top w:val="nil"/>
              <w:left w:val="nil"/>
              <w:bottom w:val="nil"/>
              <w:right w:val="nil"/>
            </w:tcBorders>
          </w:tcPr>
          <w:p>
            <w:pPr>
              <w:pStyle w:val="Normal6a"/>
            </w:pPr>
            <w:r>
              <w:t>22.</w:t>
            </w:r>
            <w:r>
              <w:tab/>
            </w:r>
            <w:r>
              <w:t xml:space="preserve">demande </w:t>
            </w:r>
            <w:r>
              <w:rPr>
                <w:b/>
                <w:i/>
              </w:rPr>
              <w:t>à la Commission et</w:t>
            </w:r>
            <w:r>
              <w:t xml:space="preserve"> aux États membres, conformément à la recommandation du Conseil de 2012 </w:t>
            </w:r>
            <w:r>
              <w:rPr>
                <w:b/>
                <w:i/>
              </w:rPr>
              <w:t>et au cadre européen des certifications (CEC)</w:t>
            </w:r>
            <w:r>
              <w:t xml:space="preserve">, de renforcer </w:t>
            </w:r>
            <w:r>
              <w:rPr>
                <w:b/>
                <w:i/>
              </w:rPr>
              <w:t>et de développer davantage</w:t>
            </w:r>
            <w:r>
              <w:t xml:space="preserve"> leurs systèmes de </w:t>
            </w:r>
            <w:r>
              <w:rPr>
                <w:b/>
                <w:i/>
              </w:rPr>
              <w:t>reconnaissance et de</w:t>
            </w:r>
            <w:r>
              <w:t xml:space="preserve"> validation </w:t>
            </w:r>
            <w:r>
              <w:rPr>
                <w:b/>
                <w:i/>
              </w:rPr>
              <w:t>formelles des compétences acquises par les jeunes, en particulier les jeunes parents et aidants grâce à</w:t>
            </w:r>
            <w:r>
              <w:t xml:space="preserve"> l’apprentissage non formel et informel</w:t>
            </w:r>
            <w:r>
              <w:rPr>
                <w:b/>
                <w:i/>
              </w:rPr>
              <w:t>, telles que l’éducation et la prise en charge informelle, le volontariat et l’animation socio-éducative, en particulier lorsque ces compétences peuvent contribuer à remédier aux pénuries de main-d’œuvre et de compétences dans des secteurs clés</w:t>
            </w:r>
            <w:r>
              <w:t>; encourage l’adaptation de ces systèmes afin d’atteindre les NEET vulnérables en renforçant les capacités des personnes chargées de la validation ou en proposant des dispositions spécifiques, tout en garantissant la qualité de ces procédures;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demande aux États membres, conformément à la recommandation du Conseil de 2012, </w:t>
            </w:r>
            <w:r>
              <w:rPr>
                <w:b/>
                <w:i/>
              </w:rPr>
              <w:t>de renforcer leurs systèmes</w:t>
            </w:r>
            <w:r>
              <w:t xml:space="preserve"> de validation de l’apprentissage non formel et informel; encourage l’adaptation de ces systèmes afin d’atteindre les NEET vulnérables en renforçant les capacités des personnes chargées de la validation </w:t>
            </w:r>
            <w:r>
              <w:rPr>
                <w:b/>
                <w:i/>
              </w:rPr>
              <w:t>ou en proposant des dispositions spécifiques, tout en garantissant la qualité de ces procédures</w:t>
            </w:r>
            <w:r>
              <w:t>;</w:t>
            </w:r>
          </w:p>
        </w:tc>
        <w:tc>
          <w:tcPr>
            <w:tcW w:w="4876" w:type="dxa"/>
            <w:tcBorders>
              <w:top w:val="nil"/>
              <w:left w:val="nil"/>
              <w:bottom w:val="nil"/>
              <w:right w:val="nil"/>
            </w:tcBorders>
          </w:tcPr>
          <w:p>
            <w:pPr>
              <w:pStyle w:val="Normal6a"/>
            </w:pPr>
            <w:r>
              <w:t>22.</w:t>
            </w:r>
            <w:r>
              <w:tab/>
            </w:r>
            <w:r>
              <w:t xml:space="preserve">demande </w:t>
            </w:r>
            <w:r>
              <w:rPr>
                <w:b/>
                <w:i/>
              </w:rPr>
              <w:t>à la Commission et</w:t>
            </w:r>
            <w:r>
              <w:t xml:space="preserve"> aux États membres, conformément à la recommandation du Conseil de 2012, </w:t>
            </w:r>
            <w:r>
              <w:rPr>
                <w:b/>
                <w:i/>
              </w:rPr>
              <w:t>à créer un système</w:t>
            </w:r>
            <w:r>
              <w:t xml:space="preserve"> de validation de l’apprentissage non formel et informel </w:t>
            </w:r>
            <w:r>
              <w:rPr>
                <w:b/>
                <w:i/>
              </w:rPr>
              <w:t>à l’échelle de l’Union</w:t>
            </w:r>
            <w:r>
              <w:t>; encourage l’adaptation de ces systèmes afin d’atteindre les NEET</w:t>
            </w:r>
            <w:r>
              <w:rPr>
                <w:b/>
                <w:i/>
              </w:rPr>
              <w:t>, en particulier ceux qui sont difficiles à atteindre ou</w:t>
            </w:r>
            <w:r>
              <w:t xml:space="preserve"> vulnérables</w:t>
            </w:r>
            <w:r>
              <w:rPr>
                <w:b/>
                <w:i/>
              </w:rPr>
              <w:t>, en améliorant la sensibilisation et l’accessibilité des procédures et</w:t>
            </w:r>
            <w:r>
              <w:t xml:space="preserve"> en renforçant les capacités des personnes chargées de la validation;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souligne le potentiel des microcertifications en tant qu’outil complémentaire aux systèmes formels de certification des compétences dans le cadre de la garantie renforcée pour la jeunesse;</w:t>
            </w:r>
            <w:r>
              <w:t xml:space="preserve"> </w:t>
            </w:r>
            <w:r>
              <w:rPr>
                <w:b/>
                <w:i/>
              </w:rPr>
              <w:t>invite la Commission européenne et les États membres à élaborer un cadre de référence européen pour les microcertifications dans l’enseignement et la formation professionnels, combinant une filière stable – liée aux répertoires nationaux des certifications et au cadre européen des certifications – avec une filière dynamique, évolutive en fonction des profils de compétences émergents signalés par le marché du travail;</w:t>
            </w:r>
            <w:r>
              <w:t xml:space="preserve"> </w:t>
            </w:r>
            <w:r>
              <w:rPr>
                <w:b/>
                <w:i/>
              </w:rPr>
              <w:t>souligne que les microcertifications doivent satisfaire à des normes de qualité vérifiables, inclure des mécanismes explicites de reconnaissance des employeurs et s’intégrer aux systèmes nationaux d’identification, de validation et de certification des compétences;</w:t>
            </w:r>
            <w:r>
              <w:t xml:space="preserve"> </w:t>
            </w:r>
            <w:r>
              <w:rPr>
                <w:b/>
                <w:i/>
              </w:rPr>
              <w:t>demande que les données relatives à la conception, à la délivrance, à l’utilisation et à la reconnaissance des microcertifications soient systématiquement collectées et analysées au niveau européen en tant qu’outil d’information sur le marché du travail et d’évaluation de la pertinence des systèmes de formation;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invite la Commission et les États membres à doter les NEET des moyens nécessaires pour participer de manière significative aux transitions écologique et numérique grâce à un développement des compétences et à une reconversion intégrés horizontalement dans le cadre de la garantie renforcée pour la jeunesse;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22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ter.</w:t>
            </w:r>
            <w:r>
              <w:tab/>
            </w:r>
            <w:r>
              <w:rPr>
                <w:b/>
                <w:i/>
              </w:rPr>
              <w:t>souligne que la garantie renforcée pour la jeunesse ne peut atteindre ses objectifs sans remédier efficacement aux déficits de compétences de base et à la fracture numérique;</w:t>
            </w:r>
            <w:r>
              <w:t xml:space="preserve"> </w:t>
            </w:r>
            <w:r>
              <w:rPr>
                <w:b/>
                <w:i/>
              </w:rPr>
              <w:t>invite la Commission et les États membres à prendre des mesures coordonnées pour combler les lacunes persistantes en matière de calcul fonctionnel, d’alphabétisation et de compétences numériques qui entravent l’accès des jeunes à une éducation, à une formation et à un emploi de qualité;</w:t>
            </w:r>
            <w:r>
              <w:t xml:space="preserve"> </w:t>
            </w:r>
            <w:r>
              <w:rPr>
                <w:b/>
                <w:i/>
              </w:rPr>
              <w:t>invite instamment les États membres à renforcer les systèmes d’éducation et de formation inclusifs et accessibles, en mettant particulièrement l’accent sur l’intervention précoce et le soutien aux personnes issues de milieux socio-économiques défavorisés;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22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quater.</w:t>
            </w:r>
            <w:r>
              <w:tab/>
            </w:r>
            <w:r>
              <w:rPr>
                <w:b/>
                <w:i/>
              </w:rPr>
              <w:t>invite la Commission à procéder à une évaluation de l’incidence de l’intelligence artificielle sur l’emploi des jeunes et les dispositifs de garantie renforcée pour la jeunesse, en accordant une attention particulière aux postes de premier niveau, ainsi qu’aux conditions de travail et d’emploi;</w:t>
            </w:r>
            <w:r>
              <w:t xml:space="preserve"> </w:t>
            </w:r>
            <w:r>
              <w:rPr>
                <w:b/>
                <w:i/>
              </w:rPr>
              <w:t>invite, à cet égard, la Commission à prendre dûment en considération la situation des jeunes travailleurs dans toute initiative à venir concernant l’IA sur le lieu de travail;</w:t>
            </w:r>
            <w:r>
              <w:t xml:space="preserve"> </w:t>
            </w:r>
            <w:r>
              <w:rPr>
                <w:b/>
                <w:i/>
              </w:rPr>
              <w:t>souligne la nécessité d’inclure l’IA dans les programmes d’enseignement et de formation afin de préparer les jeunes au marché du travail à l’ère numérique;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invite les États membres à rééquilibrer les offres fournies dans le cadre des dispositifs de garantie renforcée pour la jeunesse en faveur du développement des compétences, en réduisant le recours au placement et aux emplois subventionnés en tant que mesures par défaut;</w:t>
            </w:r>
          </w:p>
        </w:tc>
        <w:tc>
          <w:tcPr>
            <w:tcW w:w="4876" w:type="dxa"/>
            <w:tcBorders>
              <w:top w:val="nil"/>
              <w:left w:val="nil"/>
              <w:bottom w:val="nil"/>
              <w:right w:val="nil"/>
            </w:tcBorders>
          </w:tcPr>
          <w:p>
            <w:pPr>
              <w:pStyle w:val="Normal6a"/>
            </w:pPr>
            <w:r>
              <w:t>23.</w:t>
            </w:r>
            <w:r>
              <w:tab/>
            </w:r>
            <w:r>
              <w:t xml:space="preserve">invite les États membres à rééquilibrer les offres fournies dans le cadre des dispositifs de garantie renforcée pour la jeunesse en faveur du développement des compétences, en réduisant le recours au placement et aux emplois subventionnés en tant que mesures par défaut; </w:t>
            </w:r>
            <w:r>
              <w:rPr>
                <w:b/>
                <w:i/>
              </w:rPr>
              <w:t>rappelle que le choix entre les quatre principales catégories d’offres doit être fondé sur les aspirations et les besoins individuels des bénéficiaires;</w:t>
            </w:r>
            <w:r>
              <w:t xml:space="preserve"> </w:t>
            </w:r>
            <w:r>
              <w:rPr>
                <w:b/>
                <w:i/>
              </w:rPr>
              <w:t>est d’avis que les stages et les apprentissages dans le cadre des dispositifs de garantie renforcée pour la jeunesse devraient être liés à des engagements en matière de recrutement et que les offres d’enseignement gagneraient à être étendues au-delà de la tranche d’âge des 15-18 ans;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invite les États membres à rééquilibrer les offres fournies dans le cadre des dispositifs de garantie renforcée pour la jeunesse en faveur du développement des compétences</w:t>
            </w:r>
            <w:r>
              <w:rPr>
                <w:b/>
                <w:i/>
              </w:rPr>
              <w:t>,</w:t>
            </w:r>
            <w:r>
              <w:t xml:space="preserve"> en réduisant le recours au placement et aux emplois subventionnés en tant que mesures par défaut;</w:t>
            </w:r>
          </w:p>
        </w:tc>
        <w:tc>
          <w:tcPr>
            <w:tcW w:w="4876" w:type="dxa"/>
            <w:tcBorders>
              <w:top w:val="nil"/>
              <w:left w:val="nil"/>
              <w:bottom w:val="nil"/>
              <w:right w:val="nil"/>
            </w:tcBorders>
          </w:tcPr>
          <w:p>
            <w:pPr>
              <w:pStyle w:val="Normal6a"/>
            </w:pPr>
            <w:r>
              <w:t>23.</w:t>
            </w:r>
            <w:r>
              <w:tab/>
            </w:r>
            <w:r>
              <w:t xml:space="preserve">Invite les États membres à rééquilibrer les offres fournies dans le cadre des dispositifs de garantie renforcée pour la jeunesse en faveur du développement </w:t>
            </w:r>
            <w:r>
              <w:rPr>
                <w:b/>
                <w:i/>
              </w:rPr>
              <w:t>durable</w:t>
            </w:r>
            <w:r>
              <w:t xml:space="preserve"> des compétences en réduisant le recours au placement </w:t>
            </w:r>
            <w:r>
              <w:rPr>
                <w:b/>
                <w:i/>
              </w:rPr>
              <w:t>placement sur le marché du travail primaire grâce à l’emploi</w:t>
            </w:r>
            <w:r>
              <w:t xml:space="preserve"> et aux emplois subventionnés en tant que mesures par défaut </w:t>
            </w:r>
            <w:r>
              <w:rPr>
                <w:b/>
                <w:i/>
              </w:rPr>
              <w:t>et en promouvant plutôt l’employabilité à long terme grâce à une éducation de qualité, y compris la résilience mentale et en matière d’IA, à des apprentissages et à des stages de qualité et équitablement rémunérés, ainsi qu’à des programmes qui encouragent l’engagement des employeurs en faveur d’emplois ultérieurs, tels que des chèques-stage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invite les États membres à rééquilibrer les offres fournies dans le cadre des dispositifs de garantie renforcée pour la jeunesse en faveur du développement des compétences, en réduisant le recours au placement et aux emplois subventionnés en tant que mesures par défaut;</w:t>
            </w:r>
          </w:p>
        </w:tc>
        <w:tc>
          <w:tcPr>
            <w:tcW w:w="4876" w:type="dxa"/>
            <w:tcBorders>
              <w:top w:val="nil"/>
              <w:left w:val="nil"/>
              <w:bottom w:val="nil"/>
              <w:right w:val="nil"/>
            </w:tcBorders>
          </w:tcPr>
          <w:p>
            <w:pPr>
              <w:pStyle w:val="Normal6a"/>
            </w:pPr>
            <w:r>
              <w:t>23.</w:t>
            </w:r>
            <w:r>
              <w:tab/>
            </w:r>
            <w:r>
              <w:t xml:space="preserve">invite les États membres à rééquilibrer les offres fournies dans le cadre des dispositifs de garantie renforcée pour la jeunesse en faveur du développement des compétences, en réduisant le recours au placement et aux emplois subventionnés en tant que mesures par défaut; </w:t>
            </w:r>
            <w:r>
              <w:rPr>
                <w:b/>
                <w:i/>
              </w:rPr>
              <w:t>souligne la nécessité de donner la priorité à une formation de qualité et à des parcours professionnels qui dotent les jeunes de compétences demandées sur le marché du travail, en particulier dans les secteurs techniques, numériques et industriels où des pénuries de compétences persistent dans de nombreux États membres;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invite les États membres à </w:t>
            </w:r>
            <w:r>
              <w:rPr>
                <w:b/>
                <w:i/>
              </w:rPr>
              <w:t>rééquilibrer les offres fournies</w:t>
            </w:r>
            <w:r>
              <w:t xml:space="preserve"> dans le cadre des </w:t>
            </w:r>
            <w:r>
              <w:rPr>
                <w:b/>
                <w:i/>
              </w:rPr>
              <w:t>dispositifs de</w:t>
            </w:r>
            <w:r>
              <w:t xml:space="preserve"> garantie renforcée pour la jeunesse </w:t>
            </w:r>
            <w:r>
              <w:rPr>
                <w:b/>
                <w:i/>
              </w:rPr>
              <w:t>en faveur du développement des compétences, en réduisant le recours au placement et aux emplois subventionnés en tant que mesures par défaut</w:t>
            </w:r>
            <w:r>
              <w:t>;</w:t>
            </w:r>
          </w:p>
        </w:tc>
        <w:tc>
          <w:tcPr>
            <w:tcW w:w="4876" w:type="dxa"/>
            <w:tcBorders>
              <w:top w:val="nil"/>
              <w:left w:val="nil"/>
              <w:bottom w:val="nil"/>
              <w:right w:val="nil"/>
            </w:tcBorders>
          </w:tcPr>
          <w:p>
            <w:pPr>
              <w:pStyle w:val="Normal6a"/>
            </w:pPr>
            <w:r>
              <w:t>23.</w:t>
            </w:r>
            <w:r>
              <w:tab/>
            </w:r>
            <w:r>
              <w:t xml:space="preserve">invite les États membres à </w:t>
            </w:r>
            <w:r>
              <w:rPr>
                <w:b/>
                <w:i/>
              </w:rPr>
              <w:t>garantir une offre suffisante de développement des compétences, combinée à un emploi et à des emplois subventionnés,</w:t>
            </w:r>
            <w:r>
              <w:t xml:space="preserve"> dans le cadre des </w:t>
            </w:r>
            <w:r>
              <w:rPr>
                <w:b/>
                <w:i/>
              </w:rPr>
              <w:t>programmes de la garantie pour la jeunesse;</w:t>
            </w:r>
            <w:r>
              <w:t xml:space="preserve"> </w:t>
            </w:r>
            <w:r>
              <w:rPr>
                <w:b/>
                <w:i/>
              </w:rPr>
              <w:t>invite les États membres à veiller à ce que les stages proposés au titre de la</w:t>
            </w:r>
            <w:r>
              <w:t xml:space="preserve"> garantie renforcée pour la jeunesse</w:t>
            </w:r>
            <w:r>
              <w:rPr>
                <w:b/>
                <w:i/>
              </w:rPr>
              <w:t>, y compris ceux proposés dans le cadre des politiques actives du marché du travail (PAMT), soient conformes au droit de l’Union applicable aux travailleurs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invite les États membres à rééquilibrer les offres fournies dans le cadre des dispositifs de garantie renforcée pour la jeunesse en faveur du développement des compétences, en </w:t>
            </w:r>
            <w:r>
              <w:rPr>
                <w:b/>
                <w:i/>
              </w:rPr>
              <w:t>réduisant le recours au placement et aux</w:t>
            </w:r>
            <w:r>
              <w:t xml:space="preserve"> emplois </w:t>
            </w:r>
            <w:r>
              <w:rPr>
                <w:b/>
                <w:i/>
              </w:rPr>
              <w:t>subventionnés en tant que mesures par défaut</w:t>
            </w:r>
            <w:r>
              <w:t>;</w:t>
            </w:r>
          </w:p>
        </w:tc>
        <w:tc>
          <w:tcPr>
            <w:tcW w:w="4876" w:type="dxa"/>
            <w:tcBorders>
              <w:top w:val="nil"/>
              <w:left w:val="nil"/>
              <w:bottom w:val="nil"/>
              <w:right w:val="nil"/>
            </w:tcBorders>
          </w:tcPr>
          <w:p>
            <w:pPr>
              <w:pStyle w:val="Normal6a"/>
            </w:pPr>
            <w:r>
              <w:t>23.</w:t>
            </w:r>
            <w:r>
              <w:tab/>
            </w:r>
            <w:r>
              <w:t xml:space="preserve">invite les États membres à rééquilibrer les offres fournies dans le cadre des dispositifs de garantie renforcée pour la jeunesse en faveur du développement des compétences, en </w:t>
            </w:r>
            <w:r>
              <w:rPr>
                <w:b/>
                <w:i/>
              </w:rPr>
              <w:t>veillant à ce que les</w:t>
            </w:r>
            <w:r>
              <w:t xml:space="preserve"> emplois </w:t>
            </w:r>
            <w:r>
              <w:rPr>
                <w:b/>
                <w:i/>
              </w:rPr>
              <w:t>proposés soient de qualité, stables et entièrement rémunérés, dans le plein respect des droits du travail et des droits sociaux</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invite les États membres à </w:t>
            </w:r>
            <w:r>
              <w:rPr>
                <w:b/>
                <w:i/>
              </w:rPr>
              <w:t>rééquilibrer les</w:t>
            </w:r>
            <w:r>
              <w:t xml:space="preserve"> offres fournies dans le cadre des dispositifs de garantie renforcée pour la jeunesse en </w:t>
            </w:r>
            <w:r>
              <w:rPr>
                <w:b/>
                <w:i/>
              </w:rPr>
              <w:t>faveur du</w:t>
            </w:r>
            <w:r>
              <w:t xml:space="preserve"> développement des compétences</w:t>
            </w:r>
            <w:r>
              <w:rPr>
                <w:b/>
                <w:i/>
              </w:rPr>
              <w:t>, en réduisant le recours au placement</w:t>
            </w:r>
            <w:r>
              <w:t xml:space="preserve"> et aux </w:t>
            </w:r>
            <w:r>
              <w:rPr>
                <w:b/>
                <w:i/>
              </w:rPr>
              <w:t>emplois subventionnés en tant que mesures par défaut</w:t>
            </w:r>
            <w:r>
              <w:t>;</w:t>
            </w:r>
          </w:p>
        </w:tc>
        <w:tc>
          <w:tcPr>
            <w:tcW w:w="4876" w:type="dxa"/>
            <w:tcBorders>
              <w:top w:val="nil"/>
              <w:left w:val="nil"/>
              <w:bottom w:val="nil"/>
              <w:right w:val="nil"/>
            </w:tcBorders>
          </w:tcPr>
          <w:p>
            <w:pPr>
              <w:pStyle w:val="Normal6a"/>
            </w:pPr>
            <w:r>
              <w:t>23.</w:t>
            </w:r>
            <w:r>
              <w:tab/>
            </w:r>
            <w:r>
              <w:t xml:space="preserve">invite les États membres à </w:t>
            </w:r>
            <w:r>
              <w:rPr>
                <w:b/>
                <w:i/>
              </w:rPr>
              <w:t>renforcer la qualité des</w:t>
            </w:r>
            <w:r>
              <w:t xml:space="preserve"> offres fournies dans le cadre des dispositifs de garantie renforcée pour la jeunesse en </w:t>
            </w:r>
            <w:r>
              <w:rPr>
                <w:b/>
                <w:i/>
              </w:rPr>
              <w:t>améliorant l’accès au</w:t>
            </w:r>
            <w:r>
              <w:t xml:space="preserve"> développement des compétences et aux </w:t>
            </w:r>
            <w:r>
              <w:rPr>
                <w:b/>
                <w:i/>
              </w:rPr>
              <w:t>possibilités de formation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souligne l’importance d’incitations ciblées et contrôlées, telles que les subventions salariales, pour stimuler la participation au marché du travail des NEET vulnérables;</w:t>
            </w:r>
            <w:r>
              <w:t xml:space="preserve"> </w:t>
            </w:r>
            <w:r>
              <w:rPr>
                <w:b/>
                <w:i/>
              </w:rPr>
              <w:t>recommande une analyse ex ante et ex post des incitations financières accordées aux employeurs afin d’éviter de subventionner des emplois qui auraient existé sans aide publique et de veiller à ce que les placements au titre des régimes de garantie renforcée pour la jeunesse ne remplacent pas les contrats à durée indéterminée;</w:t>
            </w:r>
            <w:r>
              <w:t xml:space="preserve"> </w:t>
            </w:r>
            <w:r>
              <w:rPr>
                <w:b/>
                <w:i/>
              </w:rPr>
              <w:t>souligne la responsabilité sociale des entreprises, qui devrait également inclure des mesures en faveur des NEET et des partenariats avec les écoles afin de présenter aux jeunes diverses possibilités de carrière;</w:t>
            </w:r>
            <w:r>
              <w:t xml:space="preserve"> </w:t>
            </w:r>
            <w:r>
              <w:rPr>
                <w:b/>
                <w:i/>
              </w:rPr>
              <w:t>souligne la nécessité d’aider les PME, qui ont besoin de davantage d’informations et de soutien pour participer aux dispositifs de garantie renforcée pour la jeunesse;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souligne qu’il importe de promouvoir et de garantir la reconnaissance et l’intégration égales de l’apprentissage et de l’enseignement et de la formation professionnels au sein des systèmes éducatifs, conformément au cadre européen pour un apprentissage efficace et de qualité;</w:t>
            </w:r>
            <w:r>
              <w:t xml:space="preserve"> </w:t>
            </w:r>
            <w:r>
              <w:rPr>
                <w:b/>
                <w:i/>
              </w:rPr>
              <w:t>souligne leur rôle essentiel dans le soutien au développement professionnel des jeunes et dans la lutte contre les pénuries de compétences et l’inadéquation entre l’offre et la demande sur le marché du travail;</w:t>
            </w:r>
            <w:r>
              <w:t xml:space="preserve"> </w:t>
            </w:r>
            <w:r>
              <w:rPr>
                <w:b/>
                <w:i/>
              </w:rPr>
              <w:t>invite les États membres à promouvoir activement et à élargir l’accès à des apprentissages et à un enseignement et formation professionnels de qualité grâce aux offres de la garantie renforcée pour la jeunesse afin d’accroître la participation des NEET à ces parcours;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invite les États membres à personnaliser de plus en plus les offres de formation et/ou d’emploi de qualité proposées dans le cadre des dispositifs renforcés de garantie pour la jeunesse afin de pouvoir atteindre les groupes les plus vulnérables et/ou inactifs, en accordant une attention particulière aux jeunes vivant dans des zones reculées désavantagées sur le plan territorial;</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Maravillas Abadía Jover,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prie instamment les États membres de ne pas donner la priorité aux objectifs quantitatifs (placement rapide) plutôt qu’aux critères de qualité axés sur les perspectives de carrière à long terme, l’accès à la formation et les possibilités de progrès économique;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ter.</w:t>
            </w:r>
            <w:r>
              <w:tab/>
            </w:r>
            <w:r>
              <w:rPr>
                <w:b/>
                <w:i/>
              </w:rPr>
              <w:t>invite les États membres à veiller à ce que les offres de stage au titre de la garantie renforcée pour la jeunesse garantissent l’égalité de traitement dans les conditions de travail, y compris en matière de rémunération et de protection sociale, et soient accessibles et adaptées aux besoins individuels des NEET, y compris des personnes en situation de vulnérabilité confrontées à des obstacles supplémentaires tels que le handicap, les conditions de santé ou les responsabilités familiales;</w:t>
            </w:r>
            <w:r>
              <w:t xml:space="preserve"> </w:t>
            </w:r>
            <w:r>
              <w:rPr>
                <w:b/>
                <w:i/>
              </w:rPr>
              <w:t>souligne la nécessité de veiller à ce qu’aucun stage au titre de la garantie renforcée pour la jeunesse ne contribue au dumping social, au dumping salarial ou à la pauvreté des travailleurs chez les jeunes, et à ce que toutes les offres soient conçues et mises en œuvre pour garantir l’accessibilité et l’inclusivité;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Niels Geuking, Romana Tomc, Liesbet Sommen, Maravillas Abadía Jover,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ter.</w:t>
            </w:r>
            <w:r>
              <w:tab/>
            </w:r>
            <w:r>
              <w:rPr>
                <w:b/>
                <w:i/>
              </w:rPr>
              <w:t>invite instamment les États membres à promouvoir le progrès économique et des carrières durables et à long terme;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quater.</w:t>
            </w:r>
            <w:r>
              <w:tab/>
            </w:r>
            <w:r>
              <w:rPr>
                <w:b/>
                <w:i/>
              </w:rPr>
              <w:t>invite les États membres à veiller à ce que la formation et l’éducation au titre de la garantie pour la jeunesse ne se concentrent pas sur des profils d’emploi statiques, mais sur des «compétences humaines» transversales, l’esprit critique, la créativité, l’intelligence émotionnelle et les capacités interpersonnelles que l’IA ne peut remplacer;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Niels Geuking, Pascal Arimont,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quinquies.</w:t>
            </w:r>
            <w:r>
              <w:tab/>
            </w:r>
            <w:r>
              <w:rPr>
                <w:b/>
                <w:i/>
              </w:rPr>
              <w:t>demande une mobilité à des fins d’apprentissage accessible pour les jeunes afin de favoriser l’apprentissage tout au long de la vie;</w:t>
            </w:r>
            <w:r>
              <w:t xml:space="preserve"> </w:t>
            </w:r>
            <w:r>
              <w:rPr>
                <w:b/>
                <w:i/>
              </w:rPr>
              <w:t>demande instamment un financement ciblé pour atteindre et inclure les personnes moins favorisées, en particulier les NEET, souvent négligés par les mesures générales d’inclusion;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sexies.</w:t>
            </w:r>
            <w:r>
              <w:tab/>
            </w:r>
            <w:r>
              <w:rPr>
                <w:b/>
                <w:i/>
              </w:rPr>
              <w:t>invite les États membres à introduire ou à étendre les bourses de mobilité afin de soutenir les jeunes qui suivent un enseignement, un apprentissage ou une formation professionnelle dans des régions autres que leur lieu de résidence;</w:t>
            </w:r>
            <w:r>
              <w:t xml:space="preserve"> </w:t>
            </w:r>
            <w:r>
              <w:rPr>
                <w:b/>
                <w:i/>
              </w:rPr>
              <w:t>note que, comme le montrent les bonnes pratiques nationales, les bourses de mobilité peuvent couvrir jusqu’à deux voyages de retour mensuels au domicile familial au cours de la première année de formation, favorisant ainsi la mobilité géographique, réduisant les disparités régionales dans l’offre de formation et augmentant la participation à des programmes d’enseignement et formation professionnels de qualité;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Niels Geuking, Romana Tomc,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 septies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septies.</w:t>
            </w:r>
            <w:r>
              <w:tab/>
            </w:r>
            <w:r>
              <w:rPr>
                <w:b/>
                <w:i/>
              </w:rPr>
              <w:t>encourage les États membres à introduire des «primes fiscales d’achèvement» pour les jeunes qui achèvent avec succès des apprentissages, des stages ou des programmes d’enseignement et formation professionnels certifiés, afin d’inciter à réduire les taux d’abandon et de promouvoir l’obtention de qualifications;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 octies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octies.</w:t>
            </w:r>
            <w:r>
              <w:tab/>
            </w:r>
            <w:r>
              <w:rPr>
                <w:b/>
                <w:i/>
              </w:rPr>
              <w:t>invite la Commission et les États membres à alléger la pression sur le marché du logement en prévoyant des incitations à la construction de logements socialement abordables pour les jeunes jusqu’à l’âge de 30 ans, «logements pour jeunes», sur la base de normes de conception inclusives et universelles;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recommande la création d’un cinquième volet pour les dispositifs de garantie renforcée pour la jeunesse, axé sur les possibilités de bénévolat;</w:t>
            </w:r>
            <w:r>
              <w:t xml:space="preserve"> </w:t>
            </w:r>
            <w:r>
              <w:rPr>
                <w:b/>
                <w:i/>
              </w:rPr>
              <w:t>souligne que le bénévolat est susceptible d’améliorer les compétences et l’employabilité des NEET et d’accueillir les jeunes vulnérables de manière plus souple;</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recommande la création d’un cinquième volet pour les dispositifs de garantie renforcée pour la jeunesse, axé sur les possibilités de bénévolat;</w:t>
            </w:r>
            <w:r>
              <w:t xml:space="preserve"> </w:t>
            </w:r>
            <w:r>
              <w:rPr>
                <w:b/>
                <w:i/>
              </w:rPr>
              <w:t>souligne que le bénévolat est susceptible d’améliorer les compétences et l’employabilité des NEET et d’accueillir les jeunes vulnérables de manière plus souple;</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recommande la création d’un cinquième volet pour les dispositifs de garantie renforcée pour la jeunesse, axé sur les possibilités de bénévolat;</w:t>
            </w:r>
            <w:r>
              <w:t xml:space="preserve"> </w:t>
            </w:r>
            <w:r>
              <w:rPr>
                <w:b/>
                <w:i/>
              </w:rPr>
              <w:t>souligne que le bénévolat est susceptible d’améliorer les compétences et l’employabilité des NEET et d’accueillir les jeunes vulnérables de manière plus souple;</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recommande la création d’un cinquième volet pour les dispositifs de garantie renforcée pour la jeunesse, axé sur les possibilités de bénévolat;</w:t>
            </w:r>
            <w:r>
              <w:t xml:space="preserve"> </w:t>
            </w:r>
            <w:r>
              <w:rPr>
                <w:b/>
                <w:i/>
              </w:rPr>
              <w:t>souligne que le bénévolat est susceptible d’améliorer les compétences et l’employabilité des NEET et d’accueillir les jeunes vulnérables de manière plus souple;</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recommande la création d’un cinquième volet pour les dispositifs de garantie renforcée pour la jeunesse, axé sur les possibilités de bénévolat;</w:t>
            </w:r>
            <w:r>
              <w:t xml:space="preserve"> </w:t>
            </w:r>
            <w:r>
              <w:rPr>
                <w:b/>
                <w:i/>
              </w:rPr>
              <w:t>souligne que le bénévolat est susceptible d’améliorer les compétences et l’employabilité des NEET et d’accueillir les jeunes vulnérables de manière plus souple;</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recommande la création d’un cinquième volet pour les dispositifs de garantie renforcée pour la jeunesse, axé sur les possibilités de bénévolat; souligne que le bénévolat est susceptible d’améliorer les compétences et l’employabilité des NEET et d’accueillir les jeunes vulnérables de manière plus souple;</w:t>
            </w:r>
          </w:p>
        </w:tc>
        <w:tc>
          <w:tcPr>
            <w:tcW w:w="4876" w:type="dxa"/>
            <w:tcBorders>
              <w:top w:val="nil"/>
              <w:left w:val="nil"/>
              <w:bottom w:val="nil"/>
              <w:right w:val="nil"/>
            </w:tcBorders>
          </w:tcPr>
          <w:p>
            <w:pPr>
              <w:pStyle w:val="Normal6a"/>
            </w:pPr>
            <w:r>
              <w:t>24.</w:t>
            </w:r>
            <w:r>
              <w:tab/>
            </w:r>
            <w:r>
              <w:t xml:space="preserve">recommande la création d’un cinquième volet pour les dispositifs de garantie renforcée pour la jeunesse, axé sur les possibilités de bénévolat; souligne que le bénévolat est susceptible d’améliorer les compétences et l’employabilité des NEET et d’accueillir les jeunes vulnérables de manière plus souple; </w:t>
            </w:r>
            <w:r>
              <w:rPr>
                <w:b/>
                <w:i/>
              </w:rPr>
              <w:t>estime que l’intégration des possibilités de volontariat dans les programmes de la garantie renforcée pour la jeunesse pourrait être réalisée en créant des synergies avec le corps européen de solidarité;</w:t>
            </w:r>
            <w:r>
              <w:t xml:space="preserve"> </w:t>
            </w:r>
            <w:r>
              <w:rPr>
                <w:b/>
                <w:i/>
              </w:rPr>
              <w:t>estime que ces possibilités de volontariat devraient s’accompagner de ressources supplémentaires pour les prestataires de la garantie renforcée pour la jeunesse afin de mettre en œuvre ces nouvelles possibilités et de veiller à ce que les fonds existants pour les possibilités d’emploi et de formation ne soient pas réaffectés;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recommande la création d’un cinquième volet pour les dispositifs de garantie renforcée pour la jeunesse, axé sur les possibilités de bénévolat; souligne que le bénévolat est susceptible d’améliorer les compétences et l’employabilité des NEET et d’accueillir les jeunes vulnérables de manière plus souple;</w:t>
            </w:r>
          </w:p>
        </w:tc>
        <w:tc>
          <w:tcPr>
            <w:tcW w:w="4876" w:type="dxa"/>
            <w:tcBorders>
              <w:top w:val="nil"/>
              <w:left w:val="nil"/>
              <w:bottom w:val="nil"/>
              <w:right w:val="nil"/>
            </w:tcBorders>
          </w:tcPr>
          <w:p>
            <w:pPr>
              <w:pStyle w:val="Normal6a"/>
            </w:pPr>
            <w:r>
              <w:t>24.</w:t>
            </w:r>
            <w:r>
              <w:tab/>
            </w:r>
            <w:r>
              <w:t>recommande la création d’un cinquième volet pour les dispositifs de garantie renforcée pour la jeunesse, axé sur les possibilités de bénévolat</w:t>
            </w:r>
            <w:r>
              <w:rPr>
                <w:b/>
                <w:i/>
              </w:rPr>
              <w:t>, en lien avec le corps européen de solidarité et Erasmus+</w:t>
            </w:r>
            <w:r>
              <w:t>; souligne que le bénévolat est susceptible d’améliorer les compétences et l’employabilité des NEET et d’accueillir les jeunes vulnérables de manière plus souple;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souligne que davantage d’efforts sont nécessaires pour mettre en œuvre le volet «inclusion» de la garantie renforcée pour la jeunesse;</w:t>
            </w:r>
            <w:r>
              <w:t xml:space="preserve"> </w:t>
            </w:r>
            <w:r>
              <w:rPr>
                <w:b/>
                <w:i/>
              </w:rPr>
              <w:t>invite les États membres à montrer l’exemple en encourageant le recrutement de NEET vulnérables dans l’administration publique;</w:t>
            </w:r>
            <w:r>
              <w:t xml:space="preserve"> </w:t>
            </w:r>
            <w:r>
              <w:rPr>
                <w:b/>
                <w:i/>
              </w:rPr>
              <w:t>encourage les États membres à affecter aux bénéficiaires un référent attitré sous contrat à durée indéterminée et à mettre en place, dans la mesure du possible, un accompagnement individuel de qualité afin de fournir efficacement les services nécessaires et appropriés pendant toute la durée du dispositif;</w:t>
            </w:r>
            <w:r>
              <w:t xml:space="preserve"> </w:t>
            </w:r>
            <w:r>
              <w:rPr>
                <w:b/>
                <w:i/>
              </w:rPr>
              <w:t>invite la Commission et les États membres à consulter les jeunes et à accroître leur participation significative à la conception des modèles d’intervention qui leur sont destinés et à l’évaluation de la mise en œuvre de la garantie renforcée pour la jeunesse;</w:t>
            </w:r>
            <w:r>
              <w:t xml:space="preserve"> </w:t>
            </w:r>
            <w:r>
              <w:rPr>
                <w:b/>
                <w:i/>
              </w:rPr>
              <w:t>souligne qu’il importe de mettre en œuvre les stratégies de l’Union en faveur de l’égalité de manière transversale et de lutter contre la discrimination et la stigmatisation afin de créer le cadre nécessaire à l’inclusion des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invite les États membres à renforcer les mesures de sensibilisation ciblant les NEET vulnérables aux niveaux national et local, en reconnaissant que les travailleurs découragés et ceux ayant des responsabilités familiales nécessitent des stratégies d’engagement fondamentalement différentes de celles des jeunes chômeurs de courte durée, et à faire de l’activation de ce groupe la priorité absolue de leur mise en œuvre de la garantie renforcée pour la jeunesse;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invite l’Union et les États membres à interdire les stages non rémunérés;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ter.</w:t>
            </w:r>
            <w:r>
              <w:tab/>
            </w:r>
            <w:r>
              <w:rPr>
                <w:b/>
                <w:i/>
              </w:rPr>
              <w:t>invite les États membres à adopter des approches ciblées pour des sous-groupes spécifiques de NEET, tels que les femmes, les jeunes dans les zones rurales, les jeunes handicapés, les jeunes vivant en institution et les Roms, y compris des programmes d’emploi combinés à des formations;</w:t>
            </w:r>
            <w:r>
              <w:t xml:space="preserve"> </w:t>
            </w:r>
            <w:r>
              <w:rPr>
                <w:b/>
                <w:i/>
              </w:rPr>
              <w:t>souligne l’importance de programmes spécifiques pour les NEET qui reviennent dans cette catégorie, afin de briser le cercle de vulnérabilité et d’aider les jeunes à quitter définitivement les dispositifs de la garantie renforcée pour la jeunesse;</w:t>
            </w:r>
            <w:r>
              <w:t xml:space="preserve"> </w:t>
            </w:r>
            <w:r>
              <w:rPr>
                <w:b/>
                <w:i/>
              </w:rPr>
              <w:t>estime que ces interventions doivent tenir compte du genre, du statut socio-économique, de la santé mentale et de l’origine des bénéficiaires afin d’apporter une réponse appropriée;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ter.</w:t>
            </w:r>
            <w:r>
              <w:tab/>
            </w:r>
            <w:r>
              <w:rPr>
                <w:b/>
                <w:i/>
              </w:rPr>
              <w:t>reconnaît que la garantie européenne pour l’enfance est un instrument puissant pour lutter contre la pauvreté et l’exclusion des enfants en veillant à ce que tous les enfants aient accès aux soins de santé, à l’éducation, à la nutrition et au logement,</w:t>
            </w:r>
            <w:r>
              <w:t xml:space="preserve"> </w:t>
            </w:r>
            <w:r>
              <w:rPr>
                <w:b/>
                <w:i/>
              </w:rPr>
              <w:t>et que si elle est pleinement mise en œuvre, elle pourrait transformer d’innombrables vies et donner à chaque enfant un bon départ;</w:t>
            </w:r>
            <w:r>
              <w:t xml:space="preserve"> </w:t>
            </w:r>
            <w:r>
              <w:rPr>
                <w:b/>
                <w:i/>
              </w:rPr>
              <w:t>demande, à cet égard, une garantie européenne pour l’enfance entièrement financée, dotée d’un budget d’au moins 20 milliards d’euros;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ter.</w:t>
            </w:r>
            <w:r>
              <w:tab/>
            </w:r>
            <w:r>
              <w:rPr>
                <w:b/>
                <w:i/>
              </w:rPr>
              <w:t>invite l’Union à exclure toute forme de rémunération des «stagiaires» inférieure au salaire minimum en vigueur;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quater.</w:t>
            </w:r>
            <w:r>
              <w:tab/>
            </w:r>
            <w:r>
              <w:rPr>
                <w:b/>
                <w:i/>
              </w:rPr>
              <w:t>constate avec inquiétude que les jeunes mères sont confrontées à un risque nettement plus élevé d’exclusion du marché du travail et de statut de NEET en raison de responsabilités familiales disproportionnées;</w:t>
            </w:r>
            <w:r>
              <w:t xml:space="preserve"> </w:t>
            </w:r>
            <w:r>
              <w:rPr>
                <w:b/>
                <w:i/>
              </w:rPr>
              <w:t>invite les États membres à apporter un soutien ciblé et intégré aux jeunes mères exposées au risque de pauvreté, y compris les mères célibataires, notamment en proposant des services gratuits ou subventionnés d’éducation et d’accueil de la petite enfance et un accès prioritaire aux services publics de garde d’enfants;</w:t>
            </w:r>
            <w:r>
              <w:t xml:space="preserve"> </w:t>
            </w:r>
            <w:r>
              <w:rPr>
                <w:b/>
                <w:i/>
              </w:rPr>
              <w:t>invite en outre les États membres à élaborer des parcours d’activation sur mesure combinant des formats d’éducation et de formation flexibles et modulaires, y compris des options d’apprentissage à temps partiel et à distance, des stages rémunérés et des apprentissages assortis de formules souples de travail, ainsi que des services de mentorat et d’orientation professionnelle;</w:t>
            </w:r>
            <w:r>
              <w:t xml:space="preserve"> </w:t>
            </w:r>
            <w:r>
              <w:rPr>
                <w:b/>
                <w:i/>
              </w:rPr>
              <w:t>souligne que des services d’éducation et d’accueil de la petite enfance abordables, accessibles et de qualité sont une condition préalable à la participation effective et durable des jeunes mères à l’éducation et au marché du travail et à la rupture des cycles de pauvreté intergénérationnelle;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quinquies.</w:t>
            </w:r>
            <w:r>
              <w:tab/>
            </w:r>
            <w:r>
              <w:rPr>
                <w:b/>
                <w:i/>
              </w:rPr>
              <w:t>souligne que le mentorat est un mécanisme d’intervention efficace et rentable qui peut contribuer à renforcer la résilience et à lutter contre l’exclusion sociale parmi les bénéficiaires de la garantie renforcée pour la jeunesse;</w:t>
            </w:r>
            <w:r>
              <w:t xml:space="preserve"> </w:t>
            </w:r>
            <w:r>
              <w:rPr>
                <w:b/>
                <w:i/>
              </w:rPr>
              <w:t>invite les États membres à fournir un soutien sous la forme d’un mentorat dans le cadre de leurs dispositifs de garantie renforcée pour la jeunesse afin de mettre en relation des volontaires formés avec de jeunes bénéficiaires sur une base volontaire;</w:t>
            </w:r>
            <w:r>
              <w:t xml:space="preserve"> </w:t>
            </w:r>
            <w:r>
              <w:rPr>
                <w:b/>
                <w:i/>
              </w:rPr>
              <w:t>souligne que ce mentorat devrait être disponible avant le placement, pendant la phase préparatoire, mais aussi après le placement afin de garantir une inclusion durable;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sexies.</w:t>
            </w:r>
            <w:r>
              <w:tab/>
            </w:r>
            <w:r>
              <w:rPr>
                <w:b/>
                <w:i/>
              </w:rPr>
              <w:t>invite les États membres à améliorer la qualité des offres en faisant mieux correspondre les profils NEET aux offres reçues et en améliorant le suivi des placements au moyen d’indicateurs de qualité;</w:t>
            </w:r>
            <w:r>
              <w:t xml:space="preserve"> </w:t>
            </w:r>
            <w:r>
              <w:rPr>
                <w:b/>
                <w:i/>
              </w:rPr>
              <w:t>invite les États membres à étudier la possibilité d’une certification ou de labels de qualité pour les employeurs ou les organisations qui respectent ou dépassent les cadres de qualité européens ou nationaux;</w:t>
            </w:r>
            <w:r>
              <w:t xml:space="preserve"> </w:t>
            </w:r>
            <w:r>
              <w:rPr>
                <w:b/>
                <w:i/>
              </w:rPr>
              <w:t>souligne la nécessité de mettre en place un mécanisme d’alerte post-placement pour les prestataires et les bénéficiaires de la garantie pour la jeunesse, ainsi que de renforcer les contrôles effectués par les inspections du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invite la Commission à lancer une méthode ouverte de coordination sur la qualité des offres relevant de la garantie renforcée pour la jeunesse;</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invite la Commission à lancer une méthode ouverte de coordination sur la qualité des offres relevant de la garantie renforcée pour la jeunesse</w:t>
            </w:r>
            <w:r>
              <w:rPr>
                <w:b/>
                <w:i/>
              </w:rPr>
              <w:t>;</w:t>
            </w:r>
          </w:p>
        </w:tc>
        <w:tc>
          <w:tcPr>
            <w:tcW w:w="4876" w:type="dxa"/>
            <w:tcBorders>
              <w:top w:val="nil"/>
              <w:left w:val="nil"/>
              <w:bottom w:val="nil"/>
              <w:right w:val="nil"/>
            </w:tcBorders>
          </w:tcPr>
          <w:p>
            <w:pPr>
              <w:pStyle w:val="Normal6a"/>
            </w:pPr>
            <w:r>
              <w:t>25.</w:t>
            </w:r>
            <w:r>
              <w:tab/>
            </w:r>
            <w:r>
              <w:t xml:space="preserve">invite la Commission à lancer une méthode ouverte de coordination </w:t>
            </w:r>
            <w:r>
              <w:rPr>
                <w:b/>
                <w:i/>
              </w:rPr>
              <w:t>et à adopter des normes contraignantes</w:t>
            </w:r>
            <w:r>
              <w:t xml:space="preserve"> sur la qualité des offres relevant de la garantie renforcée pour la jeunesse</w:t>
            </w:r>
            <w:r>
              <w:rPr>
                <w:b/>
                <w:i/>
              </w:rPr>
              <w:t>,</w:t>
            </w:r>
            <w:r>
              <w:t xml:space="preserve"> </w:t>
            </w:r>
            <w:r>
              <w:rPr>
                <w:b/>
                <w:i/>
              </w:rPr>
              <w:t>ajoutant que ces normes comprendraient des critères tels que: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une rémunération équitable fondée sur un salaire décent;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l’accès à des conditions de travail décentes et à un lieu de travail sûr et sain;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l’accès à la formation et au développement des compétences et la reconnaissance des compétences acquises;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des informations et des procédures transparentes;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les prestataires, éligibles seulement s’ils n’utilisent pas de fonds publics pour remplacer des emplois;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la hiérarchisation des offres personnalisées et une approche centrée sur la personne;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des filets de sécurité sociale solides et l’accès à la protection sociale;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le lien du financement public au respect des normes de qualité;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un contrôle indépendant;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invite la Commission à lancer une méthode ouverte de coordination sur la qualité des offres relevant de la garantie renforcée pour la jeunesse;</w:t>
            </w:r>
          </w:p>
        </w:tc>
        <w:tc>
          <w:tcPr>
            <w:tcW w:w="4876" w:type="dxa"/>
            <w:tcBorders>
              <w:top w:val="nil"/>
              <w:left w:val="nil"/>
              <w:bottom w:val="nil"/>
              <w:right w:val="nil"/>
            </w:tcBorders>
          </w:tcPr>
          <w:p>
            <w:pPr>
              <w:pStyle w:val="Normal6a"/>
            </w:pPr>
            <w:r>
              <w:t>25.</w:t>
            </w:r>
            <w:r>
              <w:tab/>
            </w:r>
            <w:r>
              <w:t xml:space="preserve">invite la Commission à lancer une méthode ouverte de coordination sur la qualité des offres relevant de la garantie renforcée pour la jeunesse </w:t>
            </w:r>
            <w:r>
              <w:rPr>
                <w:b/>
                <w:i/>
              </w:rPr>
              <w:t>dans le but de renforcer ou de créer des cadres nationaux et régionaux conformes aux cadres européens, mais aussi de créer un cadre européen de qualité pour le volontariat</w:t>
            </w:r>
            <w:r>
              <w:t xml:space="preserve">; </w:t>
            </w:r>
            <w:r>
              <w:rPr>
                <w:b/>
                <w:i/>
              </w:rPr>
              <w:t>invite la Commission à inclure des mesures spécifiques en faveur de l’emploi des jeunes dans l’acte législatif sur des emplois de qualité, en particulier pour garantir la durabilité des nouvelles formes de travail dans lesquelles les jeunes sont surreprésentés;</w:t>
            </w:r>
            <w:r>
              <w:t xml:space="preserve"> </w:t>
            </w:r>
            <w:r>
              <w:rPr>
                <w:b/>
                <w:i/>
              </w:rPr>
              <w:t>demande la conclusion des négociations sur la directive sur les stages afin de fournir un cadre de qualité clair et solide pour les stages proposés dans le cadre des dispositifs de garantie renforcée pour la jeunesse;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invite la Commission à lancer une méthode ouverte de coordination sur la qualité des offres relevant de la garantie renforcée pour la jeunesse;</w:t>
            </w:r>
          </w:p>
        </w:tc>
        <w:tc>
          <w:tcPr>
            <w:tcW w:w="4876" w:type="dxa"/>
            <w:tcBorders>
              <w:top w:val="nil"/>
              <w:left w:val="nil"/>
              <w:bottom w:val="nil"/>
              <w:right w:val="nil"/>
            </w:tcBorders>
          </w:tcPr>
          <w:p>
            <w:pPr>
              <w:pStyle w:val="Normal6a"/>
            </w:pPr>
            <w:r>
              <w:t>25.</w:t>
            </w:r>
            <w:r>
              <w:tab/>
            </w:r>
            <w:r>
              <w:t>invite la Commission à lancer une méthode ouverte de coordination sur la qualité des offres relevant de la garantie renforcée pour la jeunesse</w:t>
            </w:r>
            <w:r>
              <w:rPr>
                <w:b/>
                <w:i/>
              </w:rPr>
              <w:t>, axée sur l’élaboration d’indicateurs communs, de normes de qualité minimales, y compris une rémunération équitable fondée sur un salaire décent et l’accès à la protection sociale, et de cadres de suivi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invite la Commission </w:t>
            </w:r>
            <w:r>
              <w:rPr>
                <w:b/>
                <w:i/>
              </w:rPr>
              <w:t>à lancer une méthode ouverte de coordination sur</w:t>
            </w:r>
            <w:r>
              <w:t xml:space="preserve"> la qualité des offres relevant de la garantie renforcée pour la jeunesse;</w:t>
            </w:r>
          </w:p>
        </w:tc>
        <w:tc>
          <w:tcPr>
            <w:tcW w:w="4876" w:type="dxa"/>
            <w:tcBorders>
              <w:top w:val="nil"/>
              <w:left w:val="nil"/>
              <w:bottom w:val="nil"/>
              <w:right w:val="nil"/>
            </w:tcBorders>
          </w:tcPr>
          <w:p>
            <w:pPr>
              <w:pStyle w:val="Normal6a"/>
            </w:pPr>
            <w:r>
              <w:t>25.</w:t>
            </w:r>
            <w:r>
              <w:tab/>
            </w:r>
            <w:r>
              <w:t xml:space="preserve">invite la Commission </w:t>
            </w:r>
            <w:r>
              <w:rPr>
                <w:b/>
                <w:i/>
              </w:rPr>
              <w:t>et les États membres à assurer l’échange régulier de bonnes pratiques, en consultation avec les partenaires sociaux, sur des mesures efficaces visant à améliorer</w:t>
            </w:r>
            <w:r>
              <w:t xml:space="preserve"> la qualité des offres relevant de la garantie renforcée pour la jeunesse </w:t>
            </w:r>
            <w:r>
              <w:rPr>
                <w:b/>
                <w:i/>
              </w:rPr>
              <w:t>et à veiller à ce qu’elles constituent une passerelle stable vers une éducation, une formation ou un emploi de qualité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invite la Commission à lancer une méthode ouverte de coordination sur la qualité des offres relevant de la garantie renforcée pour la jeunesse;</w:t>
            </w:r>
          </w:p>
        </w:tc>
        <w:tc>
          <w:tcPr>
            <w:tcW w:w="4876" w:type="dxa"/>
            <w:tcBorders>
              <w:top w:val="nil"/>
              <w:left w:val="nil"/>
              <w:bottom w:val="nil"/>
              <w:right w:val="nil"/>
            </w:tcBorders>
          </w:tcPr>
          <w:p>
            <w:pPr>
              <w:pStyle w:val="Normal6a"/>
            </w:pPr>
            <w:r>
              <w:t>25.</w:t>
            </w:r>
            <w:r>
              <w:tab/>
            </w:r>
            <w:r>
              <w:t>invite la Commission à lancer une méthode ouverte de coordination sur la qualité des offres relevant de la garantie renforcée pour la jeunesse</w:t>
            </w:r>
            <w:r>
              <w:rPr>
                <w:b/>
                <w:i/>
              </w:rPr>
              <w:t>, en définissant des indicateurs communs spécifiques pour l’évaluation</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invite la Commission et les États membres à veiller à ce que les stages proposés au titre de la garantie renforcée pour la jeunesse soient rémunérés équitablement, conformément au droit de l’Union et aux cadres nationaux applicables, et sur la base d’objectifs d’apprentissage et de formation clairement définis et d’une convention de stage écrite, et à ce qu’ils ne dépassent pas une durée de six mois, ni ne permettent des stages multiples ou consécutifs entrepris par la même personne auprès du même employeur d’une manière qui risque de piéger les jeunes dans des placements successifs sans droits du travail ou protection sociale adéquats;</w:t>
            </w:r>
            <w:r>
              <w:t xml:space="preserve"> </w:t>
            </w:r>
            <w:r>
              <w:rPr>
                <w:b/>
                <w:i/>
              </w:rPr>
              <w:t>souligne que les stages non rémunérés ne doivent pas s’inscrire dans le cadre de politiques actives structurées du marché du travail (PAMT);</w:t>
            </w:r>
            <w:r>
              <w:t xml:space="preserve"> </w:t>
            </w:r>
            <w:r>
              <w:rPr>
                <w:b/>
                <w:i/>
              </w:rPr>
              <w:t>demande que la future directive sur les stages soit ambitieuse et complète, en garantissant la pleine protection des droits des stagiaires, y compris le droit de mettre fin à un stage sans préjudice en cas de violation des droits fondamentaux, et demande la conclusion rapide des négociations;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reconnaît que le modèle de guichet unique est le moyen le plus efficace d’apporter un soutien adéquat aux jeunes bénéficiaires de la garantie renforcée pour la jeunesse et d’empêcher les jeunes de devenir des NEET;</w:t>
            </w:r>
            <w:r>
              <w:t xml:space="preserve"> </w:t>
            </w:r>
            <w:r>
              <w:rPr>
                <w:b/>
                <w:i/>
              </w:rPr>
              <w:t>encourage les États membres à développer ces centres à bas seuil dans tout le pays afin d’améliorer l’accessibilité des informations pour les NEET et de fournir des orientations tout au long de la vie, des conseils en matière d’éducation, de santé, d’aide sociale et d’animation socio-éducative en un seul endroit;</w:t>
            </w:r>
            <w:r>
              <w:t xml:space="preserve"> </w:t>
            </w:r>
            <w:r>
              <w:rPr>
                <w:b/>
                <w:i/>
              </w:rPr>
              <w:t>encourage les États membres qui ne disposent pas encore de cette culture d’approche intégrée à introduire le principe du renvoi, afin de renvoyer une demande à un autre service compétent si celui contacté n’est pas en mesure de la traiter;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souligne l’absence de définition juridique du terme «stage» dans certains États membres et invite tant les États membres que la Commission à œuvrer à l’élaboration d’une définition commune;</w:t>
            </w:r>
            <w:r>
              <w:t xml:space="preserve"> </w:t>
            </w:r>
            <w:r>
              <w:rPr>
                <w:b/>
                <w:i/>
              </w:rPr>
              <w:t>demande, à cet égard, l’adoption d’une directive européenne sur les stages afin de protéger les jeunes à la recherche d’un stage contre l’exploitation et de garantir qu’ils soient suffisamment indemnisés, et donc pleinement rémunérés;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invite la Commission à intensifier le soutien ciblé et la coordination des politiques dans les pays confrontés au chômage structurel des jeunes, en veillant à ce que les instruments de l’Union remédient efficacement aux défaillances de longue date du marché du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ter.</w:t>
            </w:r>
            <w:r>
              <w:tab/>
            </w:r>
            <w:r>
              <w:rPr>
                <w:b/>
                <w:i/>
              </w:rPr>
              <w:t>invite la Commission à introduire un cadre de qualité contraignant pour la garantie renforcée pour la jeunesse, assorti de mécanismes de suivi et d’application solides, conformément à la recommandation du Conseil relative à «Un pont vers l’emploi – Renforcer la garantie pour la jeunesse»</w:t>
            </w:r>
            <w:r>
              <w:rPr>
                <w:b/>
                <w:i/>
                <w:vertAlign w:val="superscript"/>
              </w:rPr>
              <w:t>1 bis</w:t>
            </w:r>
            <w:r>
              <w:rPr>
                <w:b/>
                <w:i/>
              </w:rPr>
              <w:t>;</w:t>
            </w:r>
            <w:r>
              <w:t xml:space="preserve"> </w:t>
            </w:r>
            <w:r>
              <w:rPr>
                <w:b/>
                <w:i/>
              </w:rPr>
              <w:t>souligne que des critères de qualité contraignants doivent garantir que toutes les offres sont alignées sur les principes pertinents du socle européen des droits sociaux, offrent de véritables possibilités d’apprentissage et de formation qui améliorent l’employabilité et facilitent la transition vers le marché du travail, et comprennent un recrutement, une reconnaissance et une certification transparents des compétences acquises, ainsi que des mécanismes de plainte accessibles;</w:t>
            </w:r>
            <w:r>
              <w:t xml:space="preserve"> </w:t>
            </w:r>
            <w:r>
              <w:rPr>
                <w:b/>
                <w:i/>
              </w:rPr>
              <w:t>demande que toutes les offres d’emploi et de stage garantissent des conditions de travail décentes, une rémunération équitable, l’accès à la protection sociale, à la formation et à l’orientation professionnelle, des périodes d’essai raisonnables et l’interdiction de l’abus de contrats atypiques;</w:t>
            </w:r>
            <w:r>
              <w:t xml:space="preserve"> </w:t>
            </w:r>
            <w:r>
              <w:rPr>
                <w:b/>
                <w:i/>
              </w:rPr>
              <w:t>souligne que le respect de ces normes devrait être une condition de l’utilisation des fonds de l’Union au titre des régimes de garantie renforcée pour la jeunesse;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Recommandation du Conseil du 30 octobre 2020 relative à «Un pont vers l’emploi — Renforcer la garantie pour la jeunesse» et remplaçant la recommandation du Conseil du 22 avril 2013 sur l’établissement d’une garantie pour la jeunesse (2020/C 372/01).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ter.</w:t>
            </w:r>
            <w:r>
              <w:tab/>
            </w:r>
            <w:r>
              <w:rPr>
                <w:b/>
                <w:i/>
              </w:rPr>
              <w:t>demande à la Commission de renforcer la coordination au niveau de l’Union en matière de santé mentale des jeunes, dans le prolongement de ses récentes recommandations et des enseignements tirés de la pandémie de COVID-19, en mettant un accent particulier sur la prévention, l’intervention précoce et le bien-être psychique des jeunes;</w:t>
            </w:r>
            <w:r>
              <w:t xml:space="preserve"> </w:t>
            </w:r>
            <w:r>
              <w:rPr>
                <w:b/>
                <w:i/>
              </w:rPr>
              <w:t>invite instamment la Commission et les États membres à assurer aux jeunes un accès rapide, abordable et non discriminatoire à des services de santé mentale, dans le cadre des systèmes de santé publique et dans le plein respect des compétences nationales, et à élaborer des mesures de préparation spécifiques aux jeunes, afin d’éviter que les jeunes soient touchés de manière disproportionnée lors des crises futures;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ter.</w:t>
            </w:r>
            <w:r>
              <w:tab/>
            </w:r>
            <w:r>
              <w:rPr>
                <w:b/>
                <w:i/>
              </w:rPr>
              <w:t>invite la Commission et les États membres à établir des liens plus étroits entre la garantie pour la jeunesse et d’autres politiques, telles que le logement, la santé et la santé mentale, la famille, les transports et le développement régional;</w:t>
            </w:r>
            <w:r>
              <w:t xml:space="preserve"> </w:t>
            </w:r>
            <w:r>
              <w:rPr>
                <w:b/>
                <w:i/>
              </w:rPr>
              <w:t>ajoute que les États membres pourraient étudier plus avant la mise en place d’équipes pluridisciplinaires et/ou de modèles de services intégrés à bas seuil, tels que les guichets uniques;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quater.</w:t>
            </w:r>
            <w:r>
              <w:tab/>
            </w:r>
            <w:r>
              <w:rPr>
                <w:b/>
                <w:i/>
              </w:rPr>
              <w:t>invite la Commission et les États membres à mettre en place une formation préparatoire supplémentaire («formation préprofessionnelle») ou des programmes de transition pour tous les jeunes qui ont quitté l’école prématurément ou dont l’éducation a été interrompue en raison de responsabilités familiales, afin de renforcer la préparation aux compétences et d’améliorer les voies d’accès à l’éducation, à la formation et à l’emploi;</w:t>
            </w:r>
            <w:r>
              <w:t xml:space="preserve"> </w:t>
            </w:r>
            <w:r>
              <w:rPr>
                <w:b/>
                <w:i/>
              </w:rPr>
              <w:t>souligne que ces programmes doivent être accessibles en particulier aux jeunes parents et aux jeunes adultes isolés, en tenant compte de leurs responsabilités familiales grâce à des horaires flexibles et, le cas échéant, à des services de garde d’enfants intégrés;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quinquies.</w:t>
            </w:r>
            <w:r>
              <w:tab/>
            </w:r>
            <w:r>
              <w:rPr>
                <w:b/>
                <w:i/>
              </w:rPr>
              <w:t>invite les États membres, dans le cadre de la garantie pour la jeunesse, à veiller à ce que tous les jeunes, indépendamment de leur formation préalable ou de leur motivation, puissent accéder à un outil d’enseignement de l’IA à bas seuil d’utilisation, d’éthique, de protection des données et de limites de l’IA, en particulier pour ceux qui ne maîtrisaient pas les technologies auparavant, afin d’éviter une nouvelle fracture numérique;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sexies.</w:t>
            </w:r>
            <w:r>
              <w:tab/>
            </w:r>
            <w:r>
              <w:rPr>
                <w:b/>
                <w:i/>
              </w:rPr>
              <w:t>invite les États membres à fournir un mentorat et un soutien psychosocial aux jeunes qui se sentent intimidés par l’IA, en les aidant à surmonter leurs craintes et à développer leur confiance et leur capacité d’action dans l’utilisation de ces technologies;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septies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septies.</w:t>
            </w:r>
            <w:r>
              <w:tab/>
            </w:r>
            <w:r>
              <w:rPr>
                <w:b/>
                <w:i/>
              </w:rPr>
              <w:t>invite les États membres à aider les jeunes à devenir des solopreneurs ou à diriger des microentreprises sans grand capital de démarrage, à utiliser l’IA pour remplacer des infrastructures coûteuses (par exemple, la comptabilité, la commercialisation, la programmation) et à favoriser l’indépendance économique, en particulier pour les jeunes issus de ménages non universitaires;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26.</w:t>
            </w:r>
            <w:r>
              <w:tab/>
            </w:r>
            <w:r>
              <w:rPr>
                <w:b/>
                <w:i/>
              </w:rPr>
              <w:t>demande à la Commission et aux États membres d’allouer un financement suffisant à la garantie renforcée pour la jeunesse dans le prochain CFP, notamment en maintenant l’affectation des fonds de l’Union;</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demande à</w:t>
            </w:r>
            <w:r>
              <w:t xml:space="preserve"> la Commission et </w:t>
            </w:r>
            <w:r>
              <w:rPr>
                <w:b/>
                <w:i/>
              </w:rPr>
              <w:t>aux</w:t>
            </w:r>
            <w:r>
              <w:t xml:space="preserve"> États membres </w:t>
            </w:r>
            <w:r>
              <w:rPr>
                <w:b/>
                <w:i/>
              </w:rPr>
              <w:t>d’allouer</w:t>
            </w:r>
            <w:r>
              <w:t xml:space="preserve"> un financement suffisant à la garantie renforcée pour la jeunesse dans le prochain CFP, notamment en maintenant l’affectation des fonds de l’Union;</w:t>
            </w:r>
          </w:p>
        </w:tc>
        <w:tc>
          <w:tcPr>
            <w:tcW w:w="4876" w:type="dxa"/>
            <w:tcBorders>
              <w:top w:val="nil"/>
              <w:left w:val="nil"/>
              <w:bottom w:val="nil"/>
              <w:right w:val="nil"/>
            </w:tcBorders>
          </w:tcPr>
          <w:p>
            <w:pPr>
              <w:pStyle w:val="Normal6a"/>
            </w:pPr>
            <w:r>
              <w:t>26.</w:t>
            </w:r>
            <w:r>
              <w:tab/>
            </w:r>
            <w:r>
              <w:rPr>
                <w:b/>
                <w:i/>
              </w:rPr>
              <w:t>invite</w:t>
            </w:r>
            <w:r>
              <w:t xml:space="preserve"> la Commission et </w:t>
            </w:r>
            <w:r>
              <w:rPr>
                <w:b/>
                <w:i/>
              </w:rPr>
              <w:t>les</w:t>
            </w:r>
            <w:r>
              <w:t xml:space="preserve"> États membres </w:t>
            </w:r>
            <w:r>
              <w:rPr>
                <w:b/>
                <w:i/>
              </w:rPr>
              <w:t>à allouer</w:t>
            </w:r>
            <w:r>
              <w:t xml:space="preserve"> un financement suffisant à la garantie renforcée pour la jeunesse dans le prochain CFP, notamment en maintenant l’affectation des fonds de l’Union; </w:t>
            </w:r>
            <w:r>
              <w:rPr>
                <w:b/>
                <w:i/>
              </w:rPr>
              <w:t>souligne que ce financement de l’Union devrait principalement soutenir le développement de mesures innovantes et l’expansion, et ne devrait pas remplacer les fonds nationaux préexistants;</w:t>
            </w:r>
            <w:r>
              <w:t xml:space="preserve"> </w:t>
            </w:r>
            <w:r>
              <w:rPr>
                <w:b/>
                <w:i/>
              </w:rPr>
              <w:t>demande l’introduction d’un suivi budgétaire des dépenses liées à la garantie renforcée pour la jeunesse au niveau de l’Union, accompagné d’un marqueur national;</w:t>
            </w:r>
            <w:r>
              <w:t xml:space="preserve"> </w:t>
            </w:r>
            <w:r>
              <w:rPr>
                <w:b/>
                <w:i/>
              </w:rPr>
              <w:t>invite les États membres à compléter les fonds européens par des fonds nationaux à la hauteur des défis liés aux indicateurs agrégés dans leur État membre, et à fournir une ventilation claire des dépenses liées à la garantie renforcée pour la jeunesse;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demande à la Commission et aux États membres d’allouer un financement suffisant à la garantie renforcée pour la jeunesse dans le prochain CFP, notamment en maintenant l’affectation </w:t>
            </w:r>
            <w:r>
              <w:rPr>
                <w:b/>
                <w:i/>
              </w:rPr>
              <w:t>des fonds</w:t>
            </w:r>
            <w:r>
              <w:t xml:space="preserve"> de l’Union;</w:t>
            </w:r>
          </w:p>
        </w:tc>
        <w:tc>
          <w:tcPr>
            <w:tcW w:w="4876" w:type="dxa"/>
            <w:tcBorders>
              <w:top w:val="nil"/>
              <w:left w:val="nil"/>
              <w:bottom w:val="nil"/>
              <w:right w:val="nil"/>
            </w:tcBorders>
          </w:tcPr>
          <w:p>
            <w:pPr>
              <w:pStyle w:val="Normal6a"/>
            </w:pPr>
            <w:r>
              <w:t>26.</w:t>
            </w:r>
            <w:r>
              <w:tab/>
            </w:r>
            <w:r>
              <w:t xml:space="preserve">demande à la Commission et aux États membres d’allouer un financement suffisant à la garantie renforcée pour la jeunesse dans le prochain CFP, notamment en maintenant l’affectation </w:t>
            </w:r>
            <w:r>
              <w:rPr>
                <w:b/>
                <w:i/>
              </w:rPr>
              <w:t>existante dans le cadre d’un futur FSE autonome et distinct, y compris l’obligation pour les États membres dont le taux de NEET est supérieur à la moyenne</w:t>
            </w:r>
            <w:r>
              <w:t xml:space="preserve"> de l’Union </w:t>
            </w:r>
            <w:r>
              <w:rPr>
                <w:b/>
                <w:i/>
              </w:rPr>
              <w:t>d’allouer au moins 12,5 % des ressources du FSE à des actions en faveur de l’emploi des jeunes, de l’enseignement et de la formation professionnels, et de la transition de l’éducation à l’emploi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demande à la Commission et aux États membres d’allouer un financement suffisant à la garantie renforcée pour la jeunesse dans le prochain CFP, notamment en maintenant l’affectation des fonds de l’Union;</w:t>
            </w:r>
          </w:p>
        </w:tc>
        <w:tc>
          <w:tcPr>
            <w:tcW w:w="4876" w:type="dxa"/>
            <w:tcBorders>
              <w:top w:val="nil"/>
              <w:left w:val="nil"/>
              <w:bottom w:val="nil"/>
              <w:right w:val="nil"/>
            </w:tcBorders>
          </w:tcPr>
          <w:p>
            <w:pPr>
              <w:pStyle w:val="Normal6a"/>
            </w:pPr>
            <w:r>
              <w:t>26.</w:t>
            </w:r>
            <w:r>
              <w:tab/>
            </w:r>
            <w:r>
              <w:t xml:space="preserve">demande à la Commission et aux États membres d’allouer un financement suffisant à la garantie renforcée pour la jeunesse </w:t>
            </w:r>
            <w:r>
              <w:rPr>
                <w:b/>
                <w:i/>
              </w:rPr>
              <w:t>après 2027</w:t>
            </w:r>
            <w:r>
              <w:t xml:space="preserve"> dans le prochain CFP, notamment en maintenant l’affectation des fonds de l’Union</w:t>
            </w:r>
            <w:r>
              <w:rPr>
                <w:b/>
                <w:i/>
              </w:rPr>
              <w:t>, afin de garantir la cohérence, de promouvoir les synergies, de compléter les stratégies et les budgets nationaux et d’élargir les possibilités d’emploi pour les jeunes de moins de 30 ans dans l’ensemble de l’Union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demande à</w:t>
            </w:r>
            <w:r>
              <w:t xml:space="preserve"> la Commission et </w:t>
            </w:r>
            <w:r>
              <w:rPr>
                <w:b/>
                <w:i/>
              </w:rPr>
              <w:t>aux</w:t>
            </w:r>
            <w:r>
              <w:t xml:space="preserve"> États membres </w:t>
            </w:r>
            <w:r>
              <w:rPr>
                <w:b/>
                <w:i/>
              </w:rPr>
              <w:t>d’allouer</w:t>
            </w:r>
            <w:r>
              <w:t xml:space="preserve"> un financement suffisant à la garantie renforcée pour la jeunesse dans le prochain CFP, notamment en maintenant l’affectation des fonds de l’Union;</w:t>
            </w:r>
          </w:p>
        </w:tc>
        <w:tc>
          <w:tcPr>
            <w:tcW w:w="4876" w:type="dxa"/>
            <w:tcBorders>
              <w:top w:val="nil"/>
              <w:left w:val="nil"/>
              <w:bottom w:val="nil"/>
              <w:right w:val="nil"/>
            </w:tcBorders>
          </w:tcPr>
          <w:p>
            <w:pPr>
              <w:pStyle w:val="Normal6a"/>
            </w:pPr>
            <w:r>
              <w:t>26.</w:t>
            </w:r>
            <w:r>
              <w:tab/>
            </w:r>
            <w:r>
              <w:rPr>
                <w:b/>
                <w:i/>
              </w:rPr>
              <w:t>invite</w:t>
            </w:r>
            <w:r>
              <w:t xml:space="preserve"> la Commission et </w:t>
            </w:r>
            <w:r>
              <w:rPr>
                <w:b/>
                <w:i/>
              </w:rPr>
              <w:t>les</w:t>
            </w:r>
            <w:r>
              <w:t xml:space="preserve"> États membres </w:t>
            </w:r>
            <w:r>
              <w:rPr>
                <w:b/>
                <w:i/>
              </w:rPr>
              <w:t>à allouer</w:t>
            </w:r>
            <w:r>
              <w:t xml:space="preserve"> un financement suffisant à la garantie renforcée pour la jeunesse dans le prochain CFP, notamment en maintenant l’affectation des fonds de l’Union; </w:t>
            </w:r>
            <w:r>
              <w:rPr>
                <w:b/>
                <w:i/>
              </w:rPr>
              <w:t>est profondément préoccupé, à cet égard, par l’affaiblissement du financement ciblé en faveur de l’emploi des jeunes dans les zones rurales et semi-urbaines dans le cadre du prochain CFP;</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demande à la Commission et aux États membres d’allouer un financement suffisant à</w:t>
            </w:r>
            <w:r>
              <w:t xml:space="preserve"> la garantie renforcée pour la jeunesse dans le prochain CFP</w:t>
            </w:r>
            <w:r>
              <w:rPr>
                <w:b/>
                <w:i/>
              </w:rPr>
              <w:t>, notamment en maintenant l’affectation des fonds de l’Union</w:t>
            </w:r>
            <w:r>
              <w:t>;</w:t>
            </w:r>
          </w:p>
        </w:tc>
        <w:tc>
          <w:tcPr>
            <w:tcW w:w="4876" w:type="dxa"/>
            <w:tcBorders>
              <w:top w:val="nil"/>
              <w:left w:val="nil"/>
              <w:bottom w:val="nil"/>
              <w:right w:val="nil"/>
            </w:tcBorders>
          </w:tcPr>
          <w:p>
            <w:pPr>
              <w:pStyle w:val="Normal6a"/>
            </w:pPr>
            <w:r>
              <w:t>26.</w:t>
            </w:r>
            <w:r>
              <w:tab/>
            </w:r>
            <w:r>
              <w:rPr>
                <w:b/>
                <w:i/>
              </w:rPr>
              <w:t>reconnaît que</w:t>
            </w:r>
            <w:r>
              <w:t xml:space="preserve"> la garantie renforcée pour la jeunesse </w:t>
            </w:r>
            <w:r>
              <w:rPr>
                <w:b/>
                <w:i/>
              </w:rPr>
              <w:t>peut être un outil important pour aider les jeunes à réaliser pleinement leur potentiel; demande à cet égard à la Commission et aux États membres de veiller à ce que son enveloppe</w:t>
            </w:r>
            <w:r>
              <w:t xml:space="preserve"> dans le prochain CFP </w:t>
            </w:r>
            <w:r>
              <w:rPr>
                <w:b/>
                <w:i/>
              </w:rPr>
              <w:t>soit protégée et augmentée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demande à la Commission et aux États membres d’allouer un financement suffisant à la garantie renforcée pour la jeunesse dans le prochain CFP, </w:t>
            </w:r>
            <w:r>
              <w:rPr>
                <w:b/>
                <w:i/>
              </w:rPr>
              <w:t>notamment en maintenant l’affectation</w:t>
            </w:r>
            <w:r>
              <w:t xml:space="preserve"> des fonds de l’Union;</w:t>
            </w:r>
          </w:p>
        </w:tc>
        <w:tc>
          <w:tcPr>
            <w:tcW w:w="4876" w:type="dxa"/>
            <w:tcBorders>
              <w:top w:val="nil"/>
              <w:left w:val="nil"/>
              <w:bottom w:val="nil"/>
              <w:right w:val="nil"/>
            </w:tcBorders>
          </w:tcPr>
          <w:p>
            <w:pPr>
              <w:pStyle w:val="Normal6a"/>
            </w:pPr>
            <w:r>
              <w:t>26.</w:t>
            </w:r>
            <w:r>
              <w:tab/>
            </w:r>
            <w:r>
              <w:t xml:space="preserve">demande à la Commission et aux États membres d’allouer un financement suffisant à la garantie renforcée pour la jeunesse dans le prochain CFP, </w:t>
            </w:r>
            <w:r>
              <w:rPr>
                <w:b/>
                <w:i/>
              </w:rPr>
              <w:t>tout en assurant un suivi rigoureux, la transparence et une évaluation des performances de l’utilisation</w:t>
            </w:r>
            <w:r>
              <w:t xml:space="preserve"> des fonds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demande à la Commission et aux États membres </w:t>
            </w:r>
            <w:r>
              <w:rPr>
                <w:b/>
                <w:i/>
              </w:rPr>
              <w:t>d’allouer un</w:t>
            </w:r>
            <w:r>
              <w:t xml:space="preserve"> financement </w:t>
            </w:r>
            <w:r>
              <w:rPr>
                <w:b/>
                <w:i/>
              </w:rPr>
              <w:t>suffisant à</w:t>
            </w:r>
            <w:r>
              <w:t xml:space="preserve"> la garantie renforcée pour la jeunesse dans le prochain CFP, notamment en maintenant l’affectation des fonds de l’Union;</w:t>
            </w:r>
          </w:p>
        </w:tc>
        <w:tc>
          <w:tcPr>
            <w:tcW w:w="4876" w:type="dxa"/>
            <w:tcBorders>
              <w:top w:val="nil"/>
              <w:left w:val="nil"/>
              <w:bottom w:val="nil"/>
              <w:right w:val="nil"/>
            </w:tcBorders>
          </w:tcPr>
          <w:p>
            <w:pPr>
              <w:pStyle w:val="Normal6a"/>
            </w:pPr>
            <w:r>
              <w:t>26.</w:t>
            </w:r>
            <w:r>
              <w:tab/>
            </w:r>
            <w:r>
              <w:t>demande à la Commission et aux États membres </w:t>
            </w:r>
            <w:r>
              <w:rPr>
                <w:b/>
                <w:i/>
              </w:rPr>
              <w:t>d’augmenter considérablement le</w:t>
            </w:r>
            <w:r>
              <w:t xml:space="preserve"> financement </w:t>
            </w:r>
            <w:r>
              <w:rPr>
                <w:b/>
                <w:i/>
              </w:rPr>
              <w:t>public et européen de</w:t>
            </w:r>
            <w:r>
              <w:t xml:space="preserve"> la garantie renforcée pour la jeunesse dans le prochain CFP, notamment en maintenant l’affectation des fonds de l’Union;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souligne qu’une partie des ressources devrait être utilisée pour améliorer la capacité administrative d’absorption des ressources, avec la fourniture d’une formation aux prestataires de la garantie pour la jeunesse et l’élaboration d’une boîte à outils sur l’utilisation des fonds;</w:t>
            </w:r>
            <w:r>
              <w:t xml:space="preserve"> </w:t>
            </w:r>
            <w:r>
              <w:rPr>
                <w:b/>
                <w:i/>
              </w:rPr>
              <w:t>estime que cette amélioration des capacités devrait également profiter aux partenaires sociaux, aux animateurs socio-éducatifs et aux ONG pour développer des projets;</w:t>
            </w:r>
            <w:r>
              <w:t xml:space="preserve"> </w:t>
            </w:r>
            <w:r>
              <w:rPr>
                <w:b/>
                <w:i/>
              </w:rPr>
              <w:t>invite la Commission à mettre en place un nouveau programme de financement à petite échelle pour les parties prenantes travaillant avec les NEET au niveau local, afin d’étendre l’utilisation et la portée des fonds de l’Union dans tous les territoires;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invite la Commission européenne à soutenir, au moyen des instruments de financement de l’Union, en particulier le Fonds social européen plus, des actions visant à informer et à sensibiliser les jeunes à leurs droits sur le marché du travail, en coopération avec les partenaires sociaux, y compris les syndicats;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rappelle que l’emploi des jeunes doit rester l’une des priorités d’investissement du prochain FSE+ et souligne que la garantie renforcée pour la jeunesse et les politiques de la jeunesse bien conçues ne sont pas des coûts budgétaires,</w:t>
            </w:r>
            <w:r>
              <w:t xml:space="preserve"> </w:t>
            </w:r>
            <w:r>
              <w:rPr>
                <w:b/>
                <w:i/>
              </w:rPr>
              <w:t>mais les investissements dans le capital humain;</w:t>
            </w:r>
            <w:r>
              <w:t xml:space="preserve"> </w:t>
            </w:r>
            <w:r>
              <w:rPr>
                <w:b/>
                <w:i/>
              </w:rPr>
              <w:t>invite la Commission et les États membres à veiller à ce qu’un budget autonome du FSE+ soit protégé et augmenté dans le prochain CFP;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invite instamment les États membres à consolider nettement leurs systèmes de suivi de la mise en œuvre de la garantie renforcée pour la jeunesse en ce qui concerne la qualité et l’exhaustivité des données collectées;</w:t>
            </w:r>
          </w:p>
        </w:tc>
        <w:tc>
          <w:tcPr>
            <w:tcW w:w="4876" w:type="dxa"/>
            <w:tcBorders>
              <w:top w:val="nil"/>
              <w:left w:val="nil"/>
              <w:bottom w:val="nil"/>
              <w:right w:val="nil"/>
            </w:tcBorders>
          </w:tcPr>
          <w:p>
            <w:pPr>
              <w:pStyle w:val="Normal6a"/>
            </w:pPr>
            <w:r>
              <w:t>27.</w:t>
            </w:r>
            <w:r>
              <w:tab/>
            </w:r>
            <w:r>
              <w:t>invite instamment les États membres à consolider nettement leurs systèmes de suivi de la mise en œuvre de la garantie renforcée pour la jeunesse en ce qui concerne la qualité et l’exhaustivité des données collectées</w:t>
            </w:r>
            <w:r>
              <w:rPr>
                <w:b/>
                <w:i/>
              </w:rPr>
              <w:t>, notamment en ce qui concerne les indicateurs de suivi et les résultats actuellement inconnus</w:t>
            </w:r>
            <w:r>
              <w:t xml:space="preserve">; </w:t>
            </w:r>
            <w:r>
              <w:rPr>
                <w:b/>
                <w:i/>
              </w:rPr>
              <w:t>invite la Commission et les États membres à trouver des solutions pour surmonter les obstacles juridiques et administratifs au partage d’informations entre les services et les administrations, tout en respectant la vie privée des NEET concernés;</w:t>
            </w:r>
            <w:r>
              <w:t xml:space="preserve"> </w:t>
            </w:r>
            <w:r>
              <w:rPr>
                <w:b/>
                <w:i/>
              </w:rPr>
              <w:t>encourage, dans ce contexte, l’identification claire de l’autorité ou des autorités chargées de la collecte des données dans le cadre des dispositifs de la garantie renforcée pour la jeunesse, l’interopérabilité des bases de données avec un identifiant unique entre les administrations au sein des systèmes nationaux et la publication d’une communication sur l’application du RGPD afin d’éviter toute interprétation erronée;</w:t>
            </w:r>
            <w:r>
              <w:t xml:space="preserve"> </w:t>
            </w:r>
            <w:r>
              <w:rPr>
                <w:b/>
                <w:i/>
              </w:rPr>
              <w:t>invite la Commission à fournir une assistance technique aux États membres dont les cadres de suivi nationaux ou locaux sont les plus faibles en vue de leur renforcement et de la formation du personnel spécialisé afin de garantir la comparabilité au niveau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invite instamment les États membres à consolider nettement leurs systèmes de suivi de la mise en œuvre de la garantie renforcée pour la jeunesse en ce qui concerne la qualité et </w:t>
            </w:r>
            <w:r>
              <w:rPr>
                <w:b/>
                <w:i/>
              </w:rPr>
              <w:t>l’exhaustivité</w:t>
            </w:r>
            <w:r>
              <w:t xml:space="preserve"> des données </w:t>
            </w:r>
            <w:r>
              <w:rPr>
                <w:b/>
                <w:i/>
              </w:rPr>
              <w:t>collectées</w:t>
            </w:r>
            <w:r>
              <w:t>;</w:t>
            </w:r>
          </w:p>
        </w:tc>
        <w:tc>
          <w:tcPr>
            <w:tcW w:w="4876" w:type="dxa"/>
            <w:tcBorders>
              <w:top w:val="nil"/>
              <w:left w:val="nil"/>
              <w:bottom w:val="nil"/>
              <w:right w:val="nil"/>
            </w:tcBorders>
          </w:tcPr>
          <w:p>
            <w:pPr>
              <w:pStyle w:val="Normal6a"/>
            </w:pPr>
            <w:r>
              <w:t>27.</w:t>
            </w:r>
            <w:r>
              <w:tab/>
            </w:r>
            <w:r>
              <w:t xml:space="preserve">invite instamment les États membres à consolider nettement leurs systèmes de suivi de la mise en œuvre de la garantie renforcée pour la jeunesse en ce qui concerne </w:t>
            </w:r>
            <w:r>
              <w:rPr>
                <w:b/>
                <w:i/>
              </w:rPr>
              <w:t>les données,</w:t>
            </w:r>
            <w:r>
              <w:t xml:space="preserve"> la qualité et </w:t>
            </w:r>
            <w:r>
              <w:rPr>
                <w:b/>
                <w:i/>
              </w:rPr>
              <w:t>la couverture;</w:t>
            </w:r>
            <w:r>
              <w:t xml:space="preserve"> </w:t>
            </w:r>
            <w:r>
              <w:rPr>
                <w:b/>
                <w:i/>
              </w:rPr>
              <w:t>demande que des mesures ciblées soient prises pour s’attaquer aux obstacles structurels, administratifs et juridiques qui entravent le partage efficace</w:t>
            </w:r>
            <w:r>
              <w:t xml:space="preserve"> des données</w:t>
            </w:r>
            <w:r>
              <w:rPr>
                <w:b/>
                <w:i/>
              </w:rPr>
              <w:t>, la coordination entre les services et la transparence dans l’utilisation des ressources publiques</w:t>
            </w:r>
            <w:r>
              <w:t xml:space="preserve">; </w:t>
            </w:r>
            <w:r>
              <w:rPr>
                <w:b/>
                <w:i/>
              </w:rPr>
              <w:t>demande la collecte de données ventilées et qualitatives améliorées, qui rendent compte non seulement du statut professionnel, mais aussi de la qualité de l’emploi, du type de contrat, de la rémunération, de l’accès à la protection sociale et du milieu socio-économique, afin de mieux identifier les personnes soutenues et celles qui sont laissées pour compte;</w:t>
            </w:r>
            <w:r>
              <w:t xml:space="preserve"> </w:t>
            </w:r>
            <w:r>
              <w:rPr>
                <w:b/>
                <w:i/>
              </w:rPr>
              <w:t>demande un contrôle de suivi renforcé après la sortie du programme, y compris en ce qui concerne les conditions d’emploi;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invite instamment les États membres à consolider nettement leurs systèmes de suivi de la mise en œuvre de la garantie renforcée pour la jeunesse en ce qui concerne la qualité et l’exhaustivité des données collectées;</w:t>
            </w:r>
          </w:p>
        </w:tc>
        <w:tc>
          <w:tcPr>
            <w:tcW w:w="4876" w:type="dxa"/>
            <w:tcBorders>
              <w:top w:val="nil"/>
              <w:left w:val="nil"/>
              <w:bottom w:val="nil"/>
              <w:right w:val="nil"/>
            </w:tcBorders>
          </w:tcPr>
          <w:p>
            <w:pPr>
              <w:pStyle w:val="Normal6a"/>
            </w:pPr>
            <w:r>
              <w:t>27.</w:t>
            </w:r>
            <w:r>
              <w:tab/>
            </w:r>
            <w:r>
              <w:t xml:space="preserve">invite instamment les États membres à consolider nettement leurs systèmes de suivi de la mise en œuvre de la garantie renforcée pour la jeunesse en ce qui concerne la qualité et l’exhaustivité des données collectées; </w:t>
            </w:r>
            <w:r>
              <w:rPr>
                <w:b/>
                <w:i/>
              </w:rPr>
              <w:t>invite les États membres et la Commission à renforcer la collecte de données comparables sur les effets à long terme de la garantie renforcée pour la jeunesse, en particulier en ce qui concerne le maintien dans l’emploi, la qualité de l’emploi, la poursuite des parcours éducatifs et le risque de retour au chômage ou la situation des NEET;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invite instamment les États membres à consolider nettement leurs systèmes de suivi de la mise en œuvre de la garantie renforcée pour la jeunesse en ce qui concerne la qualité et l’exhaustivité des données collectées;</w:t>
            </w:r>
          </w:p>
        </w:tc>
        <w:tc>
          <w:tcPr>
            <w:tcW w:w="4876" w:type="dxa"/>
            <w:tcBorders>
              <w:top w:val="nil"/>
              <w:left w:val="nil"/>
              <w:bottom w:val="nil"/>
              <w:right w:val="nil"/>
            </w:tcBorders>
          </w:tcPr>
          <w:p>
            <w:pPr>
              <w:pStyle w:val="Normal6a"/>
            </w:pPr>
            <w:r>
              <w:t>27.</w:t>
            </w:r>
            <w:r>
              <w:tab/>
            </w:r>
            <w:r>
              <w:t>invite instamment les États membres à consolider nettement leurs systèmes de suivi de la mise en œuvre de la garantie renforcée pour la jeunesse en ce qui concerne la qualité et l’exhaustivité des données collectées</w:t>
            </w:r>
            <w:r>
              <w:rPr>
                <w:b/>
                <w:i/>
              </w:rPr>
              <w:t>, en recueillant des données complètes, actualisées et ventilées concernant tous les participants, qui tiennent compte du sexe, de l’origine migratoire, du handicap et de l’éloignement de la zone de résidence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invite instamment les États membres à consolider nettement leurs systèmes de suivi de la mise en œuvre de la garantie renforcée pour la jeunesse en ce qui concerne la qualité et l’exhaustivité des données collectées;</w:t>
            </w:r>
          </w:p>
        </w:tc>
        <w:tc>
          <w:tcPr>
            <w:tcW w:w="4876" w:type="dxa"/>
            <w:tcBorders>
              <w:top w:val="nil"/>
              <w:left w:val="nil"/>
              <w:bottom w:val="nil"/>
              <w:right w:val="nil"/>
            </w:tcBorders>
          </w:tcPr>
          <w:p>
            <w:pPr>
              <w:pStyle w:val="Normal6a"/>
            </w:pPr>
            <w:r>
              <w:t>27.</w:t>
            </w:r>
            <w:r>
              <w:tab/>
            </w:r>
            <w:r>
              <w:t>invite instamment les États membres à consolider nettement leurs systèmes de suivi de la mise en œuvre de la garantie renforcée pour la jeunesse en ce qui concerne la qualité et l’exhaustivité des données collectées</w:t>
            </w:r>
            <w:r>
              <w:rPr>
                <w:b/>
                <w:i/>
              </w:rPr>
              <w:t>,</w:t>
            </w:r>
            <w:r>
              <w:t xml:space="preserve"> </w:t>
            </w:r>
            <w:r>
              <w:rPr>
                <w:b/>
                <w:i/>
              </w:rPr>
              <w:t>en particulier en ce qui concerne le niveau de suivi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invite la Commission à renforcer le cadre de suivi de la garantie renforcée pour la jeunesse et à élaborer un ensemble commun d’indicateurs quantitatifs et qualitatifs à l’échelle de l’Union, y compris le taux d’emploi temporaire et à temps partiel involontaire, le taux de risque de pauvreté ou d’exclusion sociale, le type et la durée de l’emploi, des stages et des apprentissages ventilés par type d’offre, les niveaux de rémunération mensuels et le retour d’information qualitatif des jeunes sur la qualité des offres;</w:t>
            </w:r>
            <w:r>
              <w:t xml:space="preserve"> </w:t>
            </w:r>
            <w:r>
              <w:rPr>
                <w:b/>
                <w:i/>
              </w:rPr>
              <w:t>invite la Commission à procéder à une évaluation complète avant le prochain cycle politique, en vue d’accroître le recours aux NEET vulnérables et d’améliorer la qualité des offres proposées dans le cadre de la garantie renforcée pour la jeunesse;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invite la Commission européenne à mettre à jour le cadre d’indicateurs;</w:t>
            </w:r>
            <w:r>
              <w:t xml:space="preserve"> </w:t>
            </w:r>
            <w:r>
              <w:rPr>
                <w:b/>
                <w:i/>
              </w:rPr>
              <w:t>propose de le compléter par les indicateurs agrégés du taux d’emploi temporaire involontaire (de 15 à 29 ans) et du taux de risque de pauvreté et d’exclusion sociale (de 15 à 29 ans);</w:t>
            </w:r>
            <w:r>
              <w:t xml:space="preserve"> </w:t>
            </w:r>
            <w:r>
              <w:rPr>
                <w:b/>
                <w:i/>
              </w:rPr>
              <w:t>propose, en ce qui concerne le suivi direct, de le mettre à jour au moyen des indicateurs suivants:</w:t>
            </w:r>
            <w:r>
              <w:t xml:space="preserve"> </w:t>
            </w:r>
            <w:r>
              <w:rPr>
                <w:b/>
                <w:i/>
              </w:rPr>
              <w:t>le type et la durée du stage professionnel et de l’apprentissage, ventilés par type d’offre;</w:t>
            </w:r>
            <w:r>
              <w:t xml:space="preserve"> </w:t>
            </w:r>
            <w:r>
              <w:rPr>
                <w:b/>
                <w:i/>
              </w:rPr>
              <w:t>le niveau de rémunération mensuel ventilé par type d’offre et le niveau de protection sociale offert par l’offre;</w:t>
            </w:r>
            <w:r>
              <w:t xml:space="preserve"> </w:t>
            </w:r>
            <w:r>
              <w:rPr>
                <w:b/>
                <w:i/>
              </w:rPr>
              <w:t>et des informations qualitatives recueillies directement auprès des jeunes sur la qualité de leur expérience;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souligne qu’il importe de continuer à intégrer la garantie pour la jeunesse et les stratégies pour l’emploi des jeunes dans le processus d’élargissement;</w:t>
            </w:r>
            <w:r>
              <w:t xml:space="preserve"> </w:t>
            </w:r>
            <w:r>
              <w:rPr>
                <w:b/>
                <w:i/>
              </w:rPr>
              <w:t>invite la Commission européenne à poursuivre les efforts de financement au titre du prochain CFP, tout en surveillant l’utilisation rigoureuse de ces fonds et en mettant l’accent sur le renforcement des capacités;</w:t>
            </w:r>
            <w:r>
              <w:t xml:space="preserve"> </w:t>
            </w:r>
            <w:r>
              <w:rPr>
                <w:b/>
                <w:i/>
              </w:rPr>
              <w:t>invite les pays candidats à l’élargissement à fournir un financement national adéquat pour garantir l’expansion et la durabilité des programmes de garantie pour la jeunesse, et encourage l’apprentissage par les pairs avec les États membres;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demande à la Commission et aux États membres de renforcer les mécanismes de vérification prévus dans la garantie pour la jeunesse afin d’identifier sans erreur les bénéficiaires éligibles, d’améliorer la transparence et la traçabilité des procédures administratives et de prémunir ce système des incitations contreproductives susceptible de le détourner de son objectif de soutenir les jeunes confrontés à une exclusion du marché du travail véritable et durable;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ter.</w:t>
            </w:r>
            <w:r>
              <w:tab/>
            </w:r>
            <w:r>
              <w:rPr>
                <w:b/>
                <w:i/>
              </w:rPr>
              <w:t>estime que la mise en œuvre de la garantie renforcée pour la jeunesse nécessite un nouvel élan et un dialogue renouvelé avec les États membres;</w:t>
            </w:r>
            <w:r>
              <w:t xml:space="preserve"> </w:t>
            </w:r>
            <w:r>
              <w:rPr>
                <w:b/>
                <w:i/>
              </w:rPr>
              <w:t>souligne, dans ce contexte, la possibilité offerte par le nouveau plan d’action de l’EPRS de promouvoir la mise en œuvre de la garantie renforcée pour la jeunesse et d’adopter un objectif plus ambitieux de réduction du taux de NEET;</w:t>
            </w:r>
            <w:r>
              <w:t xml:space="preserve"> </w:t>
            </w:r>
            <w:r>
              <w:rPr>
                <w:b/>
                <w:i/>
              </w:rPr>
              <w:t>se félicite de l’initiative visant à mettre en place une garantie de compétences et demande qu’elle intègre une dimension pour les jeunes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ter.</w:t>
            </w:r>
            <w:r>
              <w:tab/>
            </w:r>
            <w:r>
              <w:rPr>
                <w:b/>
                <w:i/>
              </w:rPr>
              <w:t>invite la Commission à intensifier, le cas échéant, le suivi dans les pays confrontés au chômage structurel des jeunes, en veillant à ce que les instruments de l’Union remédient efficacement aux défaillances de longue date du marché du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Hristo Petrov, Irena Joveva,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quater.</w:t>
            </w:r>
            <w:r>
              <w:tab/>
            </w:r>
            <w:r>
              <w:rPr>
                <w:b/>
                <w:i/>
              </w:rPr>
              <w:t>invite la Commission à tirer pleinement parti du Semestre européen pour suivre la mise en œuvre de la garantie renforcée pour la jeunesse, en utilisant les recommandations par pays le cas échéant, et à utiliser le cadre de convergence sociale pour orienter sa mise en œuvre à l’échelle de l’Union, y compris sa gouvernance et sa capacité;</w:t>
            </w:r>
            <w:r>
              <w:t xml:space="preserve"> </w:t>
            </w:r>
            <w:r>
              <w:rPr>
                <w:b/>
                <w:i/>
              </w:rPr>
              <w:t>invite la Commission à rétablir le taux de chômage des jeunes en tant qu’indicateur clé dans le tableau de bord de la procédure concernant les déséquilibres macroéconomiques, compte tenu des risques potentiels qu’il présente pour la stabilité macroéconomique;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quater.</w:t>
            </w:r>
            <w:r>
              <w:tab/>
            </w:r>
            <w:r>
              <w:rPr>
                <w:b/>
                <w:i/>
              </w:rPr>
              <w:t>invite la Commission à veiller à ce que le suivi et l’évaluation de la garantie pour la jeunesse soient renforcés de manière proportionnée et efficace dans le cadre des structures de gouvernance existantes de l’Union, y compris le Semestre européen;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quinquies.</w:t>
            </w:r>
            <w:r>
              <w:tab/>
            </w:r>
            <w:r>
              <w:rPr>
                <w:b/>
                <w:i/>
              </w:rPr>
              <w:t>invite la Commission et les États membres à sensibiliser les autorités publiques chargées de la mise en œuvre, les entreprises et les jeunes à la garantie renforcée pour la jeunesse et aux services de soutien disponibles, y compris au moyen de stratégies de communication nationales utilisant de multiples canaux, tels que des campagnes sur les médias sociaux, afin d’atteindre les personnes les plus difficiles à atteindre;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rPr>
                <w:b/>
                <w:i/>
              </w:rPr>
              <w:t>constate que les résultats de la mise en œuvre</w:t>
            </w:r>
            <w:r>
              <w:t xml:space="preserve"> de la garantie renforcée pour la jeunesse </w:t>
            </w:r>
            <w:r>
              <w:rPr>
                <w:b/>
                <w:i/>
              </w:rPr>
              <w:t>sont inégaux et que les problèmes recensés restent d’actualité;</w:t>
            </w:r>
            <w:r>
              <w:t xml:space="preserve"> </w:t>
            </w:r>
            <w:r>
              <w:rPr>
                <w:b/>
                <w:i/>
              </w:rPr>
              <w:t>invite la Commission à adopter des décisions selon</w:t>
            </w:r>
            <w:r>
              <w:t xml:space="preserve"> la procédure législative ordinaire </w:t>
            </w:r>
            <w:r>
              <w:rPr>
                <w:b/>
                <w:i/>
              </w:rPr>
              <w:t>visant les</w:t>
            </w:r>
            <w:r>
              <w:t xml:space="preserve"> États membres </w:t>
            </w:r>
            <w:r>
              <w:rPr>
                <w:b/>
                <w:i/>
              </w:rPr>
              <w:t>dont le taux de chômage des jeunes et le taux de NEET sont supérieurs à la moyenne</w:t>
            </w:r>
            <w:r>
              <w:t xml:space="preserve"> de l’Union;</w:t>
            </w:r>
          </w:p>
        </w:tc>
        <w:tc>
          <w:tcPr>
            <w:tcW w:w="4876" w:type="dxa"/>
            <w:tcBorders>
              <w:top w:val="nil"/>
              <w:left w:val="nil"/>
              <w:bottom w:val="nil"/>
              <w:right w:val="nil"/>
            </w:tcBorders>
          </w:tcPr>
          <w:p>
            <w:pPr>
              <w:pStyle w:val="Normal6a"/>
            </w:pPr>
            <w:r>
              <w:t>28.</w:t>
            </w:r>
            <w:r>
              <w:tab/>
            </w:r>
            <w:r>
              <w:rPr>
                <w:b/>
                <w:i/>
              </w:rPr>
              <w:t>invite la Commission européenne à soutenir activement les États membres dans la réalisation des objectifs</w:t>
            </w:r>
            <w:r>
              <w:t xml:space="preserve"> de la garantie renforcée pour la jeunesse</w:t>
            </w:r>
            <w:r>
              <w:rPr>
                <w:b/>
                <w:i/>
              </w:rPr>
              <w:t>;</w:t>
            </w:r>
            <w:r>
              <w:t xml:space="preserve"> </w:t>
            </w:r>
            <w:r>
              <w:rPr>
                <w:b/>
                <w:i/>
              </w:rPr>
              <w:t>souligne que toute mesure contraignante à l’encontre des États membres doit être adoptée conformément à</w:t>
            </w:r>
            <w:r>
              <w:t xml:space="preserve"> la procédure législative ordinaire </w:t>
            </w:r>
            <w:r>
              <w:rPr>
                <w:b/>
                <w:i/>
              </w:rPr>
              <w:t>prévue à l’article 294 du traité FUE, avec la pleine participation du Parlement européen et du Conseil, tout en respectant le principe de subsidiarité énoncé à l’article 5 du traité UE;</w:t>
            </w:r>
            <w:r>
              <w:t xml:space="preserve"> </w:t>
            </w:r>
            <w:r>
              <w:rPr>
                <w:b/>
                <w:i/>
              </w:rPr>
              <w:t>demande que toute obligation contraignante imposée aux</w:t>
            </w:r>
            <w:r>
              <w:t xml:space="preserve"> États membres </w:t>
            </w:r>
            <w:r>
              <w:rPr>
                <w:b/>
                <w:i/>
              </w:rPr>
              <w:t>s’accompagne de l’allocation de ressources financières adéquates</w:t>
            </w:r>
            <w:r>
              <w:t xml:space="preserve"> de l’Union </w:t>
            </w:r>
            <w:r>
              <w:rPr>
                <w:b/>
                <w:i/>
              </w:rPr>
              <w:t>pour atteindre les objectifs requis</w:t>
            </w:r>
            <w:r>
              <w:t xml:space="preserve">; </w:t>
            </w:r>
            <w:r>
              <w:rPr>
                <w:b/>
                <w:i/>
              </w:rPr>
              <w:t>invite la Commission à tenir compte, lors de l’élaboration de toute mesure de soutien ou recommandation, des spécificités structurelles, institutionnelles et territoriales de chaque État membre;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constate que les résultats de la mise en œuvre de la garantie renforcée pour la jeunesse sont inégaux et que les problèmes recensés restent d’actualité; invite la Commission à adopter des décisions selon la procédure législative ordinaire visant les États membres dont le taux de chômage des jeunes et le taux de NEET sont supérieurs à la moyenne de l’Union;</w:t>
            </w:r>
          </w:p>
        </w:tc>
        <w:tc>
          <w:tcPr>
            <w:tcW w:w="4876" w:type="dxa"/>
            <w:tcBorders>
              <w:top w:val="nil"/>
              <w:left w:val="nil"/>
              <w:bottom w:val="nil"/>
              <w:right w:val="nil"/>
            </w:tcBorders>
          </w:tcPr>
          <w:p>
            <w:pPr>
              <w:pStyle w:val="Normal6a"/>
            </w:pPr>
            <w:r>
              <w:t>28.</w:t>
            </w:r>
            <w:r>
              <w:tab/>
            </w:r>
            <w:r>
              <w:t>constate que les résultats de la mise en œuvre de la garantie renforcée pour la jeunesse sont inégaux et que les problèmes recensés restent d’actualité</w:t>
            </w:r>
            <w:r>
              <w:rPr>
                <w:b/>
                <w:i/>
              </w:rPr>
              <w:t>, avec des situations particulièrement critiques dans certains États membres</w:t>
            </w:r>
            <w:r>
              <w:t xml:space="preserve">; invite la Commission à adopter des décisions selon la procédure législative ordinaire visant les États membres dont le taux de chômage des jeunes et le taux de NEET sont supérieurs à la moyenne de l’Union; </w:t>
            </w:r>
            <w:r>
              <w:rPr>
                <w:b/>
                <w:i/>
              </w:rPr>
              <w:t>invite la Cour des comptes européenne à élaborer un rapport spécial sur la mise en œuvre de la garantie renforcée pour la jeunesse;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constate que les résultats de la mise en œuvre de la garantie renforcée pour la jeunesse sont inégaux et que les problèmes recensés restent d’actualité; invite la Commission à </w:t>
            </w:r>
            <w:r>
              <w:rPr>
                <w:b/>
                <w:i/>
              </w:rPr>
              <w:t>adopter des décisions selon la procédure législative ordinaire visant les</w:t>
            </w:r>
            <w:r>
              <w:t xml:space="preserve"> États membres dont le taux de chômage des jeunes et le taux de NEET sont supérieurs à la moyenne de l’Union;</w:t>
            </w:r>
          </w:p>
        </w:tc>
        <w:tc>
          <w:tcPr>
            <w:tcW w:w="4876" w:type="dxa"/>
            <w:tcBorders>
              <w:top w:val="nil"/>
              <w:left w:val="nil"/>
              <w:bottom w:val="nil"/>
              <w:right w:val="nil"/>
            </w:tcBorders>
          </w:tcPr>
          <w:p>
            <w:pPr>
              <w:pStyle w:val="Normal6a"/>
            </w:pPr>
            <w:r>
              <w:t>28.</w:t>
            </w:r>
            <w:r>
              <w:tab/>
            </w:r>
            <w:r>
              <w:t xml:space="preserve">constate que les résultats de la mise en œuvre de la garantie renforcée pour la jeunesse sont inégaux et que les problèmes recensés restent d’actualité; invite la Commission à </w:t>
            </w:r>
            <w:r>
              <w:rPr>
                <w:b/>
                <w:i/>
              </w:rPr>
              <w:t>soutenir et coordonner les échanges de bonnes pratiques et à fournir des orientations ciblées et non contraignantes aux</w:t>
            </w:r>
            <w:r>
              <w:t xml:space="preserve"> États membres dont le taux de chômage des jeunes et le taux de NEET sont supérieurs à la moyenne de l’Union</w:t>
            </w:r>
            <w:r>
              <w:rPr>
                <w:b/>
                <w:i/>
              </w:rPr>
              <w:t>, tout en respectant pleinement les compétences nationales et les spécificités du marché du travail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constate que les résultats de la mise en œuvre de la garantie renforcée pour la jeunesse sont inégaux et que les problèmes recensés restent d’actualité; </w:t>
            </w:r>
            <w:r>
              <w:rPr>
                <w:b/>
                <w:i/>
              </w:rPr>
              <w:t>invite</w:t>
            </w:r>
            <w:r>
              <w:t xml:space="preserve"> la Commission </w:t>
            </w:r>
            <w:r>
              <w:rPr>
                <w:b/>
                <w:i/>
              </w:rPr>
              <w:t>à adopter</w:t>
            </w:r>
            <w:r>
              <w:t xml:space="preserve"> des décisions </w:t>
            </w:r>
            <w:r>
              <w:rPr>
                <w:b/>
                <w:i/>
              </w:rPr>
              <w:t>selon la procédure législative ordinaire visant</w:t>
            </w:r>
            <w:r>
              <w:t xml:space="preserve"> les États membres </w:t>
            </w:r>
            <w:r>
              <w:rPr>
                <w:b/>
                <w:i/>
              </w:rPr>
              <w:t>dont le taux de chômage des jeunes et le taux de NEET sont supérieurs à la moyenne de l’Union;</w:t>
            </w:r>
          </w:p>
        </w:tc>
        <w:tc>
          <w:tcPr>
            <w:tcW w:w="4876" w:type="dxa"/>
            <w:tcBorders>
              <w:top w:val="nil"/>
              <w:left w:val="nil"/>
              <w:bottom w:val="nil"/>
              <w:right w:val="nil"/>
            </w:tcBorders>
          </w:tcPr>
          <w:p>
            <w:pPr>
              <w:pStyle w:val="Normal6a"/>
            </w:pPr>
            <w:r>
              <w:t>28.</w:t>
            </w:r>
            <w:r>
              <w:tab/>
            </w:r>
            <w:r>
              <w:t xml:space="preserve">constate que les résultats de la mise en œuvre de la garantie renforcée pour la jeunesse sont inégaux et que les problèmes recensés restent d’actualité; </w:t>
            </w:r>
            <w:r>
              <w:rPr>
                <w:b/>
                <w:i/>
              </w:rPr>
              <w:t>rappelle que la politique de l'emploi et de l'éducation demeure une compétence exclusive des États membres conformément au principe de subsidiarité, et rejette toute tentative de</w:t>
            </w:r>
            <w:r>
              <w:t xml:space="preserve"> la Commission </w:t>
            </w:r>
            <w:r>
              <w:rPr>
                <w:b/>
                <w:i/>
              </w:rPr>
              <w:t>d'imposer</w:t>
            </w:r>
            <w:r>
              <w:t xml:space="preserve"> des décisions </w:t>
            </w:r>
            <w:r>
              <w:rPr>
                <w:b/>
                <w:i/>
              </w:rPr>
              <w:t>descendantes pénalisant</w:t>
            </w:r>
            <w:r>
              <w:t xml:space="preserve"> les États membres</w:t>
            </w:r>
            <w:r>
              <w:rPr>
                <w:b/>
                <w:i/>
              </w:rP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bis.</w:t>
            </w:r>
            <w:r>
              <w:tab/>
            </w:r>
            <w:r>
              <w:rPr>
                <w:b/>
                <w:i/>
              </w:rPr>
              <w:t>souligne que la garantie renforcée pour la jeunesse devrait également contribuer à réduire les disparités régionales et l’exode forcé des jeunes des régions où les possibilités d’emploi sont limitées;</w:t>
            </w:r>
            <w:r>
              <w:t xml:space="preserve"> </w:t>
            </w:r>
            <w:r>
              <w:rPr>
                <w:b/>
                <w:i/>
              </w:rPr>
              <w:t>invite les États membres à élaborer des mesures ciblées pour les zones rurales, insulaires, montagneuses et isolées afin de veiller à ce que la situation géographique ne fasse pas office de facteur d’exclusion pour les jeunes;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bis.</w:t>
            </w:r>
            <w:r>
              <w:tab/>
            </w:r>
            <w:r>
              <w:rPr>
                <w:b/>
                <w:i/>
              </w:rPr>
              <w:t>invite la Commission à suivre les résultats de la garantie pour la jeunesse pour les jeunes parents (15-29 ans), en particulier les parents isolés, en suivant séparément les taux d’emploi, de formation et de NEET et en les communiquant chaque année afin d’évaluer l’efficacité et d’orienter les politiques ciblées;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787.792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186</w:t>
    </w:r>
    <w:r>
      <w:fldChar w:fldCharType="end"/>
    </w:r>
    <w:r>
      <w:t>/</w:t>
    </w:r>
    <w:r>
      <w:fldChar w:fldCharType="begin"/>
    </w:r>
    <w:r>
      <w:instrText xml:space="preserve"> NUMPAGES </w:instrText>
    </w:r>
    <w:r>
      <w:fldChar w:fldCharType="separate"/>
    </w:r>
    <w:r>
      <w:t>187</w:t>
    </w:r>
    <w:r>
      <w:fldChar w:fldCharType="end"/>
    </w:r>
    <w:r>
      <w:tab/>
    </w:r>
    <w:r>
      <w:rPr>
        <w:rStyle w:val="HideTWBExt"/>
      </w:rPr>
      <w:t>&lt;PathFdR&gt;</w:t>
    </w:r>
    <w:r>
      <w:t>AM\1342336FR.docx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AM\1342336FR.docx</w:t>
    </w:r>
    <w:r>
      <w:rPr>
        <w:rStyle w:val="HideTWBExt"/>
      </w:rPr>
      <w:t>&lt;/PathFdR&gt;</w:t>
    </w:r>
    <w:r>
      <w:tab/>
    </w:r>
    <w:r>
      <w:fldChar w:fldCharType="begin"/>
    </w:r>
    <w:r>
      <w:instrText xml:space="preserve"> PAGE </w:instrText>
    </w:r>
    <w:r>
      <w:fldChar w:fldCharType="separate"/>
    </w:r>
    <w:r>
      <w:t>187</w:t>
    </w:r>
    <w:r>
      <w:fldChar w:fldCharType="end"/>
    </w:r>
    <w:r>
      <w:t>/</w:t>
    </w:r>
    <w:r>
      <w:fldChar w:fldCharType="begin"/>
    </w:r>
    <w:r>
      <w:instrText xml:space="preserve"> NUMPAGES </w:instrText>
    </w:r>
    <w:r>
      <w:fldChar w:fldCharType="separate"/>
    </w:r>
    <w:r>
      <w:t>187</w:t>
    </w:r>
    <w:r>
      <w:fldChar w:fldCharType="end"/>
    </w:r>
    <w:r>
      <w:tab/>
    </w:r>
    <w:r>
      <w:t>PE</w:t>
    </w:r>
    <w:r>
      <w:rPr>
        <w:rStyle w:val="HideTWBExt"/>
      </w:rPr>
      <w:t>&lt;NoPE&gt;</w:t>
    </w:r>
    <w:r>
      <w:t>787.792</w:t>
    </w:r>
    <w:r>
      <w:rPr>
        <w:rStyle w:val="HideTWBExt"/>
      </w:rPr>
      <w:t>&lt;/NoPE&gt;</w:t>
    </w:r>
    <w:r>
      <w:rPr>
        <w:rStyle w:val="HideTWBExt"/>
      </w:rPr>
      <w:t>&lt;Version&gt;</w:t>
    </w:r>
    <w:r>
      <w:t>v01-00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AM\1342336FR.docx</w:t>
    </w:r>
    <w:r>
      <w:rPr>
        <w:rStyle w:val="HideTWBExt"/>
      </w:rPr>
      <w:t>&lt;/PathFdR&gt;</w:t>
    </w:r>
    <w:r>
      <w:tab/>
    </w:r>
    <w:r>
      <w:tab/>
    </w:r>
    <w:r>
      <w:t>PE</w:t>
    </w:r>
    <w:r>
      <w:rPr>
        <w:rStyle w:val="HideTWBExt"/>
      </w:rPr>
      <w:t>&lt;NoPE&gt;</w:t>
    </w:r>
    <w:r>
      <w:t>787.792</w:t>
    </w:r>
    <w:r>
      <w:rPr>
        <w:rStyle w:val="HideTWBExt"/>
      </w:rPr>
      <w:t>&lt;/NoPE&gt;</w:t>
    </w:r>
    <w:r>
      <w:rPr>
        <w:rStyle w:val="HideTWBExt"/>
      </w:rPr>
      <w:t>&lt;Version&gt;</w:t>
    </w:r>
    <w:r>
      <w:t>v01-00</w:t>
    </w:r>
    <w:r>
      <w:rPr>
        <w:rStyle w:val="HideTWBExt"/>
      </w:rPr>
      <w:t>&lt;/Version&gt;</w:t>
    </w:r>
  </w:p>
  <w:p>
    <w:pPr>
      <w:pStyle w:val="EPFooter2"/>
    </w:pPr>
    <w:r>
      <w:t>FR</w:t>
    </w:r>
    <w:r>
      <w:tab/>
    </w:r>
    <w:r>
      <w:rPr>
        <w:rStyle w:val="EPFooter2Motto"/>
      </w:rPr>
      <w:t>Unie dans la diversité</w:t>
    </w:r>
    <w:r>
      <w:tab/>
    </w:r>
    <w:r>
      <w:t>FR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187</Pages>
  <Words>42664</Words>
  <Characters>243402</Characters>
  <Application>Microsoft Office Word</Application>
  <DocSecurity>0</DocSecurity>
  <Lines>1</Lines>
  <Paragraphs>2856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1342336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490447</vt:lpwstr>
  </property>
  <property fmtid="{D5CDD505-2E9C-101B-9397-08002B2CF9AE}" pid="7" name="dmxml.render.traceId">
    <vt:lpwstr>6a059d64bd03002154b3607e534226c2</vt:lpwstr>
  </property>
  <property fmtid="{D5CDD505-2E9C-101B-9397-08002B2CF9AE}" pid="8" name="FooterPath">
    <vt:lpwstr>AM\1342336FR.docx</vt:lpwstr>
  </property>
  <property fmtid="{D5CDD505-2E9C-101B-9397-08002B2CF9AE}" pid="9" name="PE Number">
    <vt:lpwstr>787.792</vt:lpwstr>
  </property>
  <property fmtid="{D5CDD505-2E9C-101B-9397-08002B2CF9AE}" pid="10" name="UID">
    <vt:lpwstr>eu.europa.europarl-DIN1-2026-0000110654_01.00-fr-01.00_text-xml</vt:lpwstr>
  </property>
</Properties>
</file>