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Europski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Odbor za zapošljavanje i socijalna pitanja</w:t>
      </w:r>
      <w:r>
        <w:rPr>
          <w:rStyle w:val="HideTWBExt"/>
        </w:rPr>
        <w:t>&lt;/Commission&gt;</w:t>
      </w:r>
    </w:p>
    <w:p>
      <w:pPr>
        <w:pStyle w:val="LineBottom"/>
      </w:pPr>
      <w:r>
        <w:t xml:space="preserve"> </w:t>
      </w:r>
    </w:p>
    <w:p>
      <w:pPr>
        <w:pStyle w:val="CoverReference"/>
      </w:pPr>
      <w:r>
        <w:rPr>
          <w:rStyle w:val="HideTWBExt"/>
        </w:rPr>
        <w:t>&lt;RefProc&gt;</w:t>
      </w:r>
      <w:r>
        <w:t>2025/2184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{23/04/2026}</w:t>
      </w:r>
      <w:r>
        <w:t>23.4.2026</w:t>
      </w:r>
      <w:r>
        <w:rPr>
          <w:rStyle w:val="HideTWBExt"/>
        </w:rPr>
        <w:t>&lt;/Date&gt;</w:t>
      </w:r>
    </w:p>
    <w:p>
      <w:pPr>
        <w:pStyle w:val="CoverDocType"/>
      </w:pPr>
      <w:r>
        <w:rPr>
          <w:rStyle w:val="HideTWBExt"/>
        </w:rPr>
        <w:t>&lt;TypeAM&gt;</w:t>
      </w:r>
      <w:r>
        <w:t>AMANDMANI</w:t>
      </w:r>
      <w:r>
        <w:rPr>
          <w:rStyle w:val="HideTWBExt"/>
        </w:rPr>
        <w:t>&lt;/TypeAM&gt;</w:t>
      </w:r>
    </w:p>
    <w:p>
      <w:pPr>
        <w:pStyle w:val="CoverDocType24a"/>
      </w:pPr>
      <w:r>
        <w:rPr>
          <w:rStyle w:val="HideTWBExt"/>
        </w:rPr>
        <w:t>&lt;RangeAM&gt;</w:t>
      </w:r>
      <w:r>
        <w:t>81</w:t>
      </w:r>
      <w:r>
        <w:t xml:space="preserve"> - </w:t>
      </w:r>
      <w:r>
        <w:t>408</w:t>
      </w:r>
      <w:r>
        <w:rPr>
          <w:rStyle w:val="HideTWBExt"/>
        </w:rPr>
        <w:t>&lt;/RangeAM&gt;</w:t>
      </w:r>
    </w:p>
    <w:p>
      <w:pPr>
        <w:pStyle w:val="CoverBold"/>
      </w:pPr>
      <w:r>
        <w:rPr>
          <w:rStyle w:val="HideTWBExt"/>
        </w:rPr>
        <w:t>&lt;TitreType&gt;</w:t>
      </w:r>
      <w:r>
        <w:t>Nacrt izvješća</w:t>
      </w:r>
      <w:r>
        <w:rPr>
          <w:rStyle w:val="HideTWBExt"/>
        </w:rPr>
        <w:t>&lt;/TitreType&gt;</w:t>
      </w:r>
    </w:p>
    <w:p>
      <w:pPr>
        <w:pStyle w:val="CoverBold"/>
      </w:pPr>
      <w:r>
        <w:rPr>
          <w:rStyle w:val="HideTWBExt"/>
        </w:rPr>
        <w:t>&lt;Rapporteur&gt;</w:t>
      </w:r>
      <w:r>
        <w:t>Hristo Petrov</w:t>
      </w:r>
      <w:r>
        <w:rPr>
          <w:rStyle w:val="HideTWBExt"/>
        </w:rPr>
        <w:t>&lt;/Rapporteur&gt;</w:t>
      </w:r>
    </w:p>
    <w:p>
      <w:pPr>
        <w:pStyle w:val="CoverNormal24a"/>
      </w:pPr>
      <w:r>
        <w:rPr>
          <w:rStyle w:val="HideTWBExt"/>
        </w:rPr>
        <w:t>&lt;DocRefPE&gt;</w:t>
      </w:r>
      <w:r>
        <w:t>(PE785.214v01-00)</w:t>
      </w:r>
      <w:r>
        <w:rPr>
          <w:rStyle w:val="HideTWBExt"/>
        </w:rPr>
        <w:t>&lt;/DocRefPE&gt;</w:t>
      </w:r>
    </w:p>
    <w:p>
      <w:pPr>
        <w:pStyle w:val="CoverNormal"/>
      </w:pPr>
      <w:r>
        <w:rPr>
          <w:rStyle w:val="HideTWBExt"/>
        </w:rPr>
        <w:t>&lt;Titre&gt;</w:t>
      </w:r>
      <w:r>
        <w:t>Provedba Preporuke Vijeća od 30. listopada 2020. o lakšem prelasku u svijet rada – jačanje Garancije za mlade te o zamjeni Preporuke Vijeća od 22. travnja 2013. o uspostavi Garancije za mlade</w:t>
      </w:r>
      <w:r>
        <w:rPr>
          <w:rStyle w:val="HideTWBExt"/>
        </w:rPr>
        <w:t>&lt;/Titre&gt;</w:t>
      </w:r>
    </w:p>
    <w:p>
      <w:pPr>
        <w:pStyle w:val="CoverNormal24a"/>
      </w:pPr>
      <w:r>
        <w:rPr>
          <w:rStyle w:val="HideTWBExt"/>
        </w:rPr>
        <w:t>&lt;DocRef&gt;</w:t>
      </w:r>
      <w:r>
        <w:t>(2025/2184(INI))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Amandman</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pozdravlja dobre rezultate tržišta rada u EU-u i povijesno niske stope nezaposlenosti; međutim, žali zbog toga što taj trend nema veći učinak na mlade, čija stopa nezaposlenosti ostaje oko 15 %, što je i dalje gotovo tri puta više od stope nezaposlenosti opće populacije;</w:t>
            </w:r>
          </w:p>
        </w:tc>
        <w:tc>
          <w:tcPr>
            <w:tcW w:w="4876" w:type="dxa"/>
            <w:tcBorders>
              <w:top w:val="nil"/>
              <w:left w:val="nil"/>
              <w:bottom w:val="nil"/>
              <w:right w:val="nil"/>
            </w:tcBorders>
          </w:tcPr>
          <w:p>
            <w:pPr>
              <w:pStyle w:val="Normal6a"/>
            </w:pPr>
            <w:r>
              <w:t>1.</w:t>
            </w:r>
            <w:r>
              <w:tab/>
            </w:r>
            <w:r>
              <w:t xml:space="preserve">pozdravlja dobre rezultate tržišta rada u EU-u i povijesno niske stope nezaposlenosti; međutim, žali zbog toga što taj trend nema veći učinak na mlade, čija stopa nezaposlenosti ostaje oko 15 %, što je i dalje gotovo tri puta više od stope nezaposlenosti opće populacije; </w:t>
            </w:r>
            <w:r>
              <w:rPr>
                <w:b/>
                <w:i/>
              </w:rPr>
              <w:t>poziva države članice da istraže pristupe usmjerene na mlade kojima se poboljšava prelazak iz škole na posao, promiče poduzetništvo i osigurava da sustavi obrazovanja i osposobljavanja odgovaraju jako promjenjivim potrebama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pozdravlja dobre rezultate tržišta rada u EU-u i povijesno niske stope nezaposlenosti; međutim, žali zbog toga što taj trend nema veći učinak na mlade, čija stopa nezaposlenosti ostaje oko 15 %, što je i dalje gotovo tri puta više od stope nezaposlenosti opće populacije;</w:t>
            </w:r>
          </w:p>
        </w:tc>
        <w:tc>
          <w:tcPr>
            <w:tcW w:w="4876" w:type="dxa"/>
            <w:tcBorders>
              <w:top w:val="nil"/>
              <w:left w:val="nil"/>
              <w:bottom w:val="nil"/>
              <w:right w:val="nil"/>
            </w:tcBorders>
          </w:tcPr>
          <w:p>
            <w:pPr>
              <w:pStyle w:val="Normal6a"/>
            </w:pPr>
            <w:r>
              <w:t>1.</w:t>
            </w:r>
            <w:r>
              <w:tab/>
            </w:r>
            <w:r>
              <w:t xml:space="preserve">pozdravlja dobre rezultate tržišta rada u EU-u i povijesno niske stope nezaposlenosti; međutim, žali zbog toga što taj trend nema veći učinak na mlade, čija stopa nezaposlenosti ostaje oko 15 %, što je i dalje gotovo tri puta više od stope nezaposlenosti opće populacije; </w:t>
            </w:r>
            <w:r>
              <w:rPr>
                <w:b/>
                <w:i/>
              </w:rPr>
              <w:t>nadalje, ističe da povećanje ukupnih stopa zaposlenosti ne smije prikriti sve veći opseg nesigurnog, slabo plaćenog ili kratkoročnog zapošljavanja među mladima;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pozdravlja dobre rezultate tržišta rada u EU-u i povijesno niske stope nezaposlenosti; međutim, žali zbog toga što taj trend nema veći učinak na mlade, čija stopa nezaposlenosti ostaje oko 15 %, što je i dalje gotovo tri puta više od stope nezaposlenosti opće populacije;</w:t>
            </w:r>
          </w:p>
        </w:tc>
        <w:tc>
          <w:tcPr>
            <w:tcW w:w="4876" w:type="dxa"/>
            <w:tcBorders>
              <w:top w:val="nil"/>
              <w:left w:val="nil"/>
              <w:bottom w:val="nil"/>
              <w:right w:val="nil"/>
            </w:tcBorders>
          </w:tcPr>
          <w:p>
            <w:pPr>
              <w:pStyle w:val="Normal6a"/>
            </w:pPr>
            <w:r>
              <w:t>1.</w:t>
            </w:r>
            <w:r>
              <w:tab/>
            </w:r>
            <w:r>
              <w:t>pozdravlja dobre rezultate tržišta rada u EU-u i povijesno niske stope nezaposlenosti; međutim, žali zbog toga što taj trend nema veći učinak na mlade, čija stopa nezaposlenosti ostaje oko 15 %, što je i dalje gotovo tri puta više od stope nezaposlenosti opće populacije</w:t>
            </w:r>
            <w:r>
              <w:rPr>
                <w:b/>
                <w:i/>
                <w:vertAlign w:val="superscript"/>
              </w:rPr>
              <w:t>18a</w:t>
            </w:r>
            <w:r>
              <w:t xml:space="preserve">; </w:t>
            </w:r>
            <w:r>
              <w:rPr>
                <w:b/>
                <w:i/>
              </w:rPr>
              <w:t>napominje da je situacija posebno zabrinjavajuća za mlade žene, mlade s invaliditetom, mlade Rome i mlade u rezidencijalnoj skrbi;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18a</w:t>
            </w:r>
            <w:r>
              <w:t xml:space="preserve"> </w:t>
            </w:r>
            <w:r>
              <w:rPr>
                <w:b/>
                <w:i/>
              </w:rPr>
              <w:t>https://doi.org/10.2908/UNE_RT_A.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pozdravlja dobre rezultate tržišta rada u EU-u i povijesno niske stope nezaposlenosti; međutim, žali zbog toga što taj trend nema veći učinak na mlade, čija stopa nezaposlenosti ostaje oko 15 %, što je i dalje gotovo tri puta više od stope nezaposlenosti opće populacije;</w:t>
            </w:r>
          </w:p>
        </w:tc>
        <w:tc>
          <w:tcPr>
            <w:tcW w:w="4876" w:type="dxa"/>
            <w:tcBorders>
              <w:top w:val="nil"/>
              <w:left w:val="nil"/>
              <w:bottom w:val="nil"/>
              <w:right w:val="nil"/>
            </w:tcBorders>
          </w:tcPr>
          <w:p>
            <w:pPr>
              <w:pStyle w:val="Normal6a"/>
            </w:pPr>
            <w:r>
              <w:t>1.</w:t>
            </w:r>
            <w:r>
              <w:tab/>
            </w:r>
            <w:r>
              <w:t xml:space="preserve">pozdravlja dobre rezultate tržišta rada u EU-u i povijesno niske stope nezaposlenosti; međutim, žali zbog toga što taj trend nema veći učinak na mlade, čija stopa nezaposlenosti ostaje oko 15 %, što je i dalje gotovo tri puta više od stope nezaposlenosti opće populacije; </w:t>
            </w:r>
            <w:r>
              <w:rPr>
                <w:b/>
                <w:i/>
              </w:rPr>
              <w:t>ipak, naglašava da smanjenje nezaposlenosti ne odražava nužno poboljšanje kvalitete radnih mjesta, posebno kada je riječ o mladima;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pozdravlja dobre rezultate tržišta rada u EU-u i povijesno niske stope nezaposlenosti; međutim, žali zbog toga što taj trend nema veći učinak na mlade, čija stopa nezaposlenosti ostaje oko 15 %, što je i dalje gotovo tri puta više od </w:t>
            </w:r>
            <w:r>
              <w:rPr>
                <w:b/>
                <w:i/>
              </w:rPr>
              <w:t>stope</w:t>
            </w:r>
            <w:r>
              <w:t xml:space="preserve"> nezaposlenosti opće populacije;</w:t>
            </w:r>
          </w:p>
        </w:tc>
        <w:tc>
          <w:tcPr>
            <w:tcW w:w="4876" w:type="dxa"/>
            <w:tcBorders>
              <w:top w:val="nil"/>
              <w:left w:val="nil"/>
              <w:bottom w:val="nil"/>
              <w:right w:val="nil"/>
            </w:tcBorders>
          </w:tcPr>
          <w:p>
            <w:pPr>
              <w:pStyle w:val="Normal6a"/>
            </w:pPr>
            <w:r>
              <w:t>1.</w:t>
            </w:r>
            <w:r>
              <w:tab/>
            </w:r>
            <w:r>
              <w:t xml:space="preserve">pozdravlja dobre rezultate tržišta rada u EU-u i povijesno niske stope nezaposlenosti; međutim, žali zbog toga što taj trend nema veći učinak na mlade, čija stopa nezaposlenosti </w:t>
            </w:r>
            <w:r>
              <w:rPr>
                <w:b/>
                <w:i/>
              </w:rPr>
              <w:t>u Uniji</w:t>
            </w:r>
            <w:r>
              <w:t xml:space="preserve"> ostaje oko 15 %, što je i dalje gotovo tri puta više od nezaposlenosti opće populacije; </w:t>
            </w:r>
            <w:r>
              <w:rPr>
                <w:b/>
                <w:i/>
              </w:rPr>
              <w:t>ističe da pojačana Garancija za mlade može smanjiti nezaposlenost mladih i djelovati kao preventivna mjera;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naglašava da rok od četiri mjeseca za davanje ponude ima smisla samo ako je ponuda doista visokokvalitetna i vodi do održivog zapošljavanja s izgledima i odgovarajućom plaćom dostatnom za život;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pozdravlja</w:t>
            </w:r>
            <w:r>
              <w:t xml:space="preserve"> silazni trend stope mladih koji ne rade, nisu u sustavu redovitog obrazovanja te nisu u sustavu obrazovanja odraslih (NEET) u EU-u </w:t>
            </w:r>
            <w:r>
              <w:rPr>
                <w:b/>
                <w:i/>
              </w:rPr>
              <w:t>od uvođenja Garancije za mlade</w:t>
            </w:r>
            <w:r>
              <w:t>, koja je 2024. pala na 11,1 %; međutim, primjećuje razlike među državama članicama, pri čemu su neke već ostvarile cilj za 2030., a druge i dalje imaju alarmantno velik broj pripadnika skupine NEET;</w:t>
            </w:r>
          </w:p>
        </w:tc>
        <w:tc>
          <w:tcPr>
            <w:tcW w:w="4876" w:type="dxa"/>
            <w:tcBorders>
              <w:top w:val="nil"/>
              <w:left w:val="nil"/>
              <w:bottom w:val="nil"/>
              <w:right w:val="nil"/>
            </w:tcBorders>
          </w:tcPr>
          <w:p>
            <w:pPr>
              <w:pStyle w:val="Normal6a"/>
            </w:pPr>
            <w:r>
              <w:t>2.</w:t>
            </w:r>
            <w:r>
              <w:tab/>
            </w:r>
            <w:r>
              <w:rPr>
                <w:b/>
                <w:i/>
              </w:rPr>
              <w:t>prima na znanje</w:t>
            </w:r>
            <w:r>
              <w:t xml:space="preserve"> silazni trend stope mladih koji ne rade, nisu u sustavu redovitog obrazovanja te nisu u sustavu obrazovanja odraslih (NEET) u EU-u, koja je 2024. pala na 11,1 %; međutim, </w:t>
            </w:r>
            <w:r>
              <w:rPr>
                <w:b/>
                <w:i/>
              </w:rPr>
              <w:t>ističe da se to smanjenje ne može pripisati učinkovitosti Garancije za mlade jer je integracija na tržište rada u prvom redu pitanje konkurentnosti nacionalnih poduzeća i demografskih trendova;</w:t>
            </w:r>
            <w:r>
              <w:t xml:space="preserve"> </w:t>
            </w:r>
            <w:r>
              <w:rPr>
                <w:b/>
                <w:i/>
              </w:rPr>
              <w:t>nadalje,</w:t>
            </w:r>
            <w:r>
              <w:t xml:space="preserve"> primjećuje </w:t>
            </w:r>
            <w:r>
              <w:rPr>
                <w:b/>
                <w:i/>
              </w:rPr>
              <w:t>duboke teritorijalne podjele i</w:t>
            </w:r>
            <w:r>
              <w:t xml:space="preserve"> razlike među državama članicama, pri čemu su neke već ostvarile cilj za 2030., a druge i dalje imaju alarmantno velik broj pripadnika skupine NEET</w:t>
            </w:r>
            <w:r>
              <w:rPr>
                <w:b/>
                <w:i/>
              </w:rPr>
              <w:t>, osobito u zanemarenim ruralnim područjima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pozdravlja silazni trend stope mladih koji ne rade, nisu u sustavu redovitog obrazovanja te nisu u sustavu obrazovanja odraslih (NEET) u EU-u od uvođenja Garancije za mlade, koja je 2024. pala na 11,1 %; međutim, primjećuje razlike među državama članicama, pri čemu su neke već ostvarile cilj za 2030., a druge i dalje imaju alarmantno velik broj pripadnika skupine NEET;</w:t>
            </w:r>
          </w:p>
        </w:tc>
        <w:tc>
          <w:tcPr>
            <w:tcW w:w="4876" w:type="dxa"/>
            <w:tcBorders>
              <w:top w:val="nil"/>
              <w:left w:val="nil"/>
              <w:bottom w:val="nil"/>
              <w:right w:val="nil"/>
            </w:tcBorders>
          </w:tcPr>
          <w:p>
            <w:pPr>
              <w:pStyle w:val="Normal6a"/>
            </w:pPr>
            <w:r>
              <w:t>2.</w:t>
            </w:r>
            <w:r>
              <w:tab/>
            </w:r>
            <w:r>
              <w:t xml:space="preserve">pozdravlja silazni trend stope mladih koji ne rade, nisu u sustavu redovitog obrazovanja te nisu u sustavu obrazovanja odraslih (NEET) u EU-u od uvođenja Garancije za mlade, koja je 2024. pala na 11,1 %; međutim, primjećuje razlike među državama članicama, pri čemu su neke već ostvarile cilj za 2030., a druge i dalje imaju alarmantno velik broj pripadnika skupine NEET; </w:t>
            </w:r>
            <w:r>
              <w:rPr>
                <w:b/>
                <w:i/>
              </w:rPr>
              <w:t>stoga naglašava da bi provedba Garancije za mlade državama članicama i regionalnim tijelima trebala omogućiti dovoljnu fleksibilnost u osmišljavanju mjera prilagođenih njihovim specifičnim i aktualnim uvjetima na tržištu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pozdravlja silazni trend stope mladih koji ne rade, nisu u sustavu redovitog obrazovanja te nisu u sustavu obrazovanja odraslih (NEET) u EU-u od uvođenja Garancije za mlade, koja je 2024. pala na 11,1 %; međutim, primjećuje razlike među državama članicama, pri čemu su neke već ostvarile cilj </w:t>
            </w:r>
            <w:r>
              <w:rPr>
                <w:b/>
                <w:i/>
              </w:rPr>
              <w:t>za</w:t>
            </w:r>
            <w:r>
              <w:t xml:space="preserve"> 2030., </w:t>
            </w:r>
            <w:r>
              <w:rPr>
                <w:b/>
                <w:i/>
              </w:rPr>
              <w:t>a</w:t>
            </w:r>
            <w:r>
              <w:t xml:space="preserve"> druge i dalje imaju alarmantno velik broj </w:t>
            </w:r>
            <w:r>
              <w:rPr>
                <w:b/>
                <w:i/>
              </w:rPr>
              <w:t>pripadnika</w:t>
            </w:r>
            <w:r>
              <w:t xml:space="preserve"> skupine NEET;</w:t>
            </w:r>
          </w:p>
        </w:tc>
        <w:tc>
          <w:tcPr>
            <w:tcW w:w="4876" w:type="dxa"/>
            <w:tcBorders>
              <w:top w:val="nil"/>
              <w:left w:val="nil"/>
              <w:bottom w:val="nil"/>
              <w:right w:val="nil"/>
            </w:tcBorders>
          </w:tcPr>
          <w:p>
            <w:pPr>
              <w:pStyle w:val="Normal6a"/>
            </w:pPr>
            <w:r>
              <w:t>2.</w:t>
            </w:r>
            <w:r>
              <w:tab/>
            </w:r>
            <w:r>
              <w:t xml:space="preserve">pozdravlja silazni trend stope mladih koji ne rade, nisu u sustavu redovitog obrazovanja te nisu u sustavu obrazovanja odraslih (NEET) u EU-u od uvođenja Garancije za mlade, koja je 2024. pala na 11,1 %; međutim, primjećuje razlike među državama članicama, pri čemu su neke već ostvarile cilj </w:t>
            </w:r>
            <w:r>
              <w:rPr>
                <w:b/>
                <w:i/>
              </w:rPr>
              <w:t>iz Akcijskog plana za provedbu europskog stupa socijalnih prava da se stopa pripadnika skupine NEET smanji na 9 % do</w:t>
            </w:r>
            <w:r>
              <w:t xml:space="preserve"> 2030., </w:t>
            </w:r>
            <w:r>
              <w:rPr>
                <w:b/>
                <w:i/>
              </w:rPr>
              <w:t>dok</w:t>
            </w:r>
            <w:r>
              <w:t xml:space="preserve"> druge i dalje imaju alarmantno velik broj </w:t>
            </w:r>
            <w:r>
              <w:rPr>
                <w:b/>
                <w:i/>
              </w:rPr>
              <w:t>mladih iz</w:t>
            </w:r>
            <w:r>
              <w:t xml:space="preserv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pozdravlja silazni trend stope mladih koji ne rade, nisu u sustavu redovitog obrazovanja te nisu u sustavu obrazovanja odraslih (NEET) u EU-u od uvođenja Garancije za mlade, koja je </w:t>
            </w:r>
            <w:r>
              <w:rPr>
                <w:b/>
                <w:i/>
              </w:rPr>
              <w:t>2024</w:t>
            </w:r>
            <w:r>
              <w:t xml:space="preserve">. pala na </w:t>
            </w:r>
            <w:r>
              <w:rPr>
                <w:b/>
                <w:i/>
              </w:rPr>
              <w:t>11,1</w:t>
            </w:r>
            <w:r>
              <w:t xml:space="preserve"> %; međutim, primjećuje razlike među državama članicama, pri čemu su neke već ostvarile cilj za 2030., a druge i dalje imaju alarmantno velik broj pripadnika skupine NEET;</w:t>
            </w:r>
          </w:p>
        </w:tc>
        <w:tc>
          <w:tcPr>
            <w:tcW w:w="4876" w:type="dxa"/>
            <w:tcBorders>
              <w:top w:val="nil"/>
              <w:left w:val="nil"/>
              <w:bottom w:val="nil"/>
              <w:right w:val="nil"/>
            </w:tcBorders>
          </w:tcPr>
          <w:p>
            <w:pPr>
              <w:pStyle w:val="Normal6a"/>
            </w:pPr>
            <w:r>
              <w:t>2.</w:t>
            </w:r>
            <w:r>
              <w:tab/>
            </w:r>
            <w:r>
              <w:t xml:space="preserve">pozdravlja silazni trend stope mladih koji ne rade, nisu u sustavu redovitog obrazovanja te nisu u sustavu obrazovanja odraslih (NEET) u EU-u od uvođenja Garancije za mlade, koja je </w:t>
            </w:r>
            <w:r>
              <w:rPr>
                <w:b/>
                <w:i/>
              </w:rPr>
              <w:t>2025</w:t>
            </w:r>
            <w:r>
              <w:t xml:space="preserve">. pala na </w:t>
            </w:r>
            <w:r>
              <w:rPr>
                <w:b/>
                <w:i/>
              </w:rPr>
              <w:t>10,9</w:t>
            </w:r>
            <w:r>
              <w:t> %; međutim, primjećuje razlike među državama članicama, pri čemu su neke već ostvarile cilj za 2030., a druge i dalje imaju alarmantno velik broj pripadnika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potvrđuje da je kvaliteta radnih mjesta i dalje velik izazov pri zapošljavanju mladih i da bi javne politike trebale doprinositi borbi protiv nesigurnih oblika rada, uključujući neplaćeno ili nedovoljno plaćeno pripravništvo, nesvojevoljni rad u nepunom radnom vremenu, rad preko poduzeća za privremeno zapošljavanje i neprijavljeni rad, te istodobno promicati pravedne radne uvjete i održivo obrazovanje te integraciju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naglašava da pokazatelji izravnog praćenja za Garanciju za mlade upućuju na znatne i trajne izazove u pokretanju i provedbi programa Garancije za mlade; </w:t>
            </w:r>
            <w:r>
              <w:rPr>
                <w:b/>
                <w:i/>
              </w:rPr>
              <w:t>posebno ističe da je 2024. više od polovine sudionika (54 %) ostalo u pripremnoj fazi dulje od četiri mjeseca te da su pozitivni i pravodobni izlasci iz pripremne faze činili manje od polovine slučajeva (45,1 %);</w:t>
            </w:r>
          </w:p>
        </w:tc>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w:t>
            </w:r>
          </w:p>
        </w:tc>
        <w:tc>
          <w:tcPr>
            <w:tcW w:w="4876" w:type="dxa"/>
            <w:tcBorders>
              <w:top w:val="nil"/>
              <w:left w:val="nil"/>
              <w:bottom w:val="nil"/>
              <w:right w:val="nil"/>
            </w:tcBorders>
          </w:tcPr>
          <w:p>
            <w:pPr>
              <w:pStyle w:val="Normal6a"/>
            </w:pPr>
            <w:r>
              <w:t>3.</w:t>
            </w:r>
            <w:r>
              <w:tab/>
            </w:r>
            <w:r>
              <w:t xml:space="preserve">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 </w:t>
            </w:r>
            <w:r>
              <w:rPr>
                <w:b/>
                <w:i/>
              </w:rPr>
              <w:t>stoga poziva na jednostavnije postupke i veću uključenost poslodavaca i lokalnih aktera kako bi se ubrzao prijelaz mladih s pripreme na zapošljavanje s pomoću praktičnijih mogućnosti kroz rad;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w:t>
            </w:r>
          </w:p>
        </w:tc>
        <w:tc>
          <w:tcPr>
            <w:tcW w:w="4876" w:type="dxa"/>
            <w:tcBorders>
              <w:top w:val="nil"/>
              <w:left w:val="nil"/>
              <w:bottom w:val="nil"/>
              <w:right w:val="nil"/>
            </w:tcBorders>
          </w:tcPr>
          <w:p>
            <w:pPr>
              <w:pStyle w:val="Normal6a"/>
            </w:pPr>
            <w:r>
              <w:t>3.</w:t>
            </w:r>
            <w:r>
              <w:tab/>
            </w:r>
            <w:r>
              <w:t xml:space="preserve">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 </w:t>
            </w:r>
            <w:r>
              <w:rPr>
                <w:b/>
                <w:i/>
              </w:rPr>
              <w:t>izražava posebnu zabrinutost zbog toga što su mladi zarobljeni u ciklusima unaprijed osmišljenih mjera bez pristupa stabilnom i dostojanstvenom radu;</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w:t>
            </w:r>
          </w:p>
        </w:tc>
        <w:tc>
          <w:tcPr>
            <w:tcW w:w="4876" w:type="dxa"/>
            <w:tcBorders>
              <w:top w:val="nil"/>
              <w:left w:val="nil"/>
              <w:bottom w:val="nil"/>
              <w:right w:val="nil"/>
            </w:tcBorders>
          </w:tcPr>
          <w:p>
            <w:pPr>
              <w:pStyle w:val="Normal6a"/>
            </w:pPr>
            <w:r>
              <w:t>3.</w:t>
            </w:r>
            <w:r>
              <w:tab/>
            </w:r>
            <w:r>
              <w:t xml:space="preserve">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 </w:t>
            </w:r>
            <w:r>
              <w:rPr>
                <w:b/>
                <w:i/>
              </w:rPr>
              <w:t>žali zbog toga što je stopa pokrivenosti programima pojačane Garancije za mlade 2024. u mnogim državama članicama iznosila manje od 50 % pripadnika skupine NEET</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Procjena provedbe na europskoj razini naslovljena „Provedba pojačane Garancije za mlade – Trendovi u državama članicama EU-a, učinak, financiranje sredstvima EU-a i upravljanje”, koju je 18. prosinca 2025. objavila Služba Europskog parlamenta za istraživanja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w:t>
            </w:r>
          </w:p>
        </w:tc>
        <w:tc>
          <w:tcPr>
            <w:tcW w:w="4876" w:type="dxa"/>
            <w:tcBorders>
              <w:top w:val="nil"/>
              <w:left w:val="nil"/>
              <w:bottom w:val="nil"/>
              <w:right w:val="nil"/>
            </w:tcBorders>
          </w:tcPr>
          <w:p>
            <w:pPr>
              <w:pStyle w:val="Normal6a"/>
            </w:pPr>
            <w:r>
              <w:t>3.</w:t>
            </w:r>
            <w:r>
              <w:tab/>
            </w:r>
            <w:r>
              <w:t>naglašava da pokazatelji izravnog praćenja za Garanciju za mlade upućuju na znatne i trajne izazove u pokretanju i provedbi programa Garancije za mlade; posebno ističe da je 2024. više od polovine sudionika (54 %) ostalo u pripremnoj fazi dulje od četiri mjeseca te da su pozitivni i pravodobni izlasci iz pripremne faze činili manje od polovine slučajeva (45,1 %)</w:t>
            </w:r>
            <w:r>
              <w:rPr>
                <w:b/>
                <w:i/>
                <w:vertAlign w:val="superscript"/>
              </w:rPr>
              <w:t>19a</w:t>
            </w:r>
            <w:r>
              <w:rPr>
                <w:b/>
                <w:i/>
              </w:rPr>
              <w:t>, uz napomenu da programi Garancije za mlade ne postižu svoje ključne ciljeve u pogledu pravodobnosti i učinkovitosti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19a</w:t>
            </w:r>
            <w:r>
              <w:t xml:space="preserve"> </w:t>
            </w:r>
            <w:r>
              <w:rPr>
                <w:b/>
                <w:i/>
              </w:rPr>
              <w:t>Europska komisija, Glavna uprava za zapošljavanje, socijalna pitanja i uključivanje, Tablica podataka o izravnim pokazateljima Garancije za mlade, veljača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sa zabrinutošću napominje da pojačana Garancija za mlade i dalje ne ispunjava svoj temeljni cilj pružanja pravodobnih ponuda, pri čemu više od polovine registriranih sudionika nije primilo ni prihvatilo ponudu u roku od četiri mjeseca, te da su u nekim državama članicama bila posebno velika kašnjenja, a u određenim slučajevima čak i pad uspješnosti nakon jačanja Garancije za mlade 2020.</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Procjena provedbe na europskoj razini naslovljena „Provedba pojačane Garancije za mlade – Trendovi u državama članicama EU-a, učinak, financiranje sredstvima EU-a i upravljanje”, koju je 18. prosinca 2025. objavila Služba Europskog parlamenta za istraživanja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ističe da trenutačno ne prime svi mladi visokokvalitetnu ponudu za posao, obrazovanje, osposobljavanje ili stažiranje u roku od četiri mjeseca nakon završetka školovanja, strukovnog osposobljavanja ili gubitka zaposlenja;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naglašava da u nekoliko država članica nema dovoljno podataka i da postoje metodološki nedostaci u pogledu pokazatelja za praćenje;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p>
        </w:tc>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r>
              <w:rPr>
                <w:b/>
                <w:i/>
              </w:rPr>
              <w:t>, posebno u pogledu dobnog produljenja do 29 godina</w:t>
            </w:r>
            <w:r>
              <w:t xml:space="preserve">; </w:t>
            </w:r>
            <w:r>
              <w:rPr>
                <w:b/>
                <w:i/>
              </w:rPr>
              <w:t>ističe nedostatak usporedivih i razvrstanih podataka, među ostalim po spolu, dobi, invaliditetu, migracijskom podrijetlu i socioekonomskom statusu;</w:t>
            </w:r>
            <w:r>
              <w:t xml:space="preserve"> </w:t>
            </w:r>
            <w:r>
              <w:rPr>
                <w:b/>
                <w:i/>
              </w:rPr>
              <w:t>konstatira da su mlade žene nerazmjerno pogođene i da njihove stope NEET-a u brojnim državama članicama premašuju stupe mladih muškaraca te da postojeći programi Garancije za mlade često ne uspijevaju u jednakoj mjeri doprijeti do svih ciljanih korisnika;</w:t>
            </w:r>
            <w:r>
              <w:t xml:space="preserve"> </w:t>
            </w:r>
            <w:r>
              <w:rPr>
                <w:b/>
                <w:i/>
              </w:rPr>
              <w:t>poziva na jačanje okvira za praćenje, poboljšano prikupljanje podataka i transparentnost te na razvoj pouzdanih i usklađenih pokazatelja za učinkovitu procjenu kvalitete, uključivosti i dugoročnih rezultata programa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p>
        </w:tc>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r>
              <w:rPr>
                <w:b/>
                <w:i/>
              </w:rPr>
              <w:t>, što onemogućuje sveobuhvatnu procjenu održivosti programa pojačane Garancije za mlade i njihovih dugoročnih učinaka te usporedbe među državama članicama</w:t>
            </w:r>
            <w:r>
              <w:t xml:space="preserve">; </w:t>
            </w:r>
            <w:r>
              <w:rPr>
                <w:b/>
                <w:i/>
              </w:rPr>
              <w:t>u tom kontekstu ističe da dostupni podaci upućuju na to da je 2024. većina mladih šest mjeseci nakon napuštanja programa pojačane Garancije za mlade bila u pozitivnoj situaciji (58,3 %), no da se taj udio smanjuje nakon 12 (53,1 %) te 18 mjeseci (30,3 %)</w:t>
            </w:r>
            <w:r>
              <w:rPr>
                <w:b/>
                <w:i/>
                <w:vertAlign w:val="superscript"/>
              </w:rPr>
              <w:t>20a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20a</w:t>
            </w:r>
            <w:r>
              <w:t xml:space="preserve"> </w:t>
            </w:r>
            <w:r>
              <w:rPr>
                <w:b/>
                <w:i/>
              </w:rPr>
              <w:t>Europska komisija, Glavna uprava za zapošljavanje, socijalna pitanja i uključivanje, Tablica podataka o pokazateljima za praćenje Garancije za mlade, prosinac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p>
        </w:tc>
        <w:tc>
          <w:tcPr>
            <w:tcW w:w="4876" w:type="dxa"/>
            <w:tcBorders>
              <w:top w:val="nil"/>
              <w:left w:val="nil"/>
              <w:bottom w:val="nil"/>
              <w:right w:val="nil"/>
            </w:tcBorders>
          </w:tcPr>
          <w:p>
            <w:pPr>
              <w:pStyle w:val="Normal6a"/>
            </w:pPr>
            <w:r>
              <w:t>4.</w:t>
            </w:r>
            <w:r>
              <w:tab/>
            </w:r>
            <w:r>
              <w:t xml:space="preserve">naglašava da u nekoliko država članica nema dovoljno podataka i da postoje metodološki nedostaci u pogledu pokazatelja za praćenje; </w:t>
            </w:r>
            <w:r>
              <w:rPr>
                <w:b/>
                <w:i/>
              </w:rPr>
              <w:t>žali zbog toga što je šire prikupljanje podataka o pojačanoj Garanciji za mlade bilo nedostatno i posebno ističe neodgovarajuće prikupljanje podataka za dobnu skupinu od 25 do 29 godina;</w:t>
            </w:r>
            <w:r>
              <w:t xml:space="preserve"> </w:t>
            </w:r>
            <w:r>
              <w:rPr>
                <w:b/>
                <w:i/>
              </w:rPr>
              <w:t>ističe da ne postoje zahtjevi prema kojima bi države članice morale izvješćivati o nacionalnom financiranju mjera za provedbu pojačane Garancije za mlade, čime se ograničava usporedivost i evaluacija na razini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p>
        </w:tc>
        <w:tc>
          <w:tcPr>
            <w:tcW w:w="4876" w:type="dxa"/>
            <w:tcBorders>
              <w:top w:val="nil"/>
              <w:left w:val="nil"/>
              <w:bottom w:val="nil"/>
              <w:right w:val="nil"/>
            </w:tcBorders>
          </w:tcPr>
          <w:p>
            <w:pPr>
              <w:pStyle w:val="Normal6a"/>
            </w:pPr>
            <w:r>
              <w:t>4.</w:t>
            </w:r>
            <w:r>
              <w:tab/>
            </w:r>
            <w:r>
              <w:t>naglašava da u nekoliko država članica nema dovoljno podataka i da postoje metodološki nedostaci u pogledu pokazatelja za praćenje</w:t>
            </w:r>
            <w:r>
              <w:rPr>
                <w:b/>
                <w:i/>
              </w:rPr>
              <w:t>, posebno u pogledu dobnog produljenja do 29 godina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smatra da je trenutačni okvir pokazatelja za pojačanu Garanciju za mlade prvenstveno usmjeren na kvantitativne pokazatelje uspješnosti kao što su stope pripadnosti skupini NEET, nezaposlenost mladih i pravovremeno napuštanje pripremne faze;</w:t>
            </w:r>
            <w:r>
              <w:t xml:space="preserve"> </w:t>
            </w:r>
            <w:r>
              <w:rPr>
                <w:b/>
                <w:i/>
              </w:rPr>
              <w:t>naglašava da taj pristup ne uzima u obzir kvalitetu ponuda ni stupanj nesigurnosti u zapošljavanju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ističe da su potrebni poboljšani mehanizmi transparentnosti, odgovornosti i evaluacije kako bi se osiguralo da se sredstva EU-a i nacionalna sredstva dodijeljena programima Garancije za mlade učinkovito koriste te da ostvaruju mjerljive rezultate;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ističe da se </w:t>
            </w:r>
            <w:r>
              <w:rPr>
                <w:b/>
                <w:i/>
              </w:rPr>
              <w:t>određene</w:t>
            </w:r>
            <w:r>
              <w:t xml:space="preserve"> mlade osobe nalaze u posebno osjetljivoj </w:t>
            </w:r>
            <w:r>
              <w:rPr>
                <w:b/>
                <w:i/>
              </w:rPr>
              <w:t>socijalnoj</w:t>
            </w:r>
            <w:r>
              <w:t xml:space="preserve"> situaciji i da su izložene većem riziku od nezaposlenosti, kao i strukturnim preprekama u pristupu osposobljavanju i razvoju vještina;</w:t>
            </w:r>
          </w:p>
        </w:tc>
        <w:tc>
          <w:tcPr>
            <w:tcW w:w="4876" w:type="dxa"/>
            <w:tcBorders>
              <w:top w:val="nil"/>
              <w:left w:val="nil"/>
              <w:bottom w:val="nil"/>
              <w:right w:val="nil"/>
            </w:tcBorders>
          </w:tcPr>
          <w:p>
            <w:pPr>
              <w:pStyle w:val="Normal6a"/>
            </w:pPr>
            <w:r>
              <w:t>5.</w:t>
            </w:r>
            <w:r>
              <w:tab/>
            </w:r>
            <w:r>
              <w:t>ističe da se mlade osobe</w:t>
            </w:r>
            <w:r>
              <w:rPr>
                <w:b/>
                <w:i/>
              </w:rPr>
              <w:t>, posebno one s manje mogućnosti,</w:t>
            </w:r>
            <w:r>
              <w:t xml:space="preserve"> nalaze u posebno osjetljivoj </w:t>
            </w:r>
            <w:r>
              <w:rPr>
                <w:b/>
                <w:i/>
              </w:rPr>
              <w:t>socioekonomskoj</w:t>
            </w:r>
            <w:r>
              <w:t xml:space="preserve"> situaciji i da su izložene većem riziku od nezaposlenosti, kao i strukturnim preprekama u pristupu osposobljavanju i razvoju vještina</w:t>
            </w:r>
            <w:r>
              <w:rPr>
                <w:b/>
                <w:i/>
              </w:rPr>
              <w:t>, s težim pristupom za ranjivije skupine kao što su žene, rasizirani mladi, mladi s invaliditetom, mladi iz udaljenih ili ruralnih područja ili mladi migrantskog podrijetla</w:t>
            </w:r>
            <w:r>
              <w:t xml:space="preserve">; </w:t>
            </w:r>
            <w:r>
              <w:rPr>
                <w:b/>
                <w:i/>
              </w:rPr>
              <w:t>ističe da uspjeh pojačane Garancije za mlade ide ruku pod ruku s djelovanjem u drugim područjima, uključujući obitelj, stanovanje, skrb o djeci, borbu protiv intersekcijske diskriminacije povezane s rodom, etničkom pripadnošću, invaliditetom i seksualnom orijentacijom;</w:t>
            </w:r>
            <w:r>
              <w:t xml:space="preserve"> </w:t>
            </w:r>
            <w:r>
              <w:rPr>
                <w:b/>
                <w:i/>
              </w:rPr>
              <w:t>ističe da su za uklanjanje takvih strukturnih nejednakosti i osiguravanje jednakih mogućnosti za sve potrebne ciljane i uključive mjere;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ističe da se određene mlade osobe nalaze u posebno osjetljivoj socijalnoj situaciji i da su izložene većem riziku od nezaposlenosti, kao i strukturnim preprekama u pristupu osposobljavanju i razvoju vještina;</w:t>
            </w:r>
          </w:p>
        </w:tc>
        <w:tc>
          <w:tcPr>
            <w:tcW w:w="4876" w:type="dxa"/>
            <w:tcBorders>
              <w:top w:val="nil"/>
              <w:left w:val="nil"/>
              <w:bottom w:val="nil"/>
              <w:right w:val="nil"/>
            </w:tcBorders>
          </w:tcPr>
          <w:p>
            <w:pPr>
              <w:pStyle w:val="Normal6a"/>
            </w:pPr>
            <w:r>
              <w:t>5.</w:t>
            </w:r>
            <w:r>
              <w:tab/>
            </w:r>
            <w:r>
              <w:t xml:space="preserve">ističe da se određene mlade osobe nalaze u posebno osjetljivoj socijalnoj situaciji i da su izložene većem riziku od nezaposlenosti, kao i strukturnim preprekama u pristupu osposobljavanju i razvoju vještina; </w:t>
            </w:r>
            <w:r>
              <w:rPr>
                <w:b/>
                <w:i/>
              </w:rPr>
              <w:t>ističe da te skupine uključuju, među ostalim, mlade s invaliditetom, mlade koji žive u ruralnim, otočnim, udaljenim ili zapostavljenim urbanim područjima, mlade koji napuste ustanove ili alternativne programe skrbi kao i mlade koji se suočavaju s problemima mentalnog zdravlja;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ističe da </w:t>
            </w:r>
            <w:r>
              <w:rPr>
                <w:b/>
                <w:i/>
              </w:rPr>
              <w:t>se određene mlade osobe nalaze u posebno osjetljivoj socijalnoj situaciji i da su izložene</w:t>
            </w:r>
            <w:r>
              <w:t xml:space="preserve"> većem riziku od </w:t>
            </w:r>
            <w:r>
              <w:rPr>
                <w:b/>
                <w:i/>
              </w:rPr>
              <w:t>nezaposlenosti</w:t>
            </w:r>
            <w:r>
              <w:t xml:space="preserve">, </w:t>
            </w:r>
            <w:r>
              <w:rPr>
                <w:b/>
                <w:i/>
              </w:rPr>
              <w:t>kao i strukturnim preprekama u pristupu osposobljavanju i razvoju vještina</w:t>
            </w:r>
            <w:r>
              <w:t>;</w:t>
            </w:r>
          </w:p>
        </w:tc>
        <w:tc>
          <w:tcPr>
            <w:tcW w:w="4876" w:type="dxa"/>
            <w:tcBorders>
              <w:top w:val="nil"/>
              <w:left w:val="nil"/>
              <w:bottom w:val="nil"/>
              <w:right w:val="nil"/>
            </w:tcBorders>
          </w:tcPr>
          <w:p>
            <w:pPr>
              <w:pStyle w:val="Normal6a"/>
            </w:pPr>
            <w:r>
              <w:t>5.</w:t>
            </w:r>
            <w:r>
              <w:tab/>
            </w:r>
            <w:r>
              <w:t xml:space="preserve">ističe da </w:t>
            </w:r>
            <w:r>
              <w:rPr>
                <w:b/>
                <w:i/>
              </w:rPr>
              <w:t>su pripadnici skupine NEET vrlo raznolika skupina mladih, pri čemu su neki ranjiviji ili je teže do njih doprijeti, te su stoga izloženi</w:t>
            </w:r>
            <w:r>
              <w:t xml:space="preserve"> većem riziku od </w:t>
            </w:r>
            <w:r>
              <w:rPr>
                <w:b/>
                <w:i/>
              </w:rPr>
              <w:t>isključenosti s tržišta rada i socijalne isključenosti;</w:t>
            </w:r>
            <w:r>
              <w:t xml:space="preserve"> </w:t>
            </w:r>
            <w:r>
              <w:rPr>
                <w:b/>
                <w:i/>
              </w:rPr>
              <w:t>napominje da stigmatizacija</w:t>
            </w:r>
            <w:r>
              <w:t xml:space="preserve">, </w:t>
            </w:r>
            <w:r>
              <w:rPr>
                <w:b/>
                <w:i/>
              </w:rPr>
              <w:t>institucionalno nepovjerenje i nedostatak socijalne potpore mogu djelovati kao strukturne prepreke sudjelovanju u pojačanoj Garanciji za mlade;</w:t>
            </w:r>
            <w:r>
              <w:t xml:space="preserve"> </w:t>
            </w:r>
            <w:r>
              <w:rPr>
                <w:b/>
                <w:i/>
              </w:rPr>
              <w:t>zabrinut je zbog toga što se u programima pojačane Garancije za mlade prednost često daje mladima koji su već bliži tržištu rada, zbog čega su drugima potrebne usmjerenije, proaktivnije i personaliziranije mjere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ističe da se određene mlade osobe nalaze u posebno osjetljivoj socijalnoj situaciji i da su izložene većem riziku od nezaposlenosti, kao i strukturnim preprekama u pristupu osposobljavanju i razvoju vještina;</w:t>
            </w:r>
          </w:p>
        </w:tc>
        <w:tc>
          <w:tcPr>
            <w:tcW w:w="4876" w:type="dxa"/>
            <w:tcBorders>
              <w:top w:val="nil"/>
              <w:left w:val="nil"/>
              <w:bottom w:val="nil"/>
              <w:right w:val="nil"/>
            </w:tcBorders>
          </w:tcPr>
          <w:p>
            <w:pPr>
              <w:pStyle w:val="Normal6a"/>
            </w:pPr>
            <w:r>
              <w:t>5.</w:t>
            </w:r>
            <w:r>
              <w:tab/>
            </w:r>
            <w:r>
              <w:t xml:space="preserve">ističe da se određene mlade osobe nalaze u posebno osjetljivoj socijalnoj situaciji i da su izložene većem riziku od nezaposlenosti, kao i strukturnim preprekama u pristupu osposobljavanju i razvoju vještina; </w:t>
            </w:r>
            <w:r>
              <w:rPr>
                <w:b/>
                <w:i/>
              </w:rPr>
              <w:t>u tom kontekstu podsjeća da je važno pružati potporu neaktivnim pripadnicima skupine NEET na ravnopravnoj osnovi s potporom koja se pruža nezaposlenim pripadnicima te skupine;</w:t>
            </w:r>
            <w:r>
              <w:t xml:space="preserve"> </w:t>
            </w:r>
            <w:r>
              <w:rPr>
                <w:b/>
                <w:i/>
              </w:rPr>
              <w:t>zabrinut je zbog toga što određeni broj mladih nakon napuštanja programa Garancije za mlade ponovno ulazi u kategoriju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ističe da se određene mlade osobe </w:t>
            </w:r>
            <w:r>
              <w:rPr>
                <w:b/>
                <w:i/>
              </w:rPr>
              <w:t>nalaze</w:t>
            </w:r>
            <w:r>
              <w:t xml:space="preserve"> u posebno osjetljivoj socijalnoj situaciji i da su izložene većem riziku od nezaposlenosti, kao i strukturnim preprekama u pristupu osposobljavanju i razvoju vještina;</w:t>
            </w:r>
          </w:p>
        </w:tc>
        <w:tc>
          <w:tcPr>
            <w:tcW w:w="4876" w:type="dxa"/>
            <w:tcBorders>
              <w:top w:val="nil"/>
              <w:left w:val="nil"/>
              <w:bottom w:val="nil"/>
              <w:right w:val="nil"/>
            </w:tcBorders>
          </w:tcPr>
          <w:p>
            <w:pPr>
              <w:pStyle w:val="Normal6a"/>
            </w:pPr>
            <w:r>
              <w:t>5.</w:t>
            </w:r>
            <w:r>
              <w:tab/>
            </w:r>
            <w:r>
              <w:t xml:space="preserve">ističe da se određene mlade osobe </w:t>
            </w:r>
            <w:r>
              <w:rPr>
                <w:b/>
                <w:i/>
              </w:rPr>
              <w:t>suočavaju s poteškoćama u obrazovanju i strukovnom osposobljavanju te da su</w:t>
            </w:r>
            <w:r>
              <w:t xml:space="preserve"> u posebno osjetljivoj socijalnoj situaciji </w:t>
            </w:r>
            <w:r>
              <w:rPr>
                <w:b/>
                <w:i/>
              </w:rPr>
              <w:t>zbog siromaštva, zdravstvenog stanja itd.</w:t>
            </w:r>
            <w:r>
              <w:t xml:space="preserve"> i da su izložene većem riziku od nezaposlenosti, kao i strukturnim preprekama u pristupu osposobljavanju i razvoju vještina</w:t>
            </w:r>
            <w:r>
              <w:rPr>
                <w:b/>
                <w:i/>
              </w:rPr>
              <w:t>, kao što je život u ruralnim ili udaljenim područjima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ističe da se određene mlade osobe nalaze u posebno osjetljivoj socijalnoj situaciji </w:t>
            </w:r>
            <w:r>
              <w:rPr>
                <w:b/>
                <w:i/>
              </w:rPr>
              <w:t>i</w:t>
            </w:r>
            <w:r>
              <w:t xml:space="preserve"> da su izložene većem riziku od nezaposlenosti</w:t>
            </w:r>
            <w:r>
              <w:rPr>
                <w:b/>
                <w:i/>
              </w:rPr>
              <w:t>,</w:t>
            </w:r>
            <w:r>
              <w:t xml:space="preserve"> kao i strukturnim preprekama u pristupu osposobljavanju i razvoju vještina;</w:t>
            </w:r>
          </w:p>
        </w:tc>
        <w:tc>
          <w:tcPr>
            <w:tcW w:w="4876" w:type="dxa"/>
            <w:tcBorders>
              <w:top w:val="nil"/>
              <w:left w:val="nil"/>
              <w:bottom w:val="nil"/>
              <w:right w:val="nil"/>
            </w:tcBorders>
          </w:tcPr>
          <w:p>
            <w:pPr>
              <w:pStyle w:val="Normal6a"/>
            </w:pPr>
            <w:r>
              <w:t>5.</w:t>
            </w:r>
            <w:r>
              <w:tab/>
            </w:r>
            <w:r>
              <w:t>ističe da se određene mlade osobe nalaze u posebno osjetljivoj socijalnoj situaciji</w:t>
            </w:r>
            <w:r>
              <w:rPr>
                <w:b/>
                <w:i/>
              </w:rPr>
              <w:t>, uključujući mlade s invaliditetom, LGBTIQ+ mlade, mlade migrante i mlade pogođene stambenom nesigurnošću, te</w:t>
            </w:r>
            <w:r>
              <w:t xml:space="preserve"> da su izložene većem riziku od nezaposlenosti kao i strukturnim preprekama u pristupu osposobljavanju i razvoju vještina;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ističe da se određene mlade osobe nalaze u posebno osjetljivoj socijalnoj situaciji i da su izložene većem riziku od nezaposlenosti, kao i strukturnim preprekama u pristupu osposobljavanju i razvoju vještina;</w:t>
            </w:r>
          </w:p>
        </w:tc>
        <w:tc>
          <w:tcPr>
            <w:tcW w:w="4876" w:type="dxa"/>
            <w:tcBorders>
              <w:top w:val="nil"/>
              <w:left w:val="nil"/>
              <w:bottom w:val="nil"/>
              <w:right w:val="nil"/>
            </w:tcBorders>
          </w:tcPr>
          <w:p>
            <w:pPr>
              <w:pStyle w:val="Normal6a"/>
            </w:pPr>
            <w:r>
              <w:t>5.</w:t>
            </w:r>
            <w:r>
              <w:tab/>
            </w:r>
            <w:r>
              <w:t xml:space="preserve">ističe </w:t>
            </w:r>
            <w:r>
              <w:rPr>
                <w:b/>
                <w:i/>
              </w:rPr>
              <w:t>da je skupina NEET heterogena,</w:t>
            </w:r>
            <w:r>
              <w:t xml:space="preserve"> da se određene mlade osobe nalaze u posebno osjetljivoj socijalnoj situaciji i da su izložene većem riziku od nezaposlenosti, kao i strukturnim preprekama u pristupu </w:t>
            </w:r>
            <w:r>
              <w:rPr>
                <w:b/>
                <w:i/>
              </w:rPr>
              <w:t>tržištu rada,</w:t>
            </w:r>
            <w:r>
              <w:t xml:space="preserve"> osposobljavanju i razvoju vještina; </w:t>
            </w:r>
            <w:r>
              <w:rPr>
                <w:b/>
                <w:i/>
              </w:rPr>
              <w:t>za dobru pripremu politika potrebno je temeljito razumijevanje ciljnih skupina;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ističe da se određene mlade osobe nalaze u posebno osjetljivoj socijalnoj situaciji i da su izložene većem riziku od nezaposlenosti</w:t>
            </w:r>
            <w:r>
              <w:rPr>
                <w:b/>
                <w:i/>
              </w:rPr>
              <w:t>,</w:t>
            </w:r>
            <w:r>
              <w:t xml:space="preserve"> kao i strukturnim preprekama u pristupu osposobljavanju i razvoju vještina;</w:t>
            </w:r>
          </w:p>
        </w:tc>
        <w:tc>
          <w:tcPr>
            <w:tcW w:w="4876" w:type="dxa"/>
            <w:tcBorders>
              <w:top w:val="nil"/>
              <w:left w:val="nil"/>
              <w:bottom w:val="nil"/>
              <w:right w:val="nil"/>
            </w:tcBorders>
          </w:tcPr>
          <w:p>
            <w:pPr>
              <w:pStyle w:val="Normal6a"/>
            </w:pPr>
            <w:r>
              <w:t>5.</w:t>
            </w:r>
            <w:r>
              <w:tab/>
            </w:r>
            <w:r>
              <w:t>ističe da se određene mlade osobe</w:t>
            </w:r>
            <w:r>
              <w:rPr>
                <w:b/>
                <w:i/>
              </w:rPr>
              <w:t>, kao što su mladi s invaliditetom i iz područja u nepovoljnom položaju,</w:t>
            </w:r>
            <w:r>
              <w:t xml:space="preserve"> nalaze u posebno osjetljivoj socijalnoj situaciji i da su izložene većem riziku od nezaposlenosti kao i strukturnim preprekama u pristupu osposobljavanju i razvoju vještina;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ističe složenu situaciju pripadnika skupine NEET u ruralnim područjima, koji se suočavaju s ograničenijim pristupom uslugama, posebno javnim službama za zapošljavanje, ali i mogućnostima prijevoza te prilikama za zapošljavanje i osposobljavanje;</w:t>
            </w:r>
            <w:r>
              <w:t xml:space="preserve"> </w:t>
            </w:r>
            <w:r>
              <w:rPr>
                <w:b/>
                <w:i/>
              </w:rPr>
              <w:t>žali zbog toga što se u većini država članica mladi iz skupine NEET u ruralnim područjima ne smatraju prioritetnom skupinom, što ograničava mjere usmjerene na tu skupinu i njihovu osviještenost o programima Garancije za mlade i mogućnostima potpore;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ističe da se mladi roditelji s djecom, a posebno mlade majke, suočavaju s povećanim rizikom od toga da postanu ili ostanu u skupini NEET zbog obveza skrbi, ograničenog pristupa cjenovno pristupačnoj i kvalitetnoj skrbi za djecu te nedovoljno fleksibilnih mogućnosti obrazovanja, osposobljavanja i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ističe da su potrebne informativne kampanje za podizanje razine osviještenosti o Garanciji za mlade među svim mladima, a posebno onima kojima prijeti rizik da budu isključeni iz mogućnosti koje nudi pojačana Garancija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naglašava nerazmjeran učinak pandemije bolesti COVID-19 na mlade te važnu stabilizacijsku ulogu Garancije za mlade u sprečavanju nove krize nezaposlenosti mladih u tom kontekstu;</w:t>
            </w:r>
            <w:r>
              <w:t xml:space="preserve"> </w:t>
            </w:r>
            <w:r>
              <w:rPr>
                <w:b/>
                <w:i/>
              </w:rPr>
              <w:t>smatra da bi, s obzirom na to da su učinci tog razdoblja iza nas, novi cilj pojačane Garancije za mlade trebao biti smanjenje nezaposlenosti i neaktivnosti među mladima do kojih je najteže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podsjeća na to da Međunarodna organizacija rada (MOR) ističe da su čak i u zemljama s visokim dohotkom mladi iz skupine NEET koji su izvan tržišta rada, a posebno mlade žene koje skrbe o drugima, izloženi većem riziku od dugoročne gospodarske i socijalne isključenosti, što s vremenom doprinosi sve većem rodnom jazu u skupini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primjećuje neravnotežu u mogućnostima koje se nude u okviru programa pojačane Garancije za mlade, s naglaskom na zapošljavanju nauštrb mogućnosti osposobljavanja, što je u suprotnosti sa strateškim ciljem pojačane Garancije za mlade u pogledu promicanja vještina;</w:t>
            </w:r>
            <w:r>
              <w:t xml:space="preserve"> </w:t>
            </w:r>
            <w:r>
              <w:rPr>
                <w:b/>
                <w:i/>
              </w:rPr>
              <w:t>naglašava da nema naznaka da je ta neravnoteža opravdana profilima mladih iz skupine NEET ili ciljem njihove održive integracije na tržište rada;</w:t>
            </w:r>
            <w:r>
              <w:t xml:space="preserve"> </w:t>
            </w:r>
            <w:r>
              <w:rPr>
                <w:b/>
                <w:i/>
              </w:rPr>
              <w:t>u tom pogledu napominje da neki nacionalni programi upućuju na to da je vjerojatnost napuštanja radnog mjesta veća kod mladih radnika u subvencioniranom radnom odnosu nego kod onih na nesubvencioniranim radnim mjestima ili onih u okviru integriranog pristupa koji kombinira osposobljavanje i zapošljavanje</w:t>
            </w:r>
            <w:r>
              <w:rPr>
                <w:b/>
                <w:i/>
                <w:vertAlign w:val="superscript"/>
              </w:rPr>
              <w:t>21a</w:t>
            </w:r>
            <w:r>
              <w:rPr>
                <w:b/>
                <w:i/>
              </w:rPr>
              <w:t>;</w:t>
            </w:r>
            <w:r>
              <w:t xml:space="preserve"> </w:t>
            </w:r>
            <w:r>
              <w:rPr>
                <w:b/>
                <w:i/>
              </w:rPr>
              <w:t>nadalje, žali zbog toga što je u nekoliko država članica privlačnost naukovanja u padu;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21a</w:t>
            </w:r>
            <w:r>
              <w:t xml:space="preserve"> </w:t>
            </w:r>
            <w:r>
              <w:rPr>
                <w:b/>
                <w:i/>
              </w:rPr>
              <w:t>Cabasés, M. À., i Úbeda, M., The Youth Guarantee in Spain:</w:t>
            </w:r>
            <w:r>
              <w:t xml:space="preserve"> </w:t>
            </w:r>
            <w:r>
              <w:rPr>
                <w:b/>
                <w:i/>
              </w:rPr>
              <w:t>A worrying situation after its implementation (Garancija za mlade u Španjolskoj: Zabrinjavajuća situacija nakon njezine provedbe), 2021., str. 96.–97.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naglašava da su osobe koje rano napuštaju školovanje (ELET) izložene znatno većem riziku od toga da postanu dio skupine NEET te od dugoročne socijalne isključenosti, dok troškovi koje snosi društvo predstavljaju gospodarsko opterećenje, što se odražava u godišnjim negativnim učincima na stope zaposlenosti, socijalnu koheziju i dugoročnu konkurentnost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5.d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5.d</w:t>
            </w:r>
            <w:r>
              <w:tab/>
            </w:r>
            <w:r>
              <w:rPr>
                <w:b/>
                <w:i/>
              </w:rPr>
              <w:t>ističe da siromaštvo djece i mladih ima cjeloživotni učinak na obrazovanje, zdravlje i zapošljavanje te znatan godišnji učinak na BDP;</w:t>
            </w:r>
            <w:r>
              <w:t xml:space="preserve"> </w:t>
            </w:r>
            <w:r>
              <w:rPr>
                <w:b/>
                <w:i/>
              </w:rPr>
              <w:t>budući da se siromaštvo djece i mladih prenosi s generacije na generaciju;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w:t>
            </w:r>
          </w:p>
        </w:tc>
        <w:tc>
          <w:tcPr>
            <w:tcW w:w="4876" w:type="dxa"/>
            <w:tcBorders>
              <w:top w:val="nil"/>
              <w:left w:val="nil"/>
              <w:bottom w:val="nil"/>
              <w:right w:val="nil"/>
            </w:tcBorders>
          </w:tcPr>
          <w:p>
            <w:pPr>
              <w:pStyle w:val="Normal6a"/>
            </w:pPr>
            <w:r>
              <w:t>6.</w:t>
            </w:r>
            <w:r>
              <w:tab/>
            </w:r>
            <w:r>
              <w:rPr>
                <w:b/>
                <w:i/>
              </w:rPr>
              <w:t>ističe općenito pozitivne povratne informacije o spajanju Inicijative za zapošljavanje mladih (YEI) u ESF+, uz napomenu o poboljšanom pristupu i pojednostavnjenju;</w:t>
            </w:r>
            <w:r>
              <w:t xml:space="preserve"> 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 </w:t>
            </w:r>
            <w:r>
              <w:rPr>
                <w:b/>
                <w:i/>
              </w:rPr>
              <w:t>smatra da nepostojanje posebnih sredstava za zapošljavanje mladih može dovesti do neodgovarajućeg financiranja, kako je istaknuo Europski revizorski sud prije njegova uvođenja</w:t>
            </w:r>
            <w:r>
              <w:rPr>
                <w:b/>
                <w:i/>
                <w:vertAlign w:val="superscript"/>
              </w:rPr>
              <w:t>22a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22a</w:t>
            </w:r>
            <w:r>
              <w:t xml:space="preserve"> </w:t>
            </w:r>
            <w:r>
              <w:rPr>
                <w:b/>
                <w:i/>
              </w:rPr>
              <w:t>Tematsko izvješće Europskog revizorskog suda br. 3/2015 od 24. ožujka 2015. naslovljeno „Jamstvo za mlade EU-a: poduzeti su prvi koraci, no rizici u provedbi tek predstoje”, str. 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w:t>
            </w:r>
            <w:r>
              <w:rPr>
                <w:b/>
                <w:i/>
              </w:rPr>
              <w:t>duboko žali zbog toga što</w:t>
            </w:r>
            <w:r>
              <w:t xml:space="preserve"> to izdvajanje, </w:t>
            </w:r>
            <w:r>
              <w:rPr>
                <w:b/>
                <w:i/>
              </w:rPr>
              <w:t>nasljeđe</w:t>
            </w:r>
            <w:r>
              <w:t xml:space="preserve"> Inicijative za zapošljavanje mladih, nije uključeno u prijedlog Komisije za višegodišnji financijski okvir (VFO) za razdoblje 2028. – 2034.;</w:t>
            </w:r>
          </w:p>
        </w:tc>
        <w:tc>
          <w:tcPr>
            <w:tcW w:w="4876" w:type="dxa"/>
            <w:tcBorders>
              <w:top w:val="nil"/>
              <w:left w:val="nil"/>
              <w:bottom w:val="nil"/>
              <w:right w:val="nil"/>
            </w:tcBorders>
          </w:tcPr>
          <w:p>
            <w:pPr>
              <w:pStyle w:val="Normal6a"/>
            </w:pPr>
            <w:r>
              <w:t>6.</w:t>
            </w:r>
            <w:r>
              <w:tab/>
            </w:r>
            <w:r>
              <w:t xml:space="preserve">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w:t>
            </w:r>
            <w:r>
              <w:rPr>
                <w:b/>
                <w:i/>
              </w:rPr>
              <w:t>napominje da</w:t>
            </w:r>
            <w:r>
              <w:t xml:space="preserve"> to izdvajanje, </w:t>
            </w:r>
            <w:r>
              <w:rPr>
                <w:b/>
                <w:i/>
              </w:rPr>
              <w:t>naslijeđe</w:t>
            </w:r>
            <w:r>
              <w:t xml:space="preserve"> Inicijative za zapošljavanje mladih, nije uključeno u prijedlog Komisije za višegodišnji financijski okvir (VFO) za razdoblje 2028. – 2034. </w:t>
            </w:r>
            <w:r>
              <w:rPr>
                <w:b/>
                <w:i/>
              </w:rPr>
              <w:t>te naglašava da je i dalje isključivo pravo država članica da definiraju financiranje i strateške prioritete za potporu mladima, bez obvezujućih i centraliziranih proračunskih zahtjeva na razini EU-a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w:t>
            </w:r>
            <w:r>
              <w:rPr>
                <w:b/>
                <w:i/>
              </w:rPr>
              <w:t>duboko</w:t>
            </w:r>
            <w:r>
              <w:t xml:space="preserve"> žali zbog toga što to izdvajanje, nasljeđe Inicijative za zapošljavanje mladih, nije uključeno u prijedlog Komisije za višegodišnji financijski okvir (VFO) za razdoblje 2028. – 2034.;</w:t>
            </w:r>
          </w:p>
        </w:tc>
        <w:tc>
          <w:tcPr>
            <w:tcW w:w="4876" w:type="dxa"/>
            <w:tcBorders>
              <w:top w:val="nil"/>
              <w:left w:val="nil"/>
              <w:bottom w:val="nil"/>
              <w:right w:val="nil"/>
            </w:tcBorders>
          </w:tcPr>
          <w:p>
            <w:pPr>
              <w:pStyle w:val="Normal6a"/>
            </w:pPr>
            <w:r>
              <w:t>6.</w:t>
            </w:r>
            <w:r>
              <w:tab/>
            </w:r>
            <w:r>
              <w:t xml:space="preserve">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žali zbog toga što to izdvajanje, nasljeđe Inicijative za zapošljavanje mladih, nije uključeno u prijedlog Komisije za višegodišnji financijski okvir (VFO) za razdoblje 2028. – 2034.; </w:t>
            </w:r>
            <w:r>
              <w:rPr>
                <w:b/>
                <w:i/>
              </w:rPr>
              <w:t>poziva na samostalan i zaseban ESF u VFO-u za razdoblje 2028. – 2034. kako bi se osiguralo dostatno, predvidljivo i ciljano financiranje za učinkovitu provedbu pojačane Garancije za mlade u svim državama članicama, a posebno u onima koje nisu postigle barem cilj za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w:t>
            </w:r>
          </w:p>
        </w:tc>
        <w:tc>
          <w:tcPr>
            <w:tcW w:w="4876" w:type="dxa"/>
            <w:tcBorders>
              <w:top w:val="nil"/>
              <w:left w:val="nil"/>
              <w:bottom w:val="nil"/>
              <w:right w:val="nil"/>
            </w:tcBorders>
          </w:tcPr>
          <w:p>
            <w:pPr>
              <w:pStyle w:val="Normal6a"/>
            </w:pPr>
            <w:r>
              <w:t>6.</w:t>
            </w:r>
            <w:r>
              <w:tab/>
            </w:r>
            <w:r>
              <w:t xml:space="preserve">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 </w:t>
            </w:r>
            <w:r>
              <w:rPr>
                <w:b/>
                <w:i/>
              </w:rPr>
              <w:t>poziva na to da se u sljedećem ciklusu financiranja ponovno uvede takvo izdvajanje sredstava te da zapošljavanje mladih bude prepoznato kao prioritet ulaganja u sljedećem financijskom razdoblju;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w:t>
            </w:r>
          </w:p>
        </w:tc>
        <w:tc>
          <w:tcPr>
            <w:tcW w:w="4876" w:type="dxa"/>
            <w:tcBorders>
              <w:top w:val="nil"/>
              <w:left w:val="nil"/>
              <w:bottom w:val="nil"/>
              <w:right w:val="nil"/>
            </w:tcBorders>
          </w:tcPr>
          <w:p>
            <w:pPr>
              <w:pStyle w:val="Normal6a"/>
            </w:pPr>
            <w:r>
              <w:t>6.</w:t>
            </w:r>
            <w:r>
              <w:tab/>
            </w:r>
            <w:r>
              <w:t>naglašava da je integracija Inicijative za zapošljavanje mladih u fond ESF+ dovela do obveze dodjele 12,5 % sredstava iz ESF-a plus za mjere i reforme kojima se promiče zapošljavanje mladih, SOO te prijelaz iz škole na posao za države članice u kojima je stopa pripadnika skupine NEET iznad prosjeka EU-a; duboko žali zbog toga što to izdvajanje, nasljeđe Inicijative za zapošljavanje mladih, nije uključeno u prijedlog Komisije za višegodišnji financijski okvir (VFO) za razdoblje 2028. – 2034.</w:t>
            </w:r>
            <w:r>
              <w:rPr>
                <w:b/>
                <w:i/>
              </w:rPr>
              <w:t>, što naglašava da bi to izostavljanje moglo ugroziti postignute rezultate</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naglašava da su dugoročni izazovi provedbe Garancije za mlade i dalje prisutni i da ih je teško riješiti, kao što su potpora profilima do kojih je teško doprijeti, stopa pokrivenosti tim instrumentom, kvaliteta ponuda, kapacitet pružatelja Garancije za mlade ili nepotpun okvir za praćenje;</w:t>
            </w:r>
            <w:r>
              <w:t xml:space="preserve"> </w:t>
            </w:r>
            <w:r>
              <w:rPr>
                <w:b/>
                <w:i/>
              </w:rPr>
              <w:t>prima na znanje najnovije revizije Odbora za zapošljavanje (EMCO) i naglasak stavljen na trajne poteškoće u prevladavanju strukturnih i institucionalnih prepreka koje sprečavaju održivu integraciju mladih, u dopiranju do neaktivnih i ranjivih pripadnika skupine NEET, u mobilizaciji nacionalnih proračuna kako bi se osigurala održivost programa, kao i u praćenju i prikupljanju podataka</w:t>
            </w:r>
            <w:r>
              <w:rPr>
                <w:b/>
                <w:i/>
                <w:vertAlign w:val="superscript"/>
              </w:rPr>
              <w:t>23a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23a</w:t>
            </w:r>
            <w:r>
              <w:t xml:space="preserve"> </w:t>
            </w:r>
            <w:r>
              <w:rPr>
                <w:b/>
                <w:i/>
              </w:rPr>
              <w:t>6184/26.</w:t>
            </w:r>
            <w:r>
              <w:t xml:space="preserve"> </w:t>
            </w:r>
            <w:r>
              <w:rPr>
                <w:b/>
                <w:i/>
              </w:rPr>
              <w:t>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ističe da je ESF+, kojim se financira Garancija za mlade, najvažniji instrument financiranja Europske unije u području tržišta rada i socijalne politike, kojim se posebno podupiru mladi u pristupu obrazovanju i osposobljavanju, započinjanju karijere, pronalasku dobrih radnih mjesta, promicanju poduzetništva, financiranju programa za borbu protiv siromaštva i poboljšanju socioekonomskih prilika;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izražava zabrinutost zbog usporavanja broja radnih mjesta za osobe s diplomom u pojedinim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napominje da se posljednjih godina smanjila usmjerenost europskog semestra na Garanciju za mlade, posebno u pogledu preporuka po državama članicama, u kojima taj instrument nije spomenut osim u godinama u kojima su preporuke objavljene te izvan političkog zamaha koji ih je okruživao;</w:t>
            </w:r>
            <w:r>
              <w:t xml:space="preserve"> </w:t>
            </w:r>
            <w:r>
              <w:rPr>
                <w:b/>
                <w:i/>
              </w:rPr>
              <w:t>ističe, s obzirom na stanje na tržištu rada u nekim državama članicama, da je očita razlika između tih situacija i izrade preporuka za pojedine zemlje;</w:t>
            </w:r>
            <w:r>
              <w:t xml:space="preserve"> </w:t>
            </w:r>
            <w:r>
              <w:rPr>
                <w:b/>
                <w:i/>
              </w:rPr>
              <w:t>žali zbog odluke donesene u postupku u slučaju makroekonomske neravnoteže o spuštanju stope nezaposlenosti mladih na pomoćni pokazatelj, iako je to i dalje zabrinjavajući problem u mnogim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ističe pojavu prekvalificiranosti mlađih radnika za njihove uloge te da ta neusklađenost može negativno utjecati na potencijal za dugoročnu zaradu i u konačnici smanjiti iznose mirovina;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podsjeća da Garancija za mlade djeluje unutar šireg okvira politika EU-a i nacionalnih politika te da njezin uspjeh ovisi i o politikama u drugim područjima kao što su obitelj, stanovanje, skrb o djeci, prijevoz, mentalno zdravlje i borba protiv diskriminacije;</w:t>
            </w:r>
            <w:r>
              <w:t xml:space="preserve"> </w:t>
            </w:r>
            <w:r>
              <w:rPr>
                <w:b/>
                <w:i/>
              </w:rPr>
              <w:t>naglašava da se mladi suočavaju s višedimenzionalnim izazovima koji se ne mogu riješiti jednim instrumentom usmjerenim na zapošljavanje;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svjestan je pojedinaca s neadekvatnim zaposlenjem i dugoročnih posljedica koje to može imati na njihov potencijal za zaradu te u konačnici na iznose njihovih mirovina;</w:t>
            </w:r>
            <w:r>
              <w:t xml:space="preserve"> </w:t>
            </w:r>
            <w:r>
              <w:rPr>
                <w:b/>
                <w:i/>
              </w:rPr>
              <w:t>u tom pogledu poziva da se strategijom za mlade nastoji osigurati da se neadekvatno zaposlenim mladima ponudi zaposlenje na puno radno vrijeme kad god je to moguće;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pozdravlja Deklaraciju o zapadnom Balkanu iz 2021.</w:t>
            </w:r>
            <w:r>
              <w:rPr>
                <w:b/>
                <w:i/>
                <w:vertAlign w:val="superscript"/>
              </w:rPr>
              <w:t>24a</w:t>
            </w:r>
            <w:r>
              <w:t xml:space="preserve"> </w:t>
            </w:r>
            <w:r>
              <w:rPr>
                <w:b/>
                <w:i/>
              </w:rPr>
              <w:t>i činjenicu da su te zemlje donijele nacionalne strategije za garanciju za mlade, što pokazuje privlačnost tog instrumenta;</w:t>
            </w:r>
            <w:r>
              <w:t xml:space="preserve"> </w:t>
            </w:r>
            <w:r>
              <w:rPr>
                <w:b/>
                <w:i/>
              </w:rPr>
              <w:t>naglašava da su ti napori važni za promicanje procesa pristupanja EU-u, no svjestan je poteškoća sličnih onima s kojima se suočavaju države članice u pogledu dopiranja do ranjivih skupina, kapaciteta javnih službi za zapošljavanje i kvalitete ponuda;</w:t>
            </w:r>
            <w:r>
              <w:t xml:space="preserve"> </w:t>
            </w:r>
            <w:r>
              <w:rPr>
                <w:b/>
                <w:i/>
              </w:rPr>
              <w:t>naglašava važnu ulogu Instrumenta pretpristupne pomoći (IPA) u podupiranju provedbe Garancije za mlade na zapadnom Balkanu;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24a</w:t>
            </w:r>
            <w:r>
              <w:t xml:space="preserve"> </w:t>
            </w:r>
            <w:r>
              <w:rPr>
                <w:b/>
                <w:i/>
              </w:rPr>
              <w:t>https://www.esap.online/docs/141/western-balkans-declaration-on-ensuring-sustainable-labour-market-integration-of-young-people.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6.d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izražava zabrinutost zbog širenja nesigurnih radnih mjesta i nestandardnih oblika zapošljavanja na tržištu rada, posebno za mlade, te je svjestan dugoročnih posljedica koje to može imati na njihov potencijal zarade i u konačnici na iznose mirovina;</w:t>
            </w:r>
            <w:r>
              <w:t xml:space="preserve"> </w:t>
            </w:r>
            <w:r>
              <w:rPr>
                <w:b/>
                <w:i/>
              </w:rPr>
              <w:t>u tom pogledu poziva da se pojačanom Garancijom za mlade nastoji osigurati da se neadekvatno zaposlenim mladima ponudi zaposlenje na puno radno vrijeme kad god je to moguće;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uviđa da je pojačana Garancija za mlade djelovala kao katalizator institucionalnih reformi i političkih inovacija diljem država članica te je potaknula promišljanje o reorganizaciji aktivnih politika tržišta rada za mlade;</w:t>
            </w:r>
          </w:p>
        </w:tc>
        <w:tc>
          <w:tcPr>
            <w:tcW w:w="4876" w:type="dxa"/>
            <w:tcBorders>
              <w:top w:val="nil"/>
              <w:left w:val="nil"/>
              <w:bottom w:val="nil"/>
              <w:right w:val="nil"/>
            </w:tcBorders>
          </w:tcPr>
          <w:p>
            <w:pPr>
              <w:pStyle w:val="Normal6a"/>
            </w:pPr>
            <w:r>
              <w:t>7.</w:t>
            </w:r>
            <w:r>
              <w:tab/>
            </w:r>
            <w:r>
              <w:t xml:space="preserve">uviđa da je pojačana Garancija za mlade djelovala kao katalizator institucionalnih reformi i političkih inovacija diljem država članica te je potaknula promišljanje o reorganizaciji aktivnih politika tržišta rada za mlade; </w:t>
            </w:r>
            <w:r>
              <w:rPr>
                <w:b/>
                <w:i/>
              </w:rPr>
              <w:t>naglašava da je pojačana Garancija za mlade u operativnom smislu jedna od najambicioznijih politika, iako nije obvezujuća za države članice i omogućuje im prilagodbu programa na nacionalnoj razini;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uviđa</w:t>
            </w:r>
            <w:r>
              <w:t xml:space="preserve"> da je </w:t>
            </w:r>
            <w:r>
              <w:rPr>
                <w:b/>
                <w:i/>
              </w:rPr>
              <w:t>pojačana</w:t>
            </w:r>
            <w:r>
              <w:t xml:space="preserve"> Garancija za mlade </w:t>
            </w:r>
            <w:r>
              <w:rPr>
                <w:b/>
                <w:i/>
              </w:rPr>
              <w:t>djelovala kao katalizator institucionalnih reformi i političkih inovacija diljem država članica te je potaknula</w:t>
            </w:r>
            <w:r>
              <w:t xml:space="preserve"> promišljanje o reorganizaciji aktivnih politika tržišta rada </w:t>
            </w:r>
            <w:r>
              <w:rPr>
                <w:b/>
                <w:i/>
              </w:rPr>
              <w:t>za mlade</w:t>
            </w:r>
            <w:r>
              <w:t>;</w:t>
            </w:r>
          </w:p>
        </w:tc>
        <w:tc>
          <w:tcPr>
            <w:tcW w:w="4876" w:type="dxa"/>
            <w:tcBorders>
              <w:top w:val="nil"/>
              <w:left w:val="nil"/>
              <w:bottom w:val="nil"/>
              <w:right w:val="nil"/>
            </w:tcBorders>
          </w:tcPr>
          <w:p>
            <w:pPr>
              <w:pStyle w:val="Normal6a"/>
            </w:pPr>
            <w:r>
              <w:t>7.</w:t>
            </w:r>
            <w:r>
              <w:tab/>
            </w:r>
            <w:r>
              <w:rPr>
                <w:b/>
                <w:i/>
              </w:rPr>
              <w:t>konstatira</w:t>
            </w:r>
            <w:r>
              <w:t xml:space="preserve"> da je </w:t>
            </w:r>
            <w:r>
              <w:rPr>
                <w:b/>
                <w:i/>
              </w:rPr>
              <w:t>ojačana</w:t>
            </w:r>
            <w:r>
              <w:t xml:space="preserve"> Garancija za mlade </w:t>
            </w:r>
            <w:r>
              <w:rPr>
                <w:b/>
                <w:i/>
              </w:rPr>
              <w:t>u brojnim slučajevima u državama članicama dovela do stvaranja novih birokratskih razina te da nije rezultirala uspješnim smanjenjem strukturne nezaposlenosti;</w:t>
            </w:r>
            <w:r>
              <w:t xml:space="preserve"> </w:t>
            </w:r>
            <w:r>
              <w:rPr>
                <w:b/>
                <w:i/>
              </w:rPr>
              <w:t>ističe da svako</w:t>
            </w:r>
            <w:r>
              <w:t xml:space="preserve"> promišljanje o reorganizaciji aktivnih politika tržišta rada </w:t>
            </w:r>
            <w:r>
              <w:rPr>
                <w:b/>
                <w:i/>
              </w:rPr>
              <w:t>mora u potpunosti poštovati socijalni suverenitet država članica i biti usmjereno na smanjivanje ograničenja za MSP-ove, a ne na nametanje europskog institucionalnog inženjeringa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uviđa da je pojačana Garancija za mlade djelovala kao katalizator institucionalnih reformi i političkih inovacija diljem država članica te je potaknula promišljanje o reorganizaciji aktivnih politika tržišta rada za mlade;</w:t>
            </w:r>
          </w:p>
        </w:tc>
        <w:tc>
          <w:tcPr>
            <w:tcW w:w="4876" w:type="dxa"/>
            <w:tcBorders>
              <w:top w:val="nil"/>
              <w:left w:val="nil"/>
              <w:bottom w:val="nil"/>
              <w:right w:val="nil"/>
            </w:tcBorders>
          </w:tcPr>
          <w:p>
            <w:pPr>
              <w:pStyle w:val="Normal6a"/>
            </w:pPr>
            <w:r>
              <w:t>7.</w:t>
            </w:r>
            <w:r>
              <w:tab/>
            </w:r>
            <w:r>
              <w:t xml:space="preserve">uviđa da je pojačana Garancija za mlade djelovala kao katalizator institucionalnih reformi i političkih inovacija diljem država članica te je potaknula promišljanje o reorganizaciji aktivnih politika tržišta rada za mlade; </w:t>
            </w:r>
            <w:r>
              <w:rPr>
                <w:b/>
                <w:i/>
              </w:rPr>
              <w:t>napominje, međutim, da su te reforme često bile usmjerene na povećanje fleksibilnosti tržišta rada, a ne na osiguravanje kvalitetnih i stabilnih radnih mjesta;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smatra da je provedba pojačane Garancije za mlade često preusko usmjerena na aktivaciju zapošljavanja, dok je za postizanje njezinih temeljnih ciljeva potreban više holistički pristup u kojem se aktivne i pasivne politike tržišta rada kombiniraju sa stvarnim pristupom mjerama socijalne uključenosti i osnovnim uslugama, uključujući socijalnu i zdravstvenu potporu te potporu za stanovanje, kako bi se osigurali stabilni, uključivi i dugoročni ishodi za pripadnike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sa zabrinutošću napominje da provedbeni planovi brojnih država članica nisu ažurirani tijekom proteklog desetljeća i stoga više ne odražavaju trenutačno stanje na tržištu rada, kao što su porast nesigurnih radnih mjesta, digitalna i zelena tranzicija te sve češća neadekvatna zaposlenost;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naglašava da je učinak pojačane Garancije za mlade neujednačen među državama članicama u pogledu njezine provedbe i posebnih elemenata pojačanja;</w:t>
            </w:r>
          </w:p>
        </w:tc>
        <w:tc>
          <w:tcPr>
            <w:tcW w:w="4876" w:type="dxa"/>
            <w:tcBorders>
              <w:top w:val="nil"/>
              <w:left w:val="nil"/>
              <w:bottom w:val="nil"/>
              <w:right w:val="nil"/>
            </w:tcBorders>
          </w:tcPr>
          <w:p>
            <w:pPr>
              <w:pStyle w:val="Normal6a"/>
            </w:pPr>
            <w:r>
              <w:t>8.</w:t>
            </w:r>
            <w:r>
              <w:tab/>
            </w:r>
            <w:r>
              <w:t xml:space="preserve">naglašava da je učinak pojačane Garancije za mlade neujednačen </w:t>
            </w:r>
            <w:r>
              <w:rPr>
                <w:b/>
                <w:i/>
              </w:rPr>
              <w:t>i</w:t>
            </w:r>
            <w:r>
              <w:t xml:space="preserve"> među državama članicama </w:t>
            </w:r>
            <w:r>
              <w:rPr>
                <w:b/>
                <w:i/>
              </w:rPr>
              <w:t>i unutar njih</w:t>
            </w:r>
            <w:r>
              <w:t xml:space="preserve"> u pogledu njezine provedbe i posebnih elemenata pojačanja; </w:t>
            </w:r>
            <w:r>
              <w:rPr>
                <w:b/>
                <w:i/>
              </w:rPr>
              <w:t>ističe da različite razine socioekonomskog razvoja, uvjeti na lokalnim tržištima rada te pristup uslugama dovode do velikih regionalnih i lokalnih razlika u nezaposlenosti i neaktivnosti mladih;</w:t>
            </w:r>
            <w:r>
              <w:t xml:space="preserve"> </w:t>
            </w:r>
            <w:r>
              <w:rPr>
                <w:b/>
                <w:i/>
              </w:rPr>
              <w:t>naglašava da učinkovito informiranje mora odražavati lokalne okolnosti i uključivati pouzdane lokalne službe i organizacije koje izravno surađuju s mladima;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naglašava da je učinak pojačane Garancije za mlade neujednačen među državama članicama u pogledu njezine provedbe i posebnih elemenata pojačanja;</w:t>
            </w:r>
          </w:p>
        </w:tc>
        <w:tc>
          <w:tcPr>
            <w:tcW w:w="4876" w:type="dxa"/>
            <w:tcBorders>
              <w:top w:val="nil"/>
              <w:left w:val="nil"/>
              <w:bottom w:val="nil"/>
              <w:right w:val="nil"/>
            </w:tcBorders>
          </w:tcPr>
          <w:p>
            <w:pPr>
              <w:pStyle w:val="Normal6a"/>
            </w:pPr>
            <w:r>
              <w:t>8.</w:t>
            </w:r>
            <w:r>
              <w:tab/>
            </w:r>
            <w:r>
              <w:t xml:space="preserve">naglašava da je učinak pojačane Garancije za mlade neujednačen među državama članicama u pogledu njezine provedbe i posebnih elemenata pojačanja; </w:t>
            </w:r>
            <w:r>
              <w:rPr>
                <w:b/>
                <w:i/>
              </w:rPr>
              <w:t>prima na znanje raznolikost pristupa Garanciji za mlade u pogledu njezine provedbe i opsega ponuđenih ponuda te da se svi provedeni nacionalni modeli mogu poboljšati;</w:t>
            </w:r>
            <w:r>
              <w:t xml:space="preserve"> </w:t>
            </w:r>
            <w:r>
              <w:rPr>
                <w:b/>
                <w:i/>
              </w:rPr>
              <w:t>svjestan je da države članice imaju različita polazišta te da se neke države članice suočavaju s demografskim izazovima i odljevom aktivnih mladih ljudi;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pozdravlja proširenje dobne skupine obuhvaćene pojačanom Garancijom za mlade na mlade u dobi od 25 do 29 godina, u kontekstu u kojem prelazak iz škole na tržište rada traje dulje nego prije;</w:t>
            </w:r>
            <w:r>
              <w:t xml:space="preserve"> </w:t>
            </w:r>
            <w:r>
              <w:rPr>
                <w:b/>
                <w:i/>
              </w:rPr>
              <w:t>napominje da je to proširenje povećalo sudjelovanje u programima pojačane Garancije za mlade, pri čemu je ta dobna skupina 2024. činila otprilike trećinu ukupnog broja sudionika</w:t>
            </w:r>
            <w:r>
              <w:rPr>
                <w:b/>
                <w:i/>
                <w:vertAlign w:val="superscript"/>
              </w:rPr>
              <w:t>25a</w:t>
            </w:r>
            <w:r>
              <w:rPr>
                <w:b/>
                <w:i/>
              </w:rPr>
              <w:t>;</w:t>
            </w:r>
            <w:r>
              <w:t xml:space="preserve"> </w:t>
            </w:r>
            <w:r>
              <w:rPr>
                <w:b/>
                <w:i/>
              </w:rPr>
              <w:t>naglašava da taj porast sudjelovanja nije uvijek pratilo povećanje kapaciteta javnih službi za zapošljavanje, koje se suočavaju s većim brojem slučajeva, od kojih su neki složeniji;</w:t>
            </w:r>
            <w:r>
              <w:t xml:space="preserve"> </w:t>
            </w:r>
            <w:r>
              <w:rPr>
                <w:b/>
                <w:i/>
              </w:rPr>
              <w:t>žali zbog toga što su neke države članice odlučile da neće provesti to proširenje dobne skupine za pojačanu Garanciju za mlade;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25a</w:t>
            </w:r>
            <w:r>
              <w:t xml:space="preserve"> </w:t>
            </w:r>
            <w:r>
              <w:rPr>
                <w:b/>
                <w:i/>
              </w:rPr>
              <w:t>Europska komisija, Glavna uprava za zapošljavanje, socijalna pitanja i uključivanje, Prikupljanje podataka za praćenje programa Garancije za mlade:</w:t>
            </w:r>
            <w:r>
              <w:t xml:space="preserve"> </w:t>
            </w:r>
            <w:r>
              <w:rPr>
                <w:b/>
                <w:i/>
              </w:rPr>
              <w:t>2024., prosinac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naglašava da nedavna istraživanja o angažmanu u zajednici upućuju na to da je suradnički pristup ključan za uspjeh u upravljanju prijelazom iz škole na zaposlenje, uključujući integrirane modele u kojima službe za promicanje zapošljavanja surađuju na lokalnoj razini s pružateljima osnovne socijalne sigurnosti za tražitelje zaposlenja;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w:t>
            </w:r>
            <w:r>
              <w:tab/>
            </w:r>
            <w:r>
              <w:rPr>
                <w:b/>
                <w:i/>
              </w:rPr>
              <w:t>ističe da uspjeh pojačane Garancije za mlade u rješavanju problema nezaposlenosti mladih i statusa mladih koji ne rade, nisu u sustavu redovitog obrazovanja te nisu u sustavu obrazovanja odraslih (NEET) ovisi o učinkovitoj integraciji politika zapošljavanja i obrazovanja i politika za mlade, snažnim partnerstvima s vladama, socijalnim partnerima i organizacijama mladih, kao i sveobuhvatnim mjerama koje se odnose na potporu obitelji, stanovanje, skrb o djeci, rodne nejednakosti, sudjelovanje na tržištu rada, roditeljska prava, ravnotežu između poslovnog i privatnog života, pristup cjenovno pristupačnoj zdravstvenoj skrbi i univerzalnu socijalnu zaštitu utemeljenu na solidarnosti;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c.</w:t>
            </w:r>
            <w:r>
              <w:tab/>
            </w:r>
            <w:r>
              <w:rPr>
                <w:b/>
                <w:i/>
              </w:rPr>
              <w:t>podsjeća da su socioekonomska stabilnost obitelji, pristup kvalitetnom obrazovanju i osposobljavanju te uključiva tržišta rada ključni uvjeti koji omogućuju uspješan prijelaz mladih iz obrazovanja u zapošljavanje te su neodvojivo povezani s ciljevima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d.</w:t>
            </w:r>
            <w:r>
              <w:tab/>
            </w:r>
            <w:r>
              <w:rPr>
                <w:b/>
                <w:i/>
              </w:rPr>
              <w:t>podsjeća na to da su Rezolucijom Europskog parlamenta iz studenoga 2023. o smanjenju nejednakosti i promicanju socijalne uključenosti djece i obitelji, u sinergiji s Europskim jamstvom za djecu, postavljeni temelji za inicijativu „snažnije obitelji”</w:t>
            </w:r>
            <w:r>
              <w:rPr>
                <w:b/>
                <w:i/>
                <w:vertAlign w:val="superscript"/>
              </w:rPr>
              <w:t>2a</w:t>
            </w:r>
            <w:r>
              <w:t xml:space="preserve"> </w:t>
            </w:r>
            <w:r>
              <w:rPr>
                <w:b/>
                <w:i/>
              </w:rPr>
              <w:t>i europski obiteljski ugovor</w:t>
            </w:r>
            <w:r>
              <w:rPr>
                <w:b/>
                <w:i/>
                <w:vertAlign w:val="superscript"/>
              </w:rPr>
              <w:t>3a</w:t>
            </w:r>
            <w:r>
              <w:rPr>
                <w:b/>
                <w:i/>
              </w:rPr>
              <w:t>, u kojima se kombiniraju zajamčene naknade za djecu, roditeljski dopust i pristup kvalitetnoj skrbi za djecu, što je ključni preduvjet za učinkovitost Garancije za mlade jer se njome osigurava ravnoteža između poslovnog i obiteljskog života za pripadnike skupine NEET, posebno za mlade roditelje, te se pomaže u sprečavanju dugoročne ekonomske isključenosti;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 xml:space="preserve">https://www.nielsgeuking.eu/stronger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https://www.nielsgeuking.eu/en/scientificstudy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e.</w:t>
            </w:r>
            <w:r>
              <w:tab/>
            </w:r>
            <w:r>
              <w:rPr>
                <w:b/>
                <w:i/>
              </w:rPr>
              <w:t>naglašava da rješavanje pitanja odgođenog roditeljstva, pružanje potpore planiranju obitelji među (ranjivim) mladima i jamčenje socijalno osiguranog roditeljskog dohotka mogu pomoći u rješavanju demografskih izazova, rješavanju problema nedostatka vještina te jačanju mladih obitelji i međugeneracijske pravednosti;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f.</w:t>
            </w:r>
            <w:r>
              <w:tab/>
            </w:r>
            <w:r>
              <w:rPr>
                <w:b/>
                <w:i/>
              </w:rPr>
              <w:t>naglašava da uključivanje cjeloživotnog pristupa usmjerenog na obitelj u komunikaciju Komisije o pojačanoj Garanciji za mlade može pomoći u sprečavanju nezaposlenosti mladih, ranog napuštanja obrazovanja i osposobljavanja (ELET), statusa NEET, siromaštva unatoč zaposlenju i socijalne isključenosti, čime se doprinosi dugoročnoj socijalnoj koheziji i međugeneracijskoj pravednosti u Uniji;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8.g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g.</w:t>
            </w:r>
            <w:r>
              <w:tab/>
            </w:r>
            <w:r>
              <w:rPr>
                <w:b/>
                <w:i/>
              </w:rPr>
              <w:t>ističe da je međugeneracijska solidarnost jedan od temelja na kojem počiva model socijalne skrbi EU-a te da je ključna za očuvanje socijalne kohezije u kontekstu demografskih promjena i gospodarske preobrazbe;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žali zbog toga što je osviještenost o programima pojačane Garancije za mlade i dalje niska među mladima i, u određenoj mjeri, među tijelima, osim onih koja su izravno odgovorna za programe ili pitanja zapošljavanja;</w:t>
            </w:r>
          </w:p>
        </w:tc>
        <w:tc>
          <w:tcPr>
            <w:tcW w:w="4876" w:type="dxa"/>
            <w:tcBorders>
              <w:top w:val="nil"/>
              <w:left w:val="nil"/>
              <w:bottom w:val="nil"/>
              <w:right w:val="nil"/>
            </w:tcBorders>
          </w:tcPr>
          <w:p>
            <w:pPr>
              <w:pStyle w:val="Normal6a"/>
            </w:pPr>
            <w:r>
              <w:t>9.</w:t>
            </w:r>
            <w:r>
              <w:tab/>
            </w:r>
            <w:r>
              <w:t xml:space="preserve">žali zbog toga što je osviještenost o programima pojačane Garancije za mlade i dalje niska među mladima i, u određenoj mjeri, među tijelima, osim onih koja su izravno odgovorna za programe ili pitanja zapošljavanja; </w:t>
            </w:r>
            <w:r>
              <w:rPr>
                <w:b/>
                <w:i/>
              </w:rPr>
              <w:t>naglašava da bi uključivanje Garancije za mlade u šire programe moglo zasjeniti mogućnosti koje ti programi nude pripadnicima skupine NEET;</w:t>
            </w:r>
            <w:r>
              <w:t xml:space="preserve"> </w:t>
            </w:r>
            <w:r>
              <w:rPr>
                <w:b/>
                <w:i/>
              </w:rPr>
              <w:t>napominje da je do pripadnika skupine NEET najteže doprijeti te da su oni i dalje najmanje upoznati s tim programima i uslugama koje su im dostupne kao potpora;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žali zbog toga što je osviještenost o programima pojačane Garancije za mlade i dalje niska među mladima i, u određenoj mjeri, među tijelima, osim onih koja su izravno odgovorna za programe ili pitanja zapošljavanja;</w:t>
            </w:r>
          </w:p>
        </w:tc>
        <w:tc>
          <w:tcPr>
            <w:tcW w:w="4876" w:type="dxa"/>
            <w:tcBorders>
              <w:top w:val="nil"/>
              <w:left w:val="nil"/>
              <w:bottom w:val="nil"/>
              <w:right w:val="nil"/>
            </w:tcBorders>
          </w:tcPr>
          <w:p>
            <w:pPr>
              <w:pStyle w:val="Normal6a"/>
            </w:pPr>
            <w:r>
              <w:t>9.</w:t>
            </w:r>
            <w:r>
              <w:tab/>
            </w:r>
            <w:r>
              <w:t xml:space="preserve">žali zbog toga što je osviještenost o programima pojačane Garancije za mlade i dalje niska među mladima i, u određenoj mjeri, među tijelima, osim onih koja su izravno odgovorna za programe ili pitanja zapošljavanja; </w:t>
            </w:r>
            <w:r>
              <w:rPr>
                <w:b/>
                <w:i/>
              </w:rPr>
              <w:t>ističe da se niska razina osviještenosti djelomično može pripisati nedostatku pristupačnih informativnih kampanja, naročito onih usmjerenih na mlade s invaliditetom i one iz područja u nepovoljnom položaju;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žali zbog toga što je osviještenost o programima pojačane Garancije za mlade i dalje niska među </w:t>
            </w:r>
            <w:r>
              <w:rPr>
                <w:b/>
                <w:i/>
              </w:rPr>
              <w:t>mladima</w:t>
            </w:r>
            <w:r>
              <w:t xml:space="preserve"> i, u određenoj mjeri, među </w:t>
            </w:r>
            <w:r>
              <w:rPr>
                <w:b/>
                <w:i/>
              </w:rPr>
              <w:t>tijelima, osim onih koja su</w:t>
            </w:r>
            <w:r>
              <w:t xml:space="preserve"> izravno </w:t>
            </w:r>
            <w:r>
              <w:rPr>
                <w:b/>
                <w:i/>
              </w:rPr>
              <w:t>odgovorna za programe ili pitanja zapošljavanja</w:t>
            </w:r>
            <w:r>
              <w:t>;</w:t>
            </w:r>
          </w:p>
        </w:tc>
        <w:tc>
          <w:tcPr>
            <w:tcW w:w="4876" w:type="dxa"/>
            <w:tcBorders>
              <w:top w:val="nil"/>
              <w:left w:val="nil"/>
              <w:bottom w:val="nil"/>
              <w:right w:val="nil"/>
            </w:tcBorders>
          </w:tcPr>
          <w:p>
            <w:pPr>
              <w:pStyle w:val="Normal6a"/>
            </w:pPr>
            <w:r>
              <w:t>9.</w:t>
            </w:r>
            <w:r>
              <w:tab/>
            </w:r>
            <w:r>
              <w:t xml:space="preserve">žali zbog toga što je osviještenost o programima pojačane Garancije za mlade i dalje niska među </w:t>
            </w:r>
            <w:r>
              <w:rPr>
                <w:b/>
                <w:i/>
              </w:rPr>
              <w:t>pripadnicima skupine NEET</w:t>
            </w:r>
            <w:r>
              <w:t xml:space="preserve"> i, u određenoj mjeri, među </w:t>
            </w:r>
            <w:r>
              <w:rPr>
                <w:b/>
                <w:i/>
              </w:rPr>
              <w:t>relevantnim dionicima koji nisu</w:t>
            </w:r>
            <w:r>
              <w:t xml:space="preserve"> izravno </w:t>
            </w:r>
            <w:r>
              <w:rPr>
                <w:b/>
                <w:i/>
              </w:rPr>
              <w:t>uključeni u njezinu provedbu, kao što su pružatelji usluga obrazovanja i osposobljavanja, organizacije mladih, civilno društvo te drugi formalni i neformalni akteri;</w:t>
            </w:r>
            <w:r>
              <w:t xml:space="preserve"> </w:t>
            </w:r>
            <w:r>
              <w:rPr>
                <w:b/>
                <w:i/>
              </w:rPr>
              <w:t>smatra da je ta niska razina osviještenosti znatna prepreka prihvaćanju i učinkovitosti pojačane Garancije za mlade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žali zbog toga što je osviještenost o programima pojačane Garancije za mlade i dalje niska među mladima i, u određenoj mjeri, među tijelima, osim onih koja su izravno odgovorna za programe ili pitanja zapošljavanja;</w:t>
            </w:r>
          </w:p>
        </w:tc>
        <w:tc>
          <w:tcPr>
            <w:tcW w:w="4876" w:type="dxa"/>
            <w:tcBorders>
              <w:top w:val="nil"/>
              <w:left w:val="nil"/>
              <w:bottom w:val="nil"/>
              <w:right w:val="nil"/>
            </w:tcBorders>
          </w:tcPr>
          <w:p>
            <w:pPr>
              <w:pStyle w:val="Normal6a"/>
            </w:pPr>
            <w:r>
              <w:t>9.</w:t>
            </w:r>
            <w:r>
              <w:tab/>
            </w:r>
            <w:r>
              <w:t>žali zbog toga što je osviještenost o programima pojačane Garancije za mlade i dalje niska među mladima</w:t>
            </w:r>
            <w:r>
              <w:rPr>
                <w:b/>
                <w:i/>
              </w:rPr>
              <w:t>, poduzećima</w:t>
            </w:r>
            <w:r>
              <w:t xml:space="preserve"> i, u određenoj mjeri, među </w:t>
            </w:r>
            <w:r>
              <w:rPr>
                <w:b/>
                <w:i/>
              </w:rPr>
              <w:t>javnim</w:t>
            </w:r>
            <w:r>
              <w:t xml:space="preserve"> tijelima, osim onih koja su izravno odgovorna za programe ili pitanja zapošljavanja </w:t>
            </w:r>
            <w:r>
              <w:rPr>
                <w:b/>
                <w:i/>
              </w:rPr>
              <w:t>te se znatno razlikuje među državama članicama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napominje da je informiranje javnosti i dalje jedna od glavnih prepreka provedbi pojačane Garancije za mlade; žali zbog toga što su mjere uglavnom pasivne i temelje se samo na pripadnicima skupine NEET koji su registrirani u javnim službama za zapošljavanje;</w:t>
            </w:r>
          </w:p>
        </w:tc>
        <w:tc>
          <w:tcPr>
            <w:tcW w:w="4876" w:type="dxa"/>
            <w:tcBorders>
              <w:top w:val="nil"/>
              <w:left w:val="nil"/>
              <w:bottom w:val="nil"/>
              <w:right w:val="nil"/>
            </w:tcBorders>
          </w:tcPr>
          <w:p>
            <w:pPr>
              <w:pStyle w:val="Normal6a"/>
            </w:pPr>
            <w:r>
              <w:t>10.</w:t>
            </w:r>
            <w:r>
              <w:tab/>
            </w:r>
            <w:r>
              <w:rPr>
                <w:b/>
                <w:i/>
              </w:rPr>
              <w:t>s velikom zabrinutošću</w:t>
            </w:r>
            <w:r>
              <w:t xml:space="preserve"> napominje da je informiranje javnosti i dalje jedna od glavnih prepreka </w:t>
            </w:r>
            <w:r>
              <w:rPr>
                <w:b/>
                <w:i/>
              </w:rPr>
              <w:t>učinkovitoj</w:t>
            </w:r>
            <w:r>
              <w:t xml:space="preserve"> provedbi pojačane Garancije za mlade; žali zbog toga što su mjere </w:t>
            </w:r>
            <w:r>
              <w:rPr>
                <w:b/>
                <w:i/>
              </w:rPr>
              <w:t>informiranja</w:t>
            </w:r>
            <w:r>
              <w:t xml:space="preserve"> uglavnom pasivne i temelje se samo na pripadnicima skupine NEET koji su registrirani u javnim službama za zapošljavanje; </w:t>
            </w:r>
            <w:r>
              <w:rPr>
                <w:b/>
                <w:i/>
              </w:rPr>
              <w:t>naglašava da se time stvaraju sustavne prepreke za pripadnike skupine NEET koji se suočavaju sa socijalnom isključenošću, institucijskim nepovjerenjem, digitalnom isključenošću ili praktičnim preprekama sudjelovanju u formalnim uslugama;</w:t>
            </w:r>
            <w:r>
              <w:t xml:space="preserve"> </w:t>
            </w:r>
            <w:r>
              <w:rPr>
                <w:b/>
                <w:i/>
              </w:rPr>
              <w:t>napominje da se time ugrožavaju socijalna kohezija i međugeneracijska pravednost jer se postojeće nejednakosti učvršćuju umjesto da se smanjuju;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napominje da je informiranje javnosti i dalje jedna od glavnih prepreka provedbi pojačane Garancije za mlade; žali zbog toga što su mjere uglavnom pasivne i temelje se samo na pripadnicima skupine NEET koji su registrirani u javnim službama za zapošljavanje;</w:t>
            </w:r>
          </w:p>
        </w:tc>
        <w:tc>
          <w:tcPr>
            <w:tcW w:w="4876" w:type="dxa"/>
            <w:tcBorders>
              <w:top w:val="nil"/>
              <w:left w:val="nil"/>
              <w:bottom w:val="nil"/>
              <w:right w:val="nil"/>
            </w:tcBorders>
          </w:tcPr>
          <w:p>
            <w:pPr>
              <w:pStyle w:val="Normal6a"/>
            </w:pPr>
            <w:r>
              <w:t>10.</w:t>
            </w:r>
            <w:r>
              <w:tab/>
            </w:r>
            <w:r>
              <w:t xml:space="preserve">napominje da je informiranje javnosti i dalje jedna od glavnih prepreka provedbi pojačane Garancije za mlade; žali zbog toga što su mjere uglavnom pasivne i temelje se samo na pripadnicima skupine NEET koji su registrirani u javnim službama za zapošljavanje; </w:t>
            </w:r>
            <w:r>
              <w:rPr>
                <w:b/>
                <w:i/>
              </w:rPr>
              <w:t>stoga poziva države članice da aktivno razvijaju strategije informiranja u okviru škola, socijalnih službi, lokalnih tijela, organizacija mladih i digitalnih alata kako bi se identificirali mladi koji su neregistrirani i mladi do kojih je najteže doprijeti;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napominje da je informiranje javnosti i dalje jedna od glavnih prepreka provedbi pojačane Garancije za mlade; žali zbog toga što su mjere uglavnom pasivne i temelje se samo na pripadnicima skupine NEET koji su registrirani u javnim službama za zapošljavanje;</w:t>
            </w:r>
          </w:p>
        </w:tc>
        <w:tc>
          <w:tcPr>
            <w:tcW w:w="4876" w:type="dxa"/>
            <w:tcBorders>
              <w:top w:val="nil"/>
              <w:left w:val="nil"/>
              <w:bottom w:val="nil"/>
              <w:right w:val="nil"/>
            </w:tcBorders>
          </w:tcPr>
          <w:p>
            <w:pPr>
              <w:pStyle w:val="Normal6a"/>
            </w:pPr>
            <w:r>
              <w:t>10.</w:t>
            </w:r>
            <w:r>
              <w:tab/>
            </w:r>
            <w:r>
              <w:t xml:space="preserve">napominje da je informiranje javnosti i dalje jedna od glavnih prepreka provedbi pojačane Garancije za mlade; žali zbog toga što su mjere uglavnom pasivne i temelje se samo na pripadnicima skupine NEET koji su registrirani u javnim službama za zapošljavanje </w:t>
            </w:r>
            <w:r>
              <w:rPr>
                <w:b/>
                <w:i/>
              </w:rPr>
              <w:t>te zbog toga što te službe nemaju kapacitet za proaktivan pristup informiranju unutar zajednica</w:t>
            </w:r>
            <w:r>
              <w:t xml:space="preserve">; </w:t>
            </w:r>
            <w:r>
              <w:rPr>
                <w:b/>
                <w:i/>
              </w:rPr>
              <w:t>napominje da se tim pristupom stvaraju prepreke za one koji se suočavaju s praktičnim poteškoćama ili koji nemaju povjerenja u institucije;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napominje da je informiranje javnosti i dalje jedna od glavnih prepreka provedbi pojačane Garancije za mlade; žali zbog toga što su mjere uglavnom pasivne i temelje se samo na pripadnicima skupine NEET koji su registrirani u javnim službama za zapošljavanje;</w:t>
            </w:r>
          </w:p>
        </w:tc>
        <w:tc>
          <w:tcPr>
            <w:tcW w:w="4876" w:type="dxa"/>
            <w:tcBorders>
              <w:top w:val="nil"/>
              <w:left w:val="nil"/>
              <w:bottom w:val="nil"/>
              <w:right w:val="nil"/>
            </w:tcBorders>
          </w:tcPr>
          <w:p>
            <w:pPr>
              <w:pStyle w:val="Normal6a"/>
            </w:pPr>
            <w:r>
              <w:t>10.</w:t>
            </w:r>
            <w:r>
              <w:tab/>
            </w:r>
            <w:r>
              <w:t xml:space="preserve">napominje da je informiranje javnosti i dalje jedna od glavnih prepreka provedbi pojačane Garancije za mlade; žali zbog toga što su mjere uglavnom pasivne i temelje se samo na pripadnicima skupine NEET koji su registrirani u javnim službama za zapošljavanje; </w:t>
            </w:r>
            <w:r>
              <w:rPr>
                <w:b/>
                <w:i/>
              </w:rPr>
              <w:t>poziva države članice i Komisiju da ulože posebne napore kako bi se osiguralo sveobuhvatno podizanje razine osviještenosti o Garanciji za mlade među mladima, posebno ciljajući na ranjive i marginalizirane skupine;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napominje da je informiranje javnosti i dalje jedna od glavnih prepreka provedbi pojačane Garancije za mlade; žali zbog toga što su mjere uglavnom pasivne i temelje se samo na </w:t>
            </w:r>
            <w:r>
              <w:rPr>
                <w:b/>
                <w:i/>
              </w:rPr>
              <w:t>pripadnicima skupine NEET</w:t>
            </w:r>
            <w:r>
              <w:t xml:space="preserve"> koji su registrirani </w:t>
            </w:r>
            <w:r>
              <w:rPr>
                <w:b/>
                <w:i/>
              </w:rPr>
              <w:t>u</w:t>
            </w:r>
            <w:r>
              <w:t xml:space="preserve"> javnim službama za zapošljavanje;</w:t>
            </w:r>
          </w:p>
        </w:tc>
        <w:tc>
          <w:tcPr>
            <w:tcW w:w="4876" w:type="dxa"/>
            <w:tcBorders>
              <w:top w:val="nil"/>
              <w:left w:val="nil"/>
              <w:bottom w:val="nil"/>
              <w:right w:val="nil"/>
            </w:tcBorders>
          </w:tcPr>
          <w:p>
            <w:pPr>
              <w:pStyle w:val="Normal6a"/>
            </w:pPr>
            <w:r>
              <w:t>10.</w:t>
            </w:r>
            <w:r>
              <w:tab/>
            </w:r>
            <w:r>
              <w:t xml:space="preserve">napominje da je informiranje javnosti i dalje jedna od glavnih prepreka provedbi pojačane Garancije za mlade; žali zbog toga što su mjere uglavnom pasivne i temelje se samo na </w:t>
            </w:r>
            <w:r>
              <w:rPr>
                <w:b/>
                <w:i/>
              </w:rPr>
              <w:t>mladima koji nisu zaposleni, ne obrazuju se i ne osposobljavaju i</w:t>
            </w:r>
            <w:r>
              <w:t xml:space="preserve"> koji su registrirani </w:t>
            </w:r>
            <w:r>
              <w:rPr>
                <w:b/>
                <w:i/>
              </w:rPr>
              <w:t>pri</w:t>
            </w:r>
            <w:r>
              <w:t xml:space="preserve"> javnim službama za zapošljavanje </w:t>
            </w:r>
            <w:r>
              <w:rPr>
                <w:b/>
                <w:i/>
              </w:rPr>
              <w:t>te naglašava potrebu za pružanjem personaliziranog usmjeravanja i mjera potpore kako bi se doprlo do najranjivijih osoba i onih koji imaju više poteškoća u pristupu uslugama te kako bi im se pružila potpora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napominje da je informiranje </w:t>
            </w:r>
            <w:r>
              <w:rPr>
                <w:b/>
                <w:i/>
              </w:rPr>
              <w:t>javnosti</w:t>
            </w:r>
            <w:r>
              <w:t xml:space="preserve"> i dalje jedna od glavnih prepreka provedbi pojačane Garancije za mlade; žali zbog toga što su mjere uglavnom pasivne i temelje se samo na pripadnicima skupine NEET koji su registrirani u javnim službama za zapošljavanje;</w:t>
            </w:r>
          </w:p>
        </w:tc>
        <w:tc>
          <w:tcPr>
            <w:tcW w:w="4876" w:type="dxa"/>
            <w:tcBorders>
              <w:top w:val="nil"/>
              <w:left w:val="nil"/>
              <w:bottom w:val="nil"/>
              <w:right w:val="nil"/>
            </w:tcBorders>
          </w:tcPr>
          <w:p>
            <w:pPr>
              <w:pStyle w:val="Normal6a"/>
            </w:pPr>
            <w:r>
              <w:t>10.</w:t>
            </w:r>
            <w:r>
              <w:tab/>
            </w:r>
            <w:r>
              <w:t xml:space="preserve">napominje da je </w:t>
            </w:r>
            <w:r>
              <w:rPr>
                <w:b/>
                <w:i/>
              </w:rPr>
              <w:t>nedostatak kapaciteta za proaktivno</w:t>
            </w:r>
            <w:r>
              <w:t xml:space="preserve"> informiranje </w:t>
            </w:r>
            <w:r>
              <w:rPr>
                <w:b/>
                <w:i/>
              </w:rPr>
              <w:t>u zajednici</w:t>
            </w:r>
            <w:r>
              <w:t xml:space="preserve"> i dalje jedna od glavnih prepreka provedbi pojačane Garancije za mlade; žali zbog toga što su mjere uglavnom pasivne i temelje se samo na pripadnicima skupine NEET koji su registrirani u javnim službama za zapošljavanje</w:t>
            </w:r>
            <w:r>
              <w:rPr>
                <w:b/>
                <w:i/>
              </w:rPr>
              <w:t>, čime se stvaraju prepreke za osobe koje se suočavaju s institucijskim nepovjerenjem ili praktičnim izazovima, kao što su ograničen prijevoz ili digitalni pristup</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napominje da decentralizirane javne službe za zapošljavanje na lokalnoj razini i strukture pod vodstvom zajednice mogu poboljšati informiranje, angažman i potporu pripadnicima skupine NEET i ranjivim podskupinama do kojih je teško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izražava zabrinutost zbog jednakosti programa pojačane Garancije za mlade u pogledu njihove sposobnosti da dopru do ranjivih i neaktivnih skupina, posebno u udaljenim područjima, kao što su romske zajednice;</w:t>
            </w:r>
          </w:p>
        </w:tc>
        <w:tc>
          <w:tcPr>
            <w:tcW w:w="4876" w:type="dxa"/>
            <w:tcBorders>
              <w:top w:val="nil"/>
              <w:left w:val="nil"/>
              <w:bottom w:val="nil"/>
              <w:right w:val="nil"/>
            </w:tcBorders>
          </w:tcPr>
          <w:p>
            <w:pPr>
              <w:pStyle w:val="Normal6a"/>
            </w:pPr>
            <w:r>
              <w:t>11.</w:t>
            </w:r>
            <w:r>
              <w:tab/>
            </w:r>
            <w:r>
              <w:t xml:space="preserve">izražava zabrinutost zbog jednakosti programa pojačane Garancije za mlade u pogledu njihove sposobnosti da dopru do ranjivih i neaktivnih skupina, posebno u udaljenim područjima, kao što su romske zajednice; </w:t>
            </w:r>
            <w:r>
              <w:rPr>
                <w:b/>
                <w:i/>
              </w:rPr>
              <w:t>prima na znanje povratne informacije nekih dionika u kojima se navodi da od programa uglavnom imaju koristi mladi koji su već blizu tržišta rada;</w:t>
            </w:r>
            <w:r>
              <w:t xml:space="preserve"> </w:t>
            </w:r>
            <w:r>
              <w:rPr>
                <w:b/>
                <w:i/>
              </w:rPr>
              <w:t>podsjeća da taj nedostatak informiranja utemeljenog na dokazima dovodi do jaza u znanju u pogledu podskupina u okviru skupine NEET do kojih treba doprijeti i otežava razvoj razrađenijih strategija;</w:t>
            </w:r>
            <w:r>
              <w:t xml:space="preserve"> </w:t>
            </w:r>
            <w:r>
              <w:rPr>
                <w:b/>
                <w:i/>
              </w:rPr>
              <w:t>smatra da se usredotočenost na ranjive skupine u jačanju Garancije za mlade tek treba ostvariti učinkovitim mehanizmima informiranja u državama članicama i povećanim kapacitetom za postizanje tog cilja;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izražava zabrinutost </w:t>
            </w:r>
            <w:r>
              <w:rPr>
                <w:b/>
                <w:i/>
              </w:rPr>
              <w:t>zbog jednakosti</w:t>
            </w:r>
            <w:r>
              <w:t xml:space="preserve"> programa pojačane Garancije za mlade </w:t>
            </w:r>
            <w:r>
              <w:rPr>
                <w:b/>
                <w:i/>
              </w:rPr>
              <w:t>u pogledu</w:t>
            </w:r>
            <w:r>
              <w:t xml:space="preserve"> njihove sposobnosti da dopru do ranjivih i neaktivnih </w:t>
            </w:r>
            <w:r>
              <w:rPr>
                <w:b/>
                <w:i/>
              </w:rPr>
              <w:t>skupina</w:t>
            </w:r>
            <w:r>
              <w:t>, posebno u udaljenim područjima</w:t>
            </w:r>
            <w:r>
              <w:rPr>
                <w:b/>
                <w:i/>
              </w:rPr>
              <w:t>, kao što su romske zajednice</w:t>
            </w:r>
            <w:r>
              <w:t>;</w:t>
            </w:r>
          </w:p>
        </w:tc>
        <w:tc>
          <w:tcPr>
            <w:tcW w:w="4876" w:type="dxa"/>
            <w:tcBorders>
              <w:top w:val="nil"/>
              <w:left w:val="nil"/>
              <w:bottom w:val="nil"/>
              <w:right w:val="nil"/>
            </w:tcBorders>
          </w:tcPr>
          <w:p>
            <w:pPr>
              <w:pStyle w:val="Normal6a"/>
            </w:pPr>
            <w:r>
              <w:t>11.</w:t>
            </w:r>
            <w:r>
              <w:tab/>
            </w:r>
            <w:r>
              <w:t xml:space="preserve">izražava </w:t>
            </w:r>
            <w:r>
              <w:rPr>
                <w:b/>
                <w:i/>
              </w:rPr>
              <w:t>duboku</w:t>
            </w:r>
            <w:r>
              <w:t xml:space="preserve"> zabrinutost </w:t>
            </w:r>
            <w:r>
              <w:rPr>
                <w:b/>
                <w:i/>
              </w:rPr>
              <w:t>u pogledu pravednosti</w:t>
            </w:r>
            <w:r>
              <w:t xml:space="preserve"> programa pojačane Garancije za mlade </w:t>
            </w:r>
            <w:r>
              <w:rPr>
                <w:b/>
                <w:i/>
              </w:rPr>
              <w:t>i</w:t>
            </w:r>
            <w:r>
              <w:t xml:space="preserve"> njihove sposobnosti da dopru do ranjivih i neaktivnih </w:t>
            </w:r>
            <w:r>
              <w:rPr>
                <w:b/>
                <w:i/>
              </w:rPr>
              <w:t>mladih ljudi</w:t>
            </w:r>
            <w:r>
              <w:t xml:space="preserve">, posebno </w:t>
            </w:r>
            <w:r>
              <w:rPr>
                <w:b/>
                <w:i/>
              </w:rPr>
              <w:t>onih</w:t>
            </w:r>
            <w:r>
              <w:t xml:space="preserve"> u udaljenim područjima </w:t>
            </w:r>
            <w:r>
              <w:rPr>
                <w:b/>
                <w:i/>
              </w:rPr>
              <w:t>i područjima u nepovoljnom položaju;</w:t>
            </w:r>
            <w:r>
              <w:t xml:space="preserve"> </w:t>
            </w:r>
            <w:r>
              <w:rPr>
                <w:b/>
                <w:i/>
              </w:rPr>
              <w:t>naglašava da je provedba pojačane Garancije za mlade i dalje nedovoljno integrirana kada je riječ o stambenoj politici, politici skrbi, socijalne zaštite i zdravstvenoj politici, koje se međusobno osnažuju i ključne su za potporu održivoj integraciji ranjivih pripadnika skupine NEET na tržištu rada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izražava zabrinutost zbog jednakosti programa pojačane Garancije za mlade u pogledu njihove sposobnosti da dopru do ranjivih i neaktivnih skupina, posebno </w:t>
            </w:r>
            <w:r>
              <w:rPr>
                <w:b/>
                <w:i/>
              </w:rPr>
              <w:t>u</w:t>
            </w:r>
            <w:r>
              <w:t xml:space="preserve"> udaljenim područjima</w:t>
            </w:r>
            <w:r>
              <w:rPr>
                <w:b/>
                <w:i/>
              </w:rPr>
              <w:t>, kao što su romske zajednice</w:t>
            </w:r>
            <w:r>
              <w:t>;</w:t>
            </w:r>
          </w:p>
        </w:tc>
        <w:tc>
          <w:tcPr>
            <w:tcW w:w="4876" w:type="dxa"/>
            <w:tcBorders>
              <w:top w:val="nil"/>
              <w:left w:val="nil"/>
              <w:bottom w:val="nil"/>
              <w:right w:val="nil"/>
            </w:tcBorders>
          </w:tcPr>
          <w:p>
            <w:pPr>
              <w:pStyle w:val="Normal6a"/>
            </w:pPr>
            <w:r>
              <w:t>11.</w:t>
            </w:r>
            <w:r>
              <w:tab/>
            </w:r>
            <w:r>
              <w:t xml:space="preserve">izražava zabrinutost zbog jednakosti programa pojačane Garancije za mlade u pogledu njihove sposobnosti da dopru do ranjivih i neaktivnih skupina, posebno </w:t>
            </w:r>
            <w:r>
              <w:rPr>
                <w:b/>
                <w:i/>
              </w:rPr>
              <w:t>onih koje žive u planinskim, ruralnim i</w:t>
            </w:r>
            <w:r>
              <w:t xml:space="preserve"> udaljenim područjima</w:t>
            </w:r>
            <w:r>
              <w:rPr>
                <w:b/>
                <w:i/>
              </w:rPr>
              <w:t>; naglašava da je potrebno poboljšati digitalnu infrastrukturu kako bi se zajamčio jednak pristup programima i informacijskim uslugama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izražava zabrinutost zbog </w:t>
            </w:r>
            <w:r>
              <w:rPr>
                <w:b/>
                <w:i/>
              </w:rPr>
              <w:t>jednakosti</w:t>
            </w:r>
            <w:r>
              <w:t xml:space="preserve"> programa pojačane Garancije za mlade u pogledu njihove sposobnosti da dopru do </w:t>
            </w:r>
            <w:r>
              <w:rPr>
                <w:b/>
                <w:i/>
              </w:rPr>
              <w:t>ranjivih i neaktivnih</w:t>
            </w:r>
            <w:r>
              <w:t xml:space="preserve"> skupina, </w:t>
            </w:r>
            <w:r>
              <w:rPr>
                <w:b/>
                <w:i/>
              </w:rPr>
              <w:t>posebno u udaljenim</w:t>
            </w:r>
            <w:r>
              <w:t xml:space="preserve"> područjima</w:t>
            </w:r>
            <w:r>
              <w:rPr>
                <w:b/>
                <w:i/>
              </w:rPr>
              <w:t>, kao što su romske zajednice</w:t>
            </w:r>
            <w:r>
              <w:t>;</w:t>
            </w:r>
          </w:p>
        </w:tc>
        <w:tc>
          <w:tcPr>
            <w:tcW w:w="4876" w:type="dxa"/>
            <w:tcBorders>
              <w:top w:val="nil"/>
              <w:left w:val="nil"/>
              <w:bottom w:val="nil"/>
              <w:right w:val="nil"/>
            </w:tcBorders>
          </w:tcPr>
          <w:p>
            <w:pPr>
              <w:pStyle w:val="Normal6a"/>
            </w:pPr>
            <w:r>
              <w:t>11.</w:t>
            </w:r>
            <w:r>
              <w:tab/>
            </w:r>
            <w:r>
              <w:t xml:space="preserve">izražava zabrinutost zbog </w:t>
            </w:r>
            <w:r>
              <w:rPr>
                <w:b/>
                <w:i/>
              </w:rPr>
              <w:t>pravednosti</w:t>
            </w:r>
            <w:r>
              <w:t xml:space="preserve"> programa pojačane Garancije za mlade u pogledu njihove sposobnosti da dopru do </w:t>
            </w:r>
            <w:r>
              <w:rPr>
                <w:b/>
                <w:i/>
              </w:rPr>
              <w:t>ranjivijih i neaktivnijih</w:t>
            </w:r>
            <w:r>
              <w:t xml:space="preserve"> skupina, </w:t>
            </w:r>
            <w:r>
              <w:rPr>
                <w:b/>
                <w:i/>
              </w:rPr>
              <w:t>poput mladih s invaliditetom i mladih koji borave u najudaljenijim</w:t>
            </w:r>
            <w:r>
              <w:t xml:space="preserve"> područjima;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izražava zabrinutost zbog jednakosti programa pojačane Garancije za mlade u pogledu njihove sposobnosti da dopru do ranjivih i neaktivnih skupina, posebno u udaljenim područjima, kao što su </w:t>
            </w:r>
            <w:r>
              <w:rPr>
                <w:b/>
                <w:i/>
              </w:rPr>
              <w:t>romske zajednice</w:t>
            </w:r>
            <w:r>
              <w:t>;</w:t>
            </w:r>
          </w:p>
        </w:tc>
        <w:tc>
          <w:tcPr>
            <w:tcW w:w="4876" w:type="dxa"/>
            <w:tcBorders>
              <w:top w:val="nil"/>
              <w:left w:val="nil"/>
              <w:bottom w:val="nil"/>
              <w:right w:val="nil"/>
            </w:tcBorders>
          </w:tcPr>
          <w:p>
            <w:pPr>
              <w:pStyle w:val="Normal6a"/>
            </w:pPr>
            <w:r>
              <w:t>11.</w:t>
            </w:r>
            <w:r>
              <w:tab/>
            </w:r>
            <w:r>
              <w:t>izražava zabrinutost zbog jednakosti programa pojačane Garancije za mlade u pogledu njihove sposobnosti da dopru do ranjivih i neaktivnih skupina, posebno u udaljenim područjima, kao što su </w:t>
            </w:r>
            <w:r>
              <w:rPr>
                <w:b/>
                <w:i/>
              </w:rPr>
              <w:t>udaljena i prekomorska područja</w:t>
            </w:r>
            <w:r>
              <w:t>;</w:t>
            </w:r>
            <w:r>
              <w:rPr>
                <w:b/>
                <w:i/>
              </w:rPr>
              <w:t>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sa zabrinutošću naglašava da se stopa pokrivenosti programima Garancije za mlade blago smanjila od uvođenja njezina jačanja te da su te stope u nekim državama članicama na zabrinjavajuće niskim razinama, u rasponu od najnižih 1,1 % do ispod 50 % u većini država članica</w:t>
            </w:r>
            <w:r>
              <w:rPr>
                <w:b/>
                <w:i/>
                <w:vertAlign w:val="superscript"/>
              </w:rPr>
              <w:t>26a</w:t>
            </w:r>
            <w:r>
              <w:rPr>
                <w:b/>
                <w:i/>
              </w:rPr>
              <w:t>;</w:t>
            </w:r>
            <w:r>
              <w:t xml:space="preserve"> </w:t>
            </w:r>
            <w:r>
              <w:rPr>
                <w:b/>
                <w:i/>
              </w:rPr>
              <w:t>napominje da je stopa pokrivenosti najviša među dobnom skupinom od 20 do 24 godine, nakon čega slijedi dobna skupina od 15 do 19 godina, a zatim dobna skupina od 25 do 29 godina;</w:t>
            </w:r>
            <w:r>
              <w:t xml:space="preserve"> </w:t>
            </w:r>
            <w:r>
              <w:rPr>
                <w:b/>
                <w:i/>
              </w:rPr>
              <w:t>uviđa da bi u zahtjevnom proračunskom kontekstu prednost trebalo dati integraciji pripadnika skupine NEET koji su neaktivni ili ranjivi u programe pojačane Garancije za mlade;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26a</w:t>
            </w:r>
            <w:r>
              <w:t xml:space="preserve"> </w:t>
            </w:r>
            <w:r>
              <w:rPr>
                <w:b/>
                <w:i/>
              </w:rPr>
              <w:t>Europska komisija, Glavna uprava za zapošljavanje, socijalna pitanja i uključivanje, Tablica podataka o izravnim pokazateljima Garancije za mlade, veljača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ističe da su žene, a posebno samohrane majke, i dalje prekomjerno zastupljene u skupini NEET, unatoč pojačanoj rodnoj dimenziji pojačane Garancije za mlade;</w:t>
            </w:r>
            <w:r>
              <w:t xml:space="preserve"> </w:t>
            </w:r>
            <w:r>
              <w:rPr>
                <w:b/>
                <w:i/>
              </w:rPr>
              <w:t>naglašava da provedba Garancije za mlade mora bolje odražavati rodno specifične obrasce, pri čemu je vjerojatnije da će žene postati neaktivne pripadnice skupine NEET te da će biti izvan radne snage, dok je za muškarce vjerojatnije da će biti nezaposleni pripadnici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ističe ključnu ulogu škola i sveučilišta, koji djeluju kao poveznica između obrazovnih sustava i tržišta rada, sprečavaju rano napuštanje obrazovanja, odljev talenata iz EU-a te promiču informacije o mogućnostima u okviru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w:t>
            </w:r>
            <w:r>
              <w:tab/>
            </w:r>
            <w:r>
              <w:rPr>
                <w:b/>
                <w:i/>
              </w:rPr>
              <w:t>napominje da je pristup provedbi u četiri faze neujednačen među državama članicama;</w:t>
            </w:r>
            <w:r>
              <w:t xml:space="preserve"> </w:t>
            </w:r>
            <w:r>
              <w:rPr>
                <w:b/>
                <w:i/>
              </w:rPr>
              <w:t>posebno naglašava da je mapiranje usluga potpore i ciljnih skupina i dalje ograničeno u državama članicama, što čak dovodi do situacija u kojima korisnici nisu svjesni da sudjeluju u programima Garancije za mlade;</w:t>
            </w:r>
            <w:r>
              <w:t xml:space="preserve"> </w:t>
            </w:r>
            <w:r>
              <w:rPr>
                <w:b/>
                <w:i/>
              </w:rPr>
              <w:t>napominje da se fragmentirani pristup između institucija i službi odgovornih za provedbu pojačane Garancije za mlade često pripisuje pravilima o zaštiti podataka, zastarjelim registrima ili neutvrđivanju odgovornog tijela, čime se sprečava razmjena osobnih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w:t>
            </w:r>
            <w:r>
              <w:tab/>
            </w:r>
            <w:r>
              <w:rPr>
                <w:b/>
                <w:i/>
              </w:rPr>
              <w:t>naglašava da su nedovoljni kapaciteti i resursi u javnim službama za zapošljavanje i dalje kritična i trajna prepreka učinkovitoj provedbi pojačane Garancije za mlade;</w:t>
            </w:r>
            <w:r>
              <w:t xml:space="preserve"> </w:t>
            </w:r>
            <w:r>
              <w:rPr>
                <w:b/>
                <w:i/>
              </w:rPr>
              <w:t>zabrinut je zbog toga što se osoblju javnih službi za zapošljavanje često ne osigurava odgovarajuće osposobljavanje ili resursi potrebni kako bi se učinkovito utvrdili pripadnici skupine NEET, kako bi se doprlo do njih te kako bi im se pružila prilagođena podrška, posebno najranjivijima i onima do kojih je najteže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c.</w:t>
            </w:r>
            <w:r>
              <w:tab/>
            </w:r>
            <w:r>
              <w:rPr>
                <w:b/>
                <w:i/>
              </w:rPr>
              <w:t>ističe uočene institucijske i administrativne prepreke s kojima se suočavaju mladi migranti pri pokušaju pristupa pojačanoj Garanciji za mlade, obrazovanju i tržištu rada općenito;</w:t>
            </w:r>
            <w:r>
              <w:t xml:space="preserve"> </w:t>
            </w:r>
            <w:r>
              <w:rPr>
                <w:b/>
                <w:i/>
              </w:rPr>
              <w:t>ističe sporo i složeno priznavanje kvalifikacija, birokratske postupke izdavanja radnih dozvola i ograničen pristup javnim službama za zapošljavanje;</w:t>
            </w:r>
            <w:r>
              <w:t xml:space="preserve"> </w:t>
            </w:r>
            <w:r>
              <w:rPr>
                <w:b/>
                <w:i/>
              </w:rPr>
              <w:t>napominje da takve izazove često pogoršavaju strogi institucijski okviri, jezične prepreke i nedostatak prilagođene potpore, što stvara rizik od zarobljavanja mladih migranata u neformalnom zaposlenju ili dugoročnoj nezaposlenosti te otežava njihovu učinkovitu integraciju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c.</w:t>
            </w:r>
            <w:r>
              <w:tab/>
            </w:r>
            <w:r>
              <w:rPr>
                <w:b/>
                <w:i/>
              </w:rPr>
              <w:t>naglašava apsolutnu nužnost brze i kontinuirane intervencije za pripadnike skupine NEET kako bi se spriječilo da ostanu zarobljeni u ranjivim situacijama;</w:t>
            </w:r>
            <w:r>
              <w:t xml:space="preserve"> </w:t>
            </w:r>
            <w:r>
              <w:rPr>
                <w:b/>
                <w:i/>
              </w:rPr>
              <w:t>u tom kontekstu žali zbog općenito predugog vremena čekanja na ponude u okviru pojačane Garancije za mlade te zbog toga što se udio pravodobnih i pozitivnih izlazaka blago smanjio otkako je Garancija za mlade pojačana;</w:t>
            </w:r>
            <w:r>
              <w:t xml:space="preserve"> </w:t>
            </w:r>
            <w:r>
              <w:rPr>
                <w:b/>
                <w:i/>
              </w:rPr>
              <w:t>napominje, međutim, da se učinkovitost zapošljavanja prvenstveno mjeri pozitivnim ishodima koje ona donose, a koji su blago opali nakon šest mjeseci, što upućuje na nedostatak povećanja potpore nakon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11.d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d.</w:t>
            </w:r>
            <w:r>
              <w:tab/>
            </w:r>
            <w:r>
              <w:rPr>
                <w:b/>
                <w:i/>
              </w:rPr>
              <w:t>naglašava napore uložene u nekim državama članicama u analizu digitalnih vještina pripadnika skupine NEET, a koje provode javne službe za zapošljavanje ili se provode putem samoprocjene, no ističe da mnogi mladi pate od digitalne nepismenosti, unatoč korištenju digitalnih alata;</w:t>
            </w:r>
            <w:r>
              <w:t xml:space="preserve"> </w:t>
            </w:r>
            <w:r>
              <w:rPr>
                <w:b/>
                <w:i/>
              </w:rPr>
              <w:t>žali zbog toga što se u većini slučajeva naglasak stavljen na vještine u jačanju Garancije za mlade ne odražava jasnije u analiziranim rezultatima i što inicijative za razvoj vještina u okviru tih programa nisu bolje integrirane u odnosu na druge inicijative u području vještina na razini EU-a i na nacionalnoj razini;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zabrinut je zbog uočenog trenda prelaska s personaliziranih na opće usluge u okviru programa pojačane Garancije za mlade;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zabrinut je zbog uočenog trenda prelaska s personaliziranih na opće usluge u okviru programa pojačane Garancije za mlade;</w:t>
            </w:r>
          </w:p>
        </w:tc>
        <w:tc>
          <w:tcPr>
            <w:tcW w:w="4876" w:type="dxa"/>
            <w:tcBorders>
              <w:top w:val="nil"/>
              <w:left w:val="nil"/>
              <w:bottom w:val="nil"/>
              <w:right w:val="nil"/>
            </w:tcBorders>
          </w:tcPr>
          <w:p>
            <w:pPr>
              <w:pStyle w:val="Normal6a"/>
            </w:pPr>
            <w:r>
              <w:t>12.</w:t>
            </w:r>
            <w:r>
              <w:tab/>
            </w:r>
            <w:r>
              <w:t>zabrinut je zbog uočenog trenda prelaska s personaliziranih na opće usluge u okviru programa pojačane Garancije za mlade</w:t>
            </w:r>
            <w:r>
              <w:rPr>
                <w:b/>
                <w:i/>
                <w:vertAlign w:val="superscript"/>
              </w:rPr>
              <w:t>27a</w:t>
            </w:r>
            <w:r>
              <w:t xml:space="preserve">; </w:t>
            </w:r>
            <w:r>
              <w:rPr>
                <w:b/>
                <w:i/>
              </w:rPr>
              <w:t>naglašava da je personalizirani pristup jedan od ključnih elemenata u jačanju Garancije za mlade i da je taj pristup potreban za pripadnike skupine NEET, koji imaju različite potrebe i čije se podskupine mogu mijenjati;</w:t>
            </w:r>
            <w:r>
              <w:t xml:space="preserve"> </w:t>
            </w:r>
            <w:r>
              <w:rPr>
                <w:b/>
                <w:i/>
              </w:rPr>
              <w:t>podsjeća da su mjere prilagođene potrebama mladih obično učinkovitije i isplativije jer se niskim troškovima pružanja općih usluga ne nadoknađuje niska učinkovitost tog pristupa;</w:t>
            </w:r>
            <w:r>
              <w:t xml:space="preserve"> </w:t>
            </w:r>
            <w:r>
              <w:rPr>
                <w:b/>
                <w:i/>
              </w:rPr>
              <w:t>međutim, naglašava napore koje je nekoliko država članica uložilo kako bi ojačalo personalizirani pristup svojih programa u okviru pojačane Garancije za mlade, posebno time što su u središte pripremne faze uključile individualni akcijski plan temeljen na profilu korisnika;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27a</w:t>
            </w:r>
            <w:r>
              <w:t xml:space="preserve"> </w:t>
            </w:r>
            <w:r>
              <w:rPr>
                <w:b/>
                <w:i/>
              </w:rPr>
              <w:t>EMCO-ovo preispitivanje provedbe Garancije za mlade – Ključne poruke (6831/24).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zabrinut </w:t>
            </w:r>
            <w:r>
              <w:rPr>
                <w:b/>
                <w:i/>
              </w:rPr>
              <w:t>je zbog uočenog trenda prelaska s personaliziranih na opće usluge u okviru</w:t>
            </w:r>
            <w:r>
              <w:t xml:space="preserve"> programa pojačane Garancije za mlade;</w:t>
            </w:r>
          </w:p>
        </w:tc>
        <w:tc>
          <w:tcPr>
            <w:tcW w:w="4876" w:type="dxa"/>
            <w:tcBorders>
              <w:top w:val="nil"/>
              <w:left w:val="nil"/>
              <w:bottom w:val="nil"/>
              <w:right w:val="nil"/>
            </w:tcBorders>
          </w:tcPr>
          <w:p>
            <w:pPr>
              <w:pStyle w:val="Normal6a"/>
            </w:pPr>
            <w:r>
              <w:t>12.</w:t>
            </w:r>
            <w:r>
              <w:tab/>
            </w:r>
            <w:r>
              <w:rPr>
                <w:b/>
                <w:i/>
              </w:rPr>
              <w:t>duboko je</w:t>
            </w:r>
            <w:r>
              <w:t xml:space="preserve"> zabrinut </w:t>
            </w:r>
            <w:r>
              <w:rPr>
                <w:b/>
                <w:i/>
              </w:rPr>
              <w:t>zbog kontinuiranog neuspjeha</w:t>
            </w:r>
            <w:r>
              <w:t xml:space="preserve"> programa pojačane Garancije za mlade </w:t>
            </w:r>
            <w:r>
              <w:rPr>
                <w:b/>
                <w:i/>
              </w:rPr>
              <w:t>u pružanju personaliziranih usluga i trenda zauzimanja sve općenitijih pristupa</w:t>
            </w:r>
            <w:r>
              <w:t xml:space="preserve">; </w:t>
            </w:r>
            <w:r>
              <w:rPr>
                <w:b/>
                <w:i/>
              </w:rPr>
              <w:t>naglašava da su univerzalni pristupi doprinijeli raširenosti ponuda u okviru pojačane Garancije za mlade koje nisu usklađene s vještinama i individualnim profilima korisnika;</w:t>
            </w:r>
            <w:r>
              <w:t xml:space="preserve"> </w:t>
            </w:r>
            <w:r>
              <w:rPr>
                <w:b/>
                <w:i/>
              </w:rPr>
              <w:t>ističe da se time sustavno zanemaruju dugotrajno nezaposleni i ranjivi pripadnici skupine NEET koji se suočavaju s višestrukim i kumulativnim preprekama, dok se pritom prednost daje onima do kojih je lakše doprijeti i kojima je lakše pružiti potporu;</w:t>
            </w:r>
            <w:r>
              <w:t xml:space="preserve"> </w:t>
            </w:r>
            <w:r>
              <w:rPr>
                <w:b/>
                <w:i/>
              </w:rPr>
              <w:t>naglašava da heterogenost pripadnika skupine NEET i znatne razlike u regionalnim i lokalnim uvjetima na tržištu rada zahtijevaju prilagođene i personalizirane pristupe;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zabrinut je zbog uočenog trenda </w:t>
            </w:r>
            <w:r>
              <w:rPr>
                <w:b/>
                <w:i/>
              </w:rPr>
              <w:t>prelaska s personaliziranih na opće usluge</w:t>
            </w:r>
            <w:r>
              <w:t xml:space="preserve"> u okviru programa pojačane Garancije za mlade;</w:t>
            </w:r>
          </w:p>
        </w:tc>
        <w:tc>
          <w:tcPr>
            <w:tcW w:w="4876" w:type="dxa"/>
            <w:tcBorders>
              <w:top w:val="nil"/>
              <w:left w:val="nil"/>
              <w:bottom w:val="nil"/>
              <w:right w:val="nil"/>
            </w:tcBorders>
          </w:tcPr>
          <w:p>
            <w:pPr>
              <w:pStyle w:val="Normal6a"/>
            </w:pPr>
            <w:r>
              <w:t>12.</w:t>
            </w:r>
            <w:r>
              <w:tab/>
            </w:r>
            <w:r>
              <w:rPr>
                <w:b/>
                <w:i/>
              </w:rPr>
              <w:t>primjećuje da su pripadnici skupine NEET raznolika skupina ljudi s različitim potrebama te da bi političke inicijative trebale odražavati tu raznolikost;</w:t>
            </w:r>
            <w:r>
              <w:t xml:space="preserve"> zabrinut je zbog uočenog trenda u okviru programa pojačane Garancije za mlade </w:t>
            </w:r>
            <w:r>
              <w:rPr>
                <w:b/>
                <w:i/>
              </w:rPr>
              <w:t>u nekim državama članicama u pogledu prelaska s personaliziranih na opće usluge, koje su se pokazale manje učinkovite u uključivanju mladih s manje mogućnosti i neregistriranih pripadnika skupine NEET te kojima se zanemaruju višeslojne i kumulativne poteškoće s kojima se suočavaju mladi s intersekcijskim identitetima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zabrinut je zbog uočenog trenda prelaska s personaliziranih na opće usluge</w:t>
            </w:r>
            <w:r>
              <w:t xml:space="preserve"> u okviru programa pojačane Garancije za mlade;</w:t>
            </w:r>
          </w:p>
        </w:tc>
        <w:tc>
          <w:tcPr>
            <w:tcW w:w="4876" w:type="dxa"/>
            <w:tcBorders>
              <w:top w:val="nil"/>
              <w:left w:val="nil"/>
              <w:bottom w:val="nil"/>
              <w:right w:val="nil"/>
            </w:tcBorders>
          </w:tcPr>
          <w:p>
            <w:pPr>
              <w:pStyle w:val="Normal6a"/>
            </w:pPr>
            <w:r>
              <w:t>12.</w:t>
            </w:r>
            <w:r>
              <w:tab/>
            </w:r>
            <w:r>
              <w:rPr>
                <w:b/>
                <w:i/>
              </w:rPr>
              <w:t>ističe da je važno da se</w:t>
            </w:r>
            <w:r>
              <w:t xml:space="preserve"> u okviru programa pojačane Garancije za mlade </w:t>
            </w:r>
            <w:r>
              <w:rPr>
                <w:b/>
                <w:i/>
              </w:rPr>
              <w:t>pružaju što personaliziranije usluge te da se pritom izbjegavaju, kad god je to moguće, općenitiji pristupi kako bi se mladima pružile mogućnosti zaposlenja koje najbolje odgovaraju njihovu profilu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a.</w:t>
            </w:r>
            <w:r>
              <w:tab/>
            </w:r>
            <w:r>
              <w:rPr>
                <w:b/>
                <w:i/>
              </w:rPr>
              <w:t>napominje da Komisija smatra da su pojedinačno prilagođene mjere općenito učinkovitije, posebno za skupine u nepovoljnom položaju i one koji su najudaljeniji od tržišta rada, te da mogu biti i troškovno učinkovitije;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w:t>
            </w:r>
            <w:r>
              <w:tab/>
            </w:r>
            <w:r>
              <w:rPr>
                <w:b/>
                <w:i/>
              </w:rPr>
              <w:t>naglašava da se loša horizontalna koordinacija između nacionalnih, regionalnih i lokalnih aktera pokazala trajnim izazovom za učinkovitu provedbu pojačane Garancije za mlade;</w:t>
            </w:r>
            <w:r>
              <w:t xml:space="preserve"> </w:t>
            </w:r>
            <w:r>
              <w:rPr>
                <w:b/>
                <w:i/>
              </w:rPr>
              <w:t>sa zabrinutošću napominje da je nedovoljna vertikalna koordinacija između nacionalne razine i razine Unije dodatno pogoršala te izazove, pri čemu se nacionalna tijela suočavaju sa znatnim poteškoćama u pristupu dostupnim sredstvima Unije i njihovu korištenju;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w:t>
            </w:r>
            <w:r>
              <w:tab/>
            </w:r>
            <w:r>
              <w:rPr>
                <w:b/>
                <w:i/>
              </w:rPr>
              <w:t>podsjeća da su najdjelotvornije mjere za poboljšanje zapošljivosti mladih one koje su povezane s učenjem temeljenim na radu i strukovnim vještinama uz izravno sudjelovanje poslodavaca, uključujući visokokvalitetna i pravedno plaćena pripravništva, naukovanje te strukovno obrazovanje i osposobljavanje;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c.</w:t>
            </w:r>
            <w:r>
              <w:tab/>
            </w:r>
            <w:r>
              <w:rPr>
                <w:b/>
                <w:i/>
              </w:rPr>
              <w:t>žali zbog toga što mnoga javna tijela nisu u dovoljnoj mjeri uključila socijalne partnere, organizacije civilnog društva i organizacije mladih u osmišljavanje, provedbu i evaluaciju pojačane Garancije za mlade, čime se ugrožava njezina učinkovitost;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c.</w:t>
            </w:r>
            <w:r>
              <w:tab/>
            </w:r>
            <w:r>
              <w:rPr>
                <w:b/>
                <w:i/>
              </w:rPr>
              <w:t>ističe da je visok udio učenja u stvarnim radnim okruženjima snažan pokretač zapošljivosti, razvoja vještina i inovacija;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d.</w:t>
            </w:r>
            <w:r>
              <w:tab/>
            </w:r>
            <w:r>
              <w:rPr>
                <w:b/>
                <w:i/>
              </w:rPr>
              <w:t>podsjeća da su dvojni obrazovni sustavi kojima se učenje u učionici kombinira s praktičnim radnim iskustvom posebno učinkoviti u olakšavanju neometanog prijelaza na stabilno zaposlenje;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e.</w:t>
            </w:r>
            <w:r>
              <w:tab/>
            </w:r>
            <w:r>
              <w:rPr>
                <w:b/>
                <w:i/>
              </w:rPr>
              <w:t>naglašava da visokokvalitetno strukovno obrazovanje i osposobljavanje ima ključnu ulogu u povećanju zapošljivosti mladih i zadovoljavanju potreba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f.</w:t>
            </w:r>
            <w:r>
              <w:tab/>
            </w:r>
            <w:r>
              <w:rPr>
                <w:b/>
                <w:i/>
              </w:rPr>
              <w:t>podsjeća da bi programi strukovnog obrazovanja i osposobljavanja trebali stalno prilagođavati kurikulume kako bi uključivali dobrobit na radnom mjestu, zapošljivost, digitalne vještine, inovacije, umjetnu inteligenciju i nove sektore;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g.</w:t>
            </w:r>
            <w:r>
              <w:tab/>
            </w:r>
            <w:r>
              <w:rPr>
                <w:b/>
                <w:i/>
              </w:rPr>
              <w:t>napominje da je usklađivanje obrazovanja, osposobljavanja i prekvalifikacije s potrebama tržišta rada ključno kako bi mladi i odrasli stekli vještine potrebne za zapošljavanje;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h.</w:t>
            </w:r>
            <w:r>
              <w:tab/>
            </w:r>
            <w:r>
              <w:rPr>
                <w:b/>
                <w:i/>
              </w:rPr>
              <w:t>naglašava da su mladima, na koje utječu digitalna i ekološka tranzicija, potrebne vještine i mogućnosti za poticanje inovacija, konkurentnosti, produktivnosti i gospodarskog rasta;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12.i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i.</w:t>
            </w:r>
            <w:r>
              <w:tab/>
            </w:r>
            <w:r>
              <w:rPr>
                <w:b/>
                <w:i/>
              </w:rPr>
              <w:t>naglašava da prevelik broj mladih napušta obvezno obrazovanje bez vještina potrebnih za strukovno obrazovanje i osposobljavanje ili kvalitetna radna mjesta, čime se povećava rizik od njihove isključenosti s tržišta rada i pogoršava nedostatak vještina;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12.j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j.</w:t>
            </w:r>
            <w:r>
              <w:tab/>
            </w:r>
            <w:r>
              <w:rPr>
                <w:b/>
                <w:i/>
              </w:rPr>
              <w:t>naglašava da su jačanje spremnosti za osposobljavanje i promicanje strukovnog obrazovanja i osposobljavanja kao jednakog i privlačnog puta ključni za osiguravanje pravednih mogućnosti te kvalificirane i otporne radne snage u Uniji;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12.k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k.</w:t>
            </w:r>
            <w:r>
              <w:tab/>
            </w:r>
            <w:r>
              <w:rPr>
                <w:b/>
                <w:i/>
              </w:rPr>
              <w:t>ističe da su poboljšanje programa strukovnog obrazovanja i osposobljavanja, povećanje privlačnosti tehničkih zanimanja te usklađivanje osposobljavanja s ekološkom i digitalnom tranzicijom ključni za zapošljavanje mladih i klimatske, stambene i infrastrukturne ciljeve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12.l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l.</w:t>
            </w:r>
            <w:r>
              <w:tab/>
            </w:r>
            <w:r>
              <w:rPr>
                <w:b/>
                <w:i/>
              </w:rPr>
              <w:t>ponavlja da osiguravanje zajamčenog pristupa besplatnom, individualnom osposobljavanju tijekom radnog vremena za mlade ljude, posebno buduće roditelje i mlade žene s obvezama skrbi, može pomoći u prevladavanju vremenskih, obiteljskih i financijskih prepreka, čime se podupire cjeloživotno učenje i uključivanje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12.m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m.</w:t>
            </w:r>
            <w:r>
              <w:tab/>
            </w:r>
            <w:r>
              <w:rPr>
                <w:b/>
                <w:i/>
              </w:rPr>
              <w:t>ističe da se neformalnim pružanjem skrbi, uključujući roditeljstvo, razvijaju vrijedne, prenosive vještine koje su izravno relevantne za suvremene potrebe tržišta rada, ali koje nisu priznate u formalnim sustavima;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12.n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n.</w:t>
            </w:r>
            <w:r>
              <w:tab/>
            </w:r>
            <w:r>
              <w:rPr>
                <w:b/>
                <w:i/>
              </w:rPr>
              <w:t>naglašava da bi kompetencije koje mladi steknu formalnim, neformalnim i informalnim učenjem trebalo u potpunosti priznati i vrednovati u svrhu napredovanja u karijeri i profesionalnog razvoja;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12.o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o.</w:t>
            </w:r>
            <w:r>
              <w:tab/>
            </w:r>
            <w:r>
              <w:rPr>
                <w:b/>
                <w:i/>
              </w:rPr>
              <w:t>ističe da se priznavanjem kompetencija u području skrbi doprinosi izbjegavanju negativnih posljedica za karijeru majki i njegovatelja, pomaže u profesionalnom razvoju te se smanjuju prepreke ponovnom ulasku na tržište rada, čime se ublažava rizik od stjecanja statusa NEET-a i dugoročne gospodarske isključenosti;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12.p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p.</w:t>
            </w:r>
            <w:r>
              <w:tab/>
            </w:r>
            <w:r>
              <w:rPr>
                <w:b/>
                <w:i/>
              </w:rPr>
              <w:t>naglašava da su mjere potpore mobilnosti ključne za osiguravanje jednakog pristupa kvalitetnom strukovnom obrazovanju i osposobljavanju u svim regijama;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12.q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q.</w:t>
            </w:r>
            <w:r>
              <w:tab/>
            </w:r>
            <w:r>
              <w:rPr>
                <w:b/>
                <w:i/>
              </w:rPr>
              <w:t>naglašava da politike uključivanja mladih koje su usmjerene na osiguravanje pristupa kvalitetnom obrazovanju, zapošljavanju, mobilnosti radne snage i poduzetništvu mogu pomoći da se mladima omogući da doprinose svojim zajednicama te gospodarskom i društvenom razvoju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12.r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r.</w:t>
            </w:r>
            <w:r>
              <w:tab/>
            </w:r>
            <w:r>
              <w:rPr>
                <w:b/>
                <w:i/>
              </w:rPr>
              <w:t>snažno podsjeća na to da se uspješnost i sposobnost učenja svih mladih, uključujući one u dobi od 15 do 18 godina te starije, poboljšavaju zdravom prehranom;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napominje da je, unatoč naglasku na usklađivanju kriterija kvalitete s okvirima EU-a, od uvođenja pojačane Garancije za mlade došlo do vrlo ograničenog stvarnog poboljšanja kvalitete ponuda;</w:t>
            </w:r>
          </w:p>
        </w:tc>
        <w:tc>
          <w:tcPr>
            <w:tcW w:w="4876" w:type="dxa"/>
            <w:tcBorders>
              <w:top w:val="nil"/>
              <w:left w:val="nil"/>
              <w:bottom w:val="nil"/>
              <w:right w:val="nil"/>
            </w:tcBorders>
          </w:tcPr>
          <w:p>
            <w:pPr>
              <w:pStyle w:val="Normal6a"/>
            </w:pPr>
            <w:r>
              <w:t>13.</w:t>
            </w:r>
            <w:r>
              <w:tab/>
            </w:r>
            <w:r>
              <w:t xml:space="preserve">napominje da je, unatoč naglasku na usklađivanju kriterija kvalitete s okvirima EU-a, od uvođenja pojačane Garancije za mlade došlo do vrlo ograničenog stvarnog poboljšanja kvalitete ponuda; </w:t>
            </w:r>
            <w:r>
              <w:rPr>
                <w:b/>
                <w:i/>
              </w:rPr>
              <w:t>zabrinut je zbog povratnih informacija dionika koje pokazuju oslanjanje na ponude subvencioniranog zapošljavanja koje dovode do ugovora na određeno vrijeme, pripravništva bez jasnih ciljeva učenja ili nedostatka povezanosti između kvalifikacija sudionika i primljenih ponuda, kao i između potreba i dostupnih usluga;</w:t>
            </w:r>
            <w:r>
              <w:t xml:space="preserve"> </w:t>
            </w:r>
            <w:r>
              <w:rPr>
                <w:b/>
                <w:i/>
              </w:rPr>
              <w:t>podsjeća da se u preporuci naglašava da bi se kvaliteta ponude trebala osigurati potporom i povratnim informacijama nakon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napominje da je, unatoč naglasku na usklađivanju kriterija kvalitete s okvirima EU-a, od uvođenja pojačane Garancije za mlade došlo do vrlo ograničenog stvarnog poboljšanja kvalitete ponuda;</w:t>
            </w:r>
          </w:p>
        </w:tc>
        <w:tc>
          <w:tcPr>
            <w:tcW w:w="4876" w:type="dxa"/>
            <w:tcBorders>
              <w:top w:val="nil"/>
              <w:left w:val="nil"/>
              <w:bottom w:val="nil"/>
              <w:right w:val="nil"/>
            </w:tcBorders>
          </w:tcPr>
          <w:p>
            <w:pPr>
              <w:pStyle w:val="Normal6a"/>
            </w:pPr>
            <w:r>
              <w:t>13.</w:t>
            </w:r>
            <w:r>
              <w:tab/>
            </w:r>
            <w:r>
              <w:t xml:space="preserve">napominje da je, unatoč naglasku na usklađivanju kriterija kvalitete s okvirima EU-a, od uvođenja pojačane Garancije za mlade došlo do vrlo ograničenog stvarnog poboljšanja kvalitete ponuda; </w:t>
            </w:r>
            <w:r>
              <w:rPr>
                <w:b/>
                <w:i/>
              </w:rPr>
              <w:t>ističe da bi ponude koje se pružaju u okviru pojačane Garancije za mlade trebale biti stvarno kvalitetne te da bi trebale voditi do učinkovitog stjecanja vještina koje su danas potrebne ili do stabilne integracije na tržište rada te da ne bi trebale uključivati zamjenu redovnih radnih odnosa, zloupotrebu pripravništva ili stalnu cirkulaciju mladih na privremenim i nesigurnim ranim mjestima;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napominje da je, unatoč naglasku na usklađivanju kriterija kvalitete s okvirima EU-a, od uvođenja pojačane Garancije za mlade došlo do vrlo ograničenog stvarnog poboljšanja kvalitete ponuda;</w:t>
            </w:r>
          </w:p>
        </w:tc>
        <w:tc>
          <w:tcPr>
            <w:tcW w:w="4876" w:type="dxa"/>
            <w:tcBorders>
              <w:top w:val="nil"/>
              <w:left w:val="nil"/>
              <w:bottom w:val="nil"/>
              <w:right w:val="nil"/>
            </w:tcBorders>
          </w:tcPr>
          <w:p>
            <w:pPr>
              <w:pStyle w:val="Normal6a"/>
            </w:pPr>
            <w:r>
              <w:t>13.</w:t>
            </w:r>
            <w:r>
              <w:tab/>
            </w:r>
            <w:r>
              <w:t xml:space="preserve">napominje da je, unatoč naglasku na usklađivanju kriterija kvalitete s okvirima EU-a, od uvođenja pojačane Garancije za mlade došlo do vrlo ograničenog stvarnog poboljšanja kvalitete ponuda; </w:t>
            </w:r>
            <w:r>
              <w:rPr>
                <w:b/>
                <w:i/>
              </w:rPr>
              <w:t>također naglašava da su mladima potrebne konkretne i visokokvalitetne mogućnosti, posebno učenje povezano s radom, naukovanje, pripravništvo i prva radna iskustva koja odgovaraju potrebama tržišta rada i pomažu u izbjegavanju neusklađenosti vještina i potencijalnog odljeva talenata;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napominje da</w:t>
            </w:r>
            <w:r>
              <w:t xml:space="preserve"> je, unatoč naglasku na usklađivanju kriterija kvalitete s okvirima EU-a, od uvođenja </w:t>
            </w:r>
            <w:r>
              <w:rPr>
                <w:b/>
                <w:i/>
              </w:rPr>
              <w:t>pojačane</w:t>
            </w:r>
            <w:r>
              <w:t xml:space="preserve"> Garancije za mlade došlo do vrlo ograničenog stvarnog poboljšanja kvalitete ponuda;</w:t>
            </w:r>
          </w:p>
        </w:tc>
        <w:tc>
          <w:tcPr>
            <w:tcW w:w="4876" w:type="dxa"/>
            <w:tcBorders>
              <w:top w:val="nil"/>
              <w:left w:val="nil"/>
              <w:bottom w:val="nil"/>
              <w:right w:val="nil"/>
            </w:tcBorders>
          </w:tcPr>
          <w:p>
            <w:pPr>
              <w:pStyle w:val="Normal6a"/>
            </w:pPr>
            <w:r>
              <w:t>13.</w:t>
            </w:r>
            <w:r>
              <w:tab/>
            </w:r>
            <w:r>
              <w:rPr>
                <w:b/>
                <w:i/>
              </w:rPr>
              <w:t>žali zbog toga što</w:t>
            </w:r>
            <w:r>
              <w:t xml:space="preserve"> je, unatoč naglasku na usklađivanju kriterija kvalitete s okvirima EU-a, od uvođenja </w:t>
            </w:r>
            <w:r>
              <w:rPr>
                <w:b/>
                <w:i/>
              </w:rPr>
              <w:t>pojačanja</w:t>
            </w:r>
            <w:r>
              <w:t xml:space="preserve"> Garancije za mlade došlo do vrlo ograničenog stvarnog poboljšanja kvalitete ponuda; </w:t>
            </w:r>
            <w:r>
              <w:rPr>
                <w:b/>
                <w:i/>
              </w:rPr>
              <w:t>naglašava da se poboljšanju kvalitete ponuda pojačane Garancije za mlade mora dati prioritet;</w:t>
            </w:r>
            <w:r>
              <w:t xml:space="preserve"> </w:t>
            </w:r>
            <w:r>
              <w:rPr>
                <w:b/>
                <w:i/>
              </w:rPr>
              <w:t>naglašava da je neprihvatljivo da neplaćene ponude ili volontiranje mogu biti obuhvaćeni područjem primjene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napominje da je, unatoč naglasku na usklađivanju kriterija kvalitete s okvirima EU-a, </w:t>
            </w:r>
            <w:r>
              <w:rPr>
                <w:b/>
                <w:i/>
              </w:rPr>
              <w:t>od uvođenja pojačane Garancije za mlade došlo do vrlo ograničenog stvarnog poboljšanja kvalitete ponuda</w:t>
            </w:r>
            <w:r>
              <w:t>;</w:t>
            </w:r>
          </w:p>
        </w:tc>
        <w:tc>
          <w:tcPr>
            <w:tcW w:w="4876" w:type="dxa"/>
            <w:tcBorders>
              <w:top w:val="nil"/>
              <w:left w:val="nil"/>
              <w:bottom w:val="nil"/>
              <w:right w:val="nil"/>
            </w:tcBorders>
          </w:tcPr>
          <w:p>
            <w:pPr>
              <w:pStyle w:val="Normal6a"/>
            </w:pPr>
            <w:r>
              <w:t>13.</w:t>
            </w:r>
            <w:r>
              <w:tab/>
            </w:r>
            <w:r>
              <w:t xml:space="preserve">napominje da je, unatoč naglasku na usklađivanju kriterija kvalitete s okvirima EU-a, </w:t>
            </w:r>
            <w:r>
              <w:rPr>
                <w:b/>
                <w:i/>
              </w:rPr>
              <w:t>kvaliteta ponuđenih radnih mjesta u mnogim slučajevima loša, da su ta mjesta slabo plaćena te da ne pružaju izglede za napredovanje</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a.</w:t>
            </w:r>
            <w:r>
              <w:tab/>
            </w:r>
            <w:r>
              <w:rPr>
                <w:b/>
                <w:i/>
              </w:rPr>
              <w:t>naglašava da se pojačanom Garancijom za mlade nije uspio aktivno riješiti problem diskriminacije na temelju dobi i raširenosti nesigurnih radnih mjesta, zbog čega su pripadnici skupine NEET, a posebno ranjivi pripadnici te skupine, izloženi riziku od iskorištavanja i siromaštva unatoč zaposlenju zbog niskih plaća, nedostatka socijalne zaštite, nedostatka sigurnosti zaposlenja i nejednakog postupanja;</w:t>
            </w:r>
            <w:r>
              <w:t xml:space="preserve"> </w:t>
            </w:r>
            <w:r>
              <w:rPr>
                <w:b/>
                <w:i/>
              </w:rPr>
              <w:t>zabrinut je zbog toga što bi to moglo doprinijeti normalizaciji nesigurnih i nekvalitetnih radnih mjesta na tržištu rada, pri čemu se stabilna i dostojanstvena radna mjesta zamjenjuju pripravništvima te nesigurnim i nestandardnim oblicima rada;</w:t>
            </w:r>
            <w:r>
              <w:t xml:space="preserve"> </w:t>
            </w:r>
            <w:r>
              <w:rPr>
                <w:b/>
                <w:i/>
              </w:rPr>
              <w:t>u tom pogledu naglašava da je potrebno otkriti i suzbiti prakse kojima se zaobilazi svrha pripravništava, kao i korištenje standardnih radnih odnosa koji se prikazuju kao stažiranje;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a.</w:t>
            </w:r>
            <w:r>
              <w:tab/>
            </w:r>
            <w:r>
              <w:rPr>
                <w:b/>
                <w:i/>
              </w:rPr>
              <w:t>prepoznaje inovativni potencijal inicijative Aim, Learn, Master, Achieve (ALMA) za pripadnike skupine NEET u nepovoljnom položaju kako bi se ranjivim ciljnim skupinama u okviru programa pojačane Garancije za mlade pružila dodatna potpora i iskustvo učenja kroz rad u inozemstvu;</w:t>
            </w:r>
            <w:r>
              <w:t xml:space="preserve"> </w:t>
            </w:r>
            <w:r>
              <w:rPr>
                <w:b/>
                <w:i/>
              </w:rPr>
              <w:t>naglašava da početne povratne informacije o tom programu upućuju na poteškoće u njegovoj operativnosti i na to da znatan broj sudionika napušta program, što ukazuje na potrebu za povećanom potporom organizacijama koje provode ili žele provesti projekte ALMA-e, kao i za ciljanom potporom korisnicima</w:t>
            </w:r>
            <w:r>
              <w:rPr>
                <w:b/>
                <w:i/>
                <w:vertAlign w:val="superscript"/>
              </w:rPr>
              <w:t>28a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28a</w:t>
            </w:r>
            <w:r>
              <w:t xml:space="preserve"> </w:t>
            </w:r>
            <w:r>
              <w:rPr>
                <w:b/>
                <w:i/>
              </w:rPr>
              <w:t>Evaluacija učinka projekata provedenih u okviru inicijative ALMA, Konačno izvješće o evaluaciji, Inicijativa za socijalne inovacije+,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w:t>
            </w:r>
            <w:r>
              <w:tab/>
            </w:r>
            <w:r>
              <w:rPr>
                <w:b/>
                <w:i/>
              </w:rPr>
              <w:t>žali zbog toga što je provedba pojačane Garancije za mlade i dalje nedovoljno povezana sa sustavima socijalne zaštite, što dovodi do slučajeva u kojima sudjelovanje u programima pojačane Garancije za mlade može dovesti do smanjenja ili ukidanja socijalnih naknada za pojedinačne pripadnike skupine NEET i njihova kućanstva;</w:t>
            </w:r>
            <w:r>
              <w:t xml:space="preserve"> </w:t>
            </w:r>
            <w:r>
              <w:rPr>
                <w:b/>
                <w:i/>
              </w:rPr>
              <w:t>smatra da to može dovesti do zamke siromaštva kojom se ranjive pripadnike skupine NEET odvraća od prihvaćanja ponuda za zapošljavanje, obrazovanje, osposobljavanje i usavršavanje;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w:t>
            </w:r>
            <w:r>
              <w:tab/>
            </w:r>
            <w:r>
              <w:rPr>
                <w:b/>
                <w:i/>
              </w:rPr>
              <w:t>pozdravlja programe razvijene u okviru programa pojačane Garancije za mlade u određenim državama članicama koji su usmjereni na razvoj poduzetništva mladih i poticaje za start-up poduzeća;</w:t>
            </w:r>
            <w:r>
              <w:t xml:space="preserve"> </w:t>
            </w:r>
            <w:r>
              <w:rPr>
                <w:b/>
                <w:i/>
              </w:rPr>
              <w:t>smatra da inicijative za start-up poduzeća zahtijevaju pojačanu i specijaliziranu potporu u razvoju održivog poslovnog plana koji može dovesti do održivog poslovanja;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c.</w:t>
            </w:r>
            <w:r>
              <w:tab/>
            </w:r>
            <w:r>
              <w:rPr>
                <w:b/>
                <w:i/>
              </w:rPr>
              <w:t>pozdravlja činjenicu da dionici Garancije za mlade smatraju da su sredstva EU-a koja su dostupna za njezino financiranje općenito primjerena i pristupačna;</w:t>
            </w:r>
            <w:r>
              <w:t xml:space="preserve"> </w:t>
            </w:r>
            <w:r>
              <w:rPr>
                <w:b/>
                <w:i/>
              </w:rPr>
              <w:t>međutim, primjećuje da u nekim državama članicama postoji tendencija da se za financiranje programa u okviru pojačane Garancije za mlade gotovo u potpunosti oslanjaju na ESF+, što otvara pitanja o održivosti tih programa ili o korištenju sredstava EU-a kao zamjene za već postojeća nacionalna sredstva, čime se ograničava kapacitet programa za širenje kao odgovor na potražnju;</w:t>
            </w:r>
            <w:r>
              <w:t xml:space="preserve"> </w:t>
            </w:r>
            <w:r>
              <w:rPr>
                <w:b/>
                <w:i/>
              </w:rPr>
              <w:t>zabrinut je zbog povratnih informacija koje upućuju na to da problemi sa sredstvima EU-a proizlaze iz trajnog nedostatka ljudskih kapaciteta, loše koordinacije u nekim državama članicama i nejasnih postupaka, čime se sprečavaju učinkovita apsorpcija i korištenje dostupnih sredstava;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13.d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d.</w:t>
            </w:r>
            <w:r>
              <w:tab/>
            </w:r>
            <w:r>
              <w:rPr>
                <w:b/>
                <w:i/>
              </w:rPr>
              <w:t>pozdravlja okvir pokazatelja za praćenje Garancije za mlade koje provodi Odbor za zapošljavanje (EMCO) i njegovo godišnje praćenje provedbe tog instrumenta te ističe pouzdanost i usporedivost podataka o pokazateljima agregiranih na razini EU-a;</w:t>
            </w:r>
            <w:r>
              <w:t xml:space="preserve"> </w:t>
            </w:r>
            <w:r>
              <w:rPr>
                <w:b/>
                <w:i/>
              </w:rPr>
              <w:t>međutim, žali zbog toga što je okvir za praćenje koji sadržava podatke koje dostavljaju države članice lošije kvalitete u pogledu prikupljanja podataka, sustava praćenja i visokog udjela nepoznatih situacija u rezultatima Garancije za mlade;</w:t>
            </w:r>
            <w:r>
              <w:t xml:space="preserve"> </w:t>
            </w:r>
            <w:r>
              <w:rPr>
                <w:b/>
                <w:i/>
              </w:rPr>
              <w:t>posebno ističe da nacionalni okviri za praćenje često isključuju neaktivne pripadnike skupine NEET koji nisu registrirani u javnim službama, zbog čega je velik dio ciljne skupine pojačane Garancije za mlade nevidljiv;</w:t>
            </w:r>
            <w:r>
              <w:t xml:space="preserve"> </w:t>
            </w:r>
            <w:r>
              <w:rPr>
                <w:b/>
                <w:i/>
              </w:rPr>
              <w:t>zabrinut je zbog toga što u nekoliko država članica uopće ne postoje pokazatelji za daljnje postupanje i što se njima ne uzima u obzir kvaliteta ponuda;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smatra da pojačana Garancija za mlade nije u potpunosti ostvarila svoje ciljeve i da ju je potrebno dodatno poboljšati kako bi se premostio jaz između ambicije tog instrumenta i njegove praktične provedbe;</w:t>
            </w:r>
          </w:p>
        </w:tc>
        <w:tc>
          <w:tcPr>
            <w:tcW w:w="4876" w:type="dxa"/>
            <w:tcBorders>
              <w:top w:val="nil"/>
              <w:left w:val="nil"/>
              <w:bottom w:val="nil"/>
              <w:right w:val="nil"/>
            </w:tcBorders>
          </w:tcPr>
          <w:p>
            <w:pPr>
              <w:pStyle w:val="Normal6a"/>
            </w:pPr>
            <w:r>
              <w:t>14.</w:t>
            </w:r>
            <w:r>
              <w:tab/>
            </w:r>
            <w:r>
              <w:t xml:space="preserve">smatra da pojačana Garancija za mlade nije u potpunosti ostvarila svoje ciljeve i da ju je potrebno dodatno poboljšati kako bi se premostio jaz između ambicije tog instrumenta i njegove praktične provedbe; </w:t>
            </w:r>
            <w:r>
              <w:rPr>
                <w:b/>
                <w:i/>
              </w:rPr>
              <w:t>naglašava da se nekim elementima pojačane Garancije za mlade odgovara na kritike početnog instrumenta, ali da ti elementi još nisu blizu ostvarenja zbog trajnih operativnih izazova, nedostatka definiranih ciljeva i evaluacije programa;</w:t>
            </w:r>
            <w:r>
              <w:t xml:space="preserve"> </w:t>
            </w:r>
            <w:r>
              <w:rPr>
                <w:b/>
                <w:i/>
              </w:rPr>
              <w:t>uviđa da se većina tih izazova nalazi na razini država članica, ali da EU mora nastaviti u potpunosti ispunjavati svoju ulogu u pružanju potpore, promicanju dobrih praksi i pružanju tehničke pomoći gdje je to potrebno;</w:t>
            </w:r>
            <w:r>
              <w:t xml:space="preserve"> </w:t>
            </w:r>
            <w:r>
              <w:rPr>
                <w:b/>
                <w:i/>
              </w:rPr>
              <w:t>žali zbog toga što je zaključak Europskog revizorskog suda iz 2017. da napredak Garancije za mlade nije u skladu s očekivanjima i dalje djelomično istinit gotovo 10 godina kasnije;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smatra da pojačana Garancija</w:t>
            </w:r>
            <w:r>
              <w:t xml:space="preserve"> za mlade </w:t>
            </w:r>
            <w:r>
              <w:rPr>
                <w:b/>
                <w:i/>
              </w:rPr>
              <w:t>nije</w:t>
            </w:r>
            <w:r>
              <w:t xml:space="preserve"> u potpunosti </w:t>
            </w:r>
            <w:r>
              <w:rPr>
                <w:b/>
                <w:i/>
              </w:rPr>
              <w:t>ostvarila svoje ciljeve i da ju je potrebno dodatno poboljšati</w:t>
            </w:r>
            <w:r>
              <w:t xml:space="preserve"> kako bi se premostio jaz između ambicije tog instrumenta i njegove praktične provedbe;</w:t>
            </w:r>
          </w:p>
        </w:tc>
        <w:tc>
          <w:tcPr>
            <w:tcW w:w="4876" w:type="dxa"/>
            <w:tcBorders>
              <w:top w:val="nil"/>
              <w:left w:val="nil"/>
              <w:bottom w:val="nil"/>
              <w:right w:val="nil"/>
            </w:tcBorders>
          </w:tcPr>
          <w:p>
            <w:pPr>
              <w:pStyle w:val="Normal6a"/>
            </w:pPr>
            <w:r>
              <w:t>14.</w:t>
            </w:r>
            <w:r>
              <w:tab/>
            </w:r>
            <w:r>
              <w:rPr>
                <w:b/>
                <w:i/>
              </w:rPr>
              <w:t>ističe transformacijski potencijal pojačane Garancije</w:t>
            </w:r>
            <w:r>
              <w:t xml:space="preserve"> za mlade </w:t>
            </w:r>
            <w:r>
              <w:rPr>
                <w:b/>
                <w:i/>
              </w:rPr>
              <w:t>u pogledu smanjenja nezaposlenosti mladih, podzaposlenosti i socijalne isključenosti;</w:t>
            </w:r>
            <w:r>
              <w:t xml:space="preserve"> </w:t>
            </w:r>
            <w:r>
              <w:rPr>
                <w:b/>
                <w:i/>
              </w:rPr>
              <w:t>žali zbog toga što države članice još nisu</w:t>
            </w:r>
            <w:r>
              <w:t xml:space="preserve"> u potpunosti </w:t>
            </w:r>
            <w:r>
              <w:rPr>
                <w:b/>
                <w:i/>
              </w:rPr>
              <w:t>ostvarile taj potencijal, odnosno što još nisu ispunjeni temeljni ciljevi instrumenta u pogledu smanjenja dugoročne neaktivnosti i reintegracije mladih koji ne rade, nisu u sustavu redovitog obrazovanja te nisu u sustavu obrazovanja odraslih (NEET) I koji su najudaljeniji od tržišta rada;</w:t>
            </w:r>
            <w:r>
              <w:t xml:space="preserve"> </w:t>
            </w:r>
            <w:r>
              <w:rPr>
                <w:b/>
                <w:i/>
              </w:rPr>
              <w:t>naglašava hitnu potrebu za ambicioznom reformom i dodatnim poboljšanjima,</w:t>
            </w:r>
            <w:r>
              <w:t xml:space="preserve"> kako bi se premostio jaz između ambicije tog instrumenta i njegove praktične provedbe;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smatra da pojačana Garancija za mlade nije u potpunosti ostvarila svoje ciljeve i da ju je potrebno dodatno poboljšati kako bi se premostio jaz između ambicije tog instrumenta i njegove praktične provedbe;</w:t>
            </w:r>
          </w:p>
        </w:tc>
        <w:tc>
          <w:tcPr>
            <w:tcW w:w="4876" w:type="dxa"/>
            <w:tcBorders>
              <w:top w:val="nil"/>
              <w:left w:val="nil"/>
              <w:bottom w:val="nil"/>
              <w:right w:val="nil"/>
            </w:tcBorders>
          </w:tcPr>
          <w:p>
            <w:pPr>
              <w:pStyle w:val="Normal6a"/>
            </w:pPr>
            <w:r>
              <w:t>14.</w:t>
            </w:r>
            <w:r>
              <w:tab/>
            </w:r>
            <w:r>
              <w:t xml:space="preserve">smatra da pojačana Garancija za mlade nije u potpunosti ostvarila svoje ciljeve i da ju je potrebno dodatno poboljšati kako bi se premostio jaz između ambicije tog instrumenta i njegove praktične provedbe; </w:t>
            </w:r>
            <w:r>
              <w:rPr>
                <w:b/>
                <w:i/>
              </w:rPr>
              <w:t>prima na znanje nedavne nalaze Eurofounda da je nesklad između težnji mladih za zapošljavanjem i konkretnih rezultata na tržištu rada povezan s većim rizikom od depresije i socijalne isključenosti;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smatra da pojačana Garancija za mlade nije u potpunosti ostvarila svoje ciljeve </w:t>
            </w:r>
            <w:r>
              <w:rPr>
                <w:b/>
                <w:i/>
              </w:rPr>
              <w:t>i da ju je potrebno dodatno poboljšati kako bi se premostio jaz između ambicije tog instrumenta i njegove praktične provedbe</w:t>
            </w:r>
            <w:r>
              <w:t>;</w:t>
            </w:r>
          </w:p>
        </w:tc>
        <w:tc>
          <w:tcPr>
            <w:tcW w:w="4876" w:type="dxa"/>
            <w:tcBorders>
              <w:top w:val="nil"/>
              <w:left w:val="nil"/>
              <w:bottom w:val="nil"/>
              <w:right w:val="nil"/>
            </w:tcBorders>
          </w:tcPr>
          <w:p>
            <w:pPr>
              <w:pStyle w:val="Normal6a"/>
            </w:pPr>
            <w:r>
              <w:t>14.</w:t>
            </w:r>
            <w:r>
              <w:tab/>
            </w:r>
            <w:r>
              <w:t>smatra da pojačana Garancija za mlade nije u potpunosti ostvarila svoje ciljeve;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smatra da pojačana Garancija za mlade nije u potpunosti ostvarila svoje ciljeve </w:t>
            </w:r>
            <w:r>
              <w:rPr>
                <w:b/>
                <w:i/>
              </w:rPr>
              <w:t>i da ju je potrebno dodatno poboljšati kako bi se premostio jaz između ambicije tog instrumenta i njegove praktične provedbe</w:t>
            </w:r>
            <w:r>
              <w:t>;</w:t>
            </w:r>
          </w:p>
        </w:tc>
        <w:tc>
          <w:tcPr>
            <w:tcW w:w="4876" w:type="dxa"/>
            <w:tcBorders>
              <w:top w:val="nil"/>
              <w:left w:val="nil"/>
              <w:bottom w:val="nil"/>
              <w:right w:val="nil"/>
            </w:tcBorders>
          </w:tcPr>
          <w:p>
            <w:pPr>
              <w:pStyle w:val="Normal6a"/>
            </w:pPr>
            <w:r>
              <w:t>14.</w:t>
            </w:r>
            <w:r>
              <w:tab/>
            </w:r>
            <w:r>
              <w:t>smatra da pojačana Garancija za mlade nije u potpunosti ostvarila svoje ciljeve;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naglašava da se stambene mjere prilagođene područjima u kojima se govore regionalni, manjinski ili manje korišteni nacionalni jezici moraju razviti u punoj suradnji s lokalnim zajednicama jer su one u najboljem položaju da razumiju vlastite potrebe i akutne izazove s kojima se suočavaju.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naglašava važnost poticajnog političkog okvira za provedbu pojačane Garancije za mlade, kao što su standardi kvalitete za zapošljavanje, radne uvjete, obrazovanje, pripravništvo i naukovanje, razvoj dodatnih ustanova za skrb o djeci kako bi se oslobodio potencijal roditelja, politike uključivanja osoba s invaliditetom, učinkovita prometna politika, mjere za osiguravanje cjenovne pristupačnosti stanovanja i odgovarajuće mogućnosti za stjecanje vještina;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poziva države članice da ostvare ciljana poboljšanja posebnih administrativnih</w:t>
            </w:r>
            <w:r>
              <w:t xml:space="preserve"> kapaciteta </w:t>
            </w:r>
            <w:r>
              <w:rPr>
                <w:b/>
                <w:i/>
              </w:rPr>
              <w:t>javnih službi za zapošljavanje i drugih nacionalnih</w:t>
            </w:r>
            <w:r>
              <w:t xml:space="preserve"> tijela odgovornih za provedbu pojačane Garancije za mlade;</w:t>
            </w:r>
          </w:p>
        </w:tc>
        <w:tc>
          <w:tcPr>
            <w:tcW w:w="4876" w:type="dxa"/>
            <w:tcBorders>
              <w:top w:val="nil"/>
              <w:left w:val="nil"/>
              <w:bottom w:val="nil"/>
              <w:right w:val="nil"/>
            </w:tcBorders>
          </w:tcPr>
          <w:p>
            <w:pPr>
              <w:pStyle w:val="Normal6a"/>
            </w:pPr>
            <w:r>
              <w:t>15.</w:t>
            </w:r>
            <w:r>
              <w:tab/>
            </w:r>
            <w:r>
              <w:rPr>
                <w:b/>
                <w:i/>
              </w:rPr>
              <w:t>potiče Europsku komisiju da podrži jačanje</w:t>
            </w:r>
            <w:r>
              <w:t xml:space="preserve"> kapaciteta </w:t>
            </w:r>
            <w:r>
              <w:rPr>
                <w:b/>
                <w:i/>
              </w:rPr>
              <w:t>nadležnih</w:t>
            </w:r>
            <w:r>
              <w:t xml:space="preserve"> tijela odgovornih za provedbu pojačane Garancije za mlade</w:t>
            </w:r>
            <w:r>
              <w:rPr>
                <w:b/>
                <w:i/>
              </w:rPr>
              <w:t>, među ostalim jačanjem administrativnih i ljudskih resursa specijaliziranih za potporu zapošljavanju mladih na način razmjeran izazovima s kojima se suočavaju</w:t>
            </w:r>
            <w:r>
              <w:t xml:space="preserve">; </w:t>
            </w:r>
            <w:r>
              <w:rPr>
                <w:b/>
                <w:i/>
              </w:rPr>
              <w:t>naglašava da u državama članicama u kojima su nadležnosti za aktivne politike tržišta rada i strukovno osposobljavanje dodijeljene podnacionalnim subjektima, programi izgradnje kapaciteta moraju biti jednako dostupni nadležnim regionalnim i lokalnim vlastima kao i središnjim vlastima;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poziva države članice da ostvare ciljana poboljšanja posebnih administrativnih kapaciteta javnih službi za zapošljavanje i drugih nacionalnih tijela odgovornih za provedbu pojačane Garancije za mlade;</w:t>
            </w:r>
          </w:p>
        </w:tc>
        <w:tc>
          <w:tcPr>
            <w:tcW w:w="4876" w:type="dxa"/>
            <w:tcBorders>
              <w:top w:val="nil"/>
              <w:left w:val="nil"/>
              <w:bottom w:val="nil"/>
              <w:right w:val="nil"/>
            </w:tcBorders>
          </w:tcPr>
          <w:p>
            <w:pPr>
              <w:pStyle w:val="Normal6a"/>
            </w:pPr>
            <w:r>
              <w:t>15.</w:t>
            </w:r>
            <w:r>
              <w:tab/>
            </w:r>
            <w:r>
              <w:t xml:space="preserve">poziva države članice da ostvare ciljana poboljšanja posebnih administrativnih kapaciteta javnih službi za zapošljavanje i drugih nacionalnih tijela odgovornih za provedbu pojačane Garancije za mlade; </w:t>
            </w:r>
            <w:r>
              <w:rPr>
                <w:b/>
                <w:i/>
              </w:rPr>
              <w:t>smatra da ta modernizacija i digitalizacija javnih službi za zapošljavanje mora biti popraćena ulaganjem u osposobljavanje specijaliziranog osoblja kako bi se omogućilo pružanje učinkovitih i personaliziranih usluga;</w:t>
            </w:r>
            <w:r>
              <w:t xml:space="preserve"> </w:t>
            </w:r>
            <w:r>
              <w:rPr>
                <w:b/>
                <w:i/>
              </w:rPr>
              <w:t>poziva Komisiju da osigura bolju opremljenost javnih službi za zapošljavanje kako bi se doprlo do mladih koji ne rade, nisu u sustavu redovitog obrazovanja te nisu u sustavu obrazovanja odraslih i koji se suočavaju sa složenim preprekama;</w:t>
            </w:r>
            <w:r>
              <w:t xml:space="preserve"> </w:t>
            </w:r>
            <w:r>
              <w:rPr>
                <w:b/>
                <w:i/>
              </w:rPr>
              <w:t>ističe potencijal za suradnju između javnih službi za zapošljavanje i privatnih agencija za zapošljavanje;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poziva države članice da </w:t>
            </w:r>
            <w:r>
              <w:rPr>
                <w:b/>
                <w:i/>
              </w:rPr>
              <w:t>ostvare ciljana poboljšanja posebnih</w:t>
            </w:r>
            <w:r>
              <w:t xml:space="preserve"> administrativnih kapaciteta javnih službi za zapošljavanje i drugih nacionalnih tijela </w:t>
            </w:r>
            <w:r>
              <w:rPr>
                <w:b/>
                <w:i/>
              </w:rPr>
              <w:t>odgovornih za provedbu</w:t>
            </w:r>
            <w:r>
              <w:t xml:space="preserve"> pojačane Garancije za mlade;</w:t>
            </w:r>
          </w:p>
        </w:tc>
        <w:tc>
          <w:tcPr>
            <w:tcW w:w="4876" w:type="dxa"/>
            <w:tcBorders>
              <w:top w:val="nil"/>
              <w:left w:val="nil"/>
              <w:bottom w:val="nil"/>
              <w:right w:val="nil"/>
            </w:tcBorders>
          </w:tcPr>
          <w:p>
            <w:pPr>
              <w:pStyle w:val="Normal6a"/>
            </w:pPr>
            <w:r>
              <w:t>15.</w:t>
            </w:r>
            <w:r>
              <w:tab/>
            </w:r>
            <w:r>
              <w:t xml:space="preserve">poziva države članice da </w:t>
            </w:r>
            <w:r>
              <w:rPr>
                <w:b/>
                <w:i/>
              </w:rPr>
              <w:t>dodijele namjenska sredstva posebno za jačanje</w:t>
            </w:r>
            <w:r>
              <w:t xml:space="preserve"> administrativnih kapaciteta javnih službi za zapošljavanje i drugih </w:t>
            </w:r>
            <w:r>
              <w:rPr>
                <w:b/>
                <w:i/>
              </w:rPr>
              <w:t>relevantnih</w:t>
            </w:r>
            <w:r>
              <w:t xml:space="preserve"> nacionalnih tijela </w:t>
            </w:r>
            <w:r>
              <w:rPr>
                <w:b/>
                <w:i/>
              </w:rPr>
              <w:t>kako bi se osigurala učinkovita provedba</w:t>
            </w:r>
            <w:r>
              <w:t xml:space="preserve"> pojačane Garancije za mlade </w:t>
            </w:r>
            <w:r>
              <w:rPr>
                <w:b/>
                <w:i/>
              </w:rPr>
              <w:t>te pružila pravodobna, personalizirana i učinkovita potpora u četveromjesečnom vremenskom okviru za intervenciju, kao i kontinuirana daljnja potpora</w:t>
            </w:r>
            <w:r>
              <w:t xml:space="preserve">; </w:t>
            </w:r>
            <w:r>
              <w:rPr>
                <w:b/>
                <w:i/>
              </w:rPr>
              <w:t>poziva na obvezno i strukturirano osposobljavanje radnika javnih službi za zapošljavanje i drugog relevantnog osoblja o nesvjesnoj pristranosti i nediskriminaciji, proaktivno utvrđivanje mladih koji ne rade, nisu u sustavu redovitog obrazovanja te nisu u sustavu obrazovanja odraslih do kojih je teško doprijeti te učinkovito informiranje i potporu ranjivim mladim osobama koje ne rade, nisu u sustavu redovitog obrazovanja te nisu u sustavu obrazovanja odraslih;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poziva države članice da ostvare ciljana poboljšanja </w:t>
            </w:r>
            <w:r>
              <w:rPr>
                <w:b/>
                <w:i/>
              </w:rPr>
              <w:t>posebnih</w:t>
            </w:r>
            <w:r>
              <w:t xml:space="preserve"> administrativnih kapaciteta javnih službi za zapošljavanje i drugih nacionalnih tijela odgovornih za provedbu pojačane Garancije za mlade;</w:t>
            </w:r>
          </w:p>
        </w:tc>
        <w:tc>
          <w:tcPr>
            <w:tcW w:w="4876" w:type="dxa"/>
            <w:tcBorders>
              <w:top w:val="nil"/>
              <w:left w:val="nil"/>
              <w:bottom w:val="nil"/>
              <w:right w:val="nil"/>
            </w:tcBorders>
          </w:tcPr>
          <w:p>
            <w:pPr>
              <w:pStyle w:val="Normal6a"/>
            </w:pPr>
            <w:r>
              <w:t>15.</w:t>
            </w:r>
            <w:r>
              <w:tab/>
            </w:r>
            <w:r>
              <w:t xml:space="preserve">poziva države članice da ostvare ciljana poboljšanja administrativnih kapaciteta javnih službi za zapošljavanje i drugih nacionalnih tijela odgovornih za provedbu pojačane Garancije za mlade; </w:t>
            </w:r>
            <w:r>
              <w:rPr>
                <w:b/>
                <w:i/>
              </w:rPr>
              <w:t>ističe potrebu za jačanjem resursa i osposobljavanja javnih službi za zapošljavanje, među ostalim uz pomoć adekvatnog broja osoblja, digitalizacije i kapaciteta za informiranje, kako bi se pružila personalizirana i uključiva potpora mladima, posebno onima u ranjivom položaju;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poziva države članice da </w:t>
            </w:r>
            <w:r>
              <w:rPr>
                <w:b/>
                <w:i/>
              </w:rPr>
              <w:t>ostvare ciljana poboljšanja posebnih administrativnih kapaciteta</w:t>
            </w:r>
            <w:r>
              <w:t xml:space="preserve"> javnih službi za zapošljavanje i drugih nacionalnih tijela odgovornih za provedbu pojačane Garancije za mlade;</w:t>
            </w:r>
          </w:p>
        </w:tc>
        <w:tc>
          <w:tcPr>
            <w:tcW w:w="4876" w:type="dxa"/>
            <w:tcBorders>
              <w:top w:val="nil"/>
              <w:left w:val="nil"/>
              <w:bottom w:val="nil"/>
              <w:right w:val="nil"/>
            </w:tcBorders>
          </w:tcPr>
          <w:p>
            <w:pPr>
              <w:pStyle w:val="Normal6a"/>
            </w:pPr>
            <w:r>
              <w:t>15.</w:t>
            </w:r>
            <w:r>
              <w:tab/>
            </w:r>
            <w:r>
              <w:t xml:space="preserve">poziva države članice da </w:t>
            </w:r>
            <w:r>
              <w:rPr>
                <w:b/>
                <w:i/>
              </w:rPr>
              <w:t>ojačaju administrativne i operativne kapacitete</w:t>
            </w:r>
            <w:r>
              <w:t xml:space="preserve"> javnih službi za zapošljavanje i drugih nacionalnih tijela odgovornih za provedbu pojačane Garancije za mlade</w:t>
            </w:r>
            <w:r>
              <w:rPr>
                <w:b/>
                <w:i/>
              </w:rPr>
              <w:t>, među ostalim tješnjom suradnjom sa školama, sveučilištima, pružateljima strukovnog osposobljavanja i poslodavcima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poziva države članice da ostvare ciljana poboljšanja posebnih administrativnih kapaciteta javnih službi za zapošljavanje i drugih nacionalnih tijela odgovornih za provedbu pojačane Garancije za mlade;</w:t>
            </w:r>
          </w:p>
        </w:tc>
        <w:tc>
          <w:tcPr>
            <w:tcW w:w="4876" w:type="dxa"/>
            <w:tcBorders>
              <w:top w:val="nil"/>
              <w:left w:val="nil"/>
              <w:bottom w:val="nil"/>
              <w:right w:val="nil"/>
            </w:tcBorders>
          </w:tcPr>
          <w:p>
            <w:pPr>
              <w:pStyle w:val="Normal6a"/>
            </w:pPr>
            <w:r>
              <w:t>15.</w:t>
            </w:r>
            <w:r>
              <w:tab/>
            </w:r>
            <w:r>
              <w:t xml:space="preserve">poziva države članice da ostvare ciljana poboljšanja posebnih administrativnih kapaciteta javnih službi za zapošljavanje i drugih nacionalnih tijela odgovornih za provedbu pojačane Garancije za mlade; </w:t>
            </w:r>
            <w:r>
              <w:rPr>
                <w:b/>
                <w:i/>
              </w:rPr>
              <w:t>s ciljem pretvaranja tog instrumenta u trajni instrument;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poziva države članice da ostvare ciljana poboljšanja posebnih administrativnih kapaciteta javnih službi za zapošljavanje i drugih nacionalnih tijela odgovornih za provedbu pojačane Garancije za mlade</w:t>
            </w:r>
            <w:r>
              <w:rPr>
                <w:b/>
                <w:i/>
              </w:rPr>
              <w:t>;</w:t>
            </w:r>
          </w:p>
        </w:tc>
        <w:tc>
          <w:tcPr>
            <w:tcW w:w="4876" w:type="dxa"/>
            <w:tcBorders>
              <w:top w:val="nil"/>
              <w:left w:val="nil"/>
              <w:bottom w:val="nil"/>
              <w:right w:val="nil"/>
            </w:tcBorders>
          </w:tcPr>
          <w:p>
            <w:pPr>
              <w:pStyle w:val="Normal6a"/>
            </w:pPr>
            <w:r>
              <w:t>15.</w:t>
            </w:r>
            <w:r>
              <w:tab/>
            </w:r>
            <w:r>
              <w:t xml:space="preserve">poziva države članice da </w:t>
            </w:r>
            <w:r>
              <w:rPr>
                <w:b/>
                <w:i/>
              </w:rPr>
              <w:t>u vidu većih javnih ulaganja</w:t>
            </w:r>
            <w:r>
              <w:t xml:space="preserve"> ostvare ciljana poboljšanja posebnih administrativnih kapaciteta javnih službi za zapošljavanje i drugih nacionalnih tijela odgovornih za provedbu pojačane Garancije za mlade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poziva države članice da osnaže nacionalne inspektorate rada i nadležna tijela radi učinkovitog otkrivanja i suzbijanja praksi kojima se zaobilazi svrha pripravništva i standardni radni odnos maskira kao pripravništvo, da osiguraju potpunu provedbu prava Unije koje se primjenjuje na radnike i da zajamče da pripravnici imaju pristup anonimnim, sigurnim i učinkovitim kanalima za prijavljivanje nepravilnosti i loših radnih uvjeta, navoda o kršenjima prava i obveza te da pruže informacije o tim kanalima;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poziva države članice da osiguraju da provedba pojačane Garancije za mlade odrazi ključne poruke Odbora za zapošljavanje (EMCO), koje je Vijeće podržalo 2018., 2019., 2021., 2023., 2025. i 2026., jačanjem prevencije i rane intervencije, promicanjem učinkovitih partnerstava na svim razinama te jačanjem kapaciteta i koordinacijske uloge javnih službi za zapošljavanje;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ističe važnost potpunog iskorištavanja Europske mreže javnih službi za zapošljavanje za promicanje razmjene najboljih praksi, poticanje uzajamnog učenja i komparativne analize te podupiranje konvergencije uspješnosti u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poziva države članice da dodijele ciljana i povećana ulaganja za provedbu pojačane Garancije za mlade u područjima s visokim razinama nezaposlenosti i neaktivnosti mladih u kojima su strukturni nedostaci i izazovi u provedbi veći;</w:t>
            </w:r>
            <w:r>
              <w:t xml:space="preserve"> </w:t>
            </w:r>
            <w:r>
              <w:rPr>
                <w:b/>
                <w:i/>
              </w:rPr>
              <w:t>poziva na jačanje administrativnih kapaciteta te kapaciteta informiranja i pružanja usluga javnih službi za zapošljavanje u tim područjima kako bi se osigurala učinkovita potpora ranjivim mladima koji ne rade, nisu u sustavu redovitog obrazovanja te nisu u sustavu obrazovanja odraslih, a do kojih je teško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poziva Komisiju i države članice da učinkovito osposobe osoblje javnih službi za zapošljavanje i da ih prepoznaju kao aktere na prvoj liniji koji su ključni za uključivanje mladih koji se suočavaju sa složenim preprekama;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poziva države članice da ulažu u decentraliziranu infrastrukturu javnih službi za zapošljavanje pod vodstvom zajednice i uspostave formalna partnerstva između javnih službi za zapošljavanje, socijalnih službi i organizacija lokalne zajednice kako bi se bolje uključili mladi koji ne rade, nisu u sustavu redovitog obrazovanja te nisu u sustavu obrazovanja odraslih (NEET) do kojih je teško doprijeti, a posebno mladi u ruralnim područjima;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15.d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15.d</w:t>
            </w:r>
            <w:r>
              <w:tab/>
            </w:r>
            <w:r>
              <w:rPr>
                <w:b/>
                <w:i/>
              </w:rPr>
              <w:t>poziva države članice da osiguraju da svi modeli Garancije za mlade, bez obzira na to je li riječ o ciljanim sustavima koji se temelje na različitim putovima ili više univerzalnijim sustavima, aktivno dopiru do mladih umjesto da se oslanjaju isključivo na registriranje, kako bi se pružila pravedna potpora bez obzira na okolnosti ili lokaciju;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poziva Komisiju i države članice da pruže sveobuhvatnu potporu za uklanjanje složenih prepreka s kojima se suočavaju pripadnici skupine NEET kako bi se riješili temeljni uzroci socijalne isključenosti prije rješavanja njihove situacije u pogledu zapošljavanja;</w:t>
            </w:r>
          </w:p>
        </w:tc>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riješili temeljni uzroci socijalne isključenosti prije rješavanja njihove situacije u pogledu zapošljavanja; </w:t>
            </w:r>
            <w:r>
              <w:rPr>
                <w:b/>
                <w:i/>
              </w:rPr>
              <w:t>naglašava da se ta potpora mora pružati u obliku paketa mjera javnih službi za zapošljavanje i drugih relevantnih socijalnih službi usmjerenih na pomoć u skrbi za djecu i obiteljskim obvezama, jačanjem planiranja obitelji, podupiranjem pristupa stanovanju i zdravstvenoj skrbi, uključujući mentalno zdravlje, te borbom protiv ovisnosti;</w:t>
            </w:r>
            <w:r>
              <w:t xml:space="preserve"> </w:t>
            </w:r>
            <w:r>
              <w:rPr>
                <w:b/>
                <w:i/>
              </w:rPr>
              <w:t>nadalje poziva države članice s pozitivnom i pravodobnom stopom izlaska ili stopom pokrivenosti nižom od prosjeka EU-a da provedu sveobuhvatnu procjenu svojih programa pojačane Garancije za mlade kako bi utvrdile razloge za te nedostatke i ispravile ih preoblikovanjem tih programa na temelju rezultata;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poziva Komisiju i države članice da pruže sveobuhvatnu potporu za uklanjanje složenih prepreka s kojima se suočavaju pripadnici skupine NEET kako bi se riješili temeljni uzroci socijalne isključenosti prije rješavanja njihove situacije u pogledu zapošljavanja;</w:t>
            </w:r>
          </w:p>
        </w:tc>
        <w:tc>
          <w:tcPr>
            <w:tcW w:w="4876" w:type="dxa"/>
            <w:tcBorders>
              <w:top w:val="nil"/>
              <w:left w:val="nil"/>
              <w:bottom w:val="nil"/>
              <w:right w:val="nil"/>
            </w:tcBorders>
          </w:tcPr>
          <w:p>
            <w:pPr>
              <w:pStyle w:val="Normal6a"/>
            </w:pPr>
            <w:r>
              <w:t>16.</w:t>
            </w:r>
            <w:r>
              <w:tab/>
            </w:r>
            <w:r>
              <w:t>poziva Komisiju i države članice da pruže sveobuhvatnu potporu za uklanjanje složenih prepreka s kojima se suočavaju pripadnici skupine NEET</w:t>
            </w:r>
            <w:r>
              <w:rPr>
                <w:b/>
                <w:i/>
              </w:rPr>
              <w:t>, posebno rješavanjem problema stanovanja, mentalnog zdravlja i financijskih poteškoća koji su utvrđeni kao primarne prepreke neovisnosti mladih,</w:t>
            </w:r>
            <w:r>
              <w:t xml:space="preserve"> kako bi se riješili temeljni uzroci socijalne isključenosti prije rješavanja njihove situacije u pogledu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w:t>
            </w:r>
            <w:r>
              <w:rPr>
                <w:b/>
                <w:i/>
              </w:rPr>
              <w:t>riješili</w:t>
            </w:r>
            <w:r>
              <w:t xml:space="preserve"> temeljni uzroci socijalne isključenosti prije rješavanja njihove situacije u pogledu zapošljavanja;</w:t>
            </w:r>
          </w:p>
        </w:tc>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w:t>
            </w:r>
            <w:r>
              <w:rPr>
                <w:b/>
                <w:i/>
              </w:rPr>
              <w:t>uklonili</w:t>
            </w:r>
            <w:r>
              <w:t xml:space="preserve"> temeljni uzroci socijalne isključenosti prije rješavanja njihove situacije u pogledu zapošljavanja</w:t>
            </w:r>
            <w:r>
              <w:rPr>
                <w:b/>
                <w:i/>
              </w:rPr>
              <w:t>, uključujući pristup stanovanju, zdravstvenoj skrbi i potpori dohotku</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riješili temeljni uzroci socijalne isključenosti prije </w:t>
            </w:r>
            <w:r>
              <w:rPr>
                <w:b/>
                <w:i/>
              </w:rPr>
              <w:t>rješavanja</w:t>
            </w:r>
            <w:r>
              <w:t xml:space="preserve"> njihove situacije u pogledu zapošljavanja;</w:t>
            </w:r>
          </w:p>
        </w:tc>
        <w:tc>
          <w:tcPr>
            <w:tcW w:w="4876" w:type="dxa"/>
            <w:tcBorders>
              <w:top w:val="nil"/>
              <w:left w:val="nil"/>
              <w:bottom w:val="nil"/>
              <w:right w:val="nil"/>
            </w:tcBorders>
          </w:tcPr>
          <w:p>
            <w:pPr>
              <w:pStyle w:val="Normal6a"/>
            </w:pPr>
            <w:r>
              <w:t>16.</w:t>
            </w:r>
            <w:r>
              <w:tab/>
            </w:r>
            <w:r>
              <w:t xml:space="preserve">poziva Komisiju i države članice da pruže sveobuhvatnu potporu za uklanjanje </w:t>
            </w:r>
            <w:r>
              <w:rPr>
                <w:b/>
                <w:i/>
              </w:rPr>
              <w:t>strukturnih i često</w:t>
            </w:r>
            <w:r>
              <w:t xml:space="preserve"> složenih prepreka s kojima se suočavaju </w:t>
            </w:r>
            <w:r>
              <w:rPr>
                <w:b/>
                <w:i/>
              </w:rPr>
              <w:t>ranjivi</w:t>
            </w:r>
            <w:r>
              <w:t xml:space="preserve"> pripadnici skupine NEET kako bi se riješili temeljni uzroci socijalne isključenosti </w:t>
            </w:r>
            <w:r>
              <w:rPr>
                <w:b/>
                <w:i/>
              </w:rPr>
              <w:t>i isključenosti s tržišta rada</w:t>
            </w:r>
            <w:r>
              <w:t xml:space="preserve"> prije </w:t>
            </w:r>
            <w:r>
              <w:rPr>
                <w:b/>
                <w:i/>
              </w:rPr>
              <w:t>poboljšavanja</w:t>
            </w:r>
            <w:r>
              <w:t xml:space="preserve"> njihove situacije u pogledu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poziva </w:t>
            </w:r>
            <w:r>
              <w:rPr>
                <w:b/>
                <w:i/>
              </w:rPr>
              <w:t>Komisiju i</w:t>
            </w:r>
            <w:r>
              <w:t xml:space="preserve"> države članice da pruže sveobuhvatnu potporu za uklanjanje složenih prepreka s kojima se suočavaju pripadnici skupine NEET kako bi se </w:t>
            </w:r>
            <w:r>
              <w:rPr>
                <w:b/>
                <w:i/>
              </w:rPr>
              <w:t>riješili</w:t>
            </w:r>
            <w:r>
              <w:t xml:space="preserve"> temeljni uzroci socijalne isključenosti prije rješavanja njihove situacije u pogledu zapošljavanja;</w:t>
            </w:r>
          </w:p>
        </w:tc>
        <w:tc>
          <w:tcPr>
            <w:tcW w:w="4876" w:type="dxa"/>
            <w:tcBorders>
              <w:top w:val="nil"/>
              <w:left w:val="nil"/>
              <w:bottom w:val="nil"/>
              <w:right w:val="nil"/>
            </w:tcBorders>
          </w:tcPr>
          <w:p>
            <w:pPr>
              <w:pStyle w:val="Normal6a"/>
            </w:pPr>
            <w:r>
              <w:t>16.</w:t>
            </w:r>
            <w:r>
              <w:tab/>
            </w:r>
            <w:r>
              <w:t xml:space="preserve">poziva države članice da pruže sveobuhvatnu potporu za uklanjanje složenih prepreka s kojima se suočavaju pripadnici skupine NEET kako bi se </w:t>
            </w:r>
            <w:r>
              <w:rPr>
                <w:b/>
                <w:i/>
              </w:rPr>
              <w:t>uklonili</w:t>
            </w:r>
            <w:r>
              <w:t xml:space="preserve"> temeljni uzroci socijalne isključenosti prije rješavanja njihove situacije u pogledu zapošljavanja;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w:t>
            </w:r>
            <w:r>
              <w:rPr>
                <w:b/>
                <w:i/>
              </w:rPr>
              <w:t>riješili temeljni uzroci socijalne isključenosti prije rješavanja njihove situacije</w:t>
            </w:r>
            <w:r>
              <w:t xml:space="preserve"> u pogledu zapošljavanja;</w:t>
            </w:r>
          </w:p>
        </w:tc>
        <w:tc>
          <w:tcPr>
            <w:tcW w:w="4876" w:type="dxa"/>
            <w:tcBorders>
              <w:top w:val="nil"/>
              <w:left w:val="nil"/>
              <w:bottom w:val="nil"/>
              <w:right w:val="nil"/>
            </w:tcBorders>
          </w:tcPr>
          <w:p>
            <w:pPr>
              <w:pStyle w:val="Normal6a"/>
            </w:pPr>
            <w:r>
              <w:t>16.</w:t>
            </w:r>
            <w:r>
              <w:tab/>
            </w:r>
            <w:r>
              <w:t xml:space="preserve">poziva Komisiju i države članice da pruže sveobuhvatnu potporu za uklanjanje složenih prepreka s kojima se suočavaju pripadnici skupine NEET kako bi se </w:t>
            </w:r>
            <w:r>
              <w:rPr>
                <w:b/>
                <w:i/>
              </w:rPr>
              <w:t>riješila njihova situacija</w:t>
            </w:r>
            <w:r>
              <w:t xml:space="preserve"> u pogledu zapošljavanja </w:t>
            </w:r>
            <w:r>
              <w:rPr>
                <w:b/>
                <w:i/>
              </w:rPr>
              <w:t>i odgovorilo na temeljne uzroke socijalne isključenosti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ističe da su loše mentalno zdravlje, društvena izolacija i nedostatak individualizirane psihosocijalne potpore velike prepreke uključivanju mnogih mladih u obrazovanje, osposobljavanje i tržište rada;</w:t>
            </w:r>
            <w:r>
              <w:t xml:space="preserve"> </w:t>
            </w:r>
            <w:r>
              <w:rPr>
                <w:b/>
                <w:i/>
              </w:rPr>
              <w:t>poziva države članice da u provedbene mjere pojačane Garancije za mlade uključe odgovarajuće usluge psihosocijalne potpore;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poziva države članice da osiguraju da sva radna mjesta koja se nude u okviru pojačane Garancije za mlade podrazumijevaju pristojne plaće, barem na razini minimalne plaće ili kolektivnih ugovora;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16.b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ističe da se mladi koji žive na otocima i u udaljenim područjima, posebno na egejskim otocima i u pograničnim regijama Unije koje graniče s trećim zemljama kao i u regijama na istočnoj vanjskoj granici EU-a, suočavaju s jedinstvenim i trajnim izazovima u pristupu obrazovanju, osposobljavanju i zapošljavanju;</w:t>
            </w:r>
            <w:r>
              <w:t xml:space="preserve"> </w:t>
            </w:r>
            <w:r>
              <w:rPr>
                <w:b/>
                <w:i/>
              </w:rPr>
              <w:t>ističe da su ti izazovi još i veći zbog geografske izolacije, visokih troškova prijevoza i kontinuiranog demografskog pada;</w:t>
            </w:r>
            <w:r>
              <w:t xml:space="preserve"> </w:t>
            </w:r>
            <w:r>
              <w:rPr>
                <w:b/>
                <w:i/>
              </w:rPr>
              <w:t>poziva Komisiju i države članice da u okviru pojačane Garancije za mlade uvedu posebne, ciljane mjere za te regije kako bi se poduprlo lokalno zapošljavanje i spriječio egzodus mladih;</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w:t>
            </w:r>
            <w:r>
              <w:rPr>
                <w:b/>
                <w:i/>
              </w:rPr>
              <w:t>u svim njezinim fazama</w:t>
            </w:r>
            <w:r>
              <w:t>; poziva države članice da ojačaju suradnju između ministarstava, javnih službi za zapošljavanje, socijalnih partnera, aktera na tržištu rada</w:t>
            </w:r>
            <w:r>
              <w:rPr>
                <w:b/>
                <w:i/>
              </w:rPr>
              <w:t>, institucija za obrazovanje i osposobljavanje</w:t>
            </w:r>
            <w:r>
              <w:t xml:space="preserve">, nacionalnih vijeća mladih i civilnog društva na središnjoj i lokalnoj razini kako bi se osiguralo da svi rade u okviru integrirane mreže usluga za pripadnike skupine NEET; </w:t>
            </w:r>
            <w:r>
              <w:rPr>
                <w:b/>
                <w:i/>
              </w:rPr>
              <w:t>naglašava važnost formalne suradnje, kao što su tripartitna povjerenstva, sporazumi o suradnji ili protokoli na nacionalnoj razini između škola, javnih službi za zapošljavanje i socijalnih partnera, kako bi se postigao taj cilj;</w:t>
            </w:r>
            <w:r>
              <w:t xml:space="preserve"> </w:t>
            </w:r>
            <w:r>
              <w:rPr>
                <w:b/>
                <w:i/>
              </w:rPr>
              <w:t>naglašava potrebu za izgradnjom povjerenja između pružatelja pojačane Garancije za mlade i lokalnih zajednica, primjerice usklađivanjem ponuda obrazovanja i osposobljavanja s potrebama tržišta rada i zapošljavanjem mladih samo ako su dobro pripremljeni za ulazak na tržište rada;</w:t>
            </w:r>
            <w:r>
              <w:t xml:space="preserve"> </w:t>
            </w:r>
            <w:r>
              <w:rPr>
                <w:b/>
                <w:i/>
              </w:rPr>
              <w:t>potiče države članice da prošire dobre prakse kao što su inicijative za osposobljavanje u izravnom partnerstvu s poslodavcima s ciljem osiguravanja zapošljavanja na kraju osposobljavanja, sajmova poslova, informativnih dana ili drugih događanja za povezivanje poslodavaca i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naglašava da je </w:t>
            </w:r>
            <w:r>
              <w:rPr>
                <w:b/>
                <w:i/>
              </w:rPr>
              <w:t>suradnički pristup ključan za osiguravanje uspješne provedbe pojačane Garancije</w:t>
            </w:r>
            <w:r>
              <w:t xml:space="preserve"> za mlade</w:t>
            </w:r>
            <w:r>
              <w:rPr>
                <w:b/>
                <w:i/>
              </w:rPr>
              <w:t>;</w:t>
            </w:r>
            <w:r>
              <w:t xml:space="preserve"> </w:t>
            </w:r>
            <w:r>
              <w:rPr>
                <w:b/>
                <w:i/>
              </w:rPr>
              <w:t>poziva države članice da ojačaju suradnju</w:t>
            </w:r>
            <w:r>
              <w:t xml:space="preserve"> između </w:t>
            </w:r>
            <w:r>
              <w:rPr>
                <w:b/>
                <w:i/>
              </w:rPr>
              <w:t>ministarstava</w:t>
            </w:r>
            <w:r>
              <w:t xml:space="preserve">, javnih službi za zapošljavanje, socijalnih partnera, </w:t>
            </w:r>
            <w:r>
              <w:rPr>
                <w:b/>
                <w:i/>
              </w:rPr>
              <w:t>aktera na tržištu rada, nacionalnih vijeća mladih i civilnog društva na središnjoj i lokalnoj razini</w:t>
            </w:r>
            <w:r>
              <w:t xml:space="preserve"> kako bi se osiguralo da svi rade u okviru integrirane mreže usluga za </w:t>
            </w:r>
            <w:r>
              <w:rPr>
                <w:b/>
                <w:i/>
              </w:rPr>
              <w:t>pripadnike skupine NEET</w:t>
            </w:r>
            <w:r>
              <w:t>;</w:t>
            </w:r>
          </w:p>
        </w:tc>
        <w:tc>
          <w:tcPr>
            <w:tcW w:w="4876" w:type="dxa"/>
            <w:tcBorders>
              <w:top w:val="nil"/>
              <w:left w:val="nil"/>
              <w:bottom w:val="nil"/>
              <w:right w:val="nil"/>
            </w:tcBorders>
          </w:tcPr>
          <w:p>
            <w:pPr>
              <w:pStyle w:val="Normal6a"/>
            </w:pPr>
            <w:r>
              <w:t>17.</w:t>
            </w:r>
            <w:r>
              <w:tab/>
            </w:r>
            <w:r>
              <w:t xml:space="preserve">naglašava da je </w:t>
            </w:r>
            <w:r>
              <w:rPr>
                <w:b/>
                <w:i/>
              </w:rPr>
              <w:t>potrebno poboljšati upravljanje pojačanom Garancijom</w:t>
            </w:r>
            <w:r>
              <w:t xml:space="preserve"> za mlade </w:t>
            </w:r>
            <w:r>
              <w:rPr>
                <w:b/>
                <w:i/>
              </w:rPr>
              <w:t>boljom koordinacijom</w:t>
            </w:r>
            <w:r>
              <w:t xml:space="preserve"> između </w:t>
            </w:r>
            <w:r>
              <w:rPr>
                <w:b/>
                <w:i/>
              </w:rPr>
              <w:t>nadležnih nacionalnih, regionalnih i lokalnih tijela, aktera u strukovnom osposobljavanju i ustanova za obrazovanje i osposobljavanje</w:t>
            </w:r>
            <w:r>
              <w:t xml:space="preserve">, javnih službi za zapošljavanje, socijalnih partnera, </w:t>
            </w:r>
            <w:r>
              <w:rPr>
                <w:b/>
                <w:i/>
              </w:rPr>
              <w:t>poduzeća i subjekata trećeg sektora</w:t>
            </w:r>
            <w:r>
              <w:t xml:space="preserve"> kako bi se osiguralo da svi rade u okviru integrirane mreže usluga za </w:t>
            </w:r>
            <w:r>
              <w:rPr>
                <w:b/>
                <w:i/>
              </w:rPr>
              <w:t>mlade koji nisu zaposleni, ne obrazuju se i ne osposobljavaju te kako bi se mladima pružile mogućnosti osposobljavanja i zapošljavanja na temelju potreba različitih regionalnih gospodarskih sredina</w:t>
            </w:r>
            <w:r>
              <w:t xml:space="preserve">; </w:t>
            </w:r>
            <w:r>
              <w:rPr>
                <w:b/>
                <w:i/>
              </w:rPr>
              <w:t>naglašava da se u državama članicama u kojima su nadležnosti za strukovno osposobljavanje i aktivne politike zapošljavanja dodijeljene podnacionalnim vlastima regionalne i lokalne vlasti moraju smatrati glavnim sugovornicima u provedbi pojačane Garancije za mlade te moraju imati izravne kanale za pristup europskim programima financiranja;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w:t>
            </w:r>
            <w:r>
              <w:rPr>
                <w:b/>
                <w:i/>
              </w:rPr>
              <w:t>između ministarstava, javnih službi</w:t>
            </w:r>
            <w:r>
              <w:t xml:space="preserve"> za zapošljavanje, </w:t>
            </w:r>
            <w:r>
              <w:rPr>
                <w:b/>
                <w:i/>
              </w:rPr>
              <w:t>socijalnih partnera, aktera</w:t>
            </w:r>
            <w:r>
              <w:t xml:space="preserve"> na tržištu rada, </w:t>
            </w:r>
            <w:r>
              <w:rPr>
                <w:b/>
                <w:i/>
              </w:rPr>
              <w:t>nacionalnih vijeća</w:t>
            </w:r>
            <w:r>
              <w:t xml:space="preserve"> mladih i </w:t>
            </w:r>
            <w:r>
              <w:rPr>
                <w:b/>
                <w:i/>
              </w:rPr>
              <w:t>civilnog društva na središnjoj</w:t>
            </w:r>
            <w:r>
              <w:t xml:space="preserve"> i lokalnoj razini kako bi se </w:t>
            </w:r>
            <w:r>
              <w:rPr>
                <w:b/>
                <w:i/>
              </w:rPr>
              <w:t>osiguralo da svi rade u okviru</w:t>
            </w:r>
            <w:r>
              <w:t xml:space="preserve"> integrirane mreže usluga </w:t>
            </w:r>
            <w:r>
              <w:rPr>
                <w:b/>
                <w:i/>
              </w:rPr>
              <w:t>za pripadnike</w:t>
            </w:r>
            <w:r>
              <w:t xml:space="preserve"> skupine NEET;</w:t>
            </w:r>
          </w:p>
        </w:tc>
        <w:tc>
          <w:tcPr>
            <w:tcW w:w="4876" w:type="dxa"/>
            <w:tcBorders>
              <w:top w:val="nil"/>
              <w:left w:val="nil"/>
              <w:bottom w:val="nil"/>
              <w:right w:val="nil"/>
            </w:tcBorders>
          </w:tcPr>
          <w:p>
            <w:pPr>
              <w:pStyle w:val="Normal6a"/>
            </w:pPr>
            <w:r>
              <w:t>17.</w:t>
            </w:r>
            <w:r>
              <w:tab/>
            </w:r>
            <w:r>
              <w:t xml:space="preserve">naglašava da je suradnički pristup </w:t>
            </w:r>
            <w:r>
              <w:rPr>
                <w:b/>
                <w:i/>
              </w:rPr>
              <w:t>koji se temelji na zajednici i koji je prilagođen lokalnim i regionalnim kontekstima</w:t>
            </w:r>
            <w:r>
              <w:t xml:space="preserve"> ključan za osiguravanje uspješne provedbe pojačane Garancije za mlade </w:t>
            </w:r>
            <w:r>
              <w:rPr>
                <w:b/>
                <w:i/>
              </w:rPr>
              <w:t>i kako bi se doprlo do najranjivijih pripadnika skupine NEET</w:t>
            </w:r>
            <w:r>
              <w:t xml:space="preserve">; poziva države članice da ojačaju suradnju </w:t>
            </w:r>
            <w:r>
              <w:rPr>
                <w:b/>
                <w:i/>
              </w:rPr>
              <w:t>i uspostave formalna partnerstva s ustanovama za obrazovanje i osposobljavanje, javnim službama</w:t>
            </w:r>
            <w:r>
              <w:t xml:space="preserve"> za zapošljavanje, </w:t>
            </w:r>
            <w:r>
              <w:rPr>
                <w:b/>
                <w:i/>
              </w:rPr>
              <w:t>socijalnim partnerima, relevantnim akterima</w:t>
            </w:r>
            <w:r>
              <w:t xml:space="preserve"> na tržištu rada, </w:t>
            </w:r>
            <w:r>
              <w:rPr>
                <w:b/>
                <w:i/>
              </w:rPr>
              <w:t>nacionalnim vijećima</w:t>
            </w:r>
            <w:r>
              <w:t xml:space="preserve"> mladih i </w:t>
            </w:r>
            <w:r>
              <w:rPr>
                <w:b/>
                <w:i/>
              </w:rPr>
              <w:t>civilnim društvom na nacionalnoj, regionalnoj</w:t>
            </w:r>
            <w:r>
              <w:t xml:space="preserve"> i lokalnoj razini kako bi se </w:t>
            </w:r>
            <w:r>
              <w:rPr>
                <w:b/>
                <w:i/>
              </w:rPr>
              <w:t>uspostavile</w:t>
            </w:r>
            <w:r>
              <w:t xml:space="preserve"> integrirane mreže usluga </w:t>
            </w:r>
            <w:r>
              <w:rPr>
                <w:b/>
                <w:i/>
              </w:rPr>
              <w:t>i omogućila rana identifikacija mladih pripadnika</w:t>
            </w:r>
            <w:r>
              <w:t xml:space="preserve"> skupine NEET </w:t>
            </w:r>
            <w:r>
              <w:rPr>
                <w:b/>
                <w:i/>
              </w:rPr>
              <w:t>i pružanje potpore njima</w:t>
            </w:r>
            <w:r>
              <w:t xml:space="preserve">; </w:t>
            </w:r>
            <w:r>
              <w:rPr>
                <w:b/>
                <w:i/>
              </w:rPr>
              <w:t>u tom pogledu poziva na smisleno sudjelovanje takvih partnera u osmišljavanju, praćenju i provedbi kvalitetnih ponuda za pripravništvo;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w:t>
            </w:r>
            <w:r>
              <w:rPr>
                <w:b/>
                <w:i/>
              </w:rPr>
              <w:t>i</w:t>
            </w:r>
            <w:r>
              <w:t xml:space="preserve">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između ministarstava, </w:t>
            </w:r>
            <w:r>
              <w:rPr>
                <w:b/>
                <w:i/>
              </w:rPr>
              <w:t>lokalnih vlasti,</w:t>
            </w:r>
            <w:r>
              <w:t xml:space="preserve"> javnih službi za zapošljavanje, socijalnih partnera, </w:t>
            </w:r>
            <w:r>
              <w:rPr>
                <w:b/>
                <w:i/>
              </w:rPr>
              <w:t>socijalnih i zdravstvenih službi,</w:t>
            </w:r>
            <w:r>
              <w:t xml:space="preserve"> aktera na tržištu rada, </w:t>
            </w:r>
            <w:r>
              <w:rPr>
                <w:b/>
                <w:i/>
              </w:rPr>
              <w:t>pružatelja usluga obrazovanja i osposobljavanja,</w:t>
            </w:r>
            <w:r>
              <w:t xml:space="preserve"> nacionalnih vijeća </w:t>
            </w:r>
            <w:r>
              <w:rPr>
                <w:b/>
                <w:i/>
              </w:rPr>
              <w:t>i organizacija</w:t>
            </w:r>
            <w:r>
              <w:t xml:space="preserve"> mladih </w:t>
            </w:r>
            <w:r>
              <w:rPr>
                <w:b/>
                <w:i/>
              </w:rPr>
              <w:t>te</w:t>
            </w:r>
            <w:r>
              <w:t xml:space="preserve"> civilnog društva na središnjoj i lokalnoj razini</w:t>
            </w:r>
            <w:r>
              <w:rPr>
                <w:b/>
                <w:i/>
              </w:rPr>
              <w:t>, uključujući organizacije koje djeluju u zajednici, na lokalnoj razini, pod vodstvom mladih ili ambasadore mladih koji izravno rade s mladima koji su zapostavljeni,</w:t>
            </w:r>
            <w:r>
              <w:t xml:space="preserve"> kako bi se osiguralo da svi rade u okviru integrirane mreže usluga za pripadnike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naglašava da je </w:t>
            </w:r>
            <w:r>
              <w:rPr>
                <w:b/>
                <w:i/>
              </w:rPr>
              <w:t>suradnički pristup ključan za osiguravanje uspješne provedbe pojačane Garancije za mlade;</w:t>
            </w:r>
            <w:r>
              <w:t xml:space="preserve"> </w:t>
            </w:r>
            <w:r>
              <w:rPr>
                <w:b/>
                <w:i/>
              </w:rPr>
              <w:t>poziva države članice da ojačaju suradnju</w:t>
            </w:r>
            <w:r>
              <w:t xml:space="preserve"> između </w:t>
            </w:r>
            <w:r>
              <w:rPr>
                <w:b/>
                <w:i/>
              </w:rPr>
              <w:t>ministarstava, javnih službi za zapošljavanje</w:t>
            </w:r>
            <w:r>
              <w:t>, socijalnih partnera</w:t>
            </w:r>
            <w:r>
              <w:rPr>
                <w:b/>
                <w:i/>
              </w:rPr>
              <w:t>, aktera na tržištu rada, nacionalnih vijeća</w:t>
            </w:r>
            <w:r>
              <w:t xml:space="preserve"> mladih </w:t>
            </w:r>
            <w:r>
              <w:rPr>
                <w:b/>
                <w:i/>
              </w:rPr>
              <w:t>i civilnog društva</w:t>
            </w:r>
            <w:r>
              <w:t xml:space="preserve"> na središnjoj i lokalnoj razini kako bi se </w:t>
            </w:r>
            <w:r>
              <w:rPr>
                <w:b/>
                <w:i/>
              </w:rPr>
              <w:t>osiguralo da svi rade u okviru integrirane mreže usluga</w:t>
            </w:r>
            <w:r>
              <w:t xml:space="preserve"> za pripadnike skupine NEET;</w:t>
            </w:r>
          </w:p>
        </w:tc>
        <w:tc>
          <w:tcPr>
            <w:tcW w:w="4876" w:type="dxa"/>
            <w:tcBorders>
              <w:top w:val="nil"/>
              <w:left w:val="nil"/>
              <w:bottom w:val="nil"/>
              <w:right w:val="nil"/>
            </w:tcBorders>
          </w:tcPr>
          <w:p>
            <w:pPr>
              <w:pStyle w:val="Normal6a"/>
            </w:pPr>
            <w:r>
              <w:t>17.</w:t>
            </w:r>
            <w:r>
              <w:tab/>
            </w:r>
            <w:r>
              <w:t xml:space="preserve">naglašava da je </w:t>
            </w:r>
            <w:r>
              <w:rPr>
                <w:b/>
                <w:i/>
              </w:rPr>
              <w:t>potrebna pojačana suradnja</w:t>
            </w:r>
            <w:r>
              <w:t xml:space="preserve"> između </w:t>
            </w:r>
            <w:r>
              <w:rPr>
                <w:b/>
                <w:i/>
              </w:rPr>
              <w:t>nadležnih tijela</w:t>
            </w:r>
            <w:r>
              <w:t xml:space="preserve">, socijalnih partnera </w:t>
            </w:r>
            <w:r>
              <w:rPr>
                <w:b/>
                <w:i/>
              </w:rPr>
              <w:t>i organizacija</w:t>
            </w:r>
            <w:r>
              <w:t xml:space="preserve"> mladih na središnjoj i lokalnoj razini kako bi se </w:t>
            </w:r>
            <w:r>
              <w:rPr>
                <w:b/>
                <w:i/>
              </w:rPr>
              <w:t>osigurala sveobuhvatna potpora</w:t>
            </w:r>
            <w:r>
              <w:t> za pripadnike skupine NEET;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 </w:t>
            </w:r>
            <w:r>
              <w:rPr>
                <w:b/>
                <w:i/>
              </w:rPr>
              <w:t>potiče razvoj dualnih obrazovnih sustava, naukovanja i programa učenja kroz rad kao ključnih instrumenata za poboljšanje zapošljivosti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između ministarstava, javnih službi za zapošljavanje, </w:t>
            </w:r>
            <w:r>
              <w:rPr>
                <w:b/>
                <w:i/>
              </w:rPr>
              <w:t>uz smisleno sudjelovanje sindikata,</w:t>
            </w:r>
            <w:r>
              <w:t xml:space="preserve">socijalnih partnera, aktera na tržištu rada, nacionalnih vijeća mladih i civilnog društva na središnjoj i lokalnoj razini </w:t>
            </w:r>
            <w:r>
              <w:rPr>
                <w:b/>
                <w:i/>
              </w:rPr>
              <w:t>u donošenju odluka</w:t>
            </w:r>
            <w:r>
              <w:t xml:space="preserve"> kako bi se osiguralo da svi rade u okviru integrirane mreže usluga za pripadnike skupine NEET;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 xml:space="preserve">naglašava da je suradnički pristup ključan za osiguravanje uspješne provedbe pojačane Garancije za mlade; poziva države članice da ojačaju suradnju između ministarstava, javnih službi za zapošljavanje, socijalnih partnera, </w:t>
            </w:r>
            <w:r>
              <w:rPr>
                <w:b/>
                <w:i/>
              </w:rPr>
              <w:t>pružatelja socijalne sigurnosti,</w:t>
            </w:r>
            <w:r>
              <w:t xml:space="preserve"> aktera na tržištu rada, nacionalnih vijeća mladih i civilnog društva na središnjoj i lokalnoj razini kako bi se osiguralo da svi rade u okviru </w:t>
            </w:r>
            <w:r>
              <w:rPr>
                <w:b/>
                <w:i/>
              </w:rPr>
              <w:t>koordinirane i</w:t>
            </w:r>
            <w:r>
              <w:t xml:space="preserve"> integrirane mreže usluga za pripadnike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 na središnjoj i lokalnoj razini kako bi se osiguralo da svi rade u okviru integrirane mreže usluga za pripadnike skupine NEET;</w:t>
            </w:r>
          </w:p>
        </w:tc>
        <w:tc>
          <w:tcPr>
            <w:tcW w:w="4876" w:type="dxa"/>
            <w:tcBorders>
              <w:top w:val="nil"/>
              <w:left w:val="nil"/>
              <w:bottom w:val="nil"/>
              <w:right w:val="nil"/>
            </w:tcBorders>
          </w:tcPr>
          <w:p>
            <w:pPr>
              <w:pStyle w:val="Normal6a"/>
            </w:pPr>
            <w:r>
              <w:t>17.</w:t>
            </w:r>
            <w:r>
              <w:tab/>
            </w:r>
            <w:r>
              <w:t>naglašava da je suradnički pristup ključan za osiguravanje uspješne provedbe pojačane Garancije za mlade; poziva države članice da ojačaju suradnju između ministarstava, javnih službi za zapošljavanje, socijalnih partnera, aktera na tržištu rada, nacionalnih vijeća mladih i civilnog društva</w:t>
            </w:r>
            <w:r>
              <w:rPr>
                <w:b/>
                <w:i/>
              </w:rPr>
              <w:t>, uključujući organizacije mladih,</w:t>
            </w:r>
            <w:r>
              <w:t xml:space="preserve"> na središnjoj i lokalnoj razini kako bi se osiguralo da svi rade u okviru integrirane mreže usluga za pripadnike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 – podstavak 1.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naglašava važnost razvoja sektorskih partnerstava i lokalnih mreža poslodavaca, među ostalim s MSP-ovima i akterima socijalne ekonomije, kako bi se poboljšala osviještenost, zajednički osmislile ponude Garancije za mlade te poboljšalo usklađivanje ponude i potražnje radnih mjesta i mogućnosti zapošljavanja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potiče države članice da usvoje regionalni i teritorijalni pristup provedbi pojačane Garancije za mlade usmjeren na regije razine NUTS 2 s najvišim stopama nezaposlenosti mladih i najvećim brojem mladih koji ne rade, nisu u sustavu redovitog obrazovanja te nisu u sustavu obrazovanja odraslih;</w:t>
            </w:r>
            <w:r>
              <w:t xml:space="preserve"> </w:t>
            </w:r>
            <w:r>
              <w:rPr>
                <w:b/>
                <w:i/>
              </w:rPr>
              <w:t>naglašava da takav teritorijalni pristup mora biti povezan s dodjelom proračunskih sredstava i imati koristi od nacionalnog nadzora kako bi se osigurali jednaki standardi potpore i pružanja usluga u cijeloj zemlji;</w:t>
            </w:r>
            <w:r>
              <w:t xml:space="preserve"> </w:t>
            </w:r>
            <w:r>
              <w:rPr>
                <w:b/>
                <w:i/>
              </w:rPr>
              <w:t>nadalje naglašava da bi taj pristup trebao uključivati posebne mjere za ruralna područja, kao što su posebno osposobljavanje za pripadnike skupine NEET u ruralnim područjima, poboljšanje fizičke infrastrukture javnih službi za zapošljavanje u kombinaciji s digitalnim i mobilnim rješenjima;</w:t>
            </w:r>
            <w:r>
              <w:t xml:space="preserve"> </w:t>
            </w:r>
            <w:r>
              <w:rPr>
                <w:b/>
                <w:i/>
              </w:rPr>
              <w:t>nadalje poziva države članice da u većoj mjeri uključe lokalne vlasti u osmišljavanje programa pojačane Garancije za mlade kako bi se povećao njihov osjećaj odgovornosti i osigurala dosljedna provedba nacionalnog akcijskog plana na njihovim državnim područjima;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ističe važnost usklađivanja mjera Garancije za mlade s nacionalnim prioritetima tržišta rada i sektorskim strategijama za vještine, posebno u sektorima koji se suočavaju sa strukturnim manjkom radne snage kao što su proizvodnja, digitalne tehnologije, zdravstvene usluge i tehnička zanimanja;</w:t>
            </w:r>
            <w:r>
              <w:t xml:space="preserve"> </w:t>
            </w:r>
            <w:r>
              <w:rPr>
                <w:b/>
                <w:i/>
              </w:rPr>
              <w:t>naglašava da se politikama zapošljavanja mladih mora odgovoriti na stvarnu gospodarsku potražnju i doprinijeti jačanju europskih proizvodnih kapaciteta i konkurentnosti;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poziva Komisiju i države članice da smisleno uključe organizacije mladih u provedbu, praćenje i evaluaciju pojačane Garancije za mlade i sve buduće revizije politika;</w:t>
            </w:r>
            <w:r>
              <w:t xml:space="preserve"> </w:t>
            </w:r>
            <w:r>
              <w:rPr>
                <w:b/>
                <w:i/>
              </w:rPr>
              <w:t>naglašava da se savjetovanjem s mladima, posebno s pripadnicima skupine NEET i i ranjivim pripadnicima skupine NEET, osigurava da njihova životna iskustva izravno doprinose učinkovitijem podizanju razine osviještenosti, informiranju i ostvarivanju rezultata, posebno za one koji su najudaljeniji od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pohvaljuje Centar znanja za Garanciju za mlade</w:t>
            </w:r>
            <w:r>
              <w:rPr>
                <w:b/>
                <w:i/>
                <w:vertAlign w:val="superscript"/>
              </w:rPr>
              <w:t>29a</w:t>
            </w:r>
            <w:r>
              <w:t xml:space="preserve"> </w:t>
            </w:r>
            <w:r>
              <w:rPr>
                <w:b/>
                <w:i/>
              </w:rPr>
              <w:t>i poziva Komisiju da ažurira tu bazu podataka, s naglaskom na onim prethodnim inicijativama koje su se pokazale uspješnima u pružanju potpore mladima koji ne rade, nisu u sustavu redovitog obrazovanja te nisu u sustavu obrazovanja odraslih te njihovoj održivoj integraciji u tržište rada;</w:t>
            </w:r>
            <w:r>
              <w:t xml:space="preserve"> </w:t>
            </w:r>
            <w:r>
              <w:rPr>
                <w:b/>
                <w:i/>
              </w:rPr>
              <w:t>smatra da bi taj Centar znanja trebao služiti kao temelj za češću razmjenu dobrih praksi među državama članicama, posebno u pogledu praćenja, izvješćivanja, upravljanja i suradnje;</w:t>
            </w:r>
            <w:r>
              <w:t xml:space="preserve"> </w:t>
            </w:r>
            <w:r>
              <w:rPr>
                <w:b/>
                <w:i/>
              </w:rPr>
              <w:t>potiče istorazinske ocjene među državama članicama, kao i organizaciju prekograničnih projekata o provedbi pojačane Garancije za mlade;</w:t>
            </w:r>
            <w:r>
              <w:t xml:space="preserve"> </w:t>
            </w:r>
            <w:r>
              <w:rPr>
                <w:b/>
                <w:i/>
              </w:rPr>
              <w:t>poziva Komisiju da osigura veću transparentnost u pogledu sastanaka koordinatora Garancije za mlade i da proširi sudjelovanje u njima kako bi se, prema potrebi, uključili drugi dionici kao što je civilno društvo;</w:t>
            </w:r>
            <w:r>
              <w:t xml:space="preserve"> </w:t>
            </w:r>
            <w:r>
              <w:rPr>
                <w:b/>
                <w:i/>
              </w:rPr>
              <w:t>smatra da bi ta suradnja na europskoj razini trebala biti popraćena tješnjim međuparlamentarnim odnosima;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29a</w:t>
            </w:r>
            <w:r>
              <w:t xml:space="preserve"> </w:t>
            </w:r>
            <w:r>
              <w:rPr>
                <w:b/>
                <w:i/>
              </w:rPr>
              <w:t>poveznicu https://employment-social-affairs.ec.europa.eu/policies-and-activities/eu-employment-policies/youth-employment-support/reinforced-youth-guarantee/youth-guarantee-knowledge-centre_en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Poziva Komisiju i države članice da povećaju razinu osviještenosti o pojačanoj Garanciji za mlade i poboljšaju njezinu dostupnost i upotrebljivost;</w:t>
            </w:r>
            <w:r>
              <w:t xml:space="preserve"> </w:t>
            </w:r>
            <w:r>
              <w:rPr>
                <w:b/>
                <w:i/>
              </w:rPr>
              <w:t>poziva na suradnju sa skupinama mladih kako bi se razvili uključiviji komunikacijski kanali te pojednostavljen, jasan i korisnicima prilagođen jezik i postupci;</w:t>
            </w:r>
            <w:r>
              <w:t xml:space="preserve"> </w:t>
            </w:r>
            <w:r>
              <w:rPr>
                <w:b/>
                <w:i/>
              </w:rPr>
              <w:t>naglašava važnost dosljednog i trajnog brendiranja, uključujući prepoznatljiv vizualni identitet, kako bi se jasno priopćilo da je riječ o inicijativi financiranoj sredstvima EU-a s ciljem podizanja osviještenosti javnosti;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poziva Komisiju i države članice da u programe </w:t>
            </w:r>
            <w:r>
              <w:rPr>
                <w:b/>
                <w:i/>
              </w:rPr>
              <w:t>pojačane</w:t>
            </w:r>
            <w:r>
              <w:t xml:space="preserve"> Garancije za mlade uključe skup preventivnih mjera usmjerenih na </w:t>
            </w:r>
            <w:r>
              <w:rPr>
                <w:b/>
                <w:i/>
              </w:rPr>
              <w:t>rano napuštanje</w:t>
            </w:r>
            <w:r>
              <w:t xml:space="preserve"> školovanja kako bi se </w:t>
            </w:r>
            <w:r>
              <w:rPr>
                <w:b/>
                <w:i/>
              </w:rPr>
              <w:t>izbjegli kasniji učinci</w:t>
            </w:r>
            <w:r>
              <w:t xml:space="preserve"> na živote mladih;</w:t>
            </w:r>
          </w:p>
        </w:tc>
        <w:tc>
          <w:tcPr>
            <w:tcW w:w="4876" w:type="dxa"/>
            <w:tcBorders>
              <w:top w:val="nil"/>
              <w:left w:val="nil"/>
              <w:bottom w:val="nil"/>
              <w:right w:val="nil"/>
            </w:tcBorders>
          </w:tcPr>
          <w:p>
            <w:pPr>
              <w:pStyle w:val="Normal6a"/>
            </w:pPr>
            <w:r>
              <w:t>18.</w:t>
            </w:r>
            <w:r>
              <w:tab/>
            </w:r>
            <w:r>
              <w:t xml:space="preserve">poziva Komisiju i države članice da u </w:t>
            </w:r>
            <w:r>
              <w:rPr>
                <w:b/>
                <w:i/>
              </w:rPr>
              <w:t>ojačane</w:t>
            </w:r>
            <w:r>
              <w:t xml:space="preserve"> programe Garancije za mlade uključe skup preventivnih mjera usmjerenih na </w:t>
            </w:r>
            <w:r>
              <w:rPr>
                <w:b/>
                <w:i/>
              </w:rPr>
              <w:t>personalizirano usmjeravanje i potporu za borbu protiv ranog napuštanja</w:t>
            </w:r>
            <w:r>
              <w:t xml:space="preserve"> školovanja</w:t>
            </w:r>
            <w:r>
              <w:rPr>
                <w:b/>
                <w:i/>
              </w:rPr>
              <w:t>, kao i mjere psihosocijalne potpore za kontinuirano osposobljavanje i integraciju na tržište rada,</w:t>
            </w:r>
            <w:r>
              <w:t xml:space="preserve"> kako bi se </w:t>
            </w:r>
            <w:r>
              <w:rPr>
                <w:b/>
                <w:i/>
              </w:rPr>
              <w:t>izbjegle naknadne reperkusije</w:t>
            </w:r>
            <w:r>
              <w:t xml:space="preserve"> na živote mladih; </w:t>
            </w:r>
            <w:r>
              <w:rPr>
                <w:b/>
                <w:i/>
              </w:rPr>
              <w:t>potiče države članice da razviju programe osposobljavanja u području digitalnih vještina i vještina u području umjetne inteligencije u okviru pojačane Garancije za mlade, osiguravajući pritom da mladi korisnici steknu osnovne operativne vještine za upotrebu digitalnih alata i sustava umjetne inteligencije te ključan kapacitet za procjenu njihovih rizika i etičkih implikacija, u skladu s člankom 4. Uredbe (EU) 2024/1689 (Akt o umjetnoj inteligenciji) o pismenosti u području umjetne inteligencije;</w:t>
            </w:r>
            <w:r>
              <w:t xml:space="preserve"> </w:t>
            </w:r>
            <w:r>
              <w:rPr>
                <w:b/>
                <w:i/>
              </w:rPr>
              <w:t>naglašava da se digitalne vještine i vještine umjetne inteligencije moraju integrirati u strukovno obrazovanje i osposobljavanje, a ne tretirati kao neobvezni dodatni moduli;</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poziva Komisiju i države članice da u programe pojačane Garancije za mlade uključe skup preventivnih mjera usmjerenih na rano napuštanje školovanja kako bi se izbjegli kasniji učinci na živote mladih;</w:t>
            </w:r>
          </w:p>
        </w:tc>
        <w:tc>
          <w:tcPr>
            <w:tcW w:w="4876" w:type="dxa"/>
            <w:tcBorders>
              <w:top w:val="nil"/>
              <w:left w:val="nil"/>
              <w:bottom w:val="nil"/>
              <w:right w:val="nil"/>
            </w:tcBorders>
          </w:tcPr>
          <w:p>
            <w:pPr>
              <w:pStyle w:val="Normal6a"/>
            </w:pPr>
            <w:r>
              <w:t>18.</w:t>
            </w:r>
            <w:r>
              <w:tab/>
            </w:r>
            <w:r>
              <w:t xml:space="preserve">poziva Komisiju i države članice da u programe pojačane Garancije za mlade uključe skup preventivnih mjera usmjerenih na rano napuštanje školovanja kako bi se izbjegli kasniji učinci na živote mladih; </w:t>
            </w:r>
            <w:r>
              <w:rPr>
                <w:b/>
                <w:i/>
              </w:rPr>
              <w:t>predlaže da ti programi uključuju mehanizme kojima škole službama odgovornima za pojačanu Garanciju za mlade prijavljuju rizične slučajeve na temelju pohađanja škole ili obrazovnih rezultata kako bi se poboljšalo mapiranje, mjere podučavanja za mlade za koje postoji rizik od napuštanja školovanja, suradnju za jačanje obiteljskih kapaciteta, razvoj građanskog učenja i njihova osjećaja odgovornosti za karijerne odluke te zahtjev za provođenje završnih razgovora s osobama koje rano napuštaju školovanje kako bi se na pojedinačnoj razini unaprijedile strategije za daljnje učenje, rad ili druge životne ciljeve;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poziva Komisiju i države članice da u programe pojačane Garancije za mlade uključe skup preventivnih mjera usmjerenih na rano napuštanje školovanja kako bi se izbjegli kasniji učinci na živote mladih;</w:t>
            </w:r>
          </w:p>
        </w:tc>
        <w:tc>
          <w:tcPr>
            <w:tcW w:w="4876" w:type="dxa"/>
            <w:tcBorders>
              <w:top w:val="nil"/>
              <w:left w:val="nil"/>
              <w:bottom w:val="nil"/>
              <w:right w:val="nil"/>
            </w:tcBorders>
          </w:tcPr>
          <w:p>
            <w:pPr>
              <w:pStyle w:val="Normal6a"/>
            </w:pPr>
            <w:r>
              <w:t>18.</w:t>
            </w:r>
            <w:r>
              <w:tab/>
            </w:r>
            <w:r>
              <w:t xml:space="preserve">poziva Komisiju i države članice da u programe pojačane Garancije za mlade uključe skup preventivnih mjera usmjerenih na rano napuštanje školovanja kako bi se izbjegli kasniji učinci na živote mladih; </w:t>
            </w:r>
            <w:r>
              <w:rPr>
                <w:b/>
                <w:i/>
              </w:rPr>
              <w:t>te bi politike također trebale uključivati snažnije usluge profesionalnog usmjeravanja i programe mentorstva koji uključuju poslodavce i stručnjake, kako bi se mladima pomoglo u donošenju informiranih odluka o obrazovanju i osposobljavanju;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poziva Komisiju i države članice da </w:t>
            </w:r>
            <w:r>
              <w:rPr>
                <w:b/>
                <w:i/>
              </w:rPr>
              <w:t>u programe</w:t>
            </w:r>
            <w:r>
              <w:t xml:space="preserve"> pojačane Garancije za mlade </w:t>
            </w:r>
            <w:r>
              <w:rPr>
                <w:b/>
                <w:i/>
              </w:rPr>
              <w:t>uključe skup preventivnih mjera usmjerenih na rano napuštanje školovanja</w:t>
            </w:r>
            <w:r>
              <w:t xml:space="preserve"> kako bi se </w:t>
            </w:r>
            <w:r>
              <w:rPr>
                <w:b/>
                <w:i/>
              </w:rPr>
              <w:t>izbjegli kasniji učinci na živote mladih</w:t>
            </w:r>
            <w:r>
              <w:t>;</w:t>
            </w:r>
          </w:p>
        </w:tc>
        <w:tc>
          <w:tcPr>
            <w:tcW w:w="4876" w:type="dxa"/>
            <w:tcBorders>
              <w:top w:val="nil"/>
              <w:left w:val="nil"/>
              <w:bottom w:val="nil"/>
              <w:right w:val="nil"/>
            </w:tcBorders>
          </w:tcPr>
          <w:p>
            <w:pPr>
              <w:pStyle w:val="Normal6a"/>
            </w:pPr>
            <w:r>
              <w:t>18.</w:t>
            </w:r>
            <w:r>
              <w:tab/>
            </w:r>
            <w:r>
              <w:t xml:space="preserve">Poziva Komisiju i države članice da </w:t>
            </w:r>
            <w:r>
              <w:rPr>
                <w:b/>
                <w:i/>
              </w:rPr>
              <w:t>dodatno ojačaju sustave ranog upozoravanja u okviru programa</w:t>
            </w:r>
            <w:r>
              <w:t xml:space="preserve"> pojačane Garancije za mlade </w:t>
            </w:r>
            <w:r>
              <w:rPr>
                <w:b/>
                <w:i/>
              </w:rPr>
              <w:t>kako bi se identificirali mladi kojima prijeti rizik da postanu pripadnici skupine NEET;</w:t>
            </w:r>
            <w:r>
              <w:t xml:space="preserve"> </w:t>
            </w:r>
            <w:r>
              <w:rPr>
                <w:b/>
                <w:i/>
              </w:rPr>
              <w:t>poziva na preventivne mjere, kao što su procjena vještina te karijerno i profesionalno usmjeravanje,</w:t>
            </w:r>
            <w:r>
              <w:t xml:space="preserve"> kako bi se </w:t>
            </w:r>
            <w:r>
              <w:rPr>
                <w:b/>
                <w:i/>
              </w:rPr>
              <w:t>riješio problem ranog napuštanja školovanja i smanjila vjerojatnost dugoročne isključenosti s tržišta rada i njezinih negativnih učinaka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poziva Komisiju i države članice da u programe pojačane Garancije za mlade uključe skup preventivnih mjera usmjerenih na rano napuštanje školovanja kako bi se izbjegli </w:t>
            </w:r>
            <w:r>
              <w:rPr>
                <w:b/>
                <w:i/>
              </w:rPr>
              <w:t>kasniji</w:t>
            </w:r>
            <w:r>
              <w:t xml:space="preserve"> učinci na živote mladih;</w:t>
            </w:r>
          </w:p>
        </w:tc>
        <w:tc>
          <w:tcPr>
            <w:tcW w:w="4876" w:type="dxa"/>
            <w:tcBorders>
              <w:top w:val="nil"/>
              <w:left w:val="nil"/>
              <w:bottom w:val="nil"/>
              <w:right w:val="nil"/>
            </w:tcBorders>
          </w:tcPr>
          <w:p>
            <w:pPr>
              <w:pStyle w:val="Normal6a"/>
            </w:pPr>
            <w:r>
              <w:t>18.</w:t>
            </w:r>
            <w:r>
              <w:tab/>
            </w:r>
            <w:r>
              <w:t>poziva Komisiju i države članice da u programe pojačane Garancije za mlade uključe skup preventivnih mjera usmjerenih na rano napuštanje školovanja</w:t>
            </w:r>
            <w:r>
              <w:rPr>
                <w:b/>
                <w:i/>
              </w:rPr>
              <w:t>, među ostalim pojačanim uslugama potpore, usmjeravanjem i savjetovanjem te bližom suradnjom između obrazovnih i socijalnih službi te službi za zapošljavanje,</w:t>
            </w:r>
            <w:r>
              <w:t xml:space="preserve"> kako bi se izbjegli </w:t>
            </w:r>
            <w:r>
              <w:rPr>
                <w:b/>
                <w:i/>
              </w:rPr>
              <w:t>dugoročni</w:t>
            </w:r>
            <w:r>
              <w:t xml:space="preserve"> učinci na živote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poziva </w:t>
            </w:r>
            <w:r>
              <w:rPr>
                <w:b/>
                <w:i/>
              </w:rPr>
              <w:t>Komisiju i</w:t>
            </w:r>
            <w:r>
              <w:t xml:space="preserve"> države članice da u programe pojačane Garancije za mlade uključe skup preventivnih mjera usmjerenih na rano napuštanje školovanja kako bi se izbjegli kasniji učinci na živote mladih;</w:t>
            </w:r>
          </w:p>
        </w:tc>
        <w:tc>
          <w:tcPr>
            <w:tcW w:w="4876" w:type="dxa"/>
            <w:tcBorders>
              <w:top w:val="nil"/>
              <w:left w:val="nil"/>
              <w:bottom w:val="nil"/>
              <w:right w:val="nil"/>
            </w:tcBorders>
          </w:tcPr>
          <w:p>
            <w:pPr>
              <w:pStyle w:val="Normal6a"/>
            </w:pPr>
            <w:r>
              <w:t>18.</w:t>
            </w:r>
            <w:r>
              <w:tab/>
            </w:r>
            <w:r>
              <w:t>poziva države članice da u programe pojačane Garancije za mlade uključe skup preventivnih mjera usmjerenih na rano napuštanje školovanja kako bi se izbjegli kasniji učinci na živote mladih;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smatra da bi te preventivne mjere trebale uključivati cjeloživotno usmjeravanje koje pojedincima od rane dobi omogućuje da razumiju svoj put učenja i karijerne potrebe, kao i informacije o mogućnostima za ažuriranje vještina u skladu s tržištem rada, kako bi im se omogućilo da preuzmu kontrolu nad svojim životom i karijerom;</w:t>
            </w:r>
            <w:r>
              <w:t xml:space="preserve"> </w:t>
            </w:r>
            <w:r>
              <w:rPr>
                <w:b/>
                <w:i/>
              </w:rPr>
              <w:t>naglašava da, kako bi se doprlo do ranjivih skupina, cjeloživotno usmjeravanje može imati i neformalan ili informalan oblik;</w:t>
            </w:r>
            <w:r>
              <w:t xml:space="preserve"> </w:t>
            </w:r>
            <w:r>
              <w:rPr>
                <w:b/>
                <w:i/>
              </w:rPr>
              <w:t>potiče države članice da razviju politike cjeloživotnog usmjeravanja utemeljene na dokazima i standardima kvalitete, uključujući profesionalno usmjeravanje u školskim kurikulumima te module za reintegraciju osnovnih vještina i mekih vještina za dugotrajno nezaposlene ili neaktivne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poziva Komisiju i države članice da poboljšaju alate i prakse za profiliranje i probir pripadnika skupine NEET te da usvoje rodno osjetljiv pristup kako bi se bolje uskladile potrebe i odgovori te smanjile rodne razlike;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potiče usavršavanje niskokvalificiranih mladih pripadnika skupine NEET, s prilagođenim ponudama kao što su kratki internetski tečajevi o digitalnim, jezičnim, osnovnim i poduzetničkim vještinama, financijskoj pismenosti, potvrđeni mikrokvalifikacijama;</w:t>
            </w:r>
            <w:r>
              <w:t xml:space="preserve"> </w:t>
            </w:r>
            <w:r>
              <w:rPr>
                <w:b/>
                <w:i/>
              </w:rPr>
              <w:t>prepoznaje napore koje su države članice uložile u programe usavršavanja i prekvalifikacije;</w:t>
            </w:r>
            <w:r>
              <w:t xml:space="preserve"> </w:t>
            </w:r>
            <w:r>
              <w:rPr>
                <w:b/>
                <w:i/>
              </w:rPr>
              <w:t>naglašava da u većini slučajeva nema potrebe za stvaranjem posebnih programa za stjecanje vještina za pojačanu Garanciju za mlade, već za stvaranjem namjenskih mogućnosti za korisnike u okviru postojećih nacionalnih sustava;</w:t>
            </w:r>
            <w:r>
              <w:t xml:space="preserve"> </w:t>
            </w:r>
            <w:r>
              <w:rPr>
                <w:b/>
                <w:i/>
              </w:rPr>
              <w:t>smatra da bi ranjivim mladim osobama trebalo pružiti veću potporu u pristupu naukovanju i strukovnom osposobljavanju, posebno u sektorima u tranziciji;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poziva države članice da ojačaju svoju </w:t>
            </w:r>
            <w:r>
              <w:rPr>
                <w:b/>
                <w:i/>
              </w:rPr>
              <w:t>ponudu</w:t>
            </w:r>
            <w:r>
              <w:t xml:space="preserve"> SOO-a i moderniziraju svoje sustave cjeloživotnog učenja, posebno istraživanjem mogućnosti za pojedinačne račune za osposobljavanje </w:t>
            </w:r>
            <w:r>
              <w:rPr>
                <w:b/>
                <w:i/>
              </w:rPr>
              <w:t>ili</w:t>
            </w:r>
            <w:r>
              <w:t xml:space="preserve"> fondove za osposobljavanje u skladu s nacionalnim modelima;</w:t>
            </w:r>
          </w:p>
        </w:tc>
        <w:tc>
          <w:tcPr>
            <w:tcW w:w="4876" w:type="dxa"/>
            <w:tcBorders>
              <w:top w:val="nil"/>
              <w:left w:val="nil"/>
              <w:bottom w:val="nil"/>
              <w:right w:val="nil"/>
            </w:tcBorders>
          </w:tcPr>
          <w:p>
            <w:pPr>
              <w:pStyle w:val="Normal6a"/>
            </w:pPr>
            <w:r>
              <w:t>19.</w:t>
            </w:r>
            <w:r>
              <w:tab/>
            </w:r>
            <w:r>
              <w:rPr>
                <w:b/>
                <w:i/>
              </w:rPr>
              <w:t>podsjeća da je Direktivom (EU) 2019/1152 već utvrđeno da se obvezno osposobljavanje za radnike mora pružati besplatno, računati kao radno vrijeme i odvijati tijekom radnog vremena, uz napomenu da su prenošenje i provedba tih odredbi i dalje neujednačeni među državama članicama;</w:t>
            </w:r>
            <w:r>
              <w:t xml:space="preserve"> </w:t>
            </w:r>
            <w:r>
              <w:rPr>
                <w:b/>
                <w:i/>
              </w:rPr>
              <w:t>naglašava da pripadnici skupine NEET ostaju u potpunosti izvan područja primjene tih zaštitnih mjera;</w:t>
            </w:r>
            <w:r>
              <w:t xml:space="preserve"> </w:t>
            </w:r>
            <w:r>
              <w:rPr>
                <w:b/>
                <w:i/>
              </w:rPr>
              <w:t>poziva države članice da priznaju individualno pravo na osposobljavanje i cjeloživotno učenje za sve mlade, bez obzira na njihov radni status, a za one koji su zaposleni tijekom radnog vremena, besplatno i računajući to kao radno vrijeme, kako bi se osiguralo usavršavanje i prekvalifikacija te potpora razvoju karijere;</w:t>
            </w:r>
            <w:r>
              <w:t xml:space="preserve"> poziva države članice da ojačaju svoju </w:t>
            </w:r>
            <w:r>
              <w:rPr>
                <w:b/>
                <w:i/>
              </w:rPr>
              <w:t>ponude</w:t>
            </w:r>
            <w:r>
              <w:t xml:space="preserve"> SOO-a i moderniziraju svoje sustave cjeloživotnog učenja </w:t>
            </w:r>
            <w:r>
              <w:rPr>
                <w:b/>
                <w:i/>
              </w:rPr>
              <w:t>u bliskoj suradnji sa socijalnim partnerima, ustanovama za obrazovanje i osposobljavanje</w:t>
            </w:r>
            <w:r>
              <w:t xml:space="preserve">, posebno istraživanjem mogućnosti za pojedinačne račune za osposobljavanje </w:t>
            </w:r>
            <w:r>
              <w:rPr>
                <w:b/>
                <w:i/>
              </w:rPr>
              <w:t>i</w:t>
            </w:r>
            <w:r>
              <w:t xml:space="preserve"> fondove za osposobljavanje u skladu s nacionalnim modelima;</w:t>
            </w:r>
            <w:r>
              <w:rPr>
                <w:b/>
                <w:i/>
              </w:rPr>
              <w:t>, te da osiguraju da se osposobljavanje koje se nudi u okviru programa pojačane Garancije za mlade uračunava u priznate kvalifikacije;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poziva države članice da ojačaju svoju ponudu SOO-a i moderniziraju svoje sustave cjeloživotnog učenja, posebno istraživanjem mogućnosti za pojedinačne račune za osposobljavanje ili fondove za osposobljavanje u skladu s nacionalnim modelima;</w:t>
            </w:r>
          </w:p>
        </w:tc>
        <w:tc>
          <w:tcPr>
            <w:tcW w:w="4876" w:type="dxa"/>
            <w:tcBorders>
              <w:top w:val="nil"/>
              <w:left w:val="nil"/>
              <w:bottom w:val="nil"/>
              <w:right w:val="nil"/>
            </w:tcBorders>
          </w:tcPr>
          <w:p>
            <w:pPr>
              <w:pStyle w:val="Normal6a"/>
            </w:pPr>
            <w:r>
              <w:t>19.</w:t>
            </w:r>
            <w:r>
              <w:tab/>
            </w:r>
            <w:r>
              <w:t xml:space="preserve">poziva države članice da ojačaju svoju ponudu SOO-a i moderniziraju svoje sustave cjeloživotnog učenja, posebno istraživanjem mogućnosti za pojedinačne račune za osposobljavanje ili fondove za osposobljavanje u skladu s nacionalnim modelima; </w:t>
            </w:r>
            <w:r>
              <w:rPr>
                <w:b/>
                <w:i/>
              </w:rPr>
              <w:t>poziva Komisiju da se u predstojećoj strategiji EU-a za strukovno obrazovanje i osposobljavanje nadoveže na Deklaraciju iz Herninga</w:t>
            </w:r>
            <w:r>
              <w:rPr>
                <w:b/>
                <w:i/>
                <w:vertAlign w:val="superscript"/>
              </w:rPr>
              <w:t>30a</w:t>
            </w:r>
            <w:r>
              <w:rPr>
                <w:b/>
                <w:i/>
              </w:rPr>
              <w:t>, kako bi se poboljšali privlačnost, kvaliteta, prenosivost i uključivost tih mogućnosti za mlade i konkretno pokazale mogućnosti za razvoj karijere koje se pružaju, posebno u kontekstu dvostruke tranzicije i potražnje na tržištu rada;</w:t>
            </w:r>
            <w:r>
              <w:t xml:space="preserve"> </w:t>
            </w:r>
            <w:r>
              <w:rPr>
                <w:b/>
                <w:i/>
              </w:rPr>
              <w:t>u tom kontekstu pozdravlja najavu osnivanja Europskog opservatorija za informacije o vještinama, posebno kako bi se poboljšala sposobnost predviđanja u pogledu vještina;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30a</w:t>
            </w:r>
            <w:r>
              <w:t xml:space="preserve"> </w:t>
            </w:r>
            <w:r>
              <w:rPr>
                <w:b/>
                <w:i/>
              </w:rPr>
              <w:t>Deklaracija iz Herninga o privlačnom i uključivom strukovnom obrazovanju i osposobljavanju s ciljem povećanja konkurentnosti i kvalitetnih radnih mjesta za razdoblje 2026. – 2030. (rujan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poziva države članice da </w:t>
            </w:r>
            <w:r>
              <w:rPr>
                <w:b/>
                <w:i/>
              </w:rPr>
              <w:t>ojačaju svoju ponudu SOO-a i moderniziraju svoje</w:t>
            </w:r>
            <w:r>
              <w:t xml:space="preserve"> sustave </w:t>
            </w:r>
            <w:r>
              <w:rPr>
                <w:b/>
                <w:i/>
              </w:rPr>
              <w:t>cjeloživotnog učenja, posebno istraživanjem mogućnosti za pojedinačne račune za osposobljavanje ili fondove za osposobljavanje u skladu s nacionalnim modelima</w:t>
            </w:r>
            <w:r>
              <w:t>;</w:t>
            </w:r>
          </w:p>
        </w:tc>
        <w:tc>
          <w:tcPr>
            <w:tcW w:w="4876" w:type="dxa"/>
            <w:tcBorders>
              <w:top w:val="nil"/>
              <w:left w:val="nil"/>
              <w:bottom w:val="nil"/>
              <w:right w:val="nil"/>
            </w:tcBorders>
          </w:tcPr>
          <w:p>
            <w:pPr>
              <w:pStyle w:val="Normal6a"/>
            </w:pPr>
            <w:r>
              <w:t>19.</w:t>
            </w:r>
            <w:r>
              <w:tab/>
            </w:r>
            <w:r>
              <w:t xml:space="preserve">poziva države članice da </w:t>
            </w:r>
            <w:r>
              <w:rPr>
                <w:b/>
                <w:i/>
              </w:rPr>
              <w:t>ulažu u visokokvalitetne</w:t>
            </w:r>
            <w:r>
              <w:t xml:space="preserve"> sustave </w:t>
            </w:r>
            <w:r>
              <w:rPr>
                <w:b/>
                <w:i/>
              </w:rPr>
              <w:t>strukovnog obrazovanja i osposobljavanja na svim razinama, uključujući strukovno tercijarno obrazovanje, koji mogu učinkovito odgovoriti na potrebe tržišta rada;</w:t>
            </w:r>
            <w:r>
              <w:t xml:space="preserve"> </w:t>
            </w:r>
            <w:r>
              <w:rPr>
                <w:b/>
                <w:i/>
              </w:rPr>
              <w:t>također poziva na promicanje i jačanje paritetnih mehanizama osposobljavanja u poduzećima kojima upravljaju socijalni partneri kao ključnog alata za osiguravanje kontinuiteta programa osposobljavanja tijekom cijelog radnog vijeka i sprečavanje ranog zastarijevanja vještina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poziva države članice da ojačaju </w:t>
            </w:r>
            <w:r>
              <w:rPr>
                <w:b/>
                <w:i/>
              </w:rPr>
              <w:t>svoju ponudu SOO-a</w:t>
            </w:r>
            <w:r>
              <w:t xml:space="preserve"> i moderniziraju svoje sustave cjeloživotnog učenja, posebno </w:t>
            </w:r>
            <w:r>
              <w:rPr>
                <w:b/>
                <w:i/>
              </w:rPr>
              <w:t>istraživanjem mogućnosti za pojedinačne račune za osposobljavanje ili fondove za osposobljavanje</w:t>
            </w:r>
            <w:r>
              <w:t xml:space="preserve"> u skladu s nacionalnim modelima;</w:t>
            </w:r>
          </w:p>
        </w:tc>
        <w:tc>
          <w:tcPr>
            <w:tcW w:w="4876" w:type="dxa"/>
            <w:tcBorders>
              <w:top w:val="nil"/>
              <w:left w:val="nil"/>
              <w:bottom w:val="nil"/>
              <w:right w:val="nil"/>
            </w:tcBorders>
          </w:tcPr>
          <w:p>
            <w:pPr>
              <w:pStyle w:val="Normal6a"/>
            </w:pPr>
            <w:r>
              <w:t>19.</w:t>
            </w:r>
            <w:r>
              <w:tab/>
            </w:r>
            <w:r>
              <w:t xml:space="preserve">poziva države članice da ojačaju </w:t>
            </w:r>
            <w:r>
              <w:rPr>
                <w:b/>
                <w:i/>
              </w:rPr>
              <w:t>svoje ponude SOO-a i digitalnih vještina</w:t>
            </w:r>
            <w:r>
              <w:t xml:space="preserve"> i moderniziraju svoje sustave cjeloživotnog učenja, posebno </w:t>
            </w:r>
            <w:r>
              <w:rPr>
                <w:b/>
                <w:i/>
              </w:rPr>
              <w:t>razvojem sinergija s drugim inicijativama EU-a, kao što su program Erasmus+ i centri strukovne izvrsnosti, kao i promicanjem naukovanja, dualnih obrazovnih sustava, usavršavanja i prekvalifikacija i suradnje s lokalnim poduzećima i MSP-ovima</w:t>
            </w:r>
            <w:r>
              <w:t xml:space="preserve"> u skladu s nacionalnim modelima;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poziva države članice da ojačaju svoju ponudu SOO-a i moderniziraju svoje sustave cjeloživotnog učenja, posebno istraživanjem mogućnosti za pojedinačne račune za osposobljavanje ili fondove za osposobljavanje u skladu s nacionalnim modelima;</w:t>
            </w:r>
          </w:p>
        </w:tc>
        <w:tc>
          <w:tcPr>
            <w:tcW w:w="4876" w:type="dxa"/>
            <w:tcBorders>
              <w:top w:val="nil"/>
              <w:left w:val="nil"/>
              <w:bottom w:val="nil"/>
              <w:right w:val="nil"/>
            </w:tcBorders>
          </w:tcPr>
          <w:p>
            <w:pPr>
              <w:pStyle w:val="Normal6a"/>
            </w:pPr>
            <w:r>
              <w:t>19.</w:t>
            </w:r>
            <w:r>
              <w:tab/>
            </w:r>
            <w:r>
              <w:t xml:space="preserve">poziva države članice da ojačaju svoju ponudu SOO-a i moderniziraju svoje sustave cjeloživotnog učenja, posebno istraživanjem mogućnosti za pojedinačne račune za osposobljavanje ili fondove za osposobljavanje u skladu s nacionalnim modelima; </w:t>
            </w:r>
            <w:r>
              <w:rPr>
                <w:b/>
                <w:i/>
              </w:rPr>
              <w:t>ističe da bi se tim ulaganjima poseban prioritet trebao dati digitalnim, tehničkim i industrijskim specijalizacijama i vještinama koje zadovoljavaju stvarne potrebe regionalnih i lokalnih tržišta rada;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poziva države članice da ojačaju svoju ponudu SOO-a i moderniziraju svoje sustave cjeloživotnog učenja, posebno istraživanjem mogućnosti za pojedinačne račune za osposobljavanje ili fondove za osposobljavanje u skladu s nacionalnim modelima;</w:t>
            </w:r>
          </w:p>
        </w:tc>
        <w:tc>
          <w:tcPr>
            <w:tcW w:w="4876" w:type="dxa"/>
            <w:tcBorders>
              <w:top w:val="nil"/>
              <w:left w:val="nil"/>
              <w:bottom w:val="nil"/>
              <w:right w:val="nil"/>
            </w:tcBorders>
          </w:tcPr>
          <w:p>
            <w:pPr>
              <w:pStyle w:val="Normal6a"/>
            </w:pPr>
            <w:r>
              <w:t>19.</w:t>
            </w:r>
            <w:r>
              <w:tab/>
            </w:r>
            <w:r>
              <w:t xml:space="preserve">poziva države članice da ojačaju svoju ponudu SOO-a i moderniziraju svoje sustave cjeloživotnog učenja, </w:t>
            </w:r>
            <w:r>
              <w:rPr>
                <w:b/>
                <w:i/>
              </w:rPr>
              <w:t>osiguravajući njihovu uključivost i prilagodljivost potrebama tržišta rada i društvenim potrebama,</w:t>
            </w:r>
            <w:r>
              <w:t xml:space="preserve"> posebno </w:t>
            </w:r>
            <w:r>
              <w:rPr>
                <w:b/>
                <w:i/>
              </w:rPr>
              <w:t>u kontekstu zelene i digitalne tranzicije,</w:t>
            </w:r>
            <w:r>
              <w:t xml:space="preserve"> istraživanjem mogućnosti za pojedinačne račune za osposobljavanje ili fondove za osposobljavanje u skladu s nacionalnim modelima</w:t>
            </w:r>
            <w:r>
              <w:rPr>
                <w:b/>
                <w:i/>
              </w:rPr>
              <w:t>, uz istodobno jamčenje minimalnih standarda kvalitete, dostupnosti i pravednosti diljem Unije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poziva države članice da ojačaju svoju ponudu SOO-a </w:t>
            </w:r>
            <w:r>
              <w:rPr>
                <w:b/>
                <w:i/>
              </w:rPr>
              <w:t>i moderniziraju svoje sustave cjeloživotnog učenja, posebno istraživanjem mogućnosti za pojedinačne račune za osposobljavanje ili fondove za osposobljavanje u skladu s nacionalnim modelima</w:t>
            </w:r>
            <w:r>
              <w:t>;</w:t>
            </w:r>
          </w:p>
        </w:tc>
        <w:tc>
          <w:tcPr>
            <w:tcW w:w="4876" w:type="dxa"/>
            <w:tcBorders>
              <w:top w:val="nil"/>
              <w:left w:val="nil"/>
              <w:bottom w:val="nil"/>
              <w:right w:val="nil"/>
            </w:tcBorders>
          </w:tcPr>
          <w:p>
            <w:pPr>
              <w:pStyle w:val="Normal6a"/>
            </w:pPr>
            <w:r>
              <w:t>19.</w:t>
            </w:r>
            <w:r>
              <w:tab/>
            </w:r>
            <w:r>
              <w:t xml:space="preserve">poziva države članice da ojačaju svoju ponudu SOO-a </w:t>
            </w:r>
            <w:r>
              <w:rPr>
                <w:b/>
                <w:i/>
              </w:rPr>
              <w:t>te da usvoje fiskalne poticaje usmjerene na mlade, kao što su oslobođenje od poreza na dohodak za mlade aktivne osobe i ukidanje poreza na dobit za mlade poduzetnike, kako bi se zadržao nacionalni ljudski kapital i ograničio odljev mozgova</w:t>
            </w:r>
            <w:r>
              <w:t xml:space="preserve">; </w:t>
            </w:r>
            <w:r>
              <w:rPr>
                <w:b/>
                <w:i/>
              </w:rPr>
              <w:t>podsjeća na to da sredstva EU-a za spomenute programe moraju biti od isključive koristi mladim građanima država članica;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poziva države članice da ojačaju svoju ponudu SOO-a i moderniziraju svoje sustave cjeloživotnog učenja, posebno istraživanjem mogućnosti za pojedinačne račune za osposobljavanje ili fondove za osposobljavanje u skladu s nacionalnim modelima;</w:t>
            </w:r>
          </w:p>
        </w:tc>
        <w:tc>
          <w:tcPr>
            <w:tcW w:w="4876" w:type="dxa"/>
            <w:tcBorders>
              <w:top w:val="nil"/>
              <w:left w:val="nil"/>
              <w:bottom w:val="nil"/>
              <w:right w:val="nil"/>
            </w:tcBorders>
          </w:tcPr>
          <w:p>
            <w:pPr>
              <w:pStyle w:val="Normal6a"/>
            </w:pPr>
            <w:r>
              <w:t>19.</w:t>
            </w:r>
            <w:r>
              <w:tab/>
            </w:r>
            <w:r>
              <w:t>poziva države članice da ojačaju svoju ponudu SOO-a i moderniziraju svoje sustave cjeloživotnog učenja, posebno istraživanjem mogućnosti za pojedinačne račune za osposobljavanje ili fondove za osposobljavanje u skladu s nacionalnim modelima</w:t>
            </w:r>
            <w:r>
              <w:rPr>
                <w:b/>
                <w:i/>
              </w:rPr>
              <w:t>, pri čemu oni ne bi bili zamjena javne odgovornosti za pružanje besplatnog, javnog i univerzalnog obrazovanja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 – podstavak 1.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ističe potrebu za fleksibilnim oblicima osposobljavanja relevantnima za tržište rada i ističe potencijal kratkih, modularnih oblika učenja, uključujući mikrokvalifikacije, za potporu usavršavanju i prekvalifikaciji, rješavanje problema nedostatka vještina i uključivanje mladih do kojih je teško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poziva Komisiju i države članice da podupru, među ostalim u okviru fonda ESF+, kohezijskih fondova i drugih odgovarajućih instrumenata Unije, stvaranje, jačanje i međupovezanost mreža kojima se promiču vještine u području poduzetništva, inovacija i samozapošljavanja među mladima, osobito u planinskim, otočnim i udaljenim područjima Unije;</w:t>
            </w:r>
            <w:r>
              <w:t xml:space="preserve"> </w:t>
            </w:r>
            <w:r>
              <w:rPr>
                <w:b/>
                <w:i/>
              </w:rPr>
              <w:t>naglašava da cilj mora biti razvoj vještina, mentorstvo, razmjena najboljih praksi i pristup mladih stvarnim mogućnostima za profesionalnu integraciju i poduzetništvo;</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poziva države članice da, u bliskoj suradnji s poslodavcima i socijalnim partnerima, naglasak stave na provedbu pojačane Garancije za mlade u sektorima koji se suočavaju s manjkom radne snage i vještina, kako bi se osigurala brža i održivija integracija mladih na otvoreno tržište rada;</w:t>
            </w:r>
            <w:r>
              <w:t xml:space="preserve"> </w:t>
            </w:r>
            <w:r>
              <w:rPr>
                <w:b/>
                <w:i/>
              </w:rPr>
              <w:t>naglašava da bi se ponude trebale temeljiti na potražnji te da bi one trebale biti usklađene s regionalnim potrebama tržišta rada i doprinositi konkurentnosti Unije te zelenoj i digitalnoj tranziciji;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poziva države članice da poboljšaju kvalitetu i uključivost školskog obrazovanja kako bi svi učenici stekli osnovne, digitalne, STEM i transverzalne vještine, uključujući meke vještine, potrebne za uspješan napredak u strukovnom obrazovanju i osposobljavanju te za prilagodbu potrebama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ističe važnost socijalnog poduzetništva kao alata za promicanje zapošljavanja mladih, posebno mladih u ranjivom položaju ili mladih pripadnika skupine NEET;</w:t>
            </w:r>
            <w:r>
              <w:t xml:space="preserve"> </w:t>
            </w:r>
            <w:r>
              <w:rPr>
                <w:b/>
                <w:i/>
              </w:rPr>
              <w:t>ističe da socijalna poduzeća mogu doprinijeti razvoju vještina, socijalnoj uključenosti i stvaranju održivih radnih mjesta s lokalnim učinkom;</w:t>
            </w:r>
            <w:r>
              <w:t xml:space="preserve"> </w:t>
            </w:r>
            <w:r>
              <w:rPr>
                <w:b/>
                <w:i/>
              </w:rPr>
              <w:t>poziva Komisiju i države članice da pruže snažniju potporu socijalnim poduzećima u okviru pojačane Garancije za mlade, među ostalim odgovarajućim financiranjem, osposobljavanjem, mentorstvom i pristupom mrežama suradnje;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poziva države članice da osiguraju da strukovno obrazovanje i osposobljavanje, uključujući dualne sustave obrazovanja koji kombiniraju učenje u učionici i praktično radno iskustvo, bude poštovanja vrijedan i privlačan put, jednako kao i akademsko obrazovanje;</w:t>
            </w:r>
            <w:r>
              <w:t xml:space="preserve"> </w:t>
            </w:r>
            <w:r>
              <w:rPr>
                <w:b/>
                <w:i/>
              </w:rPr>
              <w:t>poziva države članice da promiču načela dualnog učenja kako bi se olakšao neometan prijelaz na stabilno zaposlenje;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poziva Komisiju i države članice da osiguraju kontinuirano praćenje i analizu potreba za vještinama usmjerenu na budućnost kako bi se sustavi obrazovanja i osposobljavanja uskladili s kretanjima na tržištu rada, posebno za mlade, te uvijek vodeći računa o cjelovitom razvoju mladih (životne kompetencije);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19.d</w:t>
            </w:r>
            <w:r>
              <w:tab/>
            </w:r>
            <w:r>
              <w:rPr>
                <w:b/>
                <w:i/>
              </w:rPr>
              <w:t>poziva Komisiju i države članice da promiču pravičan pristup mogućnostima osposobljavanja i prekvalifikacije za mlade, uključujući buduće roditelje i mlade žene s obvezama skrbi, olakšavanjem pristupa individualnom, besplatnom osposobljavanju tijekom radnog vremena i uklanjanjem prepreka povezanih s vremenskim ograničenjima, obvezama skrbi i financijskim troškovima;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19.e</w:t>
            </w:r>
            <w:r>
              <w:tab/>
            </w:r>
            <w:r>
              <w:rPr>
                <w:b/>
                <w:i/>
              </w:rPr>
              <w:t>poziva Komisiju i države članice da osiguraju da svako dijete i mlada osoba u sustavu skrbi za djecu ili školi ima pristup besplatnom dnevnom toplom obroku</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https://commission.europa.eu/publications/school-fruit-vegetables-and-milk-scheme-eu-school-scheme_en?prefLang=hr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poziva na veću sinergiju između Garancije za mlade i Europskog jamstva za djecu, i na razini EU-a i na nacionalnoj razini, posebno kako bi se pružila kontinuirana potpora djeci kojoj je potrebna pomoć, od dobi od 15 do 18 godina i kada postanu mlade odrasle osobe; naglašava da cilj tog integriranog pristupa mora biti sprečavanje fenomena naglog prekida potpore u sustavu skrbi (engl. care cliff);</w:t>
            </w:r>
          </w:p>
        </w:tc>
        <w:tc>
          <w:tcPr>
            <w:tcW w:w="4876" w:type="dxa"/>
            <w:tcBorders>
              <w:top w:val="nil"/>
              <w:left w:val="nil"/>
              <w:bottom w:val="nil"/>
              <w:right w:val="nil"/>
            </w:tcBorders>
          </w:tcPr>
          <w:p>
            <w:pPr>
              <w:pStyle w:val="Normal6a"/>
            </w:pPr>
            <w:r>
              <w:t>20.</w:t>
            </w:r>
            <w:r>
              <w:tab/>
            </w:r>
            <w:r>
              <w:t>poziva na veću sinergiju između Garancije za mlade i Europskog jamstva za djecu, i na razini EU-a i na nacionalnoj razini, posebno kako bi se pružila kontinuirana potpora djeci kojoj je potrebna pomoć, od dobi od 15 do 18 godina i kada postanu mlade odrasle osobe; naglašava da cilj tog integriranog pristupa mora biti sprečavanje fenomena naglog prekida potpore u sustavu skrbi (engl. care cliff)</w:t>
            </w:r>
            <w:r>
              <w:rPr>
                <w:b/>
                <w:i/>
                <w:vertAlign w:val="superscript"/>
              </w:rPr>
              <w:t>31.a</w:t>
            </w:r>
            <w:r>
              <w:rPr>
                <w:b/>
                <w:i/>
              </w:rPr>
              <w:t>, pri čemu se osobe koje napuštaju sustav skrbi suočavaju s potpunim nedostatkom potpore nakon što dosegnu odraslu dob</w:t>
            </w:r>
            <w:r>
              <w:t xml:space="preserve">; </w:t>
            </w:r>
            <w:r>
              <w:rPr>
                <w:b/>
                <w:i/>
              </w:rPr>
              <w:t>ističe potrebu za jačanjem suradnje sa socijalnim službama i pružateljima alternativne skrbi kako bi se osiguralo da djeca koja prelaze iz sustava skrbi ne propuste obrazovne mogućnosti, među ostalim ranim i kontinuiranim načinima potpore;</w:t>
            </w:r>
            <w:r>
              <w:t xml:space="preserve"> </w:t>
            </w:r>
            <w:r>
              <w:rPr>
                <w:b/>
                <w:i/>
              </w:rPr>
              <w:t>ističe važnost poboljšanja prikupljanja i dostupnosti raščlanjenih i pouzdanih podataka o djeci u sustavu skrbi i djeci koja se približavaju dobi za napuštanje sustava skrbi kako bi se bolje oblikovale ciljane politike, uključujući pojačanu Garanciju za mlade;</w:t>
            </w:r>
            <w:r>
              <w:t xml:space="preserve"> </w:t>
            </w:r>
            <w:r>
              <w:rPr>
                <w:b/>
                <w:i/>
              </w:rPr>
              <w:t>poziva države članice i javne službe za zapošljavanje da prošire mjere informiranja i usluge potpore na sva područja skrbi, uključujući domove za male skupine i institucionalna okružja, kako bi se zajamčio jednak pristup obrazovanju, osposobljavanju i budućim mogućnostima za svu djecu na koju se to odnosi;</w:t>
            </w:r>
            <w:r>
              <w:t xml:space="preserve"> </w:t>
            </w:r>
            <w:r>
              <w:rPr>
                <w:b/>
                <w:i/>
              </w:rPr>
              <w:t>ističe potencijal za sinergije između Garancije za mlade i drugih programa kao što su ALMA, Erasmus+ i Strateški okvir EU-a za Rome;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31.a</w:t>
            </w:r>
            <w:r>
              <w:t xml:space="preserve"> </w:t>
            </w:r>
            <w:r>
              <w:rPr>
                <w:b/>
                <w:i/>
              </w:rPr>
              <w:t>Field, A, Sen, R, Johnston, C &amp; Ellis, K 2021, „Turning 18 in Specialised Residential Therapeutic Care: Independence or a Cliff Edge?ˮ (Postati punoljetan u okviru specijalizirane terapeutske skrbi: neovisnost ili nagli prestanak skrbi?),</w:t>
            </w:r>
            <w:r>
              <w:t xml:space="preserve"> </w:t>
            </w:r>
            <w:r>
              <w:rPr>
                <w:b/>
                <w:i/>
              </w:rPr>
              <w:t>Children &amp; Society, sv. 35, br. 5, str. 784. – 798. https://doi.org/10.1111/chso.12450.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poziva na veću sinergiju između Garancije za mlade i Europskog jamstva za djecu</w:t>
            </w:r>
            <w:r>
              <w:rPr>
                <w:b/>
                <w:i/>
              </w:rPr>
              <w:t>,</w:t>
            </w:r>
            <w:r>
              <w:t xml:space="preserve"> i na razini </w:t>
            </w:r>
            <w:r>
              <w:rPr>
                <w:b/>
                <w:i/>
              </w:rPr>
              <w:t>EU-a</w:t>
            </w:r>
            <w:r>
              <w:t xml:space="preserve"> i na nacionalnoj razini, posebno kako bi se pružila kontinuirana potpora </w:t>
            </w:r>
            <w:r>
              <w:rPr>
                <w:b/>
                <w:i/>
              </w:rPr>
              <w:t>djeci kojoj</w:t>
            </w:r>
            <w:r>
              <w:t xml:space="preserve"> je potrebna pomoć</w:t>
            </w:r>
            <w:r>
              <w:rPr>
                <w:b/>
                <w:i/>
              </w:rPr>
              <w:t>, od dobi od 15 do 18 godina i kada postanu mlade odrasle osobe</w:t>
            </w:r>
            <w:r>
              <w:t>; naglašava da cilj tog integriranog pristupa mora biti sprečavanje fenomena naglog prekida potpore u sustavu skrbi (engl. care cliff);</w:t>
            </w:r>
          </w:p>
        </w:tc>
        <w:tc>
          <w:tcPr>
            <w:tcW w:w="4876" w:type="dxa"/>
            <w:tcBorders>
              <w:top w:val="nil"/>
              <w:left w:val="nil"/>
              <w:bottom w:val="nil"/>
              <w:right w:val="nil"/>
            </w:tcBorders>
          </w:tcPr>
          <w:p>
            <w:pPr>
              <w:pStyle w:val="Normal6a"/>
            </w:pPr>
            <w:r>
              <w:t>20.</w:t>
            </w:r>
            <w:r>
              <w:tab/>
            </w:r>
            <w:r>
              <w:t xml:space="preserve">poziva na veću sinergiju između </w:t>
            </w:r>
            <w:r>
              <w:rPr>
                <w:b/>
                <w:i/>
              </w:rPr>
              <w:t>pojačane</w:t>
            </w:r>
            <w:r>
              <w:t xml:space="preserve"> Garancije za mlade i Europskog jamstva za djecu i na razini </w:t>
            </w:r>
            <w:r>
              <w:rPr>
                <w:b/>
                <w:i/>
              </w:rPr>
              <w:t>Unije</w:t>
            </w:r>
            <w:r>
              <w:t xml:space="preserve"> i na nacionalnoj razini, posebno kako bi se pružila kontinuirana potpora </w:t>
            </w:r>
            <w:r>
              <w:rPr>
                <w:b/>
                <w:i/>
              </w:rPr>
              <w:t>mladima i mladim odraslim osobama kojima</w:t>
            </w:r>
            <w:r>
              <w:t xml:space="preserve"> je potrebna pomoć; naglašava da cilj tog integriranog pristupa mora biti sprečavanje fenomena naglog prekida potpore u sustavu skrbi (engl. care cliff)</w:t>
            </w:r>
            <w:r>
              <w:rPr>
                <w:b/>
                <w:i/>
              </w:rPr>
              <w:t>, pri čemu mladi koji napuštaju sustav skrbi naglo ostaju bez smještaja, socijalne i obrazovne potpore te potpore za zapošljavanje nakon što dosegnu odraslu dob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žali zbog toga što, unatoč naporima, nijedna država članica trenutačno nije blizu postizanja ciljeva na razini EU-a utvrđenih u Strateškom okviru EU-a za jednakost, uključivanje i sudjelovanje Roma, a posebno cilja da se do 2030. prepolovi razlika u stopama pripadnosti skupini NEET između romske mladeži i opće populacije;</w:t>
            </w:r>
            <w:r>
              <w:t xml:space="preserve"> </w:t>
            </w:r>
            <w:r>
              <w:rPr>
                <w:b/>
                <w:i/>
              </w:rPr>
              <w:t>naglašava da se utvrđivanjem Roma, posebno onih iz ruralnih i izoliranih područja, kao prioritetne ciljne skupine u okviru Garancije za mlade i koordinacijom tih dvaju instrumenata u sinergiji mogu ostvariti mjerljiva poboljšanja u rezultatima obrazovanja, osposobljavanja i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ponovno ističe potrebu za hitnim povećanjem sredstava za Europsko jamstvo za djecu s namjenskim proračunom od najmanje 20 milijardi EUR;</w:t>
            </w:r>
            <w:r>
              <w:t xml:space="preserve"> </w:t>
            </w:r>
            <w:r>
              <w:rPr>
                <w:b/>
                <w:i/>
              </w:rPr>
              <w:t>ustraje u tome da taj namjenski proračun mora biti integriran u sljedeći VFO i proveden u okviru zasebnog i samostalnog fonda ESF+, uz obvezu svake države članice da najmanje 5 % svojih nacionalnih dodijeljenih sredstava iz fonda ESF+ namijeni za borbu protiv siromaštva djece;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ističe potrebu za jačanjem sinergija i komplementarnosti s drugim programima i instrumentima EU-a, uključujući Erasmus+, Europske snage solidarnosti i EURES, kako bi se osigurali sveobuhvatniji i integriraniji putovi za mlade, pri čemu treba kombinirati mogućnosti obrazovanja, osposobljavanja, mobilnosti i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poziva Komisiju i države članice da provedu pojačanu Garanciju za mlade cjeloživotnim pristupom usmjerenim na obitelj, pri čemu treba osigurati potpunu sinergiju između Garancije za mlade i Europskog jamstva za djecu te inicijative „Snažnije obitelji” i europskog obiteljskog ugovora;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smatra da bi se većom interoperabilnošću između programa i akcijskih planova EU-a ojačalo cjelokupno djelovanje država članica te istodobno osigurala dodana vrijednost svakog programa i njihovih ciljanih napora na komplementaran način;</w:t>
            </w:r>
            <w:r>
              <w:t xml:space="preserve"> </w:t>
            </w:r>
            <w:r>
              <w:rPr>
                <w:b/>
                <w:i/>
              </w:rPr>
              <w:t>poziva države članice da učvrste veze između svojih programa u okviru pojačane Garancije za mlade i ostalih nacionalnih programa za mlade te da utvrde prioritete za korisnike pojačane Garancije za mlade;</w:t>
            </w:r>
            <w:r>
              <w:t xml:space="preserve"> </w:t>
            </w:r>
            <w:r>
              <w:rPr>
                <w:b/>
                <w:i/>
              </w:rPr>
              <w:t>u tom pogledu poziva države članice da razviju nacionalni plan suradnje za mlade te da redovito ocjenjuju integrirani i međusektorski pristup za potporu mladima i o njemu izvješćuju;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poziva države članice da u okviru provedbe pojačane Garancije za mlade uspostave poseban kanal za osobe koje napuštaju sustav skrbi, uključujući ranu identifikaciju i automatski upis u usluge pojačane Garancije za mlade, koordinirano upravljanje predmetima između socijalnih službi i javnih službi za zapošljavanje te kontinuitet pristupa potpori za zapošljavanje, socijalnoj zaštiti, potpori za stanovanje i ostalim uslugama potrebnima za učinkovitu integraciju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poziva na to da se mladima, posebno mladim roditeljima, pruži odgovarajuća potpora u sudjelovanju u mjerama pojačane Garancije za mlade osiguravanjem pristupa cjenovno pristupačnoj i visokokvalitetnoj skrbi za djecu, organizaciji radnog vremena prilagođenoj obitelji i, prema potrebi, financijskoj pomoći kako bi se osiguralo da obiteljske obveze ne dovedu do isključenosti s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20.c</w:t>
            </w:r>
            <w:r>
              <w:tab/>
            </w:r>
            <w:r>
              <w:rPr>
                <w:b/>
                <w:i/>
              </w:rPr>
              <w:t>poziva na ciljanu i pristupačnu potporu mentalnom zdravlju u okviru Garancije za mlade za mlade majke i očeve, koji su posebno izloženi riziku od postporođajne depresije, preopterećenosti i loše ravnoteže između poslovnog i privatnog života, kako bi se spriječio trajan prekid njihovih načina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20.d</w:t>
            </w:r>
            <w:r>
              <w:tab/>
            </w:r>
            <w:r>
              <w:rPr>
                <w:b/>
                <w:i/>
              </w:rPr>
              <w:t>poziva države članice da pruže pristupačnu, destigmatizirajuću potporu za mentalno zdravlje u okviru Garancije za mlade, kao što su uzajamno podučavanje i mentorstvo, za mlade koji su isključeni s tržišta rada zbog tjeskobe, depresije ili sindroma izgaranja na poslu, što će dovesti do osnaživanja i komplementarnosti s medicinskom skrbi;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poziva </w:t>
            </w:r>
            <w:r>
              <w:rPr>
                <w:b/>
                <w:i/>
              </w:rPr>
              <w:t>države članice da ojačaju mjere informiranja usmjerene na ranjive pripadnike skupine NEET na nacionalnoj i lokalnoj razini te da aktivaciju te skupine učine glavnim prioritetom u njihovoj provedbi</w:t>
            </w:r>
            <w:r>
              <w:t xml:space="preserve"> pojačane Garancije za mlade;</w:t>
            </w:r>
          </w:p>
        </w:tc>
        <w:tc>
          <w:tcPr>
            <w:tcW w:w="4876" w:type="dxa"/>
            <w:tcBorders>
              <w:top w:val="nil"/>
              <w:left w:val="nil"/>
              <w:bottom w:val="nil"/>
              <w:right w:val="nil"/>
            </w:tcBorders>
          </w:tcPr>
          <w:p>
            <w:pPr>
              <w:pStyle w:val="Normal6a"/>
            </w:pPr>
            <w:r>
              <w:t>21.</w:t>
            </w:r>
            <w:r>
              <w:tab/>
            </w:r>
            <w:r>
              <w:rPr>
                <w:b/>
                <w:i/>
              </w:rPr>
              <w:t>naglašava važnost personaliziranih i diferenciranih pristupa za reintegraciju mladih koji nisu zaposleni, ne obrazuju se i ne osposobljavaju na tržište rada ili u obrazovanje i osposobljavanje;</w:t>
            </w:r>
            <w:r>
              <w:t xml:space="preserve"> poziva </w:t>
            </w:r>
            <w:r>
              <w:rPr>
                <w:b/>
                <w:i/>
              </w:rPr>
              <w:t>na to da se nacionalnim sustavima za provedbu</w:t>
            </w:r>
            <w:r>
              <w:t xml:space="preserve"> pojačane Garancije za mlade </w:t>
            </w:r>
            <w:r>
              <w:rPr>
                <w:b/>
                <w:i/>
              </w:rPr>
              <w:t>propiše precizno početno profiliranje korisnika, s ciljem utvrđivanja razine zapošljivosti i konkretnih prepreka sudjelovanju, te da se na temelju toga razrade diferencirani profili skrb</w:t>
            </w:r>
            <w:r>
              <w:t xml:space="preserve">; </w:t>
            </w:r>
            <w:r>
              <w:rPr>
                <w:b/>
                <w:i/>
              </w:rPr>
              <w:t>naglašava nezamjenjivu ulogu posredničkih aktera (tijela za strukovno osposobljavanje, organizacija trećeg sektora i usluga u zajednici) u brizi o mladima koji su najudaljeniji od tržišta rada i koji često ne dolaze u kontakt s javnim službama za zapošljavanje uobičajenim kanalima;</w:t>
            </w:r>
            <w:r>
              <w:t xml:space="preserve"> </w:t>
            </w:r>
            <w:r>
              <w:rPr>
                <w:b/>
                <w:i/>
              </w:rPr>
              <w:t>poziva na to da programi aktivacije žena koje nisu zaposlene, ne obrazuju se i ne osposobljavaju budu popraćeni integriranim mjerama za potporu ravnoteži između poslovnog i privatnog života, s obzirom na to da su neplaćene obveze skrbi glavni strukturni uzrok rodnog jaza u statusu mladih koji nisu zaposleni, ne obrazuju se i ne osposobljavaju;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poziva države članice da ojačaju mjere informiranja usmjerene na ranjive pripadnike skupine NEET na nacionalnoj i lokalnoj razini te da aktivaciju te skupine učine glavnim prioritetom u njihovoj provedbi pojačane Garancije za mlade;</w:t>
            </w:r>
          </w:p>
        </w:tc>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aktivaciju te skupine učine glavnim prioritetom u njihovoj provedbi pojačane Garancije za mlade; </w:t>
            </w:r>
            <w:r>
              <w:rPr>
                <w:b/>
                <w:i/>
              </w:rPr>
              <w:t>posebno poziva na ulaganje u decentraliziranu infrastrukturu za informiranje javnosti u zajednici u kombinaciji s integriranim pružanjem usluga te na odmak od tradicionalnog modela koji se oslanja isključivo na sustav registracije;</w:t>
            </w:r>
            <w:r>
              <w:t xml:space="preserve"> </w:t>
            </w:r>
            <w:r>
              <w:rPr>
                <w:b/>
                <w:i/>
              </w:rPr>
              <w:t>naglašava da su se mnoge mjere pokazale učinkovitima u dopiranju do mladih koji ne rade, nisu u sustavu redovitog obrazovanja te nisu u sustavu obrazovanja odraslih (NEET), a do kojih je teško doprijeti, te se sad moraju pojačati na nacionalnoj razini, uključujući posrednike za Rome, stručnjake za aktivaciju, mobilne jedinice javnih službi za zapošljavanje, virtualne usluge, otvoreni rad s mladima, izravno informiranje na ulicama, upotrebu društvenih mreža, programe mentorstva, osobe koje rade s mladima, prisutnost u sportskim klubovima te rekreacijskim i trgovačkim centrima, kao i programe ambasadora;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w:t>
            </w:r>
            <w:r>
              <w:rPr>
                <w:b/>
                <w:i/>
              </w:rPr>
              <w:t>aktivaciju</w:t>
            </w:r>
            <w:r>
              <w:t xml:space="preserve"> te skupine učine glavnim prioritetom u njihovoj provedbi pojačane Garancije za mlade;</w:t>
            </w:r>
          </w:p>
        </w:tc>
        <w:tc>
          <w:tcPr>
            <w:tcW w:w="4876" w:type="dxa"/>
            <w:tcBorders>
              <w:top w:val="nil"/>
              <w:left w:val="nil"/>
              <w:bottom w:val="nil"/>
              <w:right w:val="nil"/>
            </w:tcBorders>
          </w:tcPr>
          <w:p>
            <w:pPr>
              <w:pStyle w:val="Normal6a"/>
            </w:pPr>
            <w:r>
              <w:t>21.</w:t>
            </w:r>
            <w:r>
              <w:tab/>
            </w:r>
            <w:r>
              <w:t>poziva države članice da ojačaju mjere informiranja usmjerene na ranjive pripadnike skupine NEET na nacionalnoj i lokalnoj razini te da </w:t>
            </w:r>
            <w:r>
              <w:rPr>
                <w:b/>
                <w:i/>
              </w:rPr>
              <w:t>socijalnu uključenost i podržani prelazak</w:t>
            </w:r>
            <w:r>
              <w:t xml:space="preserve"> te skupine </w:t>
            </w:r>
            <w:r>
              <w:rPr>
                <w:b/>
                <w:i/>
              </w:rPr>
              <w:t>iz obrazovanja na tržište rada</w:t>
            </w:r>
            <w:r>
              <w:t xml:space="preserve"> učine glavnim prioritetom u njihovoj provedbi pojačane Garancije za mlade</w:t>
            </w:r>
            <w:r>
              <w:rPr>
                <w:b/>
                <w:i/>
              </w:rPr>
              <w:t>, među ostalim osposobljavanjem u pogledu kulturne i socijalne osjetljivosti namijenjenim svim pružateljima usluga</w:t>
            </w:r>
            <w:r>
              <w:t xml:space="preserve">; </w:t>
            </w:r>
            <w:r>
              <w:rPr>
                <w:b/>
                <w:i/>
              </w:rPr>
              <w:t>naglašava da je potrebno odmaknuti se od oslanjanja na sustave koji se temelje na registraciji i prijeći na proaktivne i decentralizirane pristupe informiranju u zajednici, čime bi se usluge približile mladima te bi se povećala sposobnost javnih službi za zapošljavanje da učinkovito uključe najranjivije skupine;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poziva države članice da ojačaju mjere informiranja usmjerene na ranjive pripadnike skupine NEET na nacionalnoj i lokalnoj razini te da aktivaciju te skupine učine glavnim prioritetom u njihovoj provedbi pojačane Garancije za mlade;</w:t>
            </w:r>
          </w:p>
        </w:tc>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aktivaciju te skupine učine glavnim prioritetom u njihovoj provedbi pojačane Garancije za mlade; </w:t>
            </w:r>
            <w:r>
              <w:rPr>
                <w:b/>
                <w:i/>
              </w:rPr>
              <w:t>naglašava da je potrebno osigurati potpunu dostupnost programa u okviru Garancije za mlade za mlade s invaliditetom, među ostalim preko pristupačne infrastrukture za osposobljavanje, prilagođenih usluga potpore i pojačane suradnje s organizacijama koje predstavljaju osobe s invaliditetom, kako bi se zajamčile jednake mogućnosti u pristupu zapošljavanju, osposobljavanju i naukovanju;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poziva države članice da ojačaju mjere informiranja usmjerene na </w:t>
            </w:r>
            <w:r>
              <w:rPr>
                <w:b/>
                <w:i/>
              </w:rPr>
              <w:t>ranjive</w:t>
            </w:r>
            <w:r>
              <w:t xml:space="preserve"> pripadnike skupine NEET </w:t>
            </w:r>
            <w:r>
              <w:rPr>
                <w:b/>
                <w:i/>
              </w:rPr>
              <w:t>na nacionalnoj i lokalnoj razini</w:t>
            </w:r>
            <w:r>
              <w:t xml:space="preserve"> te da </w:t>
            </w:r>
            <w:r>
              <w:rPr>
                <w:b/>
                <w:i/>
              </w:rPr>
              <w:t>aktivaciju te skupine</w:t>
            </w:r>
            <w:r>
              <w:t xml:space="preserve"> učine glavnim prioritetom u njihovoj provedbi pojačane Garancije za mlade;</w:t>
            </w:r>
          </w:p>
        </w:tc>
        <w:tc>
          <w:tcPr>
            <w:tcW w:w="4876" w:type="dxa"/>
            <w:tcBorders>
              <w:top w:val="nil"/>
              <w:left w:val="nil"/>
              <w:bottom w:val="nil"/>
              <w:right w:val="nil"/>
            </w:tcBorders>
          </w:tcPr>
          <w:p>
            <w:pPr>
              <w:pStyle w:val="Normal6a"/>
            </w:pPr>
            <w:r>
              <w:t>21.</w:t>
            </w:r>
            <w:r>
              <w:tab/>
            </w:r>
            <w:r>
              <w:t xml:space="preserve">poziva države članice da ojačaju </w:t>
            </w:r>
            <w:r>
              <w:rPr>
                <w:b/>
                <w:i/>
              </w:rPr>
              <w:t>nacionalne, regionalne i lokalne</w:t>
            </w:r>
            <w:r>
              <w:t xml:space="preserve"> mjere informiranja usmjerene na pripadnike skupine NEET </w:t>
            </w:r>
            <w:r>
              <w:rPr>
                <w:b/>
                <w:i/>
              </w:rPr>
              <w:t>do kojih je teško doprijeti</w:t>
            </w:r>
            <w:r>
              <w:t xml:space="preserve"> te da </w:t>
            </w:r>
            <w:r>
              <w:rPr>
                <w:b/>
                <w:i/>
              </w:rPr>
              <w:t>njihovu integraciju na tržište rada</w:t>
            </w:r>
            <w:r>
              <w:t xml:space="preserve"> učine glavnim prioritetom u njihovoj provedbi pojačane Garancije za mlade; </w:t>
            </w:r>
            <w:r>
              <w:rPr>
                <w:b/>
                <w:i/>
              </w:rPr>
              <w:t>poziva na ciljano informiranje i namjenske mjere potpore za ranjive pripadnike skupine NEET prilagođene prevladavanju svih konkretnih prepreka s kojima se suočavaju, kao što su diskriminacija, zdravstveni problemi, obveze u pogledu skrbi i beskućništvo;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poziva države članice da ojačaju mjere informiranja usmjerene na ranjive pripadnike skupine NEET na nacionalnoj i lokalnoj razini te da aktivaciju te skupine učine glavnim prioritetom u njihovoj provedbi pojačane Garancije za mlade;</w:t>
            </w:r>
          </w:p>
        </w:tc>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aktivaciju te skupine učine glavnim prioritetom u njihovoj provedbi pojačane Garancije za mlade; </w:t>
            </w:r>
            <w:r>
              <w:rPr>
                <w:b/>
                <w:i/>
              </w:rPr>
              <w:t>u tom pogledu poziva države članice da uspostave mehanizme za neometan prijelaz od zaštite djece prema uslugama za mlade te uslugama obrazovanja, osposobljavanja i zapošljavanja;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aktivaciju te skupine učine glavnim prioritetom u njihovoj provedbi </w:t>
            </w:r>
            <w:r>
              <w:rPr>
                <w:b/>
                <w:i/>
              </w:rPr>
              <w:t>pojačane</w:t>
            </w:r>
            <w:r>
              <w:t xml:space="preserve"> Garancije za mlade;</w:t>
            </w:r>
          </w:p>
        </w:tc>
        <w:tc>
          <w:tcPr>
            <w:tcW w:w="4876" w:type="dxa"/>
            <w:tcBorders>
              <w:top w:val="nil"/>
              <w:left w:val="nil"/>
              <w:bottom w:val="nil"/>
              <w:right w:val="nil"/>
            </w:tcBorders>
          </w:tcPr>
          <w:p>
            <w:pPr>
              <w:pStyle w:val="Normal6a"/>
            </w:pPr>
            <w:r>
              <w:t>21.</w:t>
            </w:r>
            <w:r>
              <w:tab/>
            </w:r>
            <w:r>
              <w:t xml:space="preserve">Poziva države članice da ojačaju mjere informiranja usmjerene na ranjive pripadnike skupine NEET na nacionalnoj i lokalnoj razini te da aktivaciju te skupine učine glavnim prioritetom u njihovoj provedbi Garancije za mlade; </w:t>
            </w:r>
            <w:r>
              <w:rPr>
                <w:b/>
                <w:i/>
              </w:rPr>
              <w:t>u tom pogledu poziva na ulaganje napora kako bi se osigurala socijalna uključenost i podržan prelazak te skupine iz obrazovanja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naglašava da jačanje tih napora za informiranje mora omogućiti dopiranje do ranjivih mladih osoba koje su dosad bile nevidljive u programima pojačane Garancije za mlade;</w:t>
            </w:r>
            <w:r>
              <w:t xml:space="preserve"> </w:t>
            </w:r>
            <w:r>
              <w:rPr>
                <w:b/>
                <w:i/>
              </w:rPr>
              <w:t>napominje da se mladi u ranjivom položaju ne poistovjećuju nužno s kategorijom mladih iz skupine NEET te u tom pogledu poziva pružatelje Garancije za mlade da prošire doseg izvan te kategorizacije;</w:t>
            </w:r>
            <w:r>
              <w:t xml:space="preserve"> </w:t>
            </w:r>
            <w:r>
              <w:rPr>
                <w:b/>
                <w:i/>
              </w:rPr>
              <w:t>smatra da je sudjelovanje posrednika među kolegama, nevladinih organizacija i organizacija lokalne zajednice presudno kako bi se izravno doprlo do mladih iz skupine NEET u njihovim zajednicama;</w:t>
            </w:r>
            <w:r>
              <w:t xml:space="preserve"> </w:t>
            </w:r>
            <w:r>
              <w:rPr>
                <w:b/>
                <w:i/>
              </w:rPr>
              <w:t>napominje da za mlade u težim situacijama pristup mora biti dobrovoljan i imati nizak prag, treba biti bez potrebe za registracijom, dokumentacijom ili preuzimanjem obveza te se umjesto toga temeljiti na razumijevanju problema na koje se naišlo i na osjetljivosti na njihove vrijednosti i prakse;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poziva države članice da dodijele namjenska sredstva za razvoj proaktivnog i decentraliziranog informiranja u zajednici i smanjenje isključivog oslanjanja na pasivne sustave, sustave koji se temelje na registraciji i isključivo digitalne sustave;</w:t>
            </w:r>
            <w:r>
              <w:t xml:space="preserve"> </w:t>
            </w:r>
            <w:r>
              <w:rPr>
                <w:b/>
                <w:i/>
              </w:rPr>
              <w:t>naglašava da je takvo informiranje ključno za dopiranje do mladih iz skupine NEET do kojih je teško doprijeti i koji su u ranjivom položaju, i to u njihovu lokalnom kontekstu, te za izgradnju njihova povjerenja, kao i za smanjenje rizika od isključenosti koji proizlazi iz stigmatizacije, nepovjerenja u institucije i digitalne nejednakosti;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poziva države članice da pruže potporu pripadnicima skupine NEET u ranjivom položaju, kao što su mladi u ruralnim područjima, mladi roditelji, a posebno mlade majke i žene pripadnice te skupine, i to ciljanim mjerama, ranim informiranjem, omogućavanjem pristupa skrbi za djecu, fleksibilnim mogućnostima učenja i rada te koordiniranom socijalnom potporom i potporom pri zapošljavanju kako bi se osigurala održiva integracija na tržište rada, rodna ravnopravnost i sprečavanje dugoročne isključenosti;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prepoznaje postojanje stambene krize i nerazmjeran učinak koji ona ima na mlade;</w:t>
            </w:r>
            <w:r>
              <w:t xml:space="preserve"> </w:t>
            </w:r>
            <w:r>
              <w:rPr>
                <w:b/>
                <w:i/>
              </w:rPr>
              <w:t>poziva Komisiju, države članice te lokalne i regionalne vlasti da osiguraju da političke inicijative osmišljene za rješavanje te krize podliježu „provjerama usklađenosti s pravima mladih” kako bi se osiguralo da se u okviru njih uzimaju u obzir potrebe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poziva Komisiju i države članice da pruže prilagođenu i ciljanu potporu mladim majkama u okviru programa pojačane Garancije za mlade;</w:t>
            </w:r>
            <w:r>
              <w:t xml:space="preserve"> </w:t>
            </w:r>
            <w:r>
              <w:rPr>
                <w:b/>
                <w:i/>
              </w:rPr>
              <w:t>naglašava da bi doprinos mladih majki tržištu rada trebalo shvatiti šire od samog zapošljavanja te da bi trebalo priznati pružanje skrbi;</w:t>
            </w:r>
            <w:r>
              <w:t xml:space="preserve"> </w:t>
            </w:r>
            <w:r>
              <w:rPr>
                <w:b/>
                <w:i/>
              </w:rPr>
              <w:t>žali zbog toga što stigmatizacija i diskriminacija, nerazmjerne obveze povezane sa skrbi i financijski pritisci mogu smanjiti vjerojatnost da sposobne mlade majke započnu obrazovanje ili osposobljavanje koje dugo traje ili da prihvate takve mogućnosti zapošljavanja;</w:t>
            </w:r>
            <w:r>
              <w:t xml:space="preserve"> </w:t>
            </w:r>
            <w:r>
              <w:rPr>
                <w:b/>
                <w:i/>
              </w:rPr>
              <w:t>ističe važnost besplatne ili cjenovno pristupačne javne skrbi za djecu kako bi se mladim majkama olakšao pristup obrazovanju, osposobljavanju i zapošljavanju;</w:t>
            </w:r>
            <w:r>
              <w:t xml:space="preserve"> </w:t>
            </w:r>
            <w:r>
              <w:rPr>
                <w:b/>
                <w:i/>
              </w:rPr>
              <w:t>poziva na ciljane mjere kao što su fleksibilni radni uvjeti i posebna financijska potpora u tom kontekstu;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poziva države članice da osiguraju osposobljavanje u području nesvjesne pristranosti i nediskriminacije za istraživače, javne službenike, osoblje službi za zapošljavanje i ostale stručnjake uključene u mapiranje ranjivih skupina u okviru Garancije za mlade i usmjeravanje na njih;</w:t>
            </w:r>
            <w:r>
              <w:t xml:space="preserve"> </w:t>
            </w:r>
            <w:r>
              <w:rPr>
                <w:b/>
                <w:i/>
              </w:rPr>
              <w:t>potiče države članice da razviju programe osposobljavanja i podizanja razine osviještenosti za poslodavce koji sudjeluju u programima Garancije za mlade kako bi se suzbila diskriminacija i pristranost u zapošljavanju i praksama na radnom mjestu, među ostalim na temelju etničke pripadnosti, roda, fizičkih i intelektualnih poteškoća u razvoju ili socioekonomskog podrijetla;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ističe jedinstven i negativan učinak stambene krize na naše regionalne, manjinske i manje korištene jezike te način na koji ona može nerazmjerno utjecati na mlade koji žele ostati u svojim zajednicama te stoga poziva lokalna, regionalna i nacionalna tijela te tijela EU-a da donesu prilagođene stambene mjere i provjere njihove usklađenosti s pravima mladih za područja u kojima se ti jezici govore, uključujući ciljana izuzeća ako je to potrebno kako bi se zaštitili mladi u tim zajednicama;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poziva države članice da mladim roditeljima u programima Garancije za mlade osiguraju cjelodnevnu skrb o djeci, uključujući obroke i fleksibilno radno vrijeme, kako bi se uklonile prepreke za njihovo sudjelovanje na tržištu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poziva na donošenje ciljanih mjera u okviru pojačane Garancije za mlade kako bi se pružila potpora mladima iz skupine NEET koji su u zatvoru ili su izašli iz zatvorskih sustava, kao i onima koji se bore s ovisnošću;</w:t>
            </w:r>
            <w:r>
              <w:t xml:space="preserve"> </w:t>
            </w:r>
            <w:r>
              <w:rPr>
                <w:b/>
                <w:i/>
              </w:rPr>
              <w:t>poziva na donošenje prilagođenih programa i pružanje kontinuirane potpore kako bi se smanjila stigmatizacija i olakšalo njihovo usavršavanje te učinkovita i održiva reintegracija u društvo i svijet rada;</w:t>
            </w:r>
            <w:r>
              <w:t xml:space="preserve"> </w:t>
            </w:r>
            <w:r>
              <w:rPr>
                <w:b/>
                <w:i/>
              </w:rPr>
              <w:t>ističe preventivan učinak uključivog i aktivnog sudjelovanja u obrazovanju, osposobljavanju i zapošljavanju na smanjenje rizika od zlouporabe opojnih sredstava i alkohola te na smanjenje stope kaznenih djela i pritvaranja mladih;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predlaže sistematizaciju označivanja pojačane Garancije za mlade u nacionalnim i lokalnim programima kako bi se poboljšala vidljivost i podigla razina osviještenosti među upravama, lokalnim tijelima i korisnicima;</w:t>
            </w:r>
            <w:r>
              <w:t xml:space="preserve"> </w:t>
            </w:r>
            <w:r>
              <w:rPr>
                <w:b/>
                <w:i/>
              </w:rPr>
              <w:t>naglašava da je od presudne važnosti da korisnici budu svjesni da su dio programa pojačane Garancije za mlade kako bi razumjeli ukupnu potporu koja im je dostupna;</w:t>
            </w:r>
            <w:r>
              <w:t xml:space="preserve"> </w:t>
            </w:r>
            <w:r>
              <w:rPr>
                <w:b/>
                <w:i/>
              </w:rPr>
              <w:t>poziva Komisiju da zajedno s državama članicama razvije skup pravila o vidljivosti programa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poziva države članice da učinkovito podupiru mlade žene iz skupine NEET podizanjem razine osviještenosti među oblikovateljima politika o posebnim izazovima i preprekama s kojima se žene suočavaju, prikupljanjem i analizom podataka o pripadnicima skupine NEET razvrstanih po spolu kako bi se osmislile ciljane mjere informiranja i aktivacije te promicanjem mogućnosti strukovnog obrazovanja i osposobljavanja za mlade žene iz skupine NEET kako bi se omogućili prekvalifikacija, zapošljavanje i održiva integracija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poziva države članice da istraže mjere za osiguravanje kontinuiteta pokrivenosti i potpore u okviru Garancije za mlade za mlade koji sezonski ili privremeno rade u inozemstvu, uzimajući u obzir da mnogi na radu u inozemstvu provode samo dio godine i da se vraćaju kući bez prihoda za ostatak godine;</w:t>
            </w:r>
            <w:r>
              <w:t xml:space="preserve"> </w:t>
            </w:r>
            <w:r>
              <w:rPr>
                <w:b/>
                <w:i/>
              </w:rPr>
              <w:t>naglašava da je važno zajamčiti priznavanje vještina stečenih u inozemstvu i brzu ponovnu suradnju sa službama za zapošljavanje nakon povratka;</w:t>
            </w:r>
            <w:r>
              <w:t xml:space="preserve"> </w:t>
            </w:r>
            <w:r>
              <w:rPr>
                <w:b/>
                <w:i/>
              </w:rPr>
              <w:t>nadalje poziva države članice da na godišnjoj osnovi sustavno prikupljaju i ažuriraju podatke o broju mladih koji sezonski ili privremeno rade u inozemstvu kako bi se bolje oblikovalo reagiranje s pomoću politika i osigurala prilagođena potpora;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ističe da uspješna integracija ranjivih pripadnika skupine NEET na tržište rada ovisi o njihovu pristupu odgovarajućim osnovnim životnim uvjetima;</w:t>
            </w:r>
            <w:r>
              <w:t xml:space="preserve"> </w:t>
            </w:r>
            <w:r>
              <w:rPr>
                <w:b/>
                <w:i/>
              </w:rPr>
              <w:t>poziva Komisiju i države članice da osiguraju da provedba pojačane Garancije za mlade bude strukturno povezana sa stanovanjem, skrbi, socijalnom zaštitom i zdravstvenim politikama kako bi se uklonile višestruke prepreke s kojima se suočavaju ranjivi pripadnici skupine NEET pri pristupu kvalitetnom zapošljavanju, obrazovanju i osposobljavanju;</w:t>
            </w:r>
            <w:r>
              <w:t xml:space="preserve"> </w:t>
            </w:r>
            <w:r>
              <w:rPr>
                <w:b/>
                <w:i/>
              </w:rPr>
              <w:t>poziva države članice da osiguraju da se ponude u okviru pojačane Garancije za mlade za ranjive pripadnike skupine NEET podupru odgovarajućim pristupom osnovnim uslugama potpore, uključujući pomoć za stanovanje, skrb o djeci, prijevoz i zdravstvenu skrb;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poziva države članice da promiču rodnu ravnopravnost te ravnotežu između poslovnog i privatnog života i da spriječe dugoročnu socijalnu isključenost, uz istodobno smanjenje socijalnih i gospodarskih troškova povezanih s ranim napuštanjem sustava i produljenim statusom u skupini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ističe potrebu za dodatnim mapiranjem kako bi se utvrdili trenutačni nedostaci i prilagodile strategije informiranja te predložile ciljane mjere i ulaganja za različite podskupine mladih iz skupine NEET;</w:t>
            </w:r>
            <w:r>
              <w:t xml:space="preserve"> </w:t>
            </w:r>
            <w:r>
              <w:rPr>
                <w:b/>
                <w:i/>
              </w:rPr>
              <w:t>posebno poziva države članice da provedu sveobuhvatnu i regionalnu analizu značajki mladih iz skupine NEET, kao i kriterija kojima se povećavaju izgledi da mladi postanu pripadnici te skupine, kao što su spol, dob, invaliditet ili razina obrazovanja, kako bi se osiguralo da su mjere prilagođene potrebama tih mladih osoba;</w:t>
            </w:r>
            <w:r>
              <w:t xml:space="preserve"> </w:t>
            </w:r>
            <w:r>
              <w:rPr>
                <w:b/>
                <w:i/>
              </w:rPr>
              <w:t>predlaže da ta analiza obuhvaća savjetovanje s ciljnim skupinama i relevantnim dionicima kao što su civilno društvo i socijalni partneri;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poziva države članice da razviju ili ojačaju modele pružanje usluga po načelu „sve na jednom mjestu” za usluge u okviru pojačane Garancije za mlade kako bi se smanjila rascjepkanost i administrativno opterećenje te poboljšale stope sudjelovanja među ranjivim i teško dostupnim pripadnicima skupine NEET;</w:t>
            </w:r>
            <w:r>
              <w:t xml:space="preserve"> </w:t>
            </w:r>
            <w:r>
              <w:rPr>
                <w:b/>
                <w:i/>
              </w:rPr>
              <w:t>ističe važnost višeagencijskih centara za mlade s niskim pragom u kojima se centralizira potpora iz pojačane Garancije za mlade, kao i važnost zapošljavanja, obrazovanja, osposobljavanja i socijalnih usluga na jednoj pristupačnoj lokaciji;</w:t>
            </w:r>
            <w:r>
              <w:t xml:space="preserve"> </w:t>
            </w:r>
            <w:r>
              <w:rPr>
                <w:b/>
                <w:i/>
              </w:rPr>
              <w:t>naglašava da se taj model u nekoliko država članica pokazao uspješnim u uklanjanju prepreka i pružanju sveobuhvatne potpore potrebne za učinkovitu integraciju na tržište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potiče uspostavu mentorstva za mlade u svim regijama EU-a kako bi se osposobljenim privatnim osobama i volonterima omogućilo da mentoriraju i usmjeravaju mlade do kojih je teško doprijeti u području obrazovanja, osposobljavanja i razvoja karijere, čime se dopire do mladih ondje gdje se nalaze;</w:t>
            </w:r>
            <w:r>
              <w:t xml:space="preserve"> </w:t>
            </w:r>
            <w:r>
              <w:rPr>
                <w:b/>
                <w:i/>
              </w:rPr>
              <w:t>naglašava da bi takvim programima mentorstva trebalo dopuniti, ali ne i zamijeniti profesionalno savjetovanje u javnim službama za zapošljavanje;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poziva Komisiju da pruži ciljanu tehničku pomoć državama članicama pri razvoju digitalnih alata za utvrđivanje potreba korisnika Garancije za mlade na temelju najboljih praksi u individualiziranoj potpori;</w:t>
            </w:r>
            <w:r>
              <w:t xml:space="preserve"> </w:t>
            </w:r>
            <w:r>
              <w:rPr>
                <w:b/>
                <w:i/>
              </w:rPr>
              <w:t>u tom pogledu ističe obećavajuću upotrebu alata za profiliranje utemeljenih na umjetnoj inteligenciji u nekim državama članicama, ali ističe potrebu za ljudskim nadzorom kako bi se izbjegla pogrešna klasifikacija;</w:t>
            </w:r>
            <w:r>
              <w:t xml:space="preserve"> </w:t>
            </w:r>
            <w:r>
              <w:rPr>
                <w:b/>
                <w:i/>
              </w:rPr>
              <w:t>također preporučuje državama članicama da osiguraju automatizirane alate za samoprocjenu kojima se ocjenjuju čimbenici koji određuju dostupnu potporu, pri čemu napominje da bi nekim mladima moglo biti lakše koristiti internetske kanale za početni kontakt;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poziva države članice da osiguraju strukturnu vezu između programa pojačane Garancije za mlade i sustava socijalne zaštite, pri čemu treba osigurati kontinuiranu i odgovarajuću pojedinačnu potporu dohotku za mlade kojima je potrebna pomoć prije, tijekom i nakon ponuda iz pojačane Garancije za mlade kako bi se spriječile razlike u pokrivenosti, smanjili rizici od siromaštva tijekom tranzicije i osiguralo da ranjivi pripadnici skupine NEET mogu svrsishodno sudjelovati u zapošljavanju, obrazovanju i osposobljavanju;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21.g</w:t>
            </w:r>
            <w:r>
              <w:tab/>
            </w:r>
            <w:r>
              <w:rPr>
                <w:b/>
                <w:i/>
              </w:rPr>
              <w:t>poziva Komisiju i države članice da mladima kojima je potrebna pomoć osiguraju jednak pristup primjerenom minimalnom dohotku;</w:t>
            </w:r>
            <w:r>
              <w:t xml:space="preserve"> </w:t>
            </w:r>
            <w:r>
              <w:rPr>
                <w:b/>
                <w:i/>
              </w:rPr>
              <w:t>poziva države članice da uklone dobna ograničenja u sustavima socijalne zaštite i osiguraju da mladi imaju pristup odgovarajućim socijalnim naknadama koje se temelje na provjeri individualnog imovinskog stanja, a ne imovinskog stanja kućanstva;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21.h</w:t>
            </w:r>
            <w:r>
              <w:tab/>
            </w:r>
            <w:r>
              <w:rPr>
                <w:b/>
                <w:i/>
              </w:rPr>
              <w:t>poziva Komisiju da iznese prijedlog direktive o primjerenim sustavima minimalnog dohotka, čime se jamči potpora dohotku kojom se osigurava dostojanstven život svima koji su u stanju potrebe, bez obzira na dob;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poziva države članice da u skladu s Preporukom Vijeća iz 2012. ojačaju svoje sustave vrednovanju neformalnog i informalnog učenja; potiče prilagodbu tih sustava kako bi se doprlo do ranjivih pripadnika skupine NEET jačanjem kapaciteta onih koji su odgovorni za vrednovanje ili ponudom posebnih aranžmana, uz istodobno osiguravanje kvalitete tih postupaka;</w:t>
            </w:r>
          </w:p>
        </w:tc>
        <w:tc>
          <w:tcPr>
            <w:tcW w:w="4876" w:type="dxa"/>
            <w:tcBorders>
              <w:top w:val="nil"/>
              <w:left w:val="nil"/>
              <w:bottom w:val="nil"/>
              <w:right w:val="nil"/>
            </w:tcBorders>
          </w:tcPr>
          <w:p>
            <w:pPr>
              <w:pStyle w:val="Normal6a"/>
            </w:pPr>
            <w:r>
              <w:t>22.</w:t>
            </w:r>
            <w:r>
              <w:tab/>
            </w:r>
            <w:r>
              <w:t>poziva države članice da u skladu s Preporukom Vijeća iz 2012.</w:t>
            </w:r>
            <w:r>
              <w:rPr>
                <w:b/>
                <w:i/>
                <w:vertAlign w:val="superscript"/>
              </w:rPr>
              <w:t>32.a</w:t>
            </w:r>
            <w:r>
              <w:t xml:space="preserve"> ojačaju svoje sustave vrednovanju neformalnog i informalnog učenja; potiče prilagodbu tih sustava kako bi se doprlo do ranjivih pripadnika skupine NEET jačanjem kapaciteta onih koji su odgovorni za vrednovanje</w:t>
            </w:r>
            <w:r>
              <w:rPr>
                <w:b/>
                <w:i/>
              </w:rPr>
              <w:t>, diversifikacijom certifikata koji se mogu dobiti vrednovanjem</w:t>
            </w:r>
            <w:r>
              <w:t xml:space="preserve"> ili ponudom posebnih aranžmana, uz istodobno osiguravanje kvalitete tih postupaka; </w:t>
            </w:r>
            <w:r>
              <w:rPr>
                <w:b/>
                <w:i/>
              </w:rPr>
              <w:t>ističe dobre prakse vrednovanja utvrđene u Europskom popisu vrednovanja neformalnog i informalnog učenja</w:t>
            </w:r>
            <w:r>
              <w:rPr>
                <w:b/>
                <w:i/>
                <w:vertAlign w:val="superscript"/>
              </w:rPr>
              <w:t>33.a</w:t>
            </w:r>
            <w:r>
              <w:rPr>
                <w:b/>
                <w:i/>
              </w:rPr>
              <w:t>, posebno vezu s Europskim kvalifikacijskim okvirom i uključenost poslodavaca u te postupke kako bi se osiguralo priznavanje certificiranih kvalifikacija;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32.a</w:t>
            </w:r>
            <w:r>
              <w:t xml:space="preserve"> </w:t>
            </w:r>
            <w:r>
              <w:rPr>
                <w:b/>
                <w:i/>
              </w:rPr>
              <w:t>SL C 398, 22.12.2012., str. 1. – 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33.a</w:t>
            </w:r>
            <w:r>
              <w:t xml:space="preserve"> </w:t>
            </w:r>
            <w:r>
              <w:rPr>
                <w:b/>
                <w:i/>
              </w:rPr>
              <w:t>https://www.cedefop.europa.eu/en/country-reports/european-inventory-on-validation.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poziva države članice da u skladu s Preporukom Vijeća iz 2012. ojačaju svoje sustave </w:t>
            </w:r>
            <w:r>
              <w:rPr>
                <w:b/>
                <w:i/>
              </w:rPr>
              <w:t>vrednovanju neformalnog i informalnog učenja</w:t>
            </w:r>
            <w:r>
              <w:t>; potiče prilagodbu tih sustava kako bi se doprlo do ranjivih pripadnika skupine NEET jačanjem kapaciteta onih koji su odgovorni za vrednovanje ili ponudom posebnih aranžmana, uz istodobno osiguravanje kvalitete tih postupaka;</w:t>
            </w:r>
          </w:p>
        </w:tc>
        <w:tc>
          <w:tcPr>
            <w:tcW w:w="4876" w:type="dxa"/>
            <w:tcBorders>
              <w:top w:val="nil"/>
              <w:left w:val="nil"/>
              <w:bottom w:val="nil"/>
              <w:right w:val="nil"/>
            </w:tcBorders>
          </w:tcPr>
          <w:p>
            <w:pPr>
              <w:pStyle w:val="Normal6a"/>
            </w:pPr>
            <w:r>
              <w:t>22.</w:t>
            </w:r>
            <w:r>
              <w:tab/>
            </w:r>
            <w:r>
              <w:t xml:space="preserve">poziva </w:t>
            </w:r>
            <w:r>
              <w:rPr>
                <w:b/>
                <w:i/>
              </w:rPr>
              <w:t>Komisiju i</w:t>
            </w:r>
            <w:r>
              <w:t xml:space="preserve"> države članice da u skladu s Preporukom Vijeća iz 2012. </w:t>
            </w:r>
            <w:r>
              <w:rPr>
                <w:b/>
                <w:i/>
              </w:rPr>
              <w:t>i Europskim kvalifikacijskim okvirom</w:t>
            </w:r>
            <w:r>
              <w:t xml:space="preserve"> ojačaju </w:t>
            </w:r>
            <w:r>
              <w:rPr>
                <w:b/>
                <w:i/>
              </w:rPr>
              <w:t>i dodatno razviju</w:t>
            </w:r>
            <w:r>
              <w:t xml:space="preserve"> svoje sustave </w:t>
            </w:r>
            <w:r>
              <w:rPr>
                <w:b/>
                <w:i/>
              </w:rPr>
              <w:t>za formalno priznavanje i vrednovanje vještina koje su mladi, posebno mladi roditelji i skrbnici, stekli neformalnim i informalnim učenjem, kao što su obrazovanje i informalno pružanje skrbi, volontiranje i rad s mladima, posebno ako te vještine mogu pomoći u rješavanju problema nedostatka radnika i vještina u ključnim sektorima</w:t>
            </w:r>
            <w:r>
              <w:t>; potiče prilagodbu tih sustava kako bi se doprlo do ranjivih pripadnika skupine NEET jačanjem kapaciteta onih koji su odgovorni za vrednovanje ili ponudom posebnih aranžmana, uz istodobno osiguravanje kvalitete tih postupaka;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poziva države članice da u skladu s Preporukom Vijeća iz 2012. </w:t>
            </w:r>
            <w:r>
              <w:rPr>
                <w:b/>
                <w:i/>
              </w:rPr>
              <w:t>ojačaju svoje sustave vrednovanju</w:t>
            </w:r>
            <w:r>
              <w:t xml:space="preserve"> neformalnog i informalnog učenja; potiče prilagodbu tih sustava kako bi se doprlo do </w:t>
            </w:r>
            <w:r>
              <w:rPr>
                <w:b/>
                <w:i/>
              </w:rPr>
              <w:t>ranjivih</w:t>
            </w:r>
            <w:r>
              <w:t xml:space="preserve"> pripadnika skupine NEET jačanjem kapaciteta onih koji su odgovorni za vrednovanje </w:t>
            </w:r>
            <w:r>
              <w:rPr>
                <w:b/>
                <w:i/>
              </w:rPr>
              <w:t>ili ponudom posebnih aranžmana, uz istodobno osiguravanje kvalitete tih postupaka</w:t>
            </w:r>
            <w:r>
              <w:t>;</w:t>
            </w:r>
          </w:p>
        </w:tc>
        <w:tc>
          <w:tcPr>
            <w:tcW w:w="4876" w:type="dxa"/>
            <w:tcBorders>
              <w:top w:val="nil"/>
              <w:left w:val="nil"/>
              <w:bottom w:val="nil"/>
              <w:right w:val="nil"/>
            </w:tcBorders>
          </w:tcPr>
          <w:p>
            <w:pPr>
              <w:pStyle w:val="Normal6a"/>
            </w:pPr>
            <w:r>
              <w:t>22.</w:t>
            </w:r>
            <w:r>
              <w:tab/>
            </w:r>
            <w:r>
              <w:t xml:space="preserve">poziva </w:t>
            </w:r>
            <w:r>
              <w:rPr>
                <w:b/>
                <w:i/>
              </w:rPr>
              <w:t>Komisiju i</w:t>
            </w:r>
            <w:r>
              <w:t xml:space="preserve"> države članice da u skladu s Preporukom Vijeća iz 2012. </w:t>
            </w:r>
            <w:r>
              <w:rPr>
                <w:b/>
                <w:i/>
              </w:rPr>
              <w:t>na razini Unije uspostave sustav vrednovanja</w:t>
            </w:r>
            <w:r>
              <w:t xml:space="preserve"> neformalnog i informalnog učenja; potiče prilagodbu tih sustava kako bi se doprlo do pripadnika skupine NEET</w:t>
            </w:r>
            <w:r>
              <w:rPr>
                <w:b/>
                <w:i/>
              </w:rPr>
              <w:t>, posebno do onih do kojih je teško doprijeti ili koji su ranjivi, i to podizanjem razine osviještenosti o postupcima i</w:t>
            </w:r>
            <w:r>
              <w:t xml:space="preserve"> jačanjem kapaciteta onih koji su odgovorni za vrednovanje;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ističe potencijal mikrokvalifikacija kao dopunskog alata formalnim sustavima certificiranja vještina u okviru pojačane Garancije za mlade;</w:t>
            </w:r>
            <w:r>
              <w:t xml:space="preserve"> </w:t>
            </w:r>
            <w:r>
              <w:rPr>
                <w:b/>
                <w:i/>
              </w:rPr>
              <w:t>poziva Europsku komisiju i države članice da razviju europski referentni okvir za mikrokvalifikacije u strukovnom obrazovanju i osposobljavanju, čime se kombinira stabilan pristup, povezan s nacionalnim registrima kvalifikacija i Europskim kvalifikacijskim okvirom, s dinamičnim pristupom koji se može nadograditi u skladu s novim profilima vještina o kojima se izvješćuje na tržištu rada;</w:t>
            </w:r>
            <w:r>
              <w:t xml:space="preserve"> </w:t>
            </w:r>
            <w:r>
              <w:rPr>
                <w:b/>
                <w:i/>
              </w:rPr>
              <w:t>naglašava da mikrokvalifikacije moraju ispunjavati provjerljive standarde kvalitete, uključivati izričite mehanizme priznavanja poslodavaca i biti integrirane s nacionalnim sustavima za utvrđivanje, vrednovanje i certificiranje vještina;</w:t>
            </w:r>
            <w:r>
              <w:t xml:space="preserve"> </w:t>
            </w:r>
            <w:r>
              <w:rPr>
                <w:b/>
                <w:i/>
              </w:rPr>
              <w:t>poziva na sustavno prikupljanje i analizu podataka o osmišljavanju, isporuci, upotrebi i priznavanju mikrokvalifikacija na europskoj razini kao alata za prikupljanje informacija o tržištu rada i za ocjenu relevantnosti sustava osposobljavanja;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poziva Komisiju i države članice da pripadnike skupine NEET opreme za svrsishodno sudjelovanje u ekološkoj i digitalnoj tranziciji, i to horizontalno integriranim razvojem vještina i prekvalifikacijom u okviru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naglašava da se ciljevi pojačane Garancije za mlade ne mogu postići bez učinkovitog rješavanja problema nedostatka osnovnih vještina i digitalnog jaza;</w:t>
            </w:r>
            <w:r>
              <w:t xml:space="preserve"> </w:t>
            </w:r>
            <w:r>
              <w:rPr>
                <w:b/>
                <w:i/>
              </w:rPr>
              <w:t>poziva Komisiju i države članice da poduzmu koordinirane mjere kako bi se uklonili trajni nedostaci u funkcionalnoj matematičkoj pismenosti, pismenosti i digitalnim vještinama, koji mladima otežavaju pristup kvalitetnom obrazovanju, osposobljavanju i zapošljavanju;</w:t>
            </w:r>
            <w:r>
              <w:t xml:space="preserve"> </w:t>
            </w:r>
            <w:r>
              <w:rPr>
                <w:b/>
                <w:i/>
              </w:rPr>
              <w:t>potiče države članice da ojačaju uključive i pristupačne sustave obrazovanja i osposobljavanja, s posebnim naglaskom na ranoj intervenciji i potpori za osobe u nepovoljnom socioekonomskom položaju;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22.c</w:t>
            </w:r>
            <w:r>
              <w:tab/>
            </w:r>
            <w:r>
              <w:rPr>
                <w:b/>
                <w:i/>
              </w:rPr>
              <w:t>poziva Komisiju da provede procjenu učinka umjetne inteligencije na zapošljavanje mladih i programe pojačane Garancije za mlade, s posebnim naglaskom na početničkim radnim mjestima, kao i na uvjetima rada i zaposlenja;</w:t>
            </w:r>
            <w:r>
              <w:t xml:space="preserve"> </w:t>
            </w:r>
            <w:r>
              <w:rPr>
                <w:b/>
                <w:i/>
              </w:rPr>
              <w:t>u tom pogledu poziva Komisiju da pažljivo uzme u obzir položaj mladih radnika u svim predstojećim inicijativama povezanima s umjetnom inteligencijom na radnom mjestu;</w:t>
            </w:r>
            <w:r>
              <w:t xml:space="preserve"> </w:t>
            </w:r>
            <w:r>
              <w:rPr>
                <w:b/>
                <w:i/>
              </w:rPr>
              <w:t>ističe potrebu za uključivanjem umjetne inteligencije u kurikulume obrazovanja i osposobljavanja kako bi se mladi osposobili za tržište rada u digitalnom dobu;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poziva države članice da ponovno uspostave ravnotežu između ponuda pruženih u okviru programa pojačane Garancije za mlade i razvoja vještina smanjenjem ovisnosti o zapošljavanju i subvencioniranim radnim mjestima kao standardnoj mjeri;</w:t>
            </w:r>
          </w:p>
        </w:tc>
        <w:tc>
          <w:tcPr>
            <w:tcW w:w="4876" w:type="dxa"/>
            <w:tcBorders>
              <w:top w:val="nil"/>
              <w:left w:val="nil"/>
              <w:bottom w:val="nil"/>
              <w:right w:val="nil"/>
            </w:tcBorders>
          </w:tcPr>
          <w:p>
            <w:pPr>
              <w:pStyle w:val="Normal6a"/>
            </w:pPr>
            <w:r>
              <w:t>23.</w:t>
            </w:r>
            <w:r>
              <w:tab/>
            </w:r>
            <w:r>
              <w:t xml:space="preserve">poziva države članice da ponovno uspostave ravnotežu između ponuda pruženih u okviru programa pojačane Garancije za mlade i razvoja vještina smanjenjem ovisnosti o zapošljavanju i subvencioniranim radnim mjestima kao standardnoj mjeri; </w:t>
            </w:r>
            <w:r>
              <w:rPr>
                <w:b/>
                <w:i/>
              </w:rPr>
              <w:t>podsjeća da se izbor između četiri glavne kategorije ponuda mora temeljiti na pojedinačnim težnjama i potrebama korisnika;</w:t>
            </w:r>
            <w:r>
              <w:t xml:space="preserve"> </w:t>
            </w:r>
            <w:r>
              <w:rPr>
                <w:b/>
                <w:i/>
              </w:rPr>
              <w:t>smatra da bi pripravništvo i naukovanje u okviru programa pojačane Garancije za mlade trebali biti povezani s obvezama zapošljavanja te da bi obrazovne ponude imale koristi od proširenja izvan dobne skupine od 15 do 18 godina;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države članice da ponovno uspostave ravnotežu između ponuda pruženih u okviru programa pojačane Garancije za mlade i razvoja vještina smanjenjem ovisnosti o </w:t>
            </w:r>
            <w:r>
              <w:rPr>
                <w:b/>
                <w:i/>
              </w:rPr>
              <w:t>zapošljavanju i subvencioniranim radnim mjestima kao standardnoj mjeri</w:t>
            </w:r>
            <w:r>
              <w:t>;</w:t>
            </w:r>
          </w:p>
        </w:tc>
        <w:tc>
          <w:tcPr>
            <w:tcW w:w="4876" w:type="dxa"/>
            <w:tcBorders>
              <w:top w:val="nil"/>
              <w:left w:val="nil"/>
              <w:bottom w:val="nil"/>
              <w:right w:val="nil"/>
            </w:tcBorders>
          </w:tcPr>
          <w:p>
            <w:pPr>
              <w:pStyle w:val="Normal6a"/>
            </w:pPr>
            <w:r>
              <w:t>23.</w:t>
            </w:r>
            <w:r>
              <w:tab/>
            </w:r>
            <w:r>
              <w:t xml:space="preserve">poziva države članice da ponovno uspostave ravnotežu između ponuda pruženih u okviru programa pojačane Garancije za mlade i </w:t>
            </w:r>
            <w:r>
              <w:rPr>
                <w:b/>
                <w:i/>
              </w:rPr>
              <w:t>održivog</w:t>
            </w:r>
            <w:r>
              <w:t xml:space="preserve"> razvoja vještina smanjenjem ovisnosti o </w:t>
            </w:r>
            <w:r>
              <w:rPr>
                <w:b/>
                <w:i/>
              </w:rPr>
              <w:t>uključivanju na primarno tržište rada preko zapošljavanja i subvencioniranih radnih mjesta kao standardne mjere te da umjesto toga promiču dugoročnu zapošljivost utemeljenu na kvalitetnom obrazovanju, uključujući mentalnu otpornost i otpornost u pogledu umjetne inteligencije, visokokvalitetnom i pravedno plaćenom naukovanju i pripravništvu te programima kojima se poslodavci potiči na to da se obvežu na naknadno zapošljavanje, kao što su vaučeri za pripravništvo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poziva države članice da ponovno uspostave ravnotežu između ponuda pruženih u okviru programa pojačane Garancije za mlade i razvoja vještina smanjenjem ovisnosti o zapošljavanju i subvencioniranim radnim mjestima kao standardnoj mjeri;</w:t>
            </w:r>
          </w:p>
        </w:tc>
        <w:tc>
          <w:tcPr>
            <w:tcW w:w="4876" w:type="dxa"/>
            <w:tcBorders>
              <w:top w:val="nil"/>
              <w:left w:val="nil"/>
              <w:bottom w:val="nil"/>
              <w:right w:val="nil"/>
            </w:tcBorders>
          </w:tcPr>
          <w:p>
            <w:pPr>
              <w:pStyle w:val="Normal6a"/>
            </w:pPr>
            <w:r>
              <w:t>23.</w:t>
            </w:r>
            <w:r>
              <w:tab/>
            </w:r>
            <w:r>
              <w:t xml:space="preserve">poziva države članice da ponovno uspostave ravnotežu između ponuda pruženih u okviru programa pojačane Garancije za mlade i razvoja vještina smanjenjem ovisnosti o zapošljavanju i subvencioniranim radnim mjestima kao standardnoj mjeri; </w:t>
            </w:r>
            <w:r>
              <w:rPr>
                <w:b/>
                <w:i/>
              </w:rPr>
              <w:t>naglašava da je potrebno dati prednost visokokvalitetnom osposobljavanju i strukovnim programima kojima se mladima pružaju vještine za kojima postoji potražnja na tržištu rada, posebno u tehničkim, digitalnim i industrijskim sektorima u kojima u mnogim državama članicama i dalje postoji nedostatak vještina;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države članice da </w:t>
            </w:r>
            <w:r>
              <w:rPr>
                <w:b/>
                <w:i/>
              </w:rPr>
              <w:t>ponovno uspostave ravnotežu između ponuda pruženih</w:t>
            </w:r>
            <w:r>
              <w:t xml:space="preserve"> u okviru programa pojačane Garancije za mlade </w:t>
            </w:r>
            <w:r>
              <w:rPr>
                <w:b/>
                <w:i/>
              </w:rPr>
              <w:t>i razvoja vještina smanjenjem ovisnosti o zapošljavanju i subvencioniranim radnim mjestima kao standardnoj mjeri</w:t>
            </w:r>
            <w:r>
              <w:t>;</w:t>
            </w:r>
          </w:p>
        </w:tc>
        <w:tc>
          <w:tcPr>
            <w:tcW w:w="4876" w:type="dxa"/>
            <w:tcBorders>
              <w:top w:val="nil"/>
              <w:left w:val="nil"/>
              <w:bottom w:val="nil"/>
              <w:right w:val="nil"/>
            </w:tcBorders>
          </w:tcPr>
          <w:p>
            <w:pPr>
              <w:pStyle w:val="Normal6a"/>
            </w:pPr>
            <w:r>
              <w:t>23.</w:t>
            </w:r>
            <w:r>
              <w:tab/>
            </w:r>
            <w:r>
              <w:t xml:space="preserve">poziva države članice da </w:t>
            </w:r>
            <w:r>
              <w:rPr>
                <w:b/>
                <w:i/>
              </w:rPr>
              <w:t>osiguraju dostatne ponude za razvoj vještina, u kombinaciji sa zapošljavanjem i subvencioniranim radnim mjestima,</w:t>
            </w:r>
            <w:r>
              <w:t xml:space="preserve"> u okviru programa pojačane Garancije za mlade</w:t>
            </w:r>
            <w:r>
              <w:rPr>
                <w:b/>
                <w:i/>
              </w:rPr>
              <w:t>;</w:t>
            </w:r>
            <w:r>
              <w:t xml:space="preserve"> </w:t>
            </w:r>
            <w:r>
              <w:rPr>
                <w:b/>
                <w:i/>
              </w:rPr>
              <w:t>poziva države članice da osiguraju da pripravništva koja se nude u okviru pojačane Garancije za mlade, uključujući ona koja se pružaju u okviru aktivnih mjera politike tržišta rada, budu u skladu s pravom Unije koje se primjenjuje na radnike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države članice da ponovno uspostave ravnotežu između ponuda </w:t>
            </w:r>
            <w:r>
              <w:rPr>
                <w:b/>
                <w:i/>
              </w:rPr>
              <w:t>pruženih</w:t>
            </w:r>
            <w:r>
              <w:t xml:space="preserve"> u okviru programa pojačane Garancije za mlade </w:t>
            </w:r>
            <w:r>
              <w:rPr>
                <w:b/>
                <w:i/>
              </w:rPr>
              <w:t>i razvoja vještina smanjenjem ovisnosti o zapošljavanju i subvencioniranim radnim mjestima kao standardnoj mjeri</w:t>
            </w:r>
            <w:r>
              <w:t>;</w:t>
            </w:r>
          </w:p>
        </w:tc>
        <w:tc>
          <w:tcPr>
            <w:tcW w:w="4876" w:type="dxa"/>
            <w:tcBorders>
              <w:top w:val="nil"/>
              <w:left w:val="nil"/>
              <w:bottom w:val="nil"/>
              <w:right w:val="nil"/>
            </w:tcBorders>
          </w:tcPr>
          <w:p>
            <w:pPr>
              <w:pStyle w:val="Normal6a"/>
            </w:pPr>
            <w:r>
              <w:t>23.</w:t>
            </w:r>
            <w:r>
              <w:tab/>
            </w:r>
            <w:r>
              <w:t xml:space="preserve">poziva države članice da ponovno uspostave ravnotežu između ponuda </w:t>
            </w:r>
            <w:r>
              <w:rPr>
                <w:b/>
                <w:i/>
              </w:rPr>
              <w:t>koje se pružaju</w:t>
            </w:r>
            <w:r>
              <w:t xml:space="preserve"> u okviru programa pojačane Garancije za mlade</w:t>
            </w:r>
            <w:r>
              <w:rPr>
                <w:b/>
                <w:i/>
              </w:rPr>
              <w:t>, osiguravajući da radna mjesta budu kvalitetna, stabilna i u potpunosti plaćena sa svim radničkim i socijalnim pravima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države članice da </w:t>
            </w:r>
            <w:r>
              <w:rPr>
                <w:b/>
                <w:i/>
              </w:rPr>
              <w:t>ponovno uspostave ravnotežu između</w:t>
            </w:r>
            <w:r>
              <w:t xml:space="preserve"> ponuda pruženih u okviru programa pojačane Garancije za mlade </w:t>
            </w:r>
            <w:r>
              <w:rPr>
                <w:b/>
                <w:i/>
              </w:rPr>
              <w:t>i razvoja</w:t>
            </w:r>
            <w:r>
              <w:t xml:space="preserve"> vještina </w:t>
            </w:r>
            <w:r>
              <w:rPr>
                <w:b/>
                <w:i/>
              </w:rPr>
              <w:t>smanjenjem ovisnosti o zapošljavanju i subvencioniranim radnim mjestima kao standardnoj mjeri</w:t>
            </w:r>
            <w:r>
              <w:t>;</w:t>
            </w:r>
          </w:p>
        </w:tc>
        <w:tc>
          <w:tcPr>
            <w:tcW w:w="4876" w:type="dxa"/>
            <w:tcBorders>
              <w:top w:val="nil"/>
              <w:left w:val="nil"/>
              <w:bottom w:val="nil"/>
              <w:right w:val="nil"/>
            </w:tcBorders>
          </w:tcPr>
          <w:p>
            <w:pPr>
              <w:pStyle w:val="Normal6a"/>
            </w:pPr>
            <w:r>
              <w:t>23.</w:t>
            </w:r>
            <w:r>
              <w:tab/>
            </w:r>
            <w:r>
              <w:t xml:space="preserve">poziva države članice da </w:t>
            </w:r>
            <w:r>
              <w:rPr>
                <w:b/>
                <w:i/>
              </w:rPr>
              <w:t>povećaju kvalitetu</w:t>
            </w:r>
            <w:r>
              <w:t xml:space="preserve"> ponuda pruženih u okviru programa pojačane Garancije za mlade </w:t>
            </w:r>
            <w:r>
              <w:rPr>
                <w:b/>
                <w:i/>
              </w:rPr>
              <w:t>poboljšanjem pristupa mogućnostima za razvoj</w:t>
            </w:r>
            <w:r>
              <w:t xml:space="preserve"> vještina </w:t>
            </w:r>
            <w:r>
              <w:rPr>
                <w:b/>
                <w:i/>
              </w:rPr>
              <w:t>i osposobljavanje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ističe vrijednost ciljanih poticaja koji se prate, kao što su subvencije za plaće u poticanju sudjelovanja ranjivih pripadnika skupine NEET na tržištu rada;</w:t>
            </w:r>
            <w:r>
              <w:t xml:space="preserve"> </w:t>
            </w:r>
            <w:r>
              <w:rPr>
                <w:b/>
                <w:i/>
              </w:rPr>
              <w:t>preporučuje ex ante i ex post analizu financijskih poticaja koji se dodjeljuju poslodavcima kako bi se izbjeglo subvencioniranje zapošljavanja koje bi postojalo bez javne pomoći te osiguralo da zapošljavanje u okviru programa pojačane Garancije za mlade ne zamijeni ugovore na neodređeno vrijeme;</w:t>
            </w:r>
            <w:r>
              <w:t xml:space="preserve"> </w:t>
            </w:r>
            <w:r>
              <w:rPr>
                <w:b/>
                <w:i/>
              </w:rPr>
              <w:t>ističe društveno odgovorno poslovanje trgovačkih društava, koje bi trebalo uključivati i mjere za pripadnike skupine NEET te partnerstva sa školama kako bi se mladima pružile razne mogućnosti za razvoj karijere;</w:t>
            </w:r>
            <w:r>
              <w:t xml:space="preserve"> </w:t>
            </w:r>
            <w:r>
              <w:rPr>
                <w:b/>
                <w:i/>
              </w:rPr>
              <w:t>ističe potrebu za pružanjem pomoći MSP-ovima, kojima je potrebno više informacija i potpore kako bi sudjelovali u programima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ističe važnost promicanja i jamčenja jednakog priznavanja naukovanja i strukovnog obrazovanja i osposobljavanja te njihove integracije u obrazovne sustave, u skladu s Europskim okvirom za kvalitetna i učinkovita naukovanja;</w:t>
            </w:r>
            <w:r>
              <w:t xml:space="preserve"> </w:t>
            </w:r>
            <w:r>
              <w:rPr>
                <w:b/>
                <w:i/>
              </w:rPr>
              <w:t>ističe njihovu ključnu ulogu u podupiranju profesionalnog razvoja mladih te rješavanju problema nedostatka vještina i neusklađenosti ponude i potražnje na tržištu rada;</w:t>
            </w:r>
            <w:r>
              <w:t xml:space="preserve"> </w:t>
            </w:r>
            <w:r>
              <w:rPr>
                <w:b/>
                <w:i/>
              </w:rPr>
              <w:t>poziva države članice da aktivno promiču i prošire pristup visokokvalitetnom naukovanju i strukovnom obrazovanju i osposobljavanju ponudama u okviru pojačane Garancije za mlade kako bi se povećalo sudjelovanje pripadnika skupine NEET u tim programima;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poziva države članice da sve više personaliziraju kvalitetne ponude osposobljavanja i/ili radnih mjesta koje se nude u okviru ojačanih programa Garancije za mlade kako bi mogle doprijeti do najranjivijih i/ili neaktivnih skupina, s posebnim naglaskom na mladima koji žive u udaljenim područjima s nepovoljnim teritorijalnim položajem;</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potiče države članice da ne daju prednost kvantitativnim ciljevima (brzo zapošljavanje) pred kriterijima kvalitete u čijem su središtu dugoročni izgledi za razvoj karijere, pristup osposobljavanju i prilike za gospodarski napredak;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poziva države članice da osiguraju da se ponudama za pripravništvo u okviru pojačane Garancije za mlade jamči jednako postupanje u pogledu radnih uvjeta, uključujući plaću i socijalnu zaštitu, te da su dostupne i prilagođene pojedinačnim potrebama pripadnika skupine NEET, uključujući one u ranjivom položaju koji se suočavaju s dodatnim preprekama kao što su invaliditet, zdravstveno stanje ili obveze skrbi;</w:t>
            </w:r>
            <w:r>
              <w:t xml:space="preserve"> </w:t>
            </w:r>
            <w:r>
              <w:rPr>
                <w:b/>
                <w:i/>
              </w:rPr>
              <w:t>naglašava da je potrebno osigurati da nijedno pripravništvo u okviru pojačane Garancije za mlade ne doprinosi socijalnom dampingu, dampingu plaća ili siromaštvu unatoč zaposlenju među mladima te da su sve ponude osmišljene i provode se tako da se osiguraju pristupačnost i uključivost;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poziva države članice da promiču gospodarski napredak i održive, dugoročne karijere;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23.c</w:t>
            </w:r>
            <w:r>
              <w:tab/>
            </w:r>
            <w:r>
              <w:rPr>
                <w:b/>
                <w:i/>
              </w:rPr>
              <w:t>poziva države članice da osiguraju da osposobljavanje i obrazovanje u okviru Garancije za mlade ne budu usmjereni na statičke profile radnih mjesta, već na međusektorsko kritičko razmišljanje o „ljudskim vještinama”, kreativnost, emocionalnu inteligenciju i kapacitete u području međuljudskih odnosa, koje umjetna inteligencija ne može zamijeniti;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Niels Geuking, Pascal Arimont,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23.d</w:t>
            </w:r>
            <w:r>
              <w:tab/>
            </w:r>
            <w:r>
              <w:rPr>
                <w:b/>
                <w:i/>
              </w:rPr>
              <w:t>poziva na pristupačnu mobilnost u svrhu učenja za mlade kako bi se potaknulo cjeloživotno učenje;</w:t>
            </w:r>
            <w:r>
              <w:t xml:space="preserve"> </w:t>
            </w:r>
            <w:r>
              <w:rPr>
                <w:b/>
                <w:i/>
              </w:rPr>
              <w:t>poziva na ciljano financiranje kako bi se doprlo do osoba s manje mogućnosti i kako bi ih se uključilo, osobito kada je riječ o pripadnicima skupine NEET, koji su često previđeni u općim mjerama uključivanja;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23.e</w:t>
            </w:r>
            <w:r>
              <w:tab/>
            </w:r>
            <w:r>
              <w:rPr>
                <w:b/>
                <w:i/>
              </w:rPr>
              <w:t>poziva države članice da uvedu ili prošire bespovratna sredstva za mobilnost kako bi se pružila potpora mladima koji sudjeluju u obrazovanju, naukovanju ili strukovnom osposobljavanju u regijama u kojima nije njihovo mjesto boravišta;</w:t>
            </w:r>
            <w:r>
              <w:t xml:space="preserve"> </w:t>
            </w:r>
            <w:r>
              <w:rPr>
                <w:b/>
                <w:i/>
              </w:rPr>
              <w:t>napominje da, kao što to i pokazuju najbolje nacionalne prakse, bespovratna sredstva za mobilnost mogu pokriti do dva mjesečna putovanja do obiteljskog doma i natrag tijekom prve godine osposobljavanja, čime se promiče geografska mobilnost, smanjuju regionalne razlike u pružanju osposobljavanja i povećava sudjelovanje u visokokvalitetnim programima strukovnog obrazovanja i osposobljavanja;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23.f</w:t>
            </w:r>
            <w:r>
              <w:tab/>
            </w:r>
            <w:r>
              <w:rPr>
                <w:b/>
                <w:i/>
              </w:rPr>
              <w:t>potiče države članice da uvedu „fiskalne poticaje za dovršetak programa” za mlade koji uspješno završe naukovanje, pripravništvo ili certificirane programe strukovnog obrazovanja i osposobljavanja, kao poticaj za smanjenje stope napuštanja školovanja i promicanje stjecanja kvalifikacija;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23.g</w:t>
            </w:r>
            <w:r>
              <w:tab/>
            </w:r>
            <w:r>
              <w:rPr>
                <w:b/>
                <w:i/>
              </w:rPr>
              <w:t>poziva Komisiju i države članice da smanje pritisak na tržište stambenih nekretnina pružanjem poticaja za izgradnju socijalno pristupačnog stanovanja za mlade do 30 godina, „stanovanja za mlade”, na temelju uključivih i univerzalnih projektnih standarda;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preporučuje stvaranje petog područja za programe pojačane Garancije za mlade, s naglaskom na mogućnostima volontiranja;</w:t>
            </w:r>
            <w:r>
              <w:t xml:space="preserve"> </w:t>
            </w:r>
            <w:r>
              <w:rPr>
                <w:b/>
                <w:i/>
              </w:rPr>
              <w:t>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preporučuje stvaranje petog područja za programe pojačane Garancije za mlade, s naglaskom na mogućnostima volontiranja;</w:t>
            </w:r>
            <w:r>
              <w:t xml:space="preserve"> </w:t>
            </w:r>
            <w:r>
              <w:rPr>
                <w:b/>
                <w:i/>
              </w:rPr>
              <w:t>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preporučuje stvaranje petog područja za programe pojačane Garancije za mlade, s naglaskom na mogućnostima volontiranja;</w:t>
            </w:r>
            <w:r>
              <w:t xml:space="preserve"> </w:t>
            </w:r>
            <w:r>
              <w:rPr>
                <w:b/>
                <w:i/>
              </w:rPr>
              <w:t>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preporučuje stvaranje petog područja za programe pojačane Garancije za mlade, s naglaskom na mogućnostima volontiranja;</w:t>
            </w:r>
            <w:r>
              <w:t xml:space="preserve"> </w:t>
            </w:r>
            <w:r>
              <w:rPr>
                <w:b/>
                <w:i/>
              </w:rPr>
              <w:t>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preporučuje stvaranje petog područja za programe pojačane Garancije za mlade, s naglaskom na mogućnostima volontiranja;</w:t>
            </w:r>
            <w:r>
              <w:t xml:space="preserve"> </w:t>
            </w:r>
            <w:r>
              <w:rPr>
                <w:b/>
                <w:i/>
              </w:rPr>
              <w:t>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preporučuje stvaranje petog područja za programe pojačane Garancije za mlade, s naglaskom na mogućnostima volontiranja; 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t>24.</w:t>
            </w:r>
            <w:r>
              <w:tab/>
            </w:r>
            <w:r>
              <w:t xml:space="preserve">preporučuje stvaranje petog područja za programe pojačane Garancije za mlade, s naglaskom na mogućnostima volontiranja; ističe da volontiranje ima potencijal za poboljšanje vještina i zapošljivosti pripadnika skupine NEET te za fleksibilnije uključivanje ranjivih mladih osoba; </w:t>
            </w:r>
            <w:r>
              <w:rPr>
                <w:b/>
                <w:i/>
              </w:rPr>
              <w:t>smatra da bi se integracija mogućnosti volontiranja u programe pojačane Garancije za mlade mogla postići stvaranjem sinergija s Europskim snagama solidarnosti;</w:t>
            </w:r>
            <w:r>
              <w:t xml:space="preserve"> </w:t>
            </w:r>
            <w:r>
              <w:rPr>
                <w:b/>
                <w:i/>
              </w:rPr>
              <w:t>smatra da bi te mogućnosti volontiranja trebale biti popraćene dodatnim sredstvima za pružatelje pojačane Garancije za mlade kako bi se iskoristile te nove mogućnosti i kako bi se osiguralo da se postojeća sredstva za mogućnosti zapošljavanja i osposobljavanja ne preraspodijele;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preporučuje stvaranje petog područja za programe pojačane Garancije za mlade, s naglaskom na mogućnostima volontiranja; ističe da volontiranje ima potencijal za poboljšanje vještina i zapošljivosti pripadnika skupine NEET te za fleksibilnije uključivanje ranjivih mladih osoba;</w:t>
            </w:r>
          </w:p>
        </w:tc>
        <w:tc>
          <w:tcPr>
            <w:tcW w:w="4876" w:type="dxa"/>
            <w:tcBorders>
              <w:top w:val="nil"/>
              <w:left w:val="nil"/>
              <w:bottom w:val="nil"/>
              <w:right w:val="nil"/>
            </w:tcBorders>
          </w:tcPr>
          <w:p>
            <w:pPr>
              <w:pStyle w:val="Normal6a"/>
            </w:pPr>
            <w:r>
              <w:t>24.</w:t>
            </w:r>
            <w:r>
              <w:tab/>
            </w:r>
            <w:r>
              <w:t>preporučuje stvaranje petog područja za programe pojačane Garancije za mlade, s naglaskom na mogućnostima volontiranja</w:t>
            </w:r>
            <w:r>
              <w:rPr>
                <w:b/>
                <w:i/>
              </w:rPr>
              <w:t>, u suradnji s Europskim snagama solidarnosti i programom Erasmus+</w:t>
            </w:r>
            <w:r>
              <w:t>; ističe da volontiranje ima potencijal za poboljšanje vještina i zapošljivosti pripadnika skupine NEET te za fleksibilnije uključivanje ranjivih mladih osoba;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ističe da treba uložiti veće napore u provedbu komponente uključenosti pojačane Garancije za mlade;</w:t>
            </w:r>
            <w:r>
              <w:t xml:space="preserve"> </w:t>
            </w:r>
            <w:r>
              <w:rPr>
                <w:b/>
                <w:i/>
              </w:rPr>
              <w:t>poziva države članice da posluže kao primjer promicanjem zapošljavanja ranjivih pripadnika skupine NEET u javnoj upravi;</w:t>
            </w:r>
            <w:r>
              <w:t xml:space="preserve"> </w:t>
            </w:r>
            <w:r>
              <w:rPr>
                <w:b/>
                <w:i/>
              </w:rPr>
              <w:t>potiče države članice da korisnicima dodijele njihova kontaktnog službenika na temelju ugovora na neodređeno vrijeme i da, u mjeri u kojoj je to moguće, razviju smislenu suradnju „jedan na jedan” kako bi se na učinkovit način pružile potrebne i odgovarajuće usluge tijekom trajanja programa;</w:t>
            </w:r>
            <w:r>
              <w:t xml:space="preserve"> </w:t>
            </w:r>
            <w:r>
              <w:rPr>
                <w:b/>
                <w:i/>
              </w:rPr>
              <w:t>poziva Komisiju i države članice da se savjetuju s mladima i da povećaju njihovo smisleno sudjelovanje u osmišljavanju intervencijskih modela usmjerenih na njih kao i u evaluaciji provedbe pojačane Garancije za mlade;</w:t>
            </w:r>
            <w:r>
              <w:t xml:space="preserve"> </w:t>
            </w:r>
            <w:r>
              <w:rPr>
                <w:b/>
                <w:i/>
              </w:rPr>
              <w:t>naglašava važnost međusektorske provedbe strategija za Uniju ravnopravnosti te borbe protiv diskriminacije i stigmatizacije kako bi se uspostavio okvir potreban za uključivanje mladih koji nisu zaposleni, ne obrazuju se i ne osposobljavaju;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poziva države članice da ojačaju mjere informiranja usmjerene na ranjive pripadnike skupine NEET na nacionalnoj i lokalnoj razini te da prepoznaju da demotivirani radnici i osobe koje skrbe o drugima zahtijevaju primjenu bitno drugačije strategije angažmana od onih koje se primjenjuju kada je riječ o kratkotrajno nezaposlenim mladim osobama kao i na to da aktiviranje te skupine bude glavni prioritet njihove provedbe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poziva EU i države članice da zabrane neplaćena pripravništva;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poziva države članice da usvoje ciljane pristupe za posebne podskupine unutar skupine NEET, kao što su žene, mladi u ruralnim područjima, mladi s invaliditetom, mladi koji žive u ustanovama i Romi, uključujući programe zapošljavanja u kombinaciji s osposobljavanjem;</w:t>
            </w:r>
            <w:r>
              <w:t xml:space="preserve"> </w:t>
            </w:r>
            <w:r>
              <w:rPr>
                <w:b/>
                <w:i/>
              </w:rPr>
              <w:t>ističe važnost posebnih programa za pripadnike skupine NEET i koji se ponovno integriraju u tu kategoriju kako bi se prekinuo krug ranjivosti i mladima pomoglo da trajno napuste programe Garancije za mlade;</w:t>
            </w:r>
            <w:r>
              <w:t xml:space="preserve"> </w:t>
            </w:r>
            <w:r>
              <w:rPr>
                <w:b/>
                <w:i/>
              </w:rPr>
              <w:t>smatra da se tim intervencijama moraju uzeti u obzir rod, socioekonomski status, mentalno zdravlje i podrijetlo korisnika kako bi se pružio odgovarajući odgovor;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uviđa da je Europsko jamstvo za djecu moćan alat za borbu protiv siromaštva i isključenosti djece jer se njime svoj djeci osigurava pristup zdravstvenoj skrbi, obrazovanju, prehrani i stanovanju;</w:t>
            </w:r>
            <w:r>
              <w:t xml:space="preserve"> </w:t>
            </w:r>
            <w:r>
              <w:rPr>
                <w:b/>
                <w:i/>
              </w:rPr>
              <w:t>ako se u potpunosti provede, taj bi alat mogao promijeniti brojne živote i svakom djetetu omogućiti ravnopravnu početnu poziciju;</w:t>
            </w:r>
            <w:r>
              <w:t xml:space="preserve"> </w:t>
            </w:r>
            <w:r>
              <w:rPr>
                <w:b/>
                <w:i/>
              </w:rPr>
              <w:t>u tom kontekstu poziva na puno financiranje Europskog jamstva za djecu, s proračunom od najmanje 20 milijardi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poziva EU da isključi svaki oblik plaće za pripravnike koja je manja od važeće minimalne plaće;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sa zabrinutošću napominje da se mlade majke, zbog nerazmjernih obveza povezanih sa skrbi, suočavaju sa znatno većim rizikom od isključenosti s tržišta rada i od toga da postanu dio skupine NEET ;</w:t>
            </w:r>
            <w:r>
              <w:t xml:space="preserve"> </w:t>
            </w:r>
            <w:r>
              <w:rPr>
                <w:b/>
                <w:i/>
              </w:rPr>
              <w:t>poziva države članice da pruže ciljanu i integriranu potporu mladim majkama kojima prijeti siromaštvo, uključujući samohrane majke, u prvom redu pružanjem besplatnog ili subvencioniranog ranog i predškolskog odgoja i obrazovanja te prioritetnog pristupa javnim uslugama skrbi za djecu;</w:t>
            </w:r>
            <w:r>
              <w:t xml:space="preserve"> </w:t>
            </w:r>
            <w:r>
              <w:rPr>
                <w:b/>
                <w:i/>
              </w:rPr>
              <w:t>nadalje, poziva države članice da razviju prilagođene načine aktivacije u kojima se kombiniraju fleksibilni i modularni oblici obrazovanja i osposobljavanja, uključujući mogućnosti učenja na nepuno radno vrijeme i na daljinu, plaćena pripravništva i naukovanja s fleksibilnim radnim uvjetima kao i usluge mentorstva i profesionalnog usmjeravanja;</w:t>
            </w:r>
            <w:r>
              <w:t xml:space="preserve"> </w:t>
            </w:r>
            <w:r>
              <w:rPr>
                <w:b/>
                <w:i/>
              </w:rPr>
              <w:t>naglašava da su cjenovno pristupačan, dostupan i visokokvalitetan rani i predškolski odgoj i obrazovanje preduvjet za učinkovito i održivo sudjelovanje mladih majki u obrazovanju i na tržištu rada te za prekidanje ciklusa međugeneracijskog siromaštva;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24.d</w:t>
            </w:r>
            <w:r>
              <w:tab/>
            </w:r>
            <w:r>
              <w:rPr>
                <w:b/>
                <w:i/>
              </w:rPr>
              <w:t>ističe da je mentorstvo učinkovit i isplativ intervencijski mehanizam koji može pomoći u izgradnji otpornosti i borbi protiv socijalne isključenosti među korisnicima pojačane Garancije za mlade;</w:t>
            </w:r>
            <w:r>
              <w:t xml:space="preserve"> </w:t>
            </w:r>
            <w:r>
              <w:rPr>
                <w:b/>
                <w:i/>
              </w:rPr>
              <w:t>poziva države članice da pruže mentorsku potporu u okviru svojih programa Garancije za mlade kako bi se obučeni volonteri povezali s mladim korisnicima na dobrovoljnoj osnovi;</w:t>
            </w:r>
            <w:r>
              <w:t xml:space="preserve"> </w:t>
            </w:r>
            <w:r>
              <w:rPr>
                <w:b/>
                <w:i/>
              </w:rPr>
              <w:t>ističe da bi to mentorstvo trebalo biti dostupno prije zapošljavanja, tijekom pripremne faze, ali i nakon zapošljavanja kako bi se osigurala trajna uključenost;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24.e</w:t>
            </w:r>
            <w:r>
              <w:tab/>
            </w:r>
            <w:r>
              <w:rPr>
                <w:b/>
                <w:i/>
              </w:rPr>
              <w:t>poziva države članice da poboljšaju kvalitetu ponuda na temelju boljeg usklađivanja profila osoba iz skupine NEET sa zaprimljenim ponudama te boljeg praćenja zapošljavanja uz pomoć pokazatelja kvalitete;</w:t>
            </w:r>
            <w:r>
              <w:t xml:space="preserve"> </w:t>
            </w:r>
            <w:r>
              <w:rPr>
                <w:b/>
                <w:i/>
              </w:rPr>
              <w:t>poziva države članice da istraže mogućnost certificiranja ili oznaka kvalitete za poslodavce ili organizacije koje se pridržavaju europskih ili nacionalnih okvira kvalitete ili ih nadmašuju;</w:t>
            </w:r>
            <w:r>
              <w:t xml:space="preserve"> </w:t>
            </w:r>
            <w:r>
              <w:rPr>
                <w:b/>
                <w:i/>
              </w:rPr>
              <w:t>ističe potrebu za uspostavom mehanizma upozoravanja nakon zapošljavanja za pružatelje i korisnike Garancije za mlade kao i jačanjem kontrola koje provode inspektorati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poziva Komisiju da pokrene otvorenu metodu koordinacije kvalitete ponuda pojačane Garancije za mlade;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poziva Komisiju da pokrene otvorenu metodu koordinacije kvalitete ponuda pojačane Garancije za mlade;</w:t>
            </w:r>
          </w:p>
        </w:tc>
        <w:tc>
          <w:tcPr>
            <w:tcW w:w="4876" w:type="dxa"/>
            <w:tcBorders>
              <w:top w:val="nil"/>
              <w:left w:val="nil"/>
              <w:bottom w:val="nil"/>
              <w:right w:val="nil"/>
            </w:tcBorders>
          </w:tcPr>
          <w:p>
            <w:pPr>
              <w:pStyle w:val="Normal6a"/>
            </w:pPr>
            <w:r>
              <w:t>25.</w:t>
            </w:r>
            <w:r>
              <w:tab/>
            </w:r>
            <w:r>
              <w:t xml:space="preserve">poziva Komisiju da pokrene otvorenu metodu koordinacije kvalitete ponuda pojačane Garancije za mlade </w:t>
            </w:r>
            <w:r>
              <w:rPr>
                <w:b/>
                <w:i/>
              </w:rPr>
              <w:t>i donese obvezujuće standarde u tom pogledu</w:t>
            </w:r>
            <w:r>
              <w:t xml:space="preserve">; </w:t>
            </w:r>
            <w:r>
              <w:rPr>
                <w:b/>
                <w:i/>
              </w:rPr>
              <w:t>ti bi standardi uključivali kriterije kao što su: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pravedna plaća koja se temelji na plaći dostatnoj za život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pristup pristojnim radnim uvjetima te sigurnom i zdravom radnom mjestu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pristup osposobljavanju i razvoju vještina te priznavanje stečenih vještina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transparentne informacije i postupci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pružatelji usluga prihvatljivi su samo ako ne upotrebljavaju javna sredstva kako bi zapošljavali na već popunjena radna mjesta;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davanje prednosti personaliziranim ponudama i pristup usmjeren na pojedinca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snažne mreže socijalne sigurnosti i pristup socijalnoj zaštiti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povezivanje javnog financiranja s poštovanjem standarda kvalitete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neovisno praćenje.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poziva Komisiju da pokrene otvorenu metodu koordinacije kvalitete ponuda pojačane Garancije za mlade;</w:t>
            </w:r>
          </w:p>
        </w:tc>
        <w:tc>
          <w:tcPr>
            <w:tcW w:w="4876" w:type="dxa"/>
            <w:tcBorders>
              <w:top w:val="nil"/>
              <w:left w:val="nil"/>
              <w:bottom w:val="nil"/>
              <w:right w:val="nil"/>
            </w:tcBorders>
          </w:tcPr>
          <w:p>
            <w:pPr>
              <w:pStyle w:val="Normal6a"/>
            </w:pPr>
            <w:r>
              <w:t>25.</w:t>
            </w:r>
            <w:r>
              <w:tab/>
            </w:r>
            <w:r>
              <w:t>poziva Komisiju da pokrene otvorenu metodu koordinacije kvalitete ponuda pojačane Garancije za mlade</w:t>
            </w:r>
            <w:r>
              <w:rPr>
                <w:b/>
                <w:i/>
              </w:rPr>
              <w:t>, s ciljem jačanja ili stvaranja nacionalnih i regionalnih okvira u skladu s europskim okvirima, ali i stvaranja europskog okvira za kvalitetu volontiranja</w:t>
            </w:r>
            <w:r>
              <w:t xml:space="preserve">; </w:t>
            </w:r>
            <w:r>
              <w:rPr>
                <w:b/>
                <w:i/>
              </w:rPr>
              <w:t>poziva Komisiju da u Akt o kvalitetnim radnim mjestima uključi posebne mjere za zapošljavanje mladih, u prvom redu kako bi se osigurala održivost novih oblika rada u kojima su mladi prekomjerno zastupljeni;</w:t>
            </w:r>
            <w:r>
              <w:t xml:space="preserve"> </w:t>
            </w:r>
            <w:r>
              <w:rPr>
                <w:b/>
                <w:i/>
              </w:rPr>
              <w:t>poziva na zaključenje pregovora o Direktivi o pripravništvu kako bi se osigurao jasan i čvrst kvalitativni okvir za pripravništva koja se nude u okviru programâ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poziva Komisiju da pokrene otvorenu metodu koordinacije kvalitete ponuda pojačane Garancije za mlade;</w:t>
            </w:r>
          </w:p>
        </w:tc>
        <w:tc>
          <w:tcPr>
            <w:tcW w:w="4876" w:type="dxa"/>
            <w:tcBorders>
              <w:top w:val="nil"/>
              <w:left w:val="nil"/>
              <w:bottom w:val="nil"/>
              <w:right w:val="nil"/>
            </w:tcBorders>
          </w:tcPr>
          <w:p>
            <w:pPr>
              <w:pStyle w:val="Normal6a"/>
            </w:pPr>
            <w:r>
              <w:t>25.</w:t>
            </w:r>
            <w:r>
              <w:tab/>
            </w:r>
            <w:r>
              <w:t>poziva Komisiju da pokrene otvorenu metodu koordinacije kvalitete ponuda pojačane Garancije za mlade</w:t>
            </w:r>
            <w:r>
              <w:rPr>
                <w:b/>
                <w:i/>
              </w:rPr>
              <w:t>, usmjerenu na razvoj zajedničkih pokazatelja, minimalnih standarda kvalitete, uključujući pravednu plaću koja se temelji na plaći dostatnoj za život i pristupu socijalnoj zaštiti, te okvirâ za praćenje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poziva Komisiju </w:t>
            </w:r>
            <w:r>
              <w:rPr>
                <w:b/>
                <w:i/>
              </w:rPr>
              <w:t>da pokrene otvorenu metodu koordinacije</w:t>
            </w:r>
            <w:r>
              <w:t xml:space="preserve"> kvalitete ponuda pojačane Garancije za mlade;</w:t>
            </w:r>
          </w:p>
        </w:tc>
        <w:tc>
          <w:tcPr>
            <w:tcW w:w="4876" w:type="dxa"/>
            <w:tcBorders>
              <w:top w:val="nil"/>
              <w:left w:val="nil"/>
              <w:bottom w:val="nil"/>
              <w:right w:val="nil"/>
            </w:tcBorders>
          </w:tcPr>
          <w:p>
            <w:pPr>
              <w:pStyle w:val="Normal6a"/>
            </w:pPr>
            <w:r>
              <w:t>25.</w:t>
            </w:r>
            <w:r>
              <w:tab/>
            </w:r>
            <w:r>
              <w:t xml:space="preserve">poziva Komisiju </w:t>
            </w:r>
            <w:r>
              <w:rPr>
                <w:b/>
                <w:i/>
              </w:rPr>
              <w:t>i države članice da osiguraju redovitu razmjenu najboljih praksi, uz savjetovanje sa socijalnim partnerima, o učinkovitim mjerama za poboljšanje</w:t>
            </w:r>
            <w:r>
              <w:t xml:space="preserve"> kvalitete ponuda pojačane Garancije za mlade </w:t>
            </w:r>
            <w:r>
              <w:rPr>
                <w:b/>
                <w:i/>
              </w:rPr>
              <w:t>te da se pobrinu za to da one predstavljaju stabilan most koji vodi prema kvalitetnom obrazovanju, osposobljavanju ili zapošljavanju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poziva Komisiju da pokrene otvorenu metodu koordinacije kvalitete ponuda </w:t>
            </w:r>
            <w:r>
              <w:rPr>
                <w:b/>
                <w:i/>
              </w:rPr>
              <w:t>pojačane Garancije</w:t>
            </w:r>
            <w:r>
              <w:t xml:space="preserve"> za mlade;</w:t>
            </w:r>
          </w:p>
        </w:tc>
        <w:tc>
          <w:tcPr>
            <w:tcW w:w="4876" w:type="dxa"/>
            <w:tcBorders>
              <w:top w:val="nil"/>
              <w:left w:val="nil"/>
              <w:bottom w:val="nil"/>
              <w:right w:val="nil"/>
            </w:tcBorders>
          </w:tcPr>
          <w:p>
            <w:pPr>
              <w:pStyle w:val="Normal6a"/>
            </w:pPr>
            <w:r>
              <w:t>25.</w:t>
            </w:r>
            <w:r>
              <w:tab/>
            </w:r>
            <w:r>
              <w:t xml:space="preserve">poziva Komisiju da pokrene otvorenu metodu koordinacije kvalitete ponuda </w:t>
            </w:r>
            <w:r>
              <w:rPr>
                <w:b/>
                <w:i/>
              </w:rPr>
              <w:t>povezanih s pojačanom Garancijom</w:t>
            </w:r>
            <w:r>
              <w:t xml:space="preserve"> za mlade </w:t>
            </w:r>
            <w:r>
              <w:rPr>
                <w:b/>
                <w:i/>
              </w:rPr>
              <w:t>te da utvrdi konkretne zajedničke pokazatelje za evaluaciju</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Komisiju i države članice da osiguraju da pripravništva koja se nude u okviru pojačane Garancije za mlade budu pravedno plaćena, u skladu s primjenjivim pravom Unije i nacionalnim okvirima, te da se temelje na jasno definiranim ciljevima učenja i osposobljavanja i pisanom ugovoru o pripravništvu te da ne traju dulje od šest mjeseci niti dopuštaju obavljanje višestrukih ili uzastopnih pripravništava kod istog poslodavca na način koji bi mogao zadržati mladu osobu u okviru uzastopnih zaposlenja bez odgovarajućih radnih prava ili socijalne zaštite;</w:t>
            </w:r>
            <w:r>
              <w:t xml:space="preserve"> </w:t>
            </w:r>
            <w:r>
              <w:rPr>
                <w:b/>
                <w:i/>
              </w:rPr>
              <w:t>naglašava da neplaćeno pripravništvo ne smije biti dio strukturiranih aktivnih politika tržišta rada;</w:t>
            </w:r>
            <w:r>
              <w:t xml:space="preserve"> </w:t>
            </w:r>
            <w:r>
              <w:rPr>
                <w:b/>
                <w:i/>
              </w:rPr>
              <w:t>poziva na to da predstojeća direktiva o pripravništvu bude ambiciozna i sveobuhvatna te da se njome osigura potpuna zaštita prava pripravnika, uključujući pravo na prekid pripravništva u slučaju kršenja temeljnih prava, i poziva na brzo zaključenje pregovora;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prepoznaje model „sve na jednom mjestu” kao najučinkovitiji način pružanja odgovarajuće potpore mladima koji su korisnici pojačane Garancije za mlade i sprečavanja da mladi postanu pripadnici skupine NEET;</w:t>
            </w:r>
            <w:r>
              <w:t xml:space="preserve"> </w:t>
            </w:r>
            <w:r>
              <w:rPr>
                <w:b/>
                <w:i/>
              </w:rPr>
              <w:t>potiče države članice da razviju te centre s niskim pragom pristupa na cijelom svoj teritoriju kako bi se povećala dostupnost informacija za pripadnike skupine NEET te da na jednoj lokaciji pružaju usluge cjeloživotnog usmjeravanja, savjete o obrazovanju, zdravlju, socijalnoj potpori i radu s mladima;</w:t>
            </w:r>
            <w:r>
              <w:t xml:space="preserve"> </w:t>
            </w:r>
            <w:r>
              <w:rPr>
                <w:b/>
                <w:i/>
              </w:rPr>
              <w:t>potiče države članice koje još nemaju tu kulturu integriranog pristupa da uvedu načelo upućivanja kako bi zahtjev uputile drugoj nadležnoj službi u slučaju da ga kontaktirana služba ne može obraditi;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ističe da u određenim državama članicama ne postoji pravna definicija „pripravništva” te poziva i države članice i Komisiju da rade na uspostavi zajedničke definicije;</w:t>
            </w:r>
            <w:r>
              <w:t xml:space="preserve"> </w:t>
            </w:r>
            <w:r>
              <w:rPr>
                <w:b/>
                <w:i/>
              </w:rPr>
              <w:t>u tom pogledu poziva na donošenje direktive EU-a o pripravništvu kako bi se mlade koji traže pripravništvo zaštitilo od iskorištavanja i kako bi im se osigurala dostatna naknada, odnosno puna plaća;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Komisiju da intenzivira ciljanu potporu i koordinaciju politika u zemljama koje se suočavaju sa strukturnom nezaposlenošću mladih, uz osiguravanje da se instrumentima EU-a učinkovito uklanjaju dugotrajni nedostaci na tržištu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poziva Komisiju da uvede obvezujući kvalitativni okvir za pojačanu Garanciju za mlade, s čvrstim mehanizmima praćenja i provedbe, a u skladu s Preporukom Vijeća o lakšem prelasku u svijet rada – jačanje Garancije za mlade</w:t>
            </w:r>
            <w:r>
              <w:rPr>
                <w:b/>
                <w:i/>
                <w:vertAlign w:val="superscript"/>
              </w:rPr>
              <w:t>1a</w:t>
            </w:r>
            <w:r>
              <w:rPr>
                <w:b/>
                <w:i/>
              </w:rPr>
              <w:t>;</w:t>
            </w:r>
            <w:r>
              <w:t xml:space="preserve"> </w:t>
            </w:r>
            <w:r>
              <w:rPr>
                <w:b/>
                <w:i/>
              </w:rPr>
              <w:t>ističe da se obvezujućim kriterijima kvalitete mora zajamčiti da su sve ponude usklađene s relevantnim načelima europskog stupa socijalnih prava, da se pružaju stvarne mogućnosti učenja i osposobljavanja kojima se povećava zapošljivost i olakšava prijelaz na tržište rada te da su uključeni transparentno zapošljavanje, priznavanje i certifikacija stečenih vještina kao i pristupačni mehanizmi za podnošenje pritužbi;</w:t>
            </w:r>
            <w:r>
              <w:t xml:space="preserve"> </w:t>
            </w:r>
            <w:r>
              <w:rPr>
                <w:b/>
                <w:i/>
              </w:rPr>
              <w:t>poziva na to da se u svim ponudama za zapošljavanje i pripravništvo osiguraju pristojni radni uvjeti, pravedna naknada, pristup socijalnoj zaštiti, osposobljavanje i profesionalno usmjeravanje, razumna razdoblja probnog rada i zabrana zlouporabe nestandardnih ugovora;</w:t>
            </w:r>
            <w:r>
              <w:t xml:space="preserve"> </w:t>
            </w:r>
            <w:r>
              <w:rPr>
                <w:b/>
                <w:i/>
              </w:rPr>
              <w:t>ističe da bi usklađenost s tim standardima trebala biti uvjet za upotrebu sredstava Unije u okviru programâ pojačane Garancije za mlade;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Preporuka Vijeća od 30. listopada 2020. o lakšem prelasku u svijet rada – jačanje Garancije za mlade te o zamjeni Preporuke Vijeća od 22. travnja 2013. o uspostavi Garancije za mlade, 2020/C 372/01.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poziva Komisiju da poboljša koordinaciju na razini EU-a u području mentalnog zdravlja mladih nadovezujući se pritom na svoje nedavne preporuke i pouke izvučene iz pandemije bolesti COVID-19, s posebnim naglaskom na prevenciji, ranoj intervenciji i mentalnoj dobrobiti mladih;</w:t>
            </w:r>
            <w:r>
              <w:t xml:space="preserve"> </w:t>
            </w:r>
            <w:r>
              <w:rPr>
                <w:b/>
                <w:i/>
              </w:rPr>
              <w:t>potiče Komisiju i države članice da osiguraju pravodoban, pristupačan i nediskriminirajući pristup uslugama mentalnog zdravlja za mlade, u okviru sustava javnog zdravstva i uz potpuno poštovanje nacionalnih nadležnosti, te da razviju mjere pripravnosti specifične za mlade kako bi se spriječilo da mladi budu nerazmjerno pogođeni u budućim krizama;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poziva Komisiju i države članice da uspostave snažnije veze između Garancije za mlade i drugih politika, kao što su one u području stanovanja, zdravlja i mentalnog zdravlja, obitelji, prometa i regionalnog razvoja;</w:t>
            </w:r>
            <w:r>
              <w:t xml:space="preserve"> </w:t>
            </w:r>
            <w:r>
              <w:rPr>
                <w:b/>
                <w:i/>
              </w:rPr>
              <w:t>države članice mogle bi dodatno istražiti razmotriti uspostavu multidisciplinarnih timova i/ili modela integriranih usluga s niskim pragom pristupa, kao što su točke „sve na jednom mjestu”;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poziva Komisiju i države članice da uvedu dodatno pripremno osposobljavanje („osposobljavanje za pohađanje stručnog osposobljavanja”) ili programe premošćivanja koji će se ponuditi svakoj mladoj osobi koja je rano napustila školovanje ili čije je obrazovanje prekinuto zbog obiteljskih obveza kako bi se ojačala pripravnost u pogledu vještina i unaprijedile mogućnosti obrazovanja, osposobljavanja i zapošljavanja;</w:t>
            </w:r>
            <w:r>
              <w:t xml:space="preserve"> </w:t>
            </w:r>
            <w:r>
              <w:rPr>
                <w:b/>
                <w:i/>
              </w:rPr>
              <w:t>naglašava da ti programi moraju u biti dostupni u prvom redu mladim roditeljima i mladim odraslim samcima, pri čemu bi se, u vidu fleksibilnih rasporeda i, po potrebi, integrirane skrbi o djeci, u obzir uzele njihove obveze povezane sa skrbi;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poziva države članice da u okviru Garancije za mlade osiguraju da svi mladi, bez obzira na prethodno obrazovanje ili motivaciju, mogu pristupiti tečajevima o umjetnoj inteligenciji s niskim pragom pristupa koji educiraju o upotrebi alata, etici, zaštiti podataka i ograničenjima umjetne inteligencije, posebno za one koji prethodno nisu bili tehnološki pismeni, kako bi se spriječio novi digitalni jaz;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25.e</w:t>
            </w:r>
            <w:r>
              <w:tab/>
            </w:r>
            <w:r>
              <w:rPr>
                <w:b/>
                <w:i/>
              </w:rPr>
              <w:t>poziva države članice da osiguraju mentorstvo i psihosocijalnu potporu mladima koje umjetna inteligencija plaši, pomažući im da prevladaju strahove te steknu povjerenje i sposobnost za djelovanje pri korištenju tih tehnologija;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25.f</w:t>
            </w:r>
            <w:r>
              <w:tab/>
            </w:r>
            <w:r>
              <w:rPr>
                <w:b/>
                <w:i/>
              </w:rPr>
              <w:t>poziva države članice da podupru mlade u tome da postanu solo-poduzetnici ili vode mikropoduzeća bez velikog kapitala za start-up poduzeća, koristeći se umjetnom inteligencijom kao zamjenom za skupu infrastrukturu (npr. računovodstvo, marketing, programiranje) i potičući ekonomsku neovisnost, posebno za mlade iz neakademskih kućanstava;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26.</w:t>
            </w:r>
            <w:r>
              <w:tab/>
            </w:r>
            <w:r>
              <w:rPr>
                <w:b/>
                <w:i/>
              </w:rPr>
              <w:t>poziva Komisiju i države članice da dodijele odgovarajuća sredstva za pojačanu Garanciju za mlade u sljedećem VFO-u, posebno zadržavanjem namjenskih sredstava EU-a;</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poziva Komisiju i države članice da dodijele odgovarajuća sredstva za pojačanu Garanciju za mlade u sljedećem VFO-u, posebno zadržavanjem namjenskih sredstava EU-a;</w:t>
            </w:r>
          </w:p>
        </w:tc>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posebno zadržavanjem namjenskih sredstava EU-a; </w:t>
            </w:r>
            <w:r>
              <w:rPr>
                <w:b/>
                <w:i/>
              </w:rPr>
              <w:t>naglašava da bi se tim financijskim sredstvima EU-a u prvom redu trebali podupirati razvoj inovativnih mjera i rast te da ona ne bi trebala zamijeniti postojeća nacionalna sredstva;</w:t>
            </w:r>
            <w:r>
              <w:t xml:space="preserve"> </w:t>
            </w:r>
            <w:r>
              <w:rPr>
                <w:b/>
                <w:i/>
              </w:rPr>
              <w:t>poziva na uvođenje proračunskog praćenja rashoda povezanih s pojačanom Garancijom za mlade na razini EU-a, uz popratne nacionalne pokazatelje;</w:t>
            </w:r>
            <w:r>
              <w:t xml:space="preserve"> </w:t>
            </w:r>
            <w:r>
              <w:rPr>
                <w:b/>
                <w:i/>
              </w:rPr>
              <w:t>poziva države članice da europske fondove dopune nacionalnim sredstvima koja su razmjerna izazovima povezanima sa skupnim pokazateljima u njihovoj državi članici te da dostave jasnu raščlambu rashoda povezanih s pojačanom Garancijom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posebno zadržavanjem namjenskih sredstava </w:t>
            </w:r>
            <w:r>
              <w:rPr>
                <w:b/>
                <w:i/>
              </w:rPr>
              <w:t>EU-a</w:t>
            </w:r>
            <w:r>
              <w:t>;</w:t>
            </w:r>
          </w:p>
        </w:tc>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posebno zadržavanjem </w:t>
            </w:r>
            <w:r>
              <w:rPr>
                <w:b/>
                <w:i/>
              </w:rPr>
              <w:t>postojećih</w:t>
            </w:r>
            <w:r>
              <w:t xml:space="preserve"> namjenskih sredstava </w:t>
            </w:r>
            <w:r>
              <w:rPr>
                <w:b/>
                <w:i/>
              </w:rPr>
              <w:t>u okviru budućeg samostalnog i zasebnog ESF-a, uključujući obvezu država članica sa stopom NEET-a iznad prosjeka EU-a da najmanje 12,5 % sredstava ESF-a dodijele mjerama kojima se podupire zapošljavanje mladih, strukovno obrazovanje i osposobljavanje te prijelaz iz obrazovanja u zapošljavanje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poziva Komisiju i države članice da dodijele odgovarajuća sredstva za pojačanu Garanciju za mlade u sljedećem VFO-u, posebno zadržavanjem namjenskih sredstava EU-a;</w:t>
            </w:r>
          </w:p>
        </w:tc>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w:t>
            </w:r>
            <w:r>
              <w:rPr>
                <w:b/>
                <w:i/>
              </w:rPr>
              <w:t>nakon 2027.</w:t>
            </w:r>
            <w:r>
              <w:t>u sljedećem VFO-u, posebno zadržavanjem namjenskih sredstava EU-a</w:t>
            </w:r>
            <w:r>
              <w:rPr>
                <w:b/>
                <w:i/>
              </w:rPr>
              <w:t>, kako bi se osigurala usklađenost, promicale sinergije, dopunile nacionalne strategije i proračuni te proširile mogućnosti zapošljavanja za mlade mlađe od 30 godina diljem Unije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poziva Komisiju i države članice da dodijele odgovarajuća sredstva za pojačanu Garanciju za mlade u sljedećem VFO-u, posebno zadržavanjem namjenskih sredstava EU-a;</w:t>
            </w:r>
          </w:p>
        </w:tc>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posebno zadržavanjem namjenskih sredstava EU-a; </w:t>
            </w:r>
            <w:r>
              <w:rPr>
                <w:b/>
                <w:i/>
              </w:rPr>
              <w:t>u tom je pogledu izražava duboku zabrinutost zbog smanjenog ciljanog financiranja za zapošljavanje mladih u ruralnim i prigradskim područjima u okviru sljedećeg VFO-a;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poziva Komisiju i države članice da </w:t>
            </w:r>
            <w:r>
              <w:rPr>
                <w:b/>
                <w:i/>
              </w:rPr>
              <w:t>dodijele odgovarajuća sredstva za pojačanu Garanciju za mlade</w:t>
            </w:r>
            <w:r>
              <w:t xml:space="preserve"> u sljedećem VFO-u</w:t>
            </w:r>
            <w:r>
              <w:rPr>
                <w:b/>
                <w:i/>
              </w:rPr>
              <w:t>, posebno zadržavanjem namjenskih sredstava EU-a</w:t>
            </w:r>
            <w:r>
              <w:t>;</w:t>
            </w:r>
          </w:p>
        </w:tc>
        <w:tc>
          <w:tcPr>
            <w:tcW w:w="4876" w:type="dxa"/>
            <w:tcBorders>
              <w:top w:val="nil"/>
              <w:left w:val="nil"/>
              <w:bottom w:val="nil"/>
              <w:right w:val="nil"/>
            </w:tcBorders>
          </w:tcPr>
          <w:p>
            <w:pPr>
              <w:pStyle w:val="Normal6a"/>
            </w:pPr>
            <w:r>
              <w:t>26.</w:t>
            </w:r>
            <w:r>
              <w:tab/>
            </w:r>
            <w:r>
              <w:rPr>
                <w:b/>
                <w:i/>
              </w:rPr>
              <w:t>prepoznaje da pojačana Garancija za mlade može biti važan alat za potporu mladima u ostvarivanju njihova punog potencijala te u tom pogledu</w:t>
            </w:r>
            <w:r>
              <w:t xml:space="preserve"> poziva Komisiju i države članice da </w:t>
            </w:r>
            <w:r>
              <w:rPr>
                <w:b/>
                <w:i/>
              </w:rPr>
              <w:t>osiguraju zaštitu i povećanje njezine omotnice</w:t>
            </w:r>
            <w:r>
              <w:t xml:space="preserve"> u sljedećem VFO-u;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w:t>
            </w:r>
            <w:r>
              <w:rPr>
                <w:b/>
                <w:i/>
              </w:rPr>
              <w:t>posebno zadržavanjem namjenskih</w:t>
            </w:r>
            <w:r>
              <w:t xml:space="preserve"> sredstava EU-a;</w:t>
            </w:r>
          </w:p>
        </w:tc>
        <w:tc>
          <w:tcPr>
            <w:tcW w:w="4876" w:type="dxa"/>
            <w:tcBorders>
              <w:top w:val="nil"/>
              <w:left w:val="nil"/>
              <w:bottom w:val="nil"/>
              <w:right w:val="nil"/>
            </w:tcBorders>
          </w:tcPr>
          <w:p>
            <w:pPr>
              <w:pStyle w:val="Normal6a"/>
            </w:pPr>
            <w:r>
              <w:t>26.</w:t>
            </w:r>
            <w:r>
              <w:tab/>
            </w:r>
            <w:r>
              <w:t xml:space="preserve">poziva Komisiju i države članice da dodijele odgovarajuća sredstva za pojačanu Garanciju za mlade u sljedećem VFO-u, </w:t>
            </w:r>
            <w:r>
              <w:rPr>
                <w:b/>
                <w:i/>
              </w:rPr>
              <w:t>osiguravajući pritom strogo praćenje, transparentnost i evaluaciju upotrebe</w:t>
            </w:r>
            <w:r>
              <w:t xml:space="preserve"> sredstava EU-a </w:t>
            </w:r>
            <w:r>
              <w:rPr>
                <w:b/>
                <w:i/>
              </w:rPr>
              <w:t>na temelju uspješnosti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poziva Komisiju i države članice da </w:t>
            </w:r>
            <w:r>
              <w:rPr>
                <w:b/>
                <w:i/>
              </w:rPr>
              <w:t>dodijele odgovarajuća</w:t>
            </w:r>
            <w:r>
              <w:t xml:space="preserve"> sredstva za pojačanu Garanciju za mlade u sljedećem VFO-u, posebno zadržavanjem namjenskih sredstava EU-a;</w:t>
            </w:r>
          </w:p>
        </w:tc>
        <w:tc>
          <w:tcPr>
            <w:tcW w:w="4876" w:type="dxa"/>
            <w:tcBorders>
              <w:top w:val="nil"/>
              <w:left w:val="nil"/>
              <w:bottom w:val="nil"/>
              <w:right w:val="nil"/>
            </w:tcBorders>
          </w:tcPr>
          <w:p>
            <w:pPr>
              <w:pStyle w:val="Normal6a"/>
            </w:pPr>
            <w:r>
              <w:t>26.</w:t>
            </w:r>
            <w:r>
              <w:tab/>
            </w:r>
            <w:r>
              <w:t xml:space="preserve">poziva Komisiju i države članice da </w:t>
            </w:r>
            <w:r>
              <w:rPr>
                <w:b/>
                <w:i/>
              </w:rPr>
              <w:t>uvelike povećaju iznose javnih sredstava i</w:t>
            </w:r>
            <w:r>
              <w:t xml:space="preserve"> sredstva </w:t>
            </w:r>
            <w:r>
              <w:rPr>
                <w:b/>
                <w:i/>
              </w:rPr>
              <w:t>EU-a</w:t>
            </w:r>
            <w:r>
              <w:t xml:space="preserve"> za pojačanu Garanciju za mlade u sljedećem VFO-u, posebno zadržavanjem namjenskih sredstava EU-a;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ističe da bi se dio sredstava trebao iskoristiti za povećanje administrativnih kapaciteta za apsorpciju sredstava, ali i za organizaciju osposobljavanja za pružatelje Garancije za mlade te razvoj skupa alata za upotrebu sredstava;</w:t>
            </w:r>
            <w:r>
              <w:t xml:space="preserve"> </w:t>
            </w:r>
            <w:r>
              <w:rPr>
                <w:b/>
                <w:i/>
              </w:rPr>
              <w:t>smatra da bi to povećanje kapaciteta također trebalo koristiti socijalnim partnerima, osobama koje rade s mladima i nevladinim organizacijama za razvoj projekata;</w:t>
            </w:r>
            <w:r>
              <w:t xml:space="preserve"> </w:t>
            </w:r>
            <w:r>
              <w:rPr>
                <w:b/>
                <w:i/>
              </w:rPr>
              <w:t>poziva Komisiju da uspostavi novi program financiranja malih razmjera za dionike koji rade s pripadnicima skupine NEET na lokalnoj razini kako bi se upotreba i doseg sredstava EU-a proširili na sva područja;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poziva Europsku komisiju da uz pomoć instrumenata financiranja EU-a, a posebno Europskog socijalnog fonda plus, podupre mjere za informiranje i podizanje razine osviještenosti mladih o njihovim pravima na tržištu rada, u suradnji sa socijalnim partnerima, uključujući sindikate;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podsjeća na to da zapošljavanje mladih mora ostati jedan od prioriteta ulaganja u sljedećem fondu ESF+ i naglašava da Garancija za mlade i dobro osmišljene politike za mlade nisu proračunski troškovi,</w:t>
            </w:r>
            <w:r>
              <w:t xml:space="preserve"> </w:t>
            </w:r>
            <w:r>
              <w:rPr>
                <w:b/>
                <w:i/>
              </w:rPr>
              <w:t>već ulaganje u građane;</w:t>
            </w:r>
            <w:r>
              <w:t xml:space="preserve"> </w:t>
            </w:r>
            <w:r>
              <w:rPr>
                <w:b/>
                <w:i/>
              </w:rPr>
              <w:t>poziva Komisiju i države članice da u sljedećem VFO-u osiguraju zaštitu i povećanje samostalnog proračuna fonda ESF+;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p>
        </w:tc>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r>
              <w:rPr>
                <w:b/>
                <w:i/>
              </w:rPr>
              <w:t>, posebno u pogledu pokazatelja praćenja i trenutačno nepoznatih rezultata</w:t>
            </w:r>
            <w:r>
              <w:t xml:space="preserve">; </w:t>
            </w:r>
            <w:r>
              <w:rPr>
                <w:b/>
                <w:i/>
              </w:rPr>
              <w:t>poziva Komisiju i države članice da pronađu rješenja za prevladavanje pravnih i administrativnih prepreka razmjeni informacija između službi i uprava, poštujući pritom privatnost pripadnika skupine NEET;</w:t>
            </w:r>
            <w:r>
              <w:t xml:space="preserve"> </w:t>
            </w:r>
            <w:r>
              <w:rPr>
                <w:b/>
                <w:i/>
              </w:rPr>
              <w:t>u tom kontekstu potiče jasno utvrđivanje jednog ili više tijela odgovornih za prikupljanje podataka u okviru programa pojačane Garancije za mlade, interoperabilnost baza podataka s jedinstvenim identifikatorom među upravama unutar nacionalnih sustava i objavu Komunikacije o primjeni Opće uredbe o zaštiti podataka kako bi se spriječilo pogrešno tumačenje;</w:t>
            </w:r>
            <w:r>
              <w:t xml:space="preserve"> </w:t>
            </w:r>
            <w:r>
              <w:rPr>
                <w:b/>
                <w:i/>
              </w:rPr>
              <w:t>poziva Komisiju da pruži tehničku pomoć državama članicama s najslabijim nacionalnim ili lokalnim okvirima za praćenje radi njihova jačanja i osposobljavanja namjenskog osoblja kako bi se osigurala usporedivost na razini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potiče države članice da znatno ojačaju svoje sustave za praćenje provedbe pojačane Garancije za mlade u pogledu kvalitete i </w:t>
            </w:r>
            <w:r>
              <w:rPr>
                <w:b/>
                <w:i/>
              </w:rPr>
              <w:t>potpunosti prikupljenih</w:t>
            </w:r>
            <w:r>
              <w:t xml:space="preserve"> podataka;</w:t>
            </w:r>
          </w:p>
        </w:tc>
        <w:tc>
          <w:tcPr>
            <w:tcW w:w="4876" w:type="dxa"/>
            <w:tcBorders>
              <w:top w:val="nil"/>
              <w:left w:val="nil"/>
              <w:bottom w:val="nil"/>
              <w:right w:val="nil"/>
            </w:tcBorders>
          </w:tcPr>
          <w:p>
            <w:pPr>
              <w:pStyle w:val="Normal6a"/>
            </w:pPr>
            <w:r>
              <w:t>27.</w:t>
            </w:r>
            <w:r>
              <w:tab/>
            </w:r>
            <w:r>
              <w:t xml:space="preserve">potiče države članice da znatno ojačaju svoje sustave za praćenje provedbe pojačane Garancije za mlade u pogledu </w:t>
            </w:r>
            <w:r>
              <w:rPr>
                <w:b/>
                <w:i/>
              </w:rPr>
              <w:t>podataka,</w:t>
            </w:r>
            <w:r>
              <w:t xml:space="preserve"> kvalitete i </w:t>
            </w:r>
            <w:r>
              <w:rPr>
                <w:b/>
                <w:i/>
              </w:rPr>
              <w:t>pokrivenosti;</w:t>
            </w:r>
            <w:r>
              <w:t xml:space="preserve"> </w:t>
            </w:r>
            <w:r>
              <w:rPr>
                <w:b/>
                <w:i/>
              </w:rPr>
              <w:t>poziva na ciljane mjere za rješavanje strukturnih, administrativnih i pravnih prepreka koje blokiraju učinkovitu razmjenu</w:t>
            </w:r>
            <w:r>
              <w:t xml:space="preserve"> podataka</w:t>
            </w:r>
            <w:r>
              <w:rPr>
                <w:b/>
                <w:i/>
              </w:rPr>
              <w:t>, koordinaciju među službama i transparentnost pri upotrebi javnih resursa</w:t>
            </w:r>
            <w:r>
              <w:t xml:space="preserve">; </w:t>
            </w:r>
            <w:r>
              <w:rPr>
                <w:b/>
                <w:i/>
              </w:rPr>
              <w:t>poziva na prikupljanje poboljšanih raščlanjenih i kvalitativnih podataka koji obuhvaćaju ne samo radni status nego i kvalitetu radnih mjesta, vrstu ugovora, naknadu, pristup socijalnoj zaštiti i socioekonomski položaj kako bi se bolje identificirale osobe koje se podupire i one koje su zapostavljene;</w:t>
            </w:r>
            <w:r>
              <w:t xml:space="preserve"> </w:t>
            </w:r>
            <w:r>
              <w:rPr>
                <w:b/>
                <w:i/>
              </w:rPr>
              <w:t>poziva na pojačano praćenje po izlasku iz programa, među ostalim u pogledu uvjeta zapošljavanja;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p>
        </w:tc>
        <w:tc>
          <w:tcPr>
            <w:tcW w:w="4876" w:type="dxa"/>
            <w:tcBorders>
              <w:top w:val="nil"/>
              <w:left w:val="nil"/>
              <w:bottom w:val="nil"/>
              <w:right w:val="nil"/>
            </w:tcBorders>
          </w:tcPr>
          <w:p>
            <w:pPr>
              <w:pStyle w:val="Normal6a"/>
            </w:pPr>
            <w:r>
              <w:t>27.</w:t>
            </w:r>
            <w:r>
              <w:tab/>
            </w:r>
            <w:r>
              <w:t xml:space="preserve">potiče države članice da znatno ojačaju svoje sustave za praćenje provedbe pojačane Garancije za mlade u pogledu kvalitete i potpunosti prikupljenih podataka; </w:t>
            </w:r>
            <w:r>
              <w:rPr>
                <w:b/>
                <w:i/>
              </w:rPr>
              <w:t>poziva države članice i Komisiju da poboljšaju prikupljanje usporedivih podataka o dugoročnim djelovanjima pojačane Garancije za mlade, naročito u pogledu zadržavanja radnih mjesta, kvalitete radnih mjesta, stručnog usavršavanja i rizika od ponovnog zapadanja u nezaposlenost ili u kategoriju NEET-a;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p>
        </w:tc>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r>
              <w:rPr>
                <w:b/>
                <w:i/>
              </w:rPr>
              <w:t>, i to prikupljanjem sveobuhvatnih, pravodobnih i raščlanjenih podataka o svim sudionicima koji su osjetljivi na rod, migrantsko podrijetlo, invaliditet i udaljenost područja života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p>
        </w:tc>
        <w:tc>
          <w:tcPr>
            <w:tcW w:w="4876" w:type="dxa"/>
            <w:tcBorders>
              <w:top w:val="nil"/>
              <w:left w:val="nil"/>
              <w:bottom w:val="nil"/>
              <w:right w:val="nil"/>
            </w:tcBorders>
          </w:tcPr>
          <w:p>
            <w:pPr>
              <w:pStyle w:val="Normal6a"/>
            </w:pPr>
            <w:r>
              <w:t>27.</w:t>
            </w:r>
            <w:r>
              <w:tab/>
            </w:r>
            <w:r>
              <w:t>potiče države članice da znatno ojačaju svoje sustave za praćenje provedbe pojačane Garancije za mlade u pogledu kvalitete i potpunosti prikupljenih podataka</w:t>
            </w:r>
            <w:r>
              <w:rPr>
                <w:b/>
                <w:i/>
              </w:rPr>
              <w:t>,</w:t>
            </w:r>
            <w:r>
              <w:t xml:space="preserve"> </w:t>
            </w:r>
            <w:r>
              <w:rPr>
                <w:b/>
                <w:i/>
              </w:rPr>
              <w:t>osobito kad je riječ o daljnjim mjerama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Komisiju da ojača okvir za praćenje pojačane Garancije za mlade i razvije zajednički skup kvantitativnih i kvalitativnih pokazatelja na razini Unije, uključujući stope nesvojevoljne privremene zaposlenosti i zaposlenosti u nepunom radnom vremenu, stopu rizika od siromaštva ili socijalne isključenosti, vrstu i trajanje zaposlenja, pripravništva i naukovanja raščlanjenih prema vrsti ponude, razinama mjesečne naknade i kvalitativnim povratnim informacijama mladih o kvaliteti ponuda;</w:t>
            </w:r>
            <w:r>
              <w:t xml:space="preserve"> </w:t>
            </w:r>
            <w:r>
              <w:rPr>
                <w:b/>
                <w:i/>
              </w:rPr>
              <w:t>poziva Komisiju da prije sljedećeg ciklusa politike provede sveobuhvatnu evaluaciju kako bi se povećalo prihvaćanje među ranjivim pripadnicima skupine NEET te poboljšala kvaliteta ponuda koje se pružaju u okviru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Europsku komisiju da ažurira okvir pokazatelja;</w:t>
            </w:r>
            <w:r>
              <w:t xml:space="preserve"> </w:t>
            </w:r>
            <w:r>
              <w:rPr>
                <w:b/>
                <w:i/>
              </w:rPr>
              <w:t>predlaže da ga se dopuni ukupnim pokazateljima stope nesvojevoljne privremene zaposlenosti (u dobi od 15 do 29 godina) i stope rizika od siromaštva i socijalne isključenosti (u dobi od 15 do 29 godina).</w:t>
            </w:r>
            <w:r>
              <w:t xml:space="preserve"> </w:t>
            </w:r>
            <w:r>
              <w:rPr>
                <w:b/>
                <w:i/>
              </w:rPr>
              <w:t>kada je riječ o izravnom praćenju, predlaže da se ono ažurira sljedećim pokazateljima:</w:t>
            </w:r>
            <w:r>
              <w:t xml:space="preserve"> </w:t>
            </w:r>
            <w:r>
              <w:rPr>
                <w:b/>
                <w:i/>
              </w:rPr>
              <w:t>vrstom i trajanjem pripravničkog staža i naukovanja razvrstanima prema vrsti ponude;</w:t>
            </w:r>
            <w:r>
              <w:t xml:space="preserve"> </w:t>
            </w:r>
            <w:r>
              <w:rPr>
                <w:b/>
                <w:i/>
              </w:rPr>
              <w:t>mjesečnom razinom primitaka raščlanjenoj prema vrsti ponude i razini socijalne zaštite koju ponuda pruža;</w:t>
            </w:r>
            <w:r>
              <w:t xml:space="preserve"> </w:t>
            </w:r>
            <w:r>
              <w:rPr>
                <w:b/>
                <w:i/>
              </w:rPr>
              <w:t>i kvalitativnim informacijama prikupljenima izravno od mladih u vezi s kvalitetom njihova iskustva.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ističe važnost nastavka integracije Garancije za mlade i strategija za zapošljavanje mladih u proces proširenja;</w:t>
            </w:r>
            <w:r>
              <w:t xml:space="preserve"> </w:t>
            </w:r>
            <w:r>
              <w:rPr>
                <w:b/>
                <w:i/>
              </w:rPr>
              <w:t>poziva Europsku komisiju da nastavi ulagati napore u financiranje u okviru sljedećeg VFO-a, uz istodobno praćenje stroge upotrebe tih sredstava i stavljanje naglaska na izgradnju kapaciteta;</w:t>
            </w:r>
            <w:r>
              <w:t xml:space="preserve"> </w:t>
            </w:r>
            <w:r>
              <w:rPr>
                <w:b/>
                <w:i/>
              </w:rPr>
              <w:t>poziva zemlje kandidatkinje za proširenje da osiguraju odgovarajuća nacionalna sredstva kako bi se osiguralo širenje i održivost programâ Garancije za mlade te potiče uzajamno učenje s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Komisiju i države članice da ojačaju mehanizme provjere sustava Garancije za mlade kako bi se osigurala točna identifikacija prihvatljivih korisnika, poboljšana transparentnost i sljedivost u administrativnim postupcima te zaštitne mjere protiv negativnih poticaja koji bi u pitanje mogli dovesti cilj pružanja potpore mladima koji se suočavaju sa stvarnom i trajnom isključenošću s tržišta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smatra da je za provedbu pojačane Garancije za mlade potreban novi poticaj i obnovljeni dijalog s državama članicama;</w:t>
            </w:r>
            <w:r>
              <w:t xml:space="preserve"> </w:t>
            </w:r>
            <w:r>
              <w:rPr>
                <w:b/>
                <w:i/>
              </w:rPr>
              <w:t>u tom kontekstu ističe priliku koju pruža novi akcijski plan EPRS-a za promicanje provedbe pojačane Garancije za mlade i donošenje ambicioznijeg cilja za smanjenje stope NEET-a;</w:t>
            </w:r>
            <w:r>
              <w:t xml:space="preserve"> </w:t>
            </w:r>
            <w:r>
              <w:rPr>
                <w:b/>
                <w:i/>
              </w:rPr>
              <w:t>pozdravlja inicijativu za uspostavu Jamstva za vještine te poziva na uključivanje dimenzije za mlade pripadnike skupine NEET;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poziva Komisiju da intenzivira, po potrebi, pojačano praćenje, u zemljama koje se suočavaju sa strukturnom nezaposlenošću mladih, uz osiguravanje da se instrumentima EU-a učinkovito uklanjaju dugotrajni nedostaci na tržištu rada;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poziva Komisiju da u potpunosti iskoristi europski semestar za praćenje provedbe pojačane Garancije za mlade, koristeći se, prema potrebi, preporukama za pojedine zemlje, te da iskoristi okvir za socijalnu konvergenciju kako bi usmjerila njegovu provedbu na razini EU-a, uključujući upravljanje njime kao i njegove kapacitete;</w:t>
            </w:r>
            <w:r>
              <w:t xml:space="preserve"> </w:t>
            </w:r>
            <w:r>
              <w:rPr>
                <w:b/>
                <w:i/>
              </w:rPr>
              <w:t>poziva Komisiju da u pregled pokazatelja postupka u slučaju makroekonomske neravnoteže ponovno uvede stopu nezaposlenosti mladih kao glavni pokazatelj, s obzirom na moguće rizike za makroekonomsku stabilnost;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poziva Komisiju da osigura da se praćenje i evaluacija Garancije za mlade ojačaju u okviru postojećih upravljačkih struktura EU-a, uključujući europski semestar, na razmjeran i učinkovit način;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27.d</w:t>
            </w:r>
            <w:r>
              <w:tab/>
            </w:r>
            <w:r>
              <w:rPr>
                <w:b/>
                <w:i/>
              </w:rPr>
              <w:t>poziva Komisiju i države članice da podignu razinu osviještenosti o pojačanoj Garanciji za mlade i dostupnim uslugama potpore među provedbenim javnim tijelima, poduzećima i mladima, među ostalim u vidu nacionalnih komunikacijskih strategija, a upotrebom višestrukih kanala, kao što su kampanje na društvenim mrežama, kako bi se doprlo do onih građana do kojih je najteže doprijeti;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rPr>
                <w:b/>
                <w:i/>
              </w:rPr>
              <w:t>napominje da su rezultati provedbe</w:t>
            </w:r>
            <w:r>
              <w:t xml:space="preserve"> pojačane Garancije za mlade </w:t>
            </w:r>
            <w:r>
              <w:rPr>
                <w:b/>
                <w:i/>
              </w:rPr>
              <w:t>neujednačeni i da su utvrđeni izazovi i dalje relevantni;</w:t>
            </w:r>
            <w:r>
              <w:t xml:space="preserve"> </w:t>
            </w:r>
            <w:r>
              <w:rPr>
                <w:b/>
                <w:i/>
              </w:rPr>
              <w:t>poziva Komisiju da donese odluke</w:t>
            </w:r>
            <w:r>
              <w:t xml:space="preserve"> u skladu s redovnim zakonodavnim postupkom </w:t>
            </w:r>
            <w:r>
              <w:rPr>
                <w:b/>
                <w:i/>
              </w:rPr>
              <w:t>usmjerenim na</w:t>
            </w:r>
            <w:r>
              <w:t xml:space="preserve"> države članice </w:t>
            </w:r>
            <w:r>
              <w:rPr>
                <w:b/>
                <w:i/>
              </w:rPr>
              <w:t>u kojima su stope nezaposlenosti mladih i pripadnika skupine NEET više od prosjeka EU-a</w:t>
            </w:r>
            <w:r>
              <w:t>;</w:t>
            </w:r>
          </w:p>
        </w:tc>
        <w:tc>
          <w:tcPr>
            <w:tcW w:w="4876" w:type="dxa"/>
            <w:tcBorders>
              <w:top w:val="nil"/>
              <w:left w:val="nil"/>
              <w:bottom w:val="nil"/>
              <w:right w:val="nil"/>
            </w:tcBorders>
          </w:tcPr>
          <w:p>
            <w:pPr>
              <w:pStyle w:val="Normal6a"/>
            </w:pPr>
            <w:r>
              <w:t>28.</w:t>
            </w:r>
            <w:r>
              <w:tab/>
            </w:r>
            <w:r>
              <w:rPr>
                <w:b/>
                <w:i/>
              </w:rPr>
              <w:t>poziva Europsku komisiju da aktivno podupire države članice u postizanju ciljeva</w:t>
            </w:r>
            <w:r>
              <w:t xml:space="preserve"> pojačane Garancije za mlade</w:t>
            </w:r>
            <w:r>
              <w:rPr>
                <w:b/>
                <w:i/>
              </w:rPr>
              <w:t>;</w:t>
            </w:r>
            <w:r>
              <w:t xml:space="preserve"> </w:t>
            </w:r>
            <w:r>
              <w:rPr>
                <w:b/>
                <w:i/>
              </w:rPr>
              <w:t>naglašava da se eventualne obvezujuće mjere za države članice moraju donijeti</w:t>
            </w:r>
            <w:r>
              <w:t xml:space="preserve"> u skladu s redovnim zakonodavnim postupkom </w:t>
            </w:r>
            <w:r>
              <w:rPr>
                <w:b/>
                <w:i/>
              </w:rPr>
              <w:t>utvrđenim u članku 294. UFEU-a, uz puno sudjelovanje Europskog parlamenta i Vijeća, uz poštovanje načela supsidijarnosti kako je utvrđeno u članku 5. UEU-a;</w:t>
            </w:r>
            <w:r>
              <w:t xml:space="preserve"> </w:t>
            </w:r>
            <w:r>
              <w:rPr>
                <w:b/>
                <w:i/>
              </w:rPr>
              <w:t>poziva na to da svaka obvezujuća obveza nametnuta državama članicama bude popraćena dodjelom odgovarajućih financijskih sredstava Unije kako bi se postigli potrebni ciljevi;</w:t>
            </w:r>
            <w:r>
              <w:t xml:space="preserve"> </w:t>
            </w:r>
            <w:r>
              <w:rPr>
                <w:b/>
                <w:i/>
              </w:rPr>
              <w:t>poziva Komisiju da pri izradi eventualnih mjera potpore ili preporuka uzme u obzir posebna strukturna, institucionalna i teritorijalna obilježja svake</w:t>
            </w:r>
            <w:r>
              <w:t xml:space="preserve"> države članice;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napominje da su rezultati provedbe pojačane Garancije za mlade neujednačeni i da su utvrđeni izazovi i dalje relevantni; poziva Komisiju da donese odluke u skladu s redovnim zakonodavnim postupkom usmjerenim na države članice u kojima su stope nezaposlenosti mladih i </w:t>
            </w:r>
            <w:r>
              <w:rPr>
                <w:b/>
                <w:i/>
              </w:rPr>
              <w:t>pripadnika skupine NEET</w:t>
            </w:r>
            <w:r>
              <w:t xml:space="preserve"> više od prosjeka EU-a;</w:t>
            </w:r>
          </w:p>
        </w:tc>
        <w:tc>
          <w:tcPr>
            <w:tcW w:w="4876" w:type="dxa"/>
            <w:tcBorders>
              <w:top w:val="nil"/>
              <w:left w:val="nil"/>
              <w:bottom w:val="nil"/>
              <w:right w:val="nil"/>
            </w:tcBorders>
          </w:tcPr>
          <w:p>
            <w:pPr>
              <w:pStyle w:val="Normal6a"/>
            </w:pPr>
            <w:r>
              <w:t>28.</w:t>
            </w:r>
            <w:r>
              <w:tab/>
            </w:r>
            <w:r>
              <w:t>napominje da su rezultati provedbe pojačane Garancije za mlade neujednačeni i da su utvrđeni izazovi i dalje relevantni</w:t>
            </w:r>
            <w:r>
              <w:rPr>
                <w:b/>
                <w:i/>
              </w:rPr>
              <w:t>, s posebno kritičnim situacijama prisutnima u nekim državama članicama</w:t>
            </w:r>
            <w:r>
              <w:t xml:space="preserve">; poziva Komisiju da donese odluke u skladu s redovnim zakonodavnim postupkom usmjerenim na države članice u kojima su stope nezaposlenosti mladih i </w:t>
            </w:r>
            <w:r>
              <w:rPr>
                <w:b/>
                <w:i/>
              </w:rPr>
              <w:t>NEET-a</w:t>
            </w:r>
            <w:r>
              <w:t xml:space="preserve"> više od prosjeka EU-a; </w:t>
            </w:r>
            <w:r>
              <w:rPr>
                <w:b/>
                <w:i/>
              </w:rPr>
              <w:t>poziva Europski revizorski sud da pripremi tematsko izvješće o provedbi pojačane Garancije za mlade;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napominje da su rezultati provedbe pojačane Garancije za mlade neujednačeni i da su utvrđeni izazovi i dalje relevantni; poziva Komisiju da </w:t>
            </w:r>
            <w:r>
              <w:rPr>
                <w:b/>
                <w:i/>
              </w:rPr>
              <w:t>donese odluke u skladu s redovnim zakonodavnim postupkom usmjerenim na države članice u kojima su stope</w:t>
            </w:r>
            <w:r>
              <w:t xml:space="preserve"> nezaposlenosti mladih i </w:t>
            </w:r>
            <w:r>
              <w:rPr>
                <w:b/>
                <w:i/>
              </w:rPr>
              <w:t>pripadnika skupine NEET više</w:t>
            </w:r>
            <w:r>
              <w:t xml:space="preserve"> od prosjeka EU-a;</w:t>
            </w:r>
          </w:p>
        </w:tc>
        <w:tc>
          <w:tcPr>
            <w:tcW w:w="4876" w:type="dxa"/>
            <w:tcBorders>
              <w:top w:val="nil"/>
              <w:left w:val="nil"/>
              <w:bottom w:val="nil"/>
              <w:right w:val="nil"/>
            </w:tcBorders>
          </w:tcPr>
          <w:p>
            <w:pPr>
              <w:pStyle w:val="Normal6a"/>
            </w:pPr>
            <w:r>
              <w:t>28.</w:t>
            </w:r>
            <w:r>
              <w:tab/>
            </w:r>
            <w:r>
              <w:t xml:space="preserve">napominje da su rezultati provedbe pojačane Garancije za mlade neujednačeni i da su utvrđeni izazovi i dalje relevantni; poziva Komisiju da </w:t>
            </w:r>
            <w:r>
              <w:rPr>
                <w:b/>
                <w:i/>
              </w:rPr>
              <w:t>podupre i koordinira razmjenu najboljih praksi i pruži ciljane, neobvezujuće smjernice državama članicama koje se suočavaju s višim stopama</w:t>
            </w:r>
            <w:r>
              <w:t xml:space="preserve"> nezaposlenosti mladih i </w:t>
            </w:r>
            <w:r>
              <w:rPr>
                <w:b/>
                <w:i/>
              </w:rPr>
              <w:t>NEET-a</w:t>
            </w:r>
            <w:r>
              <w:t xml:space="preserve"> od prosjeka EU-a</w:t>
            </w:r>
            <w:r>
              <w:rPr>
                <w:b/>
                <w:i/>
              </w:rPr>
              <w:t>, uz puno poštovanje nacionalnih nadležnosti i posebnosti tržišta rada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napominje da su rezultati provedbe pojačane Garancije za mlade neujednačeni i da su utvrđeni izazovi i dalje relevantni; </w:t>
            </w:r>
            <w:r>
              <w:rPr>
                <w:b/>
                <w:i/>
              </w:rPr>
              <w:t>poziva Komisiju da donese odluke</w:t>
            </w:r>
            <w:r>
              <w:t xml:space="preserve"> u skladu s </w:t>
            </w:r>
            <w:r>
              <w:rPr>
                <w:b/>
                <w:i/>
              </w:rPr>
              <w:t>redovnim zakonodavnim postupkom usmjerenim na</w:t>
            </w:r>
            <w:r>
              <w:t xml:space="preserve"> države članice </w:t>
            </w:r>
            <w:r>
              <w:rPr>
                <w:b/>
                <w:i/>
              </w:rPr>
              <w:t>u kojima su stope nezaposlenosti mladih i pripadnika skupine NEET više od prosjeka EU-a</w:t>
            </w:r>
            <w:r>
              <w:t>;</w:t>
            </w:r>
          </w:p>
        </w:tc>
        <w:tc>
          <w:tcPr>
            <w:tcW w:w="4876" w:type="dxa"/>
            <w:tcBorders>
              <w:top w:val="nil"/>
              <w:left w:val="nil"/>
              <w:bottom w:val="nil"/>
              <w:right w:val="nil"/>
            </w:tcBorders>
          </w:tcPr>
          <w:p>
            <w:pPr>
              <w:pStyle w:val="Normal6a"/>
            </w:pPr>
            <w:r>
              <w:t>28.</w:t>
            </w:r>
            <w:r>
              <w:tab/>
            </w:r>
            <w:r>
              <w:t xml:space="preserve">napominje da su rezultati provedbe pojačane Garancije za mlade neujednačeni i da su utvrđeni izazovi i dalje relevantni; </w:t>
            </w:r>
            <w:r>
              <w:rPr>
                <w:b/>
                <w:i/>
              </w:rPr>
              <w:t>podsjeća na to da je politika zapošljavanja i obrazovanja i dalje u isključivoj nadležnosti država članica</w:t>
            </w:r>
            <w:r>
              <w:t xml:space="preserve"> u skladu s </w:t>
            </w:r>
            <w:r>
              <w:rPr>
                <w:b/>
                <w:i/>
              </w:rPr>
              <w:t>načelom supsidijarnosti te odbacuje svaki pokušaj Komisije da nametne odluke odozgo prema dolje kojima se kažnjavaju</w:t>
            </w:r>
            <w:r>
              <w:t xml:space="preserve"> države članice;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naglašava da bi pojačana Garancije za mlade usto trebala doprinijeti smanjenju regionalnih razlika i prisilnog egzodusa mladih iz regija s ograničenim mogućnostima zapošljavanja;</w:t>
            </w:r>
            <w:r>
              <w:t xml:space="preserve"> </w:t>
            </w:r>
            <w:r>
              <w:rPr>
                <w:b/>
                <w:i/>
              </w:rPr>
              <w:t>poziva države članice da razviju ciljane mjere za ruralna, otočna, planinska i udaljena područja kako bi se osiguralo da zemljopisni položaj ne djeluje kao čimbenik isključivanja mladih;</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poziva Komisiju da prati ishode Garancije za mlade za mlade roditelje (15 – 29 godina), posebno samohrane roditelje, odvojenim praćenjem stopa zaposlenosti, osposobljavanja i stopa NEET-a te godišnjim izvješćivanjem o njima kako bi se procijenila učinkovitost i usmjerile ciljane politike;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787.792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178</w:t>
    </w:r>
    <w:r>
      <w:fldChar w:fldCharType="end"/>
    </w:r>
    <w:r>
      <w:t>/</w:t>
    </w:r>
    <w:r>
      <w:fldChar w:fldCharType="begin"/>
    </w:r>
    <w:r>
      <w:instrText xml:space="preserve"> NUMPAGES </w:instrText>
    </w:r>
    <w:r>
      <w:fldChar w:fldCharType="separate"/>
    </w:r>
    <w:r>
      <w:t>178</w:t>
    </w:r>
    <w:r>
      <w:fldChar w:fldCharType="end"/>
    </w:r>
    <w:r>
      <w:tab/>
    </w:r>
    <w:r>
      <w:rPr>
        <w:rStyle w:val="HideTWBExt"/>
      </w:rPr>
      <w:t>&lt;PathFdR&gt;</w:t>
    </w:r>
    <w:r>
      <w:t>AM\1342336HR.docx</w:t>
    </w:r>
    <w:r>
      <w:rPr>
        <w:rStyle w:val="HideTWBExt"/>
      </w:rPr>
      <w:t>&lt;/PathFdR&gt;</w:t>
    </w:r>
  </w:p>
  <w:p>
    <w:pPr>
      <w:pStyle w:val="EPFooter2"/>
    </w:pPr>
    <w:r>
      <w:t>HR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AM\1342336HR.docx</w:t>
    </w:r>
    <w:r>
      <w:rPr>
        <w:rStyle w:val="HideTWBExt"/>
      </w:rPr>
      <w:t>&lt;/PathFdR&gt;</w:t>
    </w:r>
    <w:r>
      <w:tab/>
    </w:r>
    <w:r>
      <w:fldChar w:fldCharType="begin"/>
    </w:r>
    <w:r>
      <w:instrText xml:space="preserve"> PAGE </w:instrText>
    </w:r>
    <w:r>
      <w:fldChar w:fldCharType="separate"/>
    </w:r>
    <w:r>
      <w:t>177</w:t>
    </w:r>
    <w:r>
      <w:fldChar w:fldCharType="end"/>
    </w:r>
    <w:r>
      <w:t>/</w:t>
    </w:r>
    <w:r>
      <w:fldChar w:fldCharType="begin"/>
    </w:r>
    <w:r>
      <w:instrText xml:space="preserve"> NUMPAGES </w:instrText>
    </w:r>
    <w:r>
      <w:fldChar w:fldCharType="separate"/>
    </w:r>
    <w:r>
      <w:t>178</w:t>
    </w:r>
    <w:r>
      <w:fldChar w:fldCharType="end"/>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ab/>
    </w:r>
    <w:r>
      <w:tab/>
    </w:r>
    <w:r>
      <w:t>HR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AM\1342336HR.docx</w:t>
    </w:r>
    <w:r>
      <w:rPr>
        <w:rStyle w:val="HideTWBExt"/>
      </w:rPr>
      <w:t>&lt;/PathFdR&gt;</w:t>
    </w:r>
    <w:r>
      <w:tab/>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HR</w:t>
    </w:r>
    <w:r>
      <w:tab/>
    </w:r>
    <w:r>
      <w:rPr>
        <w:rStyle w:val="EPFooter2Motto"/>
      </w:rPr>
      <w:t>Ujedinjena u raznolikosti</w:t>
    </w:r>
    <w:r>
      <w:tab/>
    </w:r>
    <w:r>
      <w:t>HR</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178</Pages>
  <Words>34510</Words>
  <Characters>213280</Characters>
  <Application>Microsoft Office Word</Application>
  <DocSecurity>0</DocSecurity>
  <Lines>1</Lines>
  <Paragraphs>2856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1342336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508197</vt:lpwstr>
  </property>
  <property fmtid="{D5CDD505-2E9C-101B-9397-08002B2CF9AE}" pid="7" name="dmxml.render.traceId">
    <vt:lpwstr>6a16c3b5e5791a57313df907e47a5b6e</vt:lpwstr>
  </property>
  <property fmtid="{D5CDD505-2E9C-101B-9397-08002B2CF9AE}" pid="8" name="FooterPath">
    <vt:lpwstr>AM\1342336HR.docx</vt:lpwstr>
  </property>
  <property fmtid="{D5CDD505-2E9C-101B-9397-08002B2CF9AE}" pid="9" name="PE Number">
    <vt:lpwstr>787.792</vt:lpwstr>
  </property>
  <property fmtid="{D5CDD505-2E9C-101B-9397-08002B2CF9AE}" pid="10" name="UID">
    <vt:lpwstr>eu.europa.europarl-DIN1-2026-0000110654_01.00-hr-01.00_text-xml</vt:lpwstr>
  </property>
</Properties>
</file>