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Επιτροπή Απασχόλησης και Κοινωνικών Υποθέσεων</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{23/06/2026}</w:t>
      </w:r>
      <w:r>
        <w:t>23.6.2026</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199</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Brigitte van den Berg</w:t>
      </w:r>
      <w:r>
        <w:rPr>
          <w:rStyle w:val="HideTWBExt"/>
        </w:rPr>
        <w:t>&lt;/Rapporteur&gt;</w:t>
      </w:r>
    </w:p>
    <w:p>
      <w:pPr>
        <w:pStyle w:val="CoverNormal24a"/>
      </w:pPr>
      <w:r>
        <w:rPr>
          <w:rStyle w:val="HideTWBExt"/>
        </w:rPr>
        <w:t>&lt;DocRefPE&gt;</w:t>
      </w:r>
      <w:r>
        <w:t>(PE789.915v01-00)</w:t>
      </w:r>
      <w:r>
        <w:rPr>
          <w:rStyle w:val="HideTWBExt"/>
        </w:rPr>
        <w:t>&lt;/DocRefPE&gt;</w:t>
      </w:r>
    </w:p>
    <w:p>
      <w:pPr>
        <w:pStyle w:val="CoverNormal"/>
      </w:pPr>
      <w:r>
        <w:rPr>
          <w:rStyle w:val="HideTWBExt"/>
        </w:rPr>
        <w:t>&lt;Titre&gt;</w:t>
      </w:r>
      <w:r>
        <w:t>Ενίσχυση των δεξιοτήτων στην Ένωση — ευκαιρίες για επαγγελματική εκπαίδευση και κατάρτιση σε περιόδους μετάβασης</w:t>
      </w:r>
      <w:r>
        <w:rPr>
          <w:rStyle w:val="HideTWBExt"/>
        </w:rPr>
        <w:t>&lt;/Titre&gt;</w:t>
      </w:r>
    </w:p>
    <w:p>
      <w:pPr>
        <w:pStyle w:val="CoverNormal24a"/>
      </w:pPr>
      <w:r>
        <w:rPr>
          <w:rStyle w:val="HideTWBExt"/>
        </w:rPr>
        <w:t>&lt;DocRef&gt;</w:t>
      </w:r>
      <w:r>
        <w:t>(2026/2070(INI))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τα άρθρα 6, 41, 156 και 166 της Συνθήκης για τη λειτουργία της Ευρωπαϊκής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ευρωπαϊκό πυλώνα κοινωνικών δικαιωμάτων και ιδίως την Αρχή 1 σχετικά με το δικαίωμα στην ποιοτική και χωρίς αποκλεισμούς εκπαίδευση, κατάρτιση και διά βίου μάθηση·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ψήφισμά του της 11ης Ιουλίου 2023 σχετικά με τη στήριξη και την προσαρμογή της επαγγελματικής κατάρτισης ως εργαλείου για την επιτυχία των εργαζομένων και θεμελιώδους στοιχείου της οικονομίας της ΕΕ στη νέα βιομηχανία 4.0 [2022/2207(INI)]·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το 2025 το ποσοστό των νέων ηλικίας 15 έως 29 ετών που βρίσκονται εκτός απασχόλησης, εκπαίδευσης ή κατάρτισης (ΕΕΑΚ) στην ΕΕ ανήλθε στο 11,0 %·</w:t>
            </w:r>
            <w:r>
              <w:t xml:space="preserve"> </w:t>
            </w:r>
            <w:r>
              <w:rPr>
                <w:b/>
                <w:i/>
              </w:rPr>
              <w:t>λαμβάνοντας υπόψη ότι η κάθετη αναντιστοιχία δεξιοτήτων εξακολουθεί να αποτελεί διαρκή πρόκληση σε ολόκληρη την Ένωση, με μέσο ποσοστό υπερειδίκευσης 22 % μεταξύ των εργαζομένων με τριτοβάθμια εκπαίδευση, το οποίο αυξάνεται πάνω από 30 % στις αγορές εργασίας αρκετών κρατών μελών·</w:t>
            </w:r>
            <w:r>
              <w:t xml:space="preserve"> </w:t>
            </w:r>
            <w:r>
              <w:rPr>
                <w:b/>
                <w:i/>
              </w:rPr>
              <w:t>λαμβάνοντας υπόψη ότι το φαινόμενο αυτό συνυπάρχει με ένα σημαντικό διαρθρωτικό χάσμα δεξιοτήτων, όπου το 80 % των ΜΜΕ αναφέρουν δυσκολίες στην εξεύρεση εργαζομένων με τις απαιτούμενες δεξιότητες·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Pál Szekeres,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σε ορισμένα κράτη μέλη, η ταχεία επέκταση της τριτοβάθμιας εκπαίδευσης συνοδεύεται από αυξανόμενα επίπεδα υπερειδίκευσης και πληθωρισμού προσόντων, στο πλαίσιο των οποίων τα πτυχία χρησιμοποιούνται όλο και περισσότερο ως μηχανισμοί αξιολόγησης για επαγγέλματα που δεν απαιτούν κατ’ ανάγκη ικανότητες τριτοβάθμιας εκπαίδευσης·</w:t>
            </w:r>
            <w:r>
              <w:t xml:space="preserve"> </w:t>
            </w:r>
            <w:r>
              <w:rPr>
                <w:b/>
                <w:i/>
              </w:rPr>
              <w:t>λαμβάνοντας υπόψη ότι η τάση αυτή ενέχει τον κίνδυνο υποτίμησης της επαγγελματικής εκπαίδευσης και κατάρτισης, παρά την αποδεδειγμένη συμβολή της στην απασχόληση, την παραγωγικότητα και την ανάπτυξη δεξιοτήτων·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η έκθεση Draghi σχετικά με το μέλλον της ευρωπαϊκής ανταγωνιστικότητας προειδοποιεί ότι η μακροπρόθεσμη παραγωγικότητα και ανταγωνιστικότητα της Ευρώπης περιορίζονται από διαρθρωτικές αδυναμίες, συμπεριλαμβανομένων των ανεπαρκών επενδύσεων σε δεξιότητες, εκπαίδευση και ανθρώπινο κεφάλαιο, και τονίζει ότι η γεφύρωση του χάσματος καινοτομίας και δεξιοτήτων είναι απαραίτητη για τη διατήρηση του οικονομικού μοντέλου της Ευρώπης έναντι του παγκόσμιου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η σημασία της επαγγελματικής εκπαίδευσης και κατάρτισης (ΕΕΚ) και ειδικά η αναβάθμιση δεξιοτήτων και η επανειδίκευση των εργαζομένων θα αυξηθεί περαιτέρω ιδίως λόγω της ψηφιακής και πράσινης μετάβασης·</w:t>
            </w:r>
            <w:r>
              <w:t xml:space="preserve"> </w:t>
            </w:r>
            <w:r>
              <w:rPr>
                <w:b/>
                <w:i/>
              </w:rPr>
              <w:t>λαμβάνοντας υπόψη ότι η ψηφιακή και πράσινη μετάβαση μπορεί να επιτευχθεί επιτυχώς μόνο εάν παρασχεθούν στους εργαζομένους οι απαραίτητες δεξιότητες και ικανότητες·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η Ένωση έχει αρμοδιότητα να αναλαμβάνει δράσεις για την υποστήριξη, τον συντονισμό ή τη συμπλήρωση της δράσης των κρατών μελών στον τομέα της εκπαίδευσης και της επαγγελματικής κατάρτισης·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β.</w:t>
            </w:r>
            <w:r>
              <w:tab/>
            </w:r>
            <w:r>
              <w:rPr>
                <w:b/>
                <w:i/>
              </w:rPr>
              <w:t>λαμβάνοντας υπόψη ότι η Επιτροπή ενθαρρύνει τη συνεργασία μεταξύ των κρατών μελών και διευκολύνει τον συντονισμό της δράσης τους σε θέματα βασικής και προηγμένης επαγγελματικής κατάρτισης, με σκοπό την προώθηση της απασχόλησης, τη βελτίωση των συνθηκών διαβίωσης και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γ.</w:t>
            </w:r>
            <w:r>
              <w:tab/>
            </w:r>
            <w:r>
              <w:rPr>
                <w:b/>
                <w:i/>
              </w:rPr>
              <w:t>λαμβάνοντας υπόψη ότι, για να ενθαρρυνθεί η συνεργασία μεταξύ των κρατών μελών και να διευκολυνθεί ο συντονισμός της δράσης τους σε θέματα επαγγελματικής εκπαίδευσης και επιμόρφωσης, η Επιτροπή ενεργεί σε στενή επαφή με τα κράτη μέλη, εκπονώντας μελέτες, γνωμοδοτώντας και διοργανώνοντας διαβουλεύσεις τόσο για τα προβλήματα που ανακύπτουν σε εθνικό επίπεδο όσο και για τα προβλήματα που απασχολούν τους διεθνείς οργανισμούς, ιδίως πρωτοβουλίες που αποσκοπούν στον καθορισμό κατευθυντήριων γραμμών και δεικτών, στην οργάνωση της ανταλλαγής βέλτιστων πρακτικών και στην προετοιμασία των αναγκαίων στοιχείων για την περιοδική παρακολούθηση και αξιολόγηση, ενημερώνοντας πλήρως το Ευρωπαϊκό Κοινοβούλιο και ζητώντας τη γνώμη της Οικονομικής και Κοινωνικής Επιτροπής πριν από την έκδοση των γνωμοδοτήσεων αυτών·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δ.</w:t>
            </w:r>
            <w:r>
              <w:tab/>
            </w:r>
            <w:r>
              <w:rPr>
                <w:b/>
                <w:i/>
              </w:rPr>
              <w:t>λαμβάνοντας υπόψη ότι το περιεχόμενο και η οργάνωση της επαγγελματικής κατάρτισης αποτελεί εθνική αρμοδιότητα·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ε.</w:t>
            </w:r>
            <w:r>
              <w:tab/>
            </w:r>
            <w:r>
              <w:rPr>
                <w:b/>
                <w:i/>
              </w:rPr>
              <w:t>λαμβάνοντας υπόψη ότι η δράση της Ένωσης σε θέματα που αφορούν την επαγγελματική κατάρτιση έχει ως στόχο να διευκολύνει την προσαρμογή στις βιομηχανικές μεταβολές, να βελτιώσει την αρχική και συνεχή επαγγελματική κατάρτιση προκειμένου να διευκολύνει την επαγγελματική ένταξη και επανένταξη στην αγορά εργασίας, να διευκολύνει την πρόσβαση στην επαγγελματική κατάρτιση και να ενθαρρύνει την κινητικότητα των εκπαιδευτών και των εκπαιδευομένων, και ιδίως των νέων, να τονώσει τη συνεργασία στον τομέα της κατάρτισης μεταξύ εκπαιδευτικών ιδρυμάτων ή ιδρυμάτων κατάρτισης και επιχειρήσεων και να αναπτύξει την ανταλλαγή πληροφοριών και εμπειριών σε θέματα κοινά για τα συστήματα κατάρτισης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η ΕΕ αντιμετωπίζει ολοένα και μεγαλύτερη ζήτηση για τεχνικά επαγγέλματα ως αποτέλεσμα της </w:t>
            </w:r>
            <w:r>
              <w:rPr>
                <w:b/>
                <w:i/>
              </w:rPr>
              <w:t>πράσινης και της ψηφιακής μετάβασης, της</w:t>
            </w:r>
            <w:r>
              <w:t xml:space="preserve"> βιομηχανικής επανεγκατάστασης, των επενδύσεων σε υποδομές και της δημογραφικής αλλαγής· λαμβάνοντας υπόψη ότι οι πληροφορίες για την αγορά εργασίας δείχνουν σοβαρές και επίμονες ελλείψεις σε τομείς έντονης εξάρτησης από την ΕΕΚ· 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t>, επίπεδο που παρέχεται ως επί το πλείστον μέσω της ΕΕΚ·</w:t>
            </w:r>
          </w:p>
        </w:tc>
        <w:tc>
          <w:tcPr>
            <w:tcW w:w="4876" w:type="dxa"/>
            <w:tcBorders>
              <w:top w:val="nil"/>
              <w:left w:val="nil"/>
              <w:bottom w:val="nil"/>
              <w:right w:val="nil"/>
            </w:tcBorders>
          </w:tcPr>
          <w:p>
            <w:pPr>
              <w:pStyle w:val="Normal6a"/>
            </w:pPr>
            <w:r>
              <w:t>Β.</w:t>
            </w:r>
            <w:r>
              <w:tab/>
            </w:r>
            <w:r>
              <w:t>λαμβάνοντας υπόψη ότι η ΕΕ αντιμετωπίζει ολοένα και μεγαλύτερη ζήτηση για τεχνικά επαγγέλματα ως αποτέλεσμα της βιομηχανικής επανεγκατάστασης</w:t>
            </w:r>
            <w:r>
              <w:rPr>
                <w:b/>
                <w:i/>
              </w:rPr>
              <w:t>, των στόχων στρατηγικής αυτονομίας</w:t>
            </w:r>
            <w:r>
              <w:t>, των επενδύσεων σε υποδομές και της δημογραφικής αλλαγής· λαμβάνοντας υπόψη ότι οι πληροφορίες για την αγορά εργασίας δείχνουν σοβαρές και επίμονες ελλείψεις σε τομείς έντονης εξάρτησης από την ΕΕΚ· 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t>, επίπεδο που παρέχεται ως επί το πλείστον μέσω της ΕΕΚ·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Ευρωπαϊκό Κέντρο για την Ανάπτυξη της Επαγγελματικής Κατάρτισης (Cedefop), «Skills Forecast’,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Ευρωπαϊκό Κέντρο για την Ανάπτυξη της Επαγγελματικής Κατάρτισης (Cedefop), «Skills Forecast’,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w:t>
            </w:r>
            <w:r>
              <w:tab/>
            </w:r>
            <w:r>
              <w:t xml:space="preserve">λαμβάνοντας υπόψη ότι η ΕΕ αντιμετωπίζει ολοένα και μεγαλύτερη ζήτηση για τεχνικά επαγγέλματα ως αποτέλεσμα της </w:t>
            </w:r>
            <w:r>
              <w:rPr>
                <w:b/>
                <w:i/>
              </w:rPr>
              <w:t>πράσινης και της ψηφιακής</w:t>
            </w:r>
            <w:r>
              <w:t xml:space="preserve"> μετάβασης, της βιομηχανικής επανεγκατάστασης, των επενδύσεων σε υποδομές και της δημογραφικής αλλαγής·  λαμβάνοντας υπόψη ότι οι πληροφορίες για την αγορά εργασίας δείχνουν σοβαρές και επίμονες ελλείψεις σε τομείς έντονης εξάρτησης από την ΕΕΚ·</w:t>
            </w:r>
            <w:r>
              <w:rPr>
                <w:b/>
                <w:i/>
              </w:rPr>
              <w:t> </w:t>
            </w:r>
            <w:r>
              <w:t xml:space="preserve"> 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t>, επίπεδο που παρέχεται ως επί το πλείστον μέσω της ΕΕΚ·</w:t>
            </w:r>
          </w:p>
        </w:tc>
        <w:tc>
          <w:tcPr>
            <w:tcW w:w="4876" w:type="dxa"/>
            <w:tcBorders>
              <w:top w:val="nil"/>
              <w:left w:val="nil"/>
              <w:bottom w:val="nil"/>
              <w:right w:val="nil"/>
            </w:tcBorders>
          </w:tcPr>
          <w:p>
            <w:pPr>
              <w:pStyle w:val="Normal6a"/>
            </w:pPr>
            <w:r>
              <w:rPr>
                <w:b/>
                <w:i/>
              </w:rPr>
              <w:t>Β</w:t>
            </w:r>
            <w:r>
              <w:t>.</w:t>
            </w:r>
            <w:r>
              <w:tab/>
            </w:r>
            <w:r>
              <w:t xml:space="preserve">λαμβάνοντας υπόψη ότι η ΕΕ αντιμετωπίζει ολοένα και μεγαλύτερη ζήτηση για τεχνικά επαγγέλματα ως αποτέλεσμα της </w:t>
            </w:r>
            <w:r>
              <w:rPr>
                <w:b/>
                <w:i/>
              </w:rPr>
              <w:t>τρέχουσας</w:t>
            </w:r>
            <w:r>
              <w:t xml:space="preserve"> μετάβασης, της βιομηχανικής επανεγκατάστασης, των επενδύσεων σε υποδομές και της δημογραφικής αλλαγής·  λαμβάνοντας υπόψη ότι οι πληροφορίες για την αγορά εργασίας δείχνουν σοβαρές και επίμονες ελλείψεις σε τομείς έντονης εξάρτησης από την ΕΕΚ· 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t>, επίπεδο που παρέχεται ως επί το πλείστον μέσω της ΕΕΚ·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Ευρωπαϊκό Κέντρο για την Ανάπτυξη της Επαγγελματικής Κατάρτισης (Cedefop), «Skills Forecast’,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Ευρωπαϊκό Κέντρο για την Ανάπτυξη της Επαγγελματικής Κατάρτισης (Cedefop), «Skills Forecast’,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η ΕΕ αντιμετωπίζει ολοένα και μεγαλύτερη ζήτηση για τεχνικά επαγγέλματα ως αποτέλεσμα της </w:t>
            </w:r>
            <w:r>
              <w:rPr>
                <w:b/>
                <w:i/>
              </w:rPr>
              <w:t>πράσινης και της ψηφιακής μετάβασης, της</w:t>
            </w:r>
            <w:r>
              <w:t xml:space="preserve"> βιομηχανικής επανεγκατάστασης, των επενδύσεων σε υποδομές και της δημογραφικής αλλαγής· λαμβάνοντας υπόψη ότι οι πληροφορίες για την αγορά εργασίας δείχνουν σοβαρές και επίμονες ελλείψεις σε τομείς έντονης εξάρτησης από την ΕΕΚ·</w:t>
            </w:r>
            <w:r>
              <w:rPr>
                <w:b/>
                <w:i/>
              </w:rPr>
              <w:t> </w:t>
            </w:r>
            <w:r>
              <w:t xml:space="preserve"> 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t>, επίπεδο που παρέχεται ως επί το πλείστον μέσω της ΕΕΚ·</w:t>
            </w:r>
          </w:p>
        </w:tc>
        <w:tc>
          <w:tcPr>
            <w:tcW w:w="4876" w:type="dxa"/>
            <w:tcBorders>
              <w:top w:val="nil"/>
              <w:left w:val="nil"/>
              <w:bottom w:val="nil"/>
              <w:right w:val="nil"/>
            </w:tcBorders>
          </w:tcPr>
          <w:p>
            <w:pPr>
              <w:pStyle w:val="Normal6a"/>
            </w:pPr>
            <w:r>
              <w:t>Β.</w:t>
            </w:r>
            <w:r>
              <w:tab/>
            </w:r>
            <w:r>
              <w:t>λαμβάνοντας υπόψη ότι η ΕΕ αντιμετωπίζει ολοένα και μεγαλύτερη ζήτηση για τεχνικά επαγγέλματα ως αποτέλεσμα της βιομηχανικής επανεγκατάστασης, των επενδύσεων σε υποδομές και της δημογραφικής αλλαγής·</w:t>
            </w:r>
            <w:r>
              <w:rPr>
                <w:b/>
                <w:i/>
              </w:rPr>
              <w:t> </w:t>
            </w:r>
            <w:r>
              <w:t xml:space="preserve"> λαμβάνοντας υπόψη ότι οι πληροφορίες για την αγορά εργασίας δείχνουν σοβαρές και επίμονες ελλείψεις σε τομείς έντονης εξάρτησης από την ΕΕΚ· 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t>, επίπεδο που παρέχεται ως επί το πλείστον μέσω της ΕΕΚ·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rPr>
                <w:b/>
                <w:i/>
              </w:rPr>
              <w:t> </w:t>
            </w:r>
            <w:r>
              <w:t>Ευρωπαϊκό Κέντρο για την Ανάπτυξη της Επαγγελματικής Κατάρτισης (Cedefop), «Skills Forecast’,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Ευρωπαϊκό Κέντρο για την Ανάπτυξη της Επαγγελματικής Κατάρτισης (Cedefop), «Skills Forecast’,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η ΕΕ αντιμετωπίζει ολοένα και μεγαλύτερη ζήτηση για τεχνικά επαγγέλματα ως αποτέλεσμα της πράσινης και της ψηφιακής μετάβασης, της βιομηχανικής επανεγκατάστασης, των επενδύσεων σε υποδομές και της δημογραφικής αλλαγής·</w:t>
            </w:r>
            <w:r>
              <w:rPr>
                <w:b/>
                <w:i/>
              </w:rPr>
              <w:t> </w:t>
            </w:r>
            <w:r>
              <w:t xml:space="preserve"> λαμβάνοντας υπόψη ότι οι πληροφορίες για την αγορά εργασίας δείχνουν σοβαρές και επίμονες ελλείψεις σε τομείς έντονης εξάρτησης από την ΕΕΚ· </w:t>
            </w:r>
            <w:r>
              <w:rPr>
                <w:b/>
                <w:i/>
              </w:rPr>
              <w:t> </w:t>
            </w:r>
            <w:r>
              <w:t>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rPr>
                <w:b/>
                <w:i/>
              </w:rPr>
              <w:t>,</w:t>
            </w:r>
            <w:r>
              <w:t xml:space="preserve"> επίπεδο που παρέχεται ως επί το πλείστον μέσω της ΕΕΚ·</w:t>
            </w:r>
          </w:p>
        </w:tc>
        <w:tc>
          <w:tcPr>
            <w:tcW w:w="4876" w:type="dxa"/>
            <w:tcBorders>
              <w:top w:val="nil"/>
              <w:left w:val="nil"/>
              <w:bottom w:val="nil"/>
              <w:right w:val="nil"/>
            </w:tcBorders>
          </w:tcPr>
          <w:p>
            <w:pPr>
              <w:pStyle w:val="Normal6a"/>
            </w:pPr>
            <w:r>
              <w:t>Β.</w:t>
            </w:r>
            <w:r>
              <w:tab/>
            </w:r>
            <w:r>
              <w:t xml:space="preserve">λαμβάνοντας υπόψη ότι η ΕΕ αντιμετωπίζει ολοένα και μεγαλύτερη ζήτηση για τεχνικά επαγγέλματα ως αποτέλεσμα της πράσινης και της ψηφιακής μετάβασης, της βιομηχανικής επανεγκατάστασης, των επενδύσεων σε υποδομές και της δημογραφικής αλλαγής· λαμβάνοντας υπόψη ότι οι πληροφορίες για την αγορά εργασίας δείχνουν σοβαρές και επίμονες ελλείψεις σε τομείς έντονης εξάρτησης από την ΕΕΚ· </w:t>
            </w:r>
            <w:r>
              <w:rPr>
                <w:b/>
                <w:i/>
              </w:rPr>
              <w:t>λαμβάνοντας υπόψη ότι η ενίσχυση των δεξιοτήτων δεν πρέπει να περιορίζεται μόνο στην κάλυψη της άμεσης ζήτησης της αγοράς εργασίας, αλλά θα πρέπει επίσης να εφοδιάζει τα άτομα με τις ικανότητες που απαιτούνται για να σκέφτονται με κριτικό πνεύμα, να προσαρμόζονται στις αλλαγές, να συμμετέχουν πλήρως στην κοινωνία και να ασκούν ενεργό συμμετοχή στα κοινά·</w:t>
            </w:r>
            <w:r>
              <w:t xml:space="preserve"> 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t xml:space="preserve"> επίπεδο που παρέχεται ως επί το πλείστον μέσω της ΕΕΚ·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Ευρωπαϊκό Κέντρο για την Ανάπτυξη της Επαγγελματικής Κατάρτισης (Cedefop), «Skills Forecast’,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Ευρωπαϊκό Κέντρο για την Ανάπτυξη της Επαγγελματικής Κατάρτισης (Cedefop), «Skills Forecast’,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η ΕΕ αντιμετωπίζει ολοένα και μεγαλύτερη ζήτηση για τεχνικά επαγγέλματα ως αποτέλεσμα της πράσινης και της ψηφιακής μετάβασης, της βιομηχανικής επανεγκατάστασης, των επενδύσεων σε υποδομές και της δημογραφικής αλλαγής·</w:t>
            </w:r>
            <w:r>
              <w:rPr>
                <w:b/>
                <w:i/>
              </w:rPr>
              <w:t> </w:t>
            </w:r>
            <w:r>
              <w:t xml:space="preserve"> λαμβάνοντας υπόψη ότι οι πληροφορίες για την αγορά εργασίας δείχνουν σοβαρές και επίμονες ελλείψεις σε τομείς έντονης εξάρτησης από την ΕΕΚ· </w:t>
            </w:r>
            <w:r>
              <w:rPr>
                <w:b/>
                <w:i/>
              </w:rPr>
              <w:t> </w:t>
            </w:r>
            <w:r>
              <w:t>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t>, επίπεδο που παρέχεται ως επί το πλείστον μέσω της ΕΕΚ·</w:t>
            </w:r>
          </w:p>
        </w:tc>
        <w:tc>
          <w:tcPr>
            <w:tcW w:w="4876" w:type="dxa"/>
            <w:tcBorders>
              <w:top w:val="nil"/>
              <w:left w:val="nil"/>
              <w:bottom w:val="nil"/>
              <w:right w:val="nil"/>
            </w:tcBorders>
          </w:tcPr>
          <w:p>
            <w:pPr>
              <w:pStyle w:val="Normal6a"/>
            </w:pPr>
            <w:r>
              <w:t>Β.</w:t>
            </w:r>
            <w:r>
              <w:tab/>
            </w:r>
            <w:r>
              <w:t>λαμβάνοντας υπόψη ότι η ΕΕ αντιμετωπίζει ολοένα και μεγαλύτερη ζήτηση για τεχνικά επαγγέλματα ως αποτέλεσμα της πράσινης και της ψηφιακής μετάβασης, της βιομηχανικής επανεγκατάστασης, των επενδύσεων σε υποδομές και της δημογραφικής αλλαγής· λαμβάνοντας υπόψη ότι οι πληροφορίες για την αγορά εργασίας δείχνουν σοβαρές και επίμονες ελλείψεις σε τομείς έντονης εξάρτησης από την ΕΕΚ· 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t xml:space="preserve">, επίπεδο που παρέχεται ως επί το πλείστον μέσω της ΕΕΚ· </w:t>
            </w:r>
            <w:r>
              <w:rPr>
                <w:b/>
                <w:i/>
              </w:rPr>
              <w:t>λαμβάνοντας υπόψη ότι το Cedefop επισημαίνει επίσης ότι η ΤΝ αναδιαμορφώνει τη ζήτηση εργασίας με τρόπους που ενισχύουν και αναζωογονούν τα τεχνικά επαγγέλματα</w:t>
            </w:r>
            <w:r>
              <w:rPr>
                <w:b/>
                <w:i/>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https://www.cedefop.europa.eu/en/news/reverse-gear-how-ai-bringing-vocational-occupations-back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Ευρωπαϊκό Κέντρο για την Ανάπτυξη της Επαγγελματικής Κατάρτισης (Cedefop), «Skills Forecast’,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Ευρωπαϊκό Κέντρο για την Ανάπτυξη της Επαγγελματικής Κατάρτισης (Cedefop), «Skills Forecast’,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η ΕΕ αντιμετωπίζει ολοένα και μεγαλύτερη ζήτηση για τεχνικά επαγγέλματα ως αποτέλεσμα της πράσινης και της ψηφιακής μετάβασης, της βιομηχανικής επανεγκατάστασης, των επενδύσεων σε υποδομές και της δημογραφικής αλλαγής·</w:t>
            </w:r>
            <w:r>
              <w:rPr>
                <w:b/>
                <w:i/>
              </w:rPr>
              <w:t xml:space="preserve"> </w:t>
            </w:r>
            <w:r>
              <w:t xml:space="preserve"> λαμβάνοντας υπόψη ότι οι πληροφορίες για την αγορά εργασίας δείχνουν σοβαρές και επίμονες ελλείψεις σε τομείς έντονης εξάρτησης από την ΕΕΚ·</w:t>
            </w:r>
            <w:r>
              <w:rPr>
                <w:b/>
                <w:i/>
              </w:rPr>
              <w:t> </w:t>
            </w:r>
            <w:r>
              <w:t xml:space="preserve"> 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t>, επίπεδο που παρέχεται ως επί το πλείστον μέσω της ΕΕΚ·</w:t>
            </w:r>
          </w:p>
        </w:tc>
        <w:tc>
          <w:tcPr>
            <w:tcW w:w="4876" w:type="dxa"/>
            <w:tcBorders>
              <w:top w:val="nil"/>
              <w:left w:val="nil"/>
              <w:bottom w:val="nil"/>
              <w:right w:val="nil"/>
            </w:tcBorders>
          </w:tcPr>
          <w:p>
            <w:pPr>
              <w:pStyle w:val="Normal6a"/>
            </w:pPr>
            <w:r>
              <w:t>Β.</w:t>
            </w:r>
            <w:r>
              <w:tab/>
            </w:r>
            <w:r>
              <w:t>λαμβάνοντας υπόψη ότι η ΕΕ αντιμετωπίζει ολοένα και μεγαλύτερη ζήτηση για τεχνικά επαγγέλματα ως αποτέλεσμα της πράσινης και της ψηφιακής μετάβασης, της βιομηχανικής επανεγκατάστασης, των επενδύσεων σε υποδομές και της δημογραφικής αλλαγής· λαμβάνοντας υπόψη ότι οι πληροφορίες για την αγορά εργασίας δείχνουν σοβαρές και επίμονες ελλείψεις σε τομείς έντονης εξάρτησης από την ΕΕΚ· λαμβάνοντας υπόψη ότι, σύμφωνα με τις προβλέψεις δεξιοτήτων του Cedefop, έως το 2035, το 60 % του συνόλου των νέων θέσεων εργασίας θα απαιτεί έως και μεσαίου επιπέδου προσόντα</w:t>
            </w:r>
            <w:r>
              <w:rPr>
                <w:vertAlign w:val="superscript"/>
              </w:rPr>
              <w:t>4</w:t>
            </w:r>
            <w:r>
              <w:t xml:space="preserve">, επίπεδο που παρέχεται ως επί το πλείστον μέσω της ΕΕΚ· </w:t>
            </w:r>
            <w:r>
              <w:rPr>
                <w:b/>
                <w:i/>
              </w:rPr>
              <w:t>λαμβάνοντας υπόψη ότι η ΕΕΚ διαδραματίζει καίριο ρόλο στη στήριξη της πρόσβασης σε ποιοτική απασχόληση και ευκαιρίες επαγγελματικής εξέλιξης·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rPr>
                <w:b/>
                <w:i/>
              </w:rPr>
              <w:t> </w:t>
            </w:r>
            <w:r>
              <w:t>Ευρωπαϊκό Κέντρο για την Ανάπτυξη της Επαγγελματικής Κατάρτισης (Cedefop), «Skills Forecast’, https://www.cedefop.europa.eu/en/tools/skills-forecast.</w:t>
            </w:r>
          </w:p>
        </w:tc>
        <w:tc>
          <w:tcPr>
            <w:tcW w:w="4876" w:type="dxa"/>
            <w:tcBorders>
              <w:top w:val="nil"/>
              <w:left w:val="nil"/>
              <w:bottom w:val="nil"/>
              <w:right w:val="nil"/>
            </w:tcBorders>
          </w:tcPr>
          <w:p>
            <w:pPr>
              <w:pStyle w:val="Normal6a"/>
            </w:pPr>
            <w:r>
              <w:rPr>
                <w:vertAlign w:val="superscript"/>
              </w:rPr>
              <w:t>4</w:t>
            </w:r>
            <w:r>
              <w:t xml:space="preserve"> </w:t>
            </w:r>
            <w:r>
              <w:t>Ευρωπαϊκό Κέντρο για την Ανάπτυξη της Επαγγελματικής Κατάρτισης (Cedefop), «Skills Forecast’, https://www.cedefop.europa.eu/en/tools/skills-forecast.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υπογραμμίζει ότι η πολιτική για τις δεξιότητες πρέπει να αποτελεί βασική συνιστώσα των βιομηχανικών πολιτικών των κρατών μελών και της ανταγωνιστικότητας, και όχι απλώς πρόσθετη κοινωνική δεξιότητα·</w:t>
            </w:r>
            <w:r>
              <w:t xml:space="preserve"> </w:t>
            </w:r>
            <w:r>
              <w:rPr>
                <w:b/>
                <w:i/>
              </w:rPr>
              <w:t>ζητεί μια στρατηγική, μελλοντοστραφή προσέγγιση της ΕΕΚ·</w:t>
            </w:r>
            <w:r>
              <w:t xml:space="preserve"> </w:t>
            </w:r>
            <w:r>
              <w:rPr>
                <w:b/>
                <w:i/>
              </w:rPr>
              <w:t>τονίζει την επείγουσα ανάγκη αναθεώρησης των προγραμμάτων σπουδών ΕΕΚ με τη χρήση αναλυτικών πληροφοριών για τις δεξιότητες, ώστε να ευθυγραμμιστεί καλύτερα η εκπαίδευση με τις ανάγκες της αγοράς εργασίας και των στρατηγικών τομέων·</w:t>
            </w:r>
            <w:r>
              <w:t xml:space="preserve"> </w:t>
            </w:r>
            <w:r>
              <w:rPr>
                <w:b/>
                <w:i/>
              </w:rPr>
              <w:t>ζητεί επιτακτικά την ανάπτυξη συντονισμένης προσέγγισης των κρατών μελών για το σύστημα πιστοποίησης για τις αποκτηθείσες δεξιότητες, η οποία να είναι ευέλικτη, αναλυτική και να εξαρτάται λιγότερο από το επίπεδο τυπικής εκπαίδευσης, αναγνωρίζοντας τις διαφορετικές μαθησιακές διαδρομές και τη μάθηση στον χώρο εργασίας·</w:t>
            </w:r>
            <w:r>
              <w:t xml:space="preserve"> </w:t>
            </w:r>
            <w:r>
              <w:rPr>
                <w:b/>
                <w:i/>
              </w:rPr>
              <w:t>ενθαρρύνει περαιτέρω τη θέσπιση αποτελεσματικών κινήτρων για τους εργοδότες, όπως φορολογικές ελαφρύνσεις ή κουπόνια κατάρτισης, για τη στήριξη της αναβάθμισης των δεξιοτήτων του εργατικού δυναμικού και την αντιμετώπιση των περιορισμών ικανότητας στην παροχή κατάρτισης στην εποχή της τεχνητής νοημοσύνης σύμφωνα με την έκθεση Draghi.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η ΕΕΚ συμβάλλει όχι μόνο στη συμμετοχή στην αγορά εργασίας και στην ανάπτυξη δεξιοτήτων, αλλά και στην κοινωνική συνοχή, τη δημοκρατική συμμετοχή και την ανθεκτικότητα των νέων·</w:t>
            </w:r>
            <w:r>
              <w:t xml:space="preserve"> </w:t>
            </w:r>
            <w:r>
              <w:rPr>
                <w:b/>
                <w:i/>
              </w:rPr>
              <w:t>λαμβάνοντας υπόψη ότι τα ιδρύματα ΕΕΚ συχνά λειτουργούν ως αξιόπιστα και χωρίς αποκλεισμούς μαθησιακά περιβάλλοντα, ιδίως σε αστικές και μειονεκτούσες περιοχές όπου οι νέοι ενδέχεται να διατρέχουν μεγαλύτερο κίνδυνο κοινωνικού αποκλεισμού, απεμπλοκής από τον δημόσιο βίο, ριζοσπαστικοποίησης ή πόλωσης·</w:t>
            </w:r>
            <w:r>
              <w:t xml:space="preserve"> </w:t>
            </w:r>
            <w:r>
              <w:rPr>
                <w:b/>
                <w:i/>
              </w:rPr>
              <w:t>λαμβάνοντας υπόψη ότι η ενίσχυση της ΕΕΚ μπορεί, ως εκ τούτου, να συμβάλει στην προώθηση της ενεργού συμμετοχής στα κοινά, της ένταξης και της ανθεκτικότητας της κοινωνίας σε ολόκληρη 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οι ελλείψεις εργατικού δυναμικού συχνά συνδέονται όχι μόνο με ελλείψεις δεξιοτήτων, αλλά και ως αποτέλεσμα χαμηλών μισθών, επισφαλών συνθηκών εργασίας, μη ασφαλών ή μη ελκυστικών συνθηκών εργασίας, περιορισμένης επαγγελματικής εξέλιξης και έλλειψης κάλυψης από συλλογικές διαπραγματεύσεις·</w:t>
            </w:r>
            <w:r>
              <w:t xml:space="preserve"> </w:t>
            </w:r>
            <w:r>
              <w:rPr>
                <w:b/>
                <w:i/>
              </w:rPr>
              <w:t>λαμβάνοντας υπόψη ότι η βελτίωση της ποιότητας των θέσεων εργασίας, των δικαιωμάτων των εργαζομένων και της αξιοπρεπούς αμοιβής είναι, ως εκ τούτου, απαραίτητη για τη βελτίωση της ελκυστικότητας των τεχνικών επαγγελμάτων·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λαμβάνοντας υπόψη ότι, σύμφωνα με την ευρωπαϊκή έρευνα του Eurofound για τις συνθήκες εργασίας το 2024, μόνο το 44 % των Ευρωπαίων εργαζομένων αισθάνονται ότι έχουν αρκετές ευκαιρίες να χρησιμοποιήσουν τις ήδη υφιστάμενες δεξιότητές τους στην εργασία, και μόνο το 33 % των εργαζομένων σε στοιχειώδη επαγγέλματα δηλώνουν ότι έχουν αρκετές ευκαιρίες να χρησιμοποιήσουν τις δεξιότητές τους, σε σύγκριση με το 54 % των διευθυντικών στελεχών και των επαγγελματιών·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πρέπει να υπάρξει αποτελεσματικός συντονισμός των προσπαθειών στον τομέα της επαγγελματικής κατάρτισης στο πλαίσιο της κοινής γεωργικής πολιτικής·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Ββ.</w:t>
            </w:r>
            <w:r>
              <w:tab/>
            </w:r>
            <w:r>
              <w:rPr>
                <w:b/>
                <w:i/>
              </w:rPr>
              <w:t>λαμβάνοντας υπόψη ότι υπάρχει τόσο έλλειψη όσο και αυξανόμενη ζήτηση για χειρωνακτικές θέσεις εργασίας, όπως ξυλουργοί, ηλεκτρολόγοι, υδραυλικοί κ.λπ.·</w:t>
            </w:r>
            <w:r>
              <w:t xml:space="preserve"> </w:t>
            </w:r>
            <w:r>
              <w:rPr>
                <w:b/>
                <w:i/>
              </w:rPr>
              <w:t>λαμβάνοντας υπόψη ότι τα επαγγέλματα αυτά είναι απαραίτητα για την κοινωνία και την οικονομία·</w:t>
            </w:r>
            <w:r>
              <w:t xml:space="preserve"> </w:t>
            </w:r>
            <w:r>
              <w:rPr>
                <w:b/>
                <w:i/>
              </w:rPr>
              <w:t>λαμβάνοντας υπόψη ότι η έλλειψή τους προκαλεί υψηλότερες τιμές για τις εν λόγω υπηρεσίες, με αποτέλεσμα να καθίστανται απρόσιτες, όπως οι υπηρεσίες στον κατασκευαστικό τομέα, τόσο για νέες κατασκευές όσο και για ανακαινίσεις·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Ββ.</w:t>
            </w:r>
            <w:r>
              <w:tab/>
            </w:r>
            <w:r>
              <w:rPr>
                <w:b/>
                <w:i/>
              </w:rPr>
              <w:t>λαμβάνοντας υπόψη ότι ο ευρωπαϊκός πυλώνας κοινωνικών δικαιωμάτων θέτει ως στόχο τη συμμετοχή τουλάχιστον του 60 % όλων των ενηλίκων σε κατάρτιση κάθε χρόνο έως το 2030 και ότι το τρέχον ποσοστό συμμετοχής των ενηλίκων είναι μόλις 37 % σύμφωνα με τα πλέον πρόσφατα στοιχεία της Eurostat·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Βγ.</w:t>
            </w:r>
            <w:r>
              <w:tab/>
            </w:r>
            <w:r>
              <w:rPr>
                <w:b/>
                <w:i/>
              </w:rPr>
              <w:t>λαμβάνοντας υπόψη ότι είναι αναγκαίο να υποστηριχθεί η αυτοαπασχόληση, δεδομένου ότι τα περισσότερα τεχνικά επαγγέλματα ασκούνται από αυτοαπασχολουμένους·</w:t>
            </w:r>
            <w:r>
              <w:t xml:space="preserve"> </w:t>
            </w:r>
            <w:r>
              <w:rPr>
                <w:b/>
                <w:i/>
              </w:rPr>
              <w:t>λαμβάνοντας υπόψη ότι σε αρκετά κράτη μέλη οι συνθήκες εργασίας των αυτοαπασχολούμενων είναι λιγότερο ασφαλείς και σε μειονεκτική θέση σε σύγκριση με άλλα είδη απασχόλησης·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Βγ.</w:t>
            </w:r>
            <w:r>
              <w:tab/>
            </w:r>
            <w:r>
              <w:rPr>
                <w:b/>
                <w:i/>
              </w:rPr>
              <w:t>λαμβάνοντας υπόψη ότι η ευημερία των εκπαιδευομένων και των εκπαιδευτικών αποτελεί κρίσιμο παράγοντα για την ποιότητα, τα αποτελέσματα, τη συμμετοχικότητα και την ελκυστικότητα της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δ.</w:t>
            </w:r>
            <w:r>
              <w:tab/>
            </w:r>
            <w:r>
              <w:rPr>
                <w:b/>
                <w:i/>
              </w:rPr>
              <w:t>λαμβάνοντας υπόψη ότι οι αυξανόμενες ελλείψεις εκπαιδευτικών και εκπαιδευτών ΕΕΚ απειλούν τη μελλοντική ποιότητα, συμμετοχικότητα και ελκυστικότητα της ΕΕΚ στην Ευρώπη·</w:t>
            </w:r>
            <w:r>
              <w:t xml:space="preserve"> </w:t>
            </w:r>
            <w:r>
              <w:rPr>
                <w:b/>
                <w:i/>
              </w:rPr>
              <w:t>και λαμβάνοντας υπόψη ότι η ελκυστικότητα, η κοινωνική αναγνώριση, η αμοιβή και οι συνθήκες εργασίας του επαγγέλματος του εκπαιδευτικού ΕΕΚ είναι ουσιαστικής σημασίας για την πρόσληψη και τη διατήρηση ειδικευμένων εκπαιδευτικών και εκπαιδευτών·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ο προσανατολισμός της πολιτικής της ΕΕ στο πλαίσιο της στρατηγικής της Λισαβόνας έδωσε δυσανάλογη έμφαση στις ακαδημαϊκές σπουδές, υποτιμώντας τη στρατηγική σημασία των τεχνικών επαγγελμάτων για τη βιομηχανική βάση και την ανθεκτικότητα της ΕΕ·  λαμβάνοντας υπόψη ότι </w:t>
            </w:r>
            <w:r>
              <w:rPr>
                <w:b/>
                <w:i/>
              </w:rPr>
              <w:t>οι πρόσφατες γεωπολιτικές εξελίξεις,</w:t>
            </w:r>
            <w:r>
              <w:t xml:space="preserve"> οι διαταραχές της αλυσίδας εφοδιασμού </w:t>
            </w:r>
            <w:r>
              <w:rPr>
                <w:b/>
                <w:i/>
              </w:rPr>
              <w:t>και η πράσινη και ψηφιακή μετάβαση</w:t>
            </w:r>
            <w:r>
              <w:t xml:space="preserve"> καταδεικνύουν την ανάγκη πραγματοποίησης σημαντικών επενδύσεων στην ΕΕΚ·</w:t>
            </w:r>
          </w:p>
        </w:tc>
        <w:tc>
          <w:tcPr>
            <w:tcW w:w="4876" w:type="dxa"/>
            <w:tcBorders>
              <w:top w:val="nil"/>
              <w:left w:val="nil"/>
              <w:bottom w:val="nil"/>
              <w:right w:val="nil"/>
            </w:tcBorders>
          </w:tcPr>
          <w:p>
            <w:pPr>
              <w:pStyle w:val="Normal6a"/>
            </w:pPr>
            <w:r>
              <w:t>Γ.</w:t>
            </w:r>
            <w:r>
              <w:tab/>
            </w:r>
            <w:r>
              <w:t xml:space="preserve">λαμβάνοντας υπόψη ότι ο προσανατολισμός της πολιτικής της ΕΕ στο πλαίσιο της στρατηγικής της Λισαβόνας έδωσε δυσανάλογη έμφαση στις ακαδημαϊκές σπουδές, υποτιμώντας τη στρατηγική σημασία των τεχνικών επαγγελμάτων για τη βιομηχανική βάση και την ανθεκτικότητα της ΕΕ·  λαμβάνοντας υπόψη ότι </w:t>
            </w:r>
            <w:r>
              <w:rPr>
                <w:b/>
                <w:i/>
              </w:rPr>
              <w:t>η πρόσφατη γεωπολιτική εξέλιξη και</w:t>
            </w:r>
            <w:r>
              <w:t xml:space="preserve"> οι διαταραχές της αλυσίδας εφοδιασμού καταδεικνύουν την ανάγκη πραγματοποίησης σημαντικών επενδύσεων στην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ο προσανατολισμός της πολιτικής της ΕΕ στο πλαίσιο της στρατηγικής της Λισαβόνας έδωσε δυσανάλογη έμφαση στις ακαδημαϊκές σπουδές, υποτιμώντας τη στρατηγική σημασία των τεχνικών επαγγελμάτων για τη βιομηχανική βάση και την ανθεκτικότητα της ΕΕ· λαμβάνοντας υπόψη ότι οι πρόσφατες γεωπολιτικές εξελίξεις, οι διαταραχές </w:t>
            </w:r>
            <w:r>
              <w:rPr>
                <w:b/>
                <w:i/>
              </w:rPr>
              <w:t>της αλυσίδας</w:t>
            </w:r>
            <w:r>
              <w:t xml:space="preserve"> εφοδιασμού </w:t>
            </w:r>
            <w:r>
              <w:rPr>
                <w:b/>
                <w:i/>
              </w:rPr>
              <w:t>και η πράσινη και ψηφιακή</w:t>
            </w:r>
            <w:r>
              <w:t xml:space="preserve"> μετάβαση καταδεικνύουν την ανάγκη </w:t>
            </w:r>
            <w:r>
              <w:rPr>
                <w:b/>
                <w:i/>
              </w:rPr>
              <w:t>πραγματοποίησης</w:t>
            </w:r>
            <w:r>
              <w:t xml:space="preserve"> σημαντικών επενδύσεων στην ΕΕΚ·</w:t>
            </w:r>
          </w:p>
        </w:tc>
        <w:tc>
          <w:tcPr>
            <w:tcW w:w="4876" w:type="dxa"/>
            <w:tcBorders>
              <w:top w:val="nil"/>
              <w:left w:val="nil"/>
              <w:bottom w:val="nil"/>
              <w:right w:val="nil"/>
            </w:tcBorders>
          </w:tcPr>
          <w:p>
            <w:pPr>
              <w:pStyle w:val="Normal6a"/>
            </w:pPr>
            <w:r>
              <w:t>Γ.</w:t>
            </w:r>
            <w:r>
              <w:tab/>
            </w:r>
            <w:r>
              <w:t>λαμβάνοντας υπόψη ότι ο προσανατολισμός της πολιτικής της ΕΕ στο πλαίσιο της στρατηγικής της Λισαβόνας έδωσε δυσανάλογη έμφαση στις ακαδημαϊκές σπουδές, υποτιμώντας τη στρατηγική σημασία των τεχνικών επαγγελμάτων για τη βιομηχανική βάση και την ανθεκτικότητα της ΕΕ·</w:t>
            </w:r>
            <w:r>
              <w:rPr>
                <w:b/>
                <w:i/>
              </w:rPr>
              <w:t> </w:t>
            </w:r>
            <w:r>
              <w:t xml:space="preserve"> λαμβάνοντας υπόψη ότι οι πρόσφατες γεωπολιτικές εξελίξεις, οι διαταραχές </w:t>
            </w:r>
            <w:r>
              <w:rPr>
                <w:b/>
                <w:i/>
              </w:rPr>
              <w:t>στην αλυσίδα</w:t>
            </w:r>
            <w:r>
              <w:t xml:space="preserve"> εφοδιασμού</w:t>
            </w:r>
            <w:r>
              <w:rPr>
                <w:b/>
                <w:i/>
              </w:rPr>
              <w:t>, η διττή</w:t>
            </w:r>
            <w:r>
              <w:t xml:space="preserve"> μετάβαση </w:t>
            </w:r>
            <w:r>
              <w:rPr>
                <w:b/>
                <w:i/>
              </w:rPr>
              <w:t>και η ανάγκη ενίσχυσης της παραγωγικής ικανότητας και της βιομηχανικής ανταγωνιστικότητας της Ευρώπης</w:t>
            </w:r>
            <w:r>
              <w:t xml:space="preserve"> καταδεικνύουν την ανάγκη σημαντικών επενδύσεων στην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ο προσανατολισμός της πολιτικής της ΕΕ στο πλαίσιο της στρατηγικής της Λισαβόνας έδωσε δυσανάλογη έμφαση στις ακαδημαϊκές σπουδές, υποτιμώντας τη στρατηγική σημασία των τεχνικών επαγγελμάτων για τη βιομηχανική βάση και την ανθεκτικότητα της ΕΕ· λαμβάνοντας υπόψη ότι οι πρόσφατες γεωπολιτικές εξελίξεις, οι διαταραχές της αλυσίδας εφοδιασμού και η </w:t>
            </w:r>
            <w:r>
              <w:rPr>
                <w:b/>
                <w:i/>
              </w:rPr>
              <w:t>πράσινη και ψηφιακή</w:t>
            </w:r>
            <w:r>
              <w:t xml:space="preserve"> μετάβαση καταδεικνύουν την ανάγκη πραγματοποίησης σημαντικών επενδύσεων στην ΕΕΚ·</w:t>
            </w:r>
          </w:p>
        </w:tc>
        <w:tc>
          <w:tcPr>
            <w:tcW w:w="4876" w:type="dxa"/>
            <w:tcBorders>
              <w:top w:val="nil"/>
              <w:left w:val="nil"/>
              <w:bottom w:val="nil"/>
              <w:right w:val="nil"/>
            </w:tcBorders>
          </w:tcPr>
          <w:p>
            <w:pPr>
              <w:pStyle w:val="Normal6a"/>
            </w:pPr>
            <w:r>
              <w:t>Γ.</w:t>
            </w:r>
            <w:r>
              <w:tab/>
            </w:r>
            <w:r>
              <w:t>λαμβάνοντας υπόψη ότι ο προσανατολισμός της πολιτικής της ΕΕ στο πλαίσιο της στρατηγικής της Λισαβόνας έδωσε δυσανάλογη έμφαση στις ακαδημαϊκές σπουδές, υποτιμώντας τη στρατηγική σημασία των τεχνικών επαγγελμάτων για τη βιομηχανική βάση και την ανθεκτικότητα της ΕΕ·</w:t>
            </w:r>
            <w:r>
              <w:rPr>
                <w:b/>
                <w:i/>
              </w:rPr>
              <w:t> </w:t>
            </w:r>
            <w:r>
              <w:t xml:space="preserve"> λαμβάνοντας υπόψη ότι οι πρόσφατες γεωπολιτικές εξελίξεις, οι διαταραχές της αλυσίδας εφοδιασμού και η </w:t>
            </w:r>
            <w:r>
              <w:rPr>
                <w:b/>
                <w:i/>
              </w:rPr>
              <w:t>τρέχουσα</w:t>
            </w:r>
            <w:r>
              <w:t xml:space="preserve"> μετάβαση καταδεικνύουν την ανάγκη πραγματοποίησης σημαντικών επενδύσεων στην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ο προσανατολισμός της πολιτικής της ΕΕ στο πλαίσιο της στρατηγικής της Λισαβόνας έδωσε δυσανάλογη έμφαση στις ακαδημαϊκές σπουδές, υποτιμώντας τη στρατηγική σημασία των τεχνικών επαγγελμάτων για τη βιομηχανική βάση </w:t>
            </w:r>
            <w:r>
              <w:rPr>
                <w:b/>
                <w:i/>
              </w:rPr>
              <w:t>και</w:t>
            </w:r>
            <w:r>
              <w:t xml:space="preserve"> την ανθεκτικότητα της ΕΕ· λαμβάνοντας υπόψη ότι οι πρόσφατες γεωπολιτικές εξελίξεις, οι διαταραχές της αλυσίδας εφοδιασμού και η πράσινη και ψηφιακή μετάβαση καταδεικνύουν την ανάγκη </w:t>
            </w:r>
            <w:r>
              <w:rPr>
                <w:b/>
                <w:i/>
              </w:rPr>
              <w:t>πραγματοποίησης</w:t>
            </w:r>
            <w:r>
              <w:t xml:space="preserve"> σημαντικών επενδύσεων στην ΕΕΚ·</w:t>
            </w:r>
          </w:p>
        </w:tc>
        <w:tc>
          <w:tcPr>
            <w:tcW w:w="4876" w:type="dxa"/>
            <w:tcBorders>
              <w:top w:val="nil"/>
              <w:left w:val="nil"/>
              <w:bottom w:val="nil"/>
              <w:right w:val="nil"/>
            </w:tcBorders>
          </w:tcPr>
          <w:p>
            <w:pPr>
              <w:pStyle w:val="Normal6a"/>
            </w:pPr>
            <w:r>
              <w:t>Γ.</w:t>
            </w:r>
            <w:r>
              <w:tab/>
            </w:r>
            <w:r>
              <w:t>λαμβάνοντας υπόψη ότι ο προσανατολισμός της πολιτικής της ΕΕ στο πλαίσιο της στρατηγικής της Λισαβόνας έδωσε δυσανάλογη έμφαση στις ακαδημαϊκές σπουδές, υποτιμώντας τη στρατηγική σημασία των τεχνικών επαγγελμάτων για τη βιομηχανική βάση</w:t>
            </w:r>
            <w:r>
              <w:rPr>
                <w:b/>
                <w:i/>
              </w:rPr>
              <w:t>,</w:t>
            </w:r>
            <w:r>
              <w:t xml:space="preserve"> την ανθεκτικότητα </w:t>
            </w:r>
            <w:r>
              <w:rPr>
                <w:b/>
                <w:i/>
              </w:rPr>
              <w:t>και την κοινωνική και εδαφική συνοχή</w:t>
            </w:r>
            <w:r>
              <w:t xml:space="preserve"> της ΕΕ·</w:t>
            </w:r>
            <w:r>
              <w:rPr>
                <w:b/>
                <w:i/>
              </w:rPr>
              <w:t> </w:t>
            </w:r>
            <w:r>
              <w:t xml:space="preserve"> λαμβάνοντας υπόψη ότι οι πρόσφατες γεωπολιτικές εξελίξεις, οι διαταραχές της αλυσίδας εφοδιασμού και η πράσινη και ψηφιακή μετάβαση καταδεικνύουν την ανάγκη σημαντικών επενδύσεων στην ΕΕΚ</w:t>
            </w:r>
            <w:r>
              <w:rPr>
                <w:b/>
                <w:i/>
              </w:rPr>
              <w:t>, τη διά βίου μάθηση και τις προσβάσιμες δημόσιες υποδομές κατάρτισης σε ολόκληρη την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ο προσανατολισμός της πολιτικής της ΕΕ </w:t>
            </w:r>
            <w:r>
              <w:rPr>
                <w:b/>
                <w:i/>
              </w:rPr>
              <w:t>στο πλαίσιο της στρατηγικής</w:t>
            </w:r>
            <w:r>
              <w:t xml:space="preserve"> της Λισαβόνας έδωσε δυσανάλογη έμφαση στις ακαδημαϊκές σπουδές, υποτιμώντας τη στρατηγική σημασία των τεχνικών επαγγελμάτων για τη βιομηχανική βάση και την ανθεκτικότητα της ΕΕ· λαμβάνοντας υπόψη ότι οι πρόσφατες γεωπολιτικές εξελίξεις, οι διαταραχές της αλυσίδας εφοδιασμού και η πράσινη και ψηφιακή μετάβαση καταδεικνύουν την ανάγκη πραγματοποίησης σημαντικών επενδύσεων στην ΕΕΚ·</w:t>
            </w:r>
          </w:p>
        </w:tc>
        <w:tc>
          <w:tcPr>
            <w:tcW w:w="4876" w:type="dxa"/>
            <w:tcBorders>
              <w:top w:val="nil"/>
              <w:left w:val="nil"/>
              <w:bottom w:val="nil"/>
              <w:right w:val="nil"/>
            </w:tcBorders>
          </w:tcPr>
          <w:p>
            <w:pPr>
              <w:pStyle w:val="Normal6a"/>
            </w:pPr>
            <w:r>
              <w:t>Γ.</w:t>
            </w:r>
            <w:r>
              <w:tab/>
            </w:r>
            <w:r>
              <w:t xml:space="preserve">λαμβάνοντας υπόψη ότι ο προσανατολισμός της πολιτικής της ΕΕ </w:t>
            </w:r>
            <w:r>
              <w:rPr>
                <w:b/>
                <w:i/>
              </w:rPr>
              <w:t>από τη στρατηγική</w:t>
            </w:r>
            <w:r>
              <w:t xml:space="preserve"> της Λισαβόνας </w:t>
            </w:r>
            <w:r>
              <w:rPr>
                <w:b/>
                <w:i/>
              </w:rPr>
              <w:t>και μετά</w:t>
            </w:r>
            <w:r>
              <w:t xml:space="preserve"> έδωσε δυσανάλογη έμφαση στις ακαδημαϊκές σπουδές, υποτιμώντας τη στρατηγική σημασία των τεχνικών επαγγελμάτων για τη βιομηχανική βάση και την ανθεκτικότητα της ΕΕ· λαμβάνοντας υπόψη ότι οι πρόσφατες γεωπολιτικές εξελίξεις, οι διαταραχές της αλυσίδας εφοδιασμού και η πράσινη και ψηφιακή μετάβαση καταδεικνύουν την ανάγκη πραγματοποίησης σημαντικών επενδύσεων στην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λαμβάνοντας υπόψη ότι η ισότιμη πρόσβαση στην ΕΕΚ, συμπεριλαμβανομένων των ευκαιριών αναβάθμισης των δεξιοτήτων και επανειδίκευσης για όλους τους εργαζομένους και τα άτομα που αναζητούν εργασία είναι ζωτικής σημασίας·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β.</w:t>
            </w:r>
            <w:r>
              <w:tab/>
            </w:r>
            <w:r>
              <w:rPr>
                <w:b/>
                <w:i/>
              </w:rPr>
              <w:t>λαμβάνοντας υπόψη ότι η επικείμενη στρατηγική ΕΕΚ θα πρέπει να αντιμετωπίζει την αρχική και τη συνεχή ΕΕΚ ως ισότιμους πυλώνες, με σαφείς στόχους και ειδική χρηματοδότηση·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γ.</w:t>
            </w:r>
            <w:r>
              <w:tab/>
            </w:r>
            <w:r>
              <w:rPr>
                <w:b/>
                <w:i/>
              </w:rPr>
              <w:t>λαμβάνοντας υπόψη ότι οι θέσεις εργασίας χαμηλής ποιότητας, οι κακές συνθήκες εργασίας και η έλλειψη επενδύσεων σε ΕΕΚ σε εταιρικό επίπεδο αποτελούν ορισμένους λόγους της έλλειψης ειδικευμένων εργαζομένων·</w:t>
            </w:r>
            <w:r>
              <w:t xml:space="preserve"> </w:t>
            </w:r>
            <w:r>
              <w:rPr>
                <w:b/>
                <w:i/>
              </w:rPr>
              <w:t>λαμβάνοντας υπόψη ότι οι αξιοπρεπείς συνθήκες εργασίας και η πρόσβαση σε συστήματα κοινωνικής ασφάλισης, ποιοτικές δημόσιες υπηρεσίες και ελκυστικό περιβάλλον διαβίωσης θα διαδραματίσουν ακόμη σημαντικότερο ρόλο στη διατήρηση και την προσέλκυση ειδικευμένων εργαζομένων·</w:t>
            </w:r>
            <w:r>
              <w:t xml:space="preserve"> </w:t>
            </w:r>
            <w:r>
              <w:rPr>
                <w:b/>
                <w:i/>
              </w:rPr>
              <w:t>λαμβάνοντας υπόψη ότι η ενίσχυση της προσωπικής ανάπτυξης και της μαθησιακής καθοδήγησης από νεαρή ηλικία και η υποστήριξη της ίσης πρόσβασης σε πληροφορίες μπορούν να βοηθήσουν τα άτομα να επιλέξουν τις ενδεδειγμένες μαθησιακές διαδρομές που οδηγούν σε ποιοτικές ευκαιρίες απασχόλησης·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λαμβάνοντας υπόψη ότι οι επίμονες κοινωνικές και πολιτικές προκαταλήψεις που πλαισιώνουν τις εκπαιδευτικές διαδρομές </w:t>
            </w:r>
            <w:r>
              <w:rPr>
                <w:b/>
                <w:i/>
              </w:rPr>
              <w:t>και σχετίζονται με την ιεράρχησή τους</w:t>
            </w:r>
            <w:r>
              <w:t xml:space="preserve"> συμβάλλουν στη μη ελκυστικότητα των επαγγελματικών διαδρομών και στην στροφή προς την ακαδημαϊκή εκπαίδευση, περιορίζοντας έτσι την ισότιμη αναγνώριση των ταλέντων, υπονομεύοντας την κοινωνική συνοχή και επιδεινώνοντας τις κρίσιμες ελλείψεις δεξιοτήτων στα τεχνικά επαγγέλματα·</w:t>
            </w:r>
          </w:p>
        </w:tc>
        <w:tc>
          <w:tcPr>
            <w:tcW w:w="4876" w:type="dxa"/>
            <w:tcBorders>
              <w:top w:val="nil"/>
              <w:left w:val="nil"/>
              <w:bottom w:val="nil"/>
              <w:right w:val="nil"/>
            </w:tcBorders>
          </w:tcPr>
          <w:p>
            <w:pPr>
              <w:pStyle w:val="Normal6a"/>
            </w:pPr>
            <w:r>
              <w:t>Δ.</w:t>
            </w:r>
            <w:r>
              <w:tab/>
            </w:r>
            <w:r>
              <w:t>λαμβάνοντας υπόψη ότι οι επίμονες κοινωνικές και πολιτικές προκαταλήψεις που πλαισιώνουν τις εκπαιδευτικές διαδρομές συμβάλλουν στη μη ελκυστικότητα των επαγγελματικών διαδρομών και στην στροφή προς την ακαδημαϊκή εκπαίδευση, περιορίζοντας έτσι την ισότιμη αναγνώριση των ταλέντων, υπονομεύοντας την κοινωνική συνοχή και επιδεινώνοντας τις κρίσιμες ελλείψεις δεξιοτήτων στα τεχνικά επαγγέλματα·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λαμβάνοντας υπόψη ότι οι επίμονες κοινωνικές και πολιτικές προκαταλήψεις που πλαισιώνουν τις εκπαιδευτικές διαδρομές και σχετίζονται με την ιεράρχησή τους συμβάλλουν στη μη ελκυστικότητα των επαγγελματικών διαδρομών και στην στροφή προς την ακαδημαϊκή εκπαίδευση, περιορίζοντας έτσι την ισότιμη αναγνώριση των ταλέντων, υπονομεύοντας την κοινωνική συνοχή και επιδεινώνοντας τις κρίσιμες ελλείψεις δεξιοτήτων στα τεχνικά επαγγέλματα·</w:t>
            </w:r>
          </w:p>
        </w:tc>
        <w:tc>
          <w:tcPr>
            <w:tcW w:w="4876" w:type="dxa"/>
            <w:tcBorders>
              <w:top w:val="nil"/>
              <w:left w:val="nil"/>
              <w:bottom w:val="nil"/>
              <w:right w:val="nil"/>
            </w:tcBorders>
          </w:tcPr>
          <w:p>
            <w:pPr>
              <w:pStyle w:val="Normal6a"/>
            </w:pPr>
            <w:r>
              <w:t>Δ.</w:t>
            </w:r>
            <w:r>
              <w:tab/>
            </w:r>
            <w:r>
              <w:t xml:space="preserve">λαμβάνοντας υπόψη ότι οι επίμονες κοινωνικές και πολιτικές προκαταλήψεις που πλαισιώνουν τις εκπαιδευτικές διαδρομές και σχετίζονται με την ιεράρχησή τους συμβάλλουν στη μη ελκυστικότητα των επαγγελματικών διαδρομών και στην στροφή προς την ακαδημαϊκή εκπαίδευση, περιορίζοντας έτσι την ισότιμη αναγνώριση των ταλέντων, υπονομεύοντας την κοινωνική συνοχή και επιδεινώνοντας τις κρίσιμες ελλείψεις δεξιοτήτων στα τεχνικά επαγγέλματα· </w:t>
            </w:r>
            <w:r>
              <w:rPr>
                <w:b/>
                <w:i/>
              </w:rPr>
              <w:t>λαμβάνοντας υπόψη ότι οι προκαταλήψεις αυτές ενισχύουν επίσης τις κοινωνικές ανισότητες που επηρεάζουν την πρόοδο της σταδιοδρομίας και τις εισοδηματικές ευκαιρίες·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Δα.</w:t>
            </w:r>
            <w:r>
              <w:tab/>
            </w:r>
            <w:r>
              <w:rPr>
                <w:b/>
                <w:i/>
              </w:rPr>
              <w:t>λαμβάνοντας υπόψη ότι είναι αναγκαίο να δοθούν κίνητρα για το κύρος των βασικών τεχνικών επαγγελμάτων χειρωνακτικής φύσεως, τα οποία να υποστηρίζουν την κοινωνική αναγνώριση, όπως συνέβαινε στο παρελθόν, με τη δική τους αντίληψη του ανήκειν και της κοινής οργάνωσης·</w:t>
            </w:r>
            <w:r>
              <w:t xml:space="preserve"> </w:t>
            </w:r>
            <w:r>
              <w:rPr>
                <w:b/>
                <w:i/>
              </w:rPr>
              <w:t>λαμβάνοντας υπόψη ότι απαιτείται εθνική στρατηγική προκειμένου να διασφαλιστεί η ύπαρξη αυτών των βασικών επαγγελμάτων και των φορέων στους οποίους μπορούν να βρουν μια τέτοια αντίληψη του ανήκειν, καθώς και και η μετάδοση των γνώσεων και της τεχνογνωσίας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λαμβάνοντας υπόψη ότι οι γυναίκες εξακολουθούν να υποεκπροσωπούνται σε πολλές κατηγορίες ΕΕΚ, ιδίως στους τομείς των φυσικών επιστημών, της τεχνολογίας, της μηχανικής, των μαθηματικών και στους τεχνικούς τομείς, και ότι εμμένοντα έμφυλα στερεότυπα εξακολουθούν να διαμορφώνουν εκπαιδευτικές και επαγγελματικές επιλογές·</w:t>
            </w:r>
            <w:r>
              <w:t xml:space="preserve"> </w:t>
            </w:r>
            <w:r>
              <w:rPr>
                <w:b/>
                <w:i/>
              </w:rPr>
              <w:t>λαμβάνοντας υπόψη ότι η ΕΕΚ θα πρέπει να συμβάλει στην κάλυψη αυτών των κενών με την προώθηση της ισότιμης πρόσβασης, της καθοδήγησης και της προόδου σε τομείς με ισχυρή ζήτηση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rPr>
                <w:b/>
                <w:i/>
              </w:rPr>
              <w:t>λαμβάνοντας υπόψη ότι οι περιττοί διοικητικοί φραγμοί, οι κατακερματισμένες διαδικασίες αναγνώρισης και η ανεπαρκής διαλειτουργικότητα μεταξύ των εθνικών συστημάτων εξακολουθούν να παρεμποδίζουν την ελεύθερη κυκλοφορία των εργαζομένων και, ιδίως, των επαγγελματιών του τομέα της ΕΕΚ· </w:t>
            </w:r>
            <w:r>
              <w:t xml:space="preserve"> λαμβάνοντας υπόψη ότι η ενισχυμένη συνεργασία μεταξύ των κρατών μελών και των περιφερειακών πλαισίων μπορεί να συμβάλει στην οικοδόμηση αμοιβαίας εμπιστοσύνης, στον εκσυγχρονισμό των διαδικασιών αναγνώρισης και στη διευκόλυνση της κινητικότητας του εργατικού δυναμικού για τους επαγγελματίες της ΕΕΚ, με παράλληλη διατήρηση υψηλών προτύπων·</w:t>
            </w:r>
          </w:p>
        </w:tc>
        <w:tc>
          <w:tcPr>
            <w:tcW w:w="4876" w:type="dxa"/>
            <w:tcBorders>
              <w:top w:val="nil"/>
              <w:left w:val="nil"/>
              <w:bottom w:val="nil"/>
              <w:right w:val="nil"/>
            </w:tcBorders>
          </w:tcPr>
          <w:p>
            <w:pPr>
              <w:pStyle w:val="Normal6a"/>
            </w:pPr>
            <w:r>
              <w:t>Ε.</w:t>
            </w:r>
            <w:r>
              <w:tab/>
            </w:r>
            <w:r>
              <w:t>λαμβάνοντας υπόψη ότι η ενισχυμένη συνεργασία μεταξύ των κρατών μελών και των περιφερειακών πλαισίων μπορεί να συμβάλει στην οικοδόμηση αμοιβαίας εμπιστοσύνης, στον εκσυγχρονισμό των διαδικασιών αναγνώρισης και στη διευκόλυνση της κινητικότητας του εργατικού δυναμικού για τους επαγγελματίες της ΕΕΚ, με παράλληλη διατήρηση υψηλών προτύπων·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λαμβάνοντας υπόψη ότι οι περιττοί διοικητικοί φραγμοί, οι κατακερματισμένες διαδικασίες αναγνώρισης </w:t>
            </w:r>
            <w:r>
              <w:rPr>
                <w:b/>
                <w:i/>
              </w:rPr>
              <w:t>και</w:t>
            </w:r>
            <w:r>
              <w:t xml:space="preserve"> η ανεπαρκής διαλειτουργικότητα μεταξύ των εθνικών συστημάτων εξακολουθούν να παρεμποδίζουν την ελεύθερη κυκλοφορία των εργαζομένων και, ιδίως, των επαγγελματιών του τομέα της ΕΕΚ·  λαμβάνοντας υπόψη ότι η ενισχυμένη συνεργασία μεταξύ των κρατών μελών και των περιφερειακών πλαισίων μπορεί να συμβάλει στην οικοδόμηση αμοιβαίας εμπιστοσύνης, στον εκσυγχρονισμό των διαδικασιών αναγνώρισης και στη διευκόλυνση της κινητικότητας του εργατικού δυναμικού για τους επαγγελματίες της ΕΕΚ, με παράλληλη διατήρηση υψηλών προτύπων·</w:t>
            </w:r>
          </w:p>
        </w:tc>
        <w:tc>
          <w:tcPr>
            <w:tcW w:w="4876" w:type="dxa"/>
            <w:tcBorders>
              <w:top w:val="nil"/>
              <w:left w:val="nil"/>
              <w:bottom w:val="nil"/>
              <w:right w:val="nil"/>
            </w:tcBorders>
          </w:tcPr>
          <w:p>
            <w:pPr>
              <w:pStyle w:val="Normal6a"/>
            </w:pPr>
            <w:r>
              <w:t>Ε.</w:t>
            </w:r>
            <w:r>
              <w:tab/>
            </w:r>
            <w:r>
              <w:t>λαμβάνοντας υπόψη ότι οι περιττοί διοικητικοί φραγμοί, οι κατακερματισμένες διαδικασίες αναγνώρισης</w:t>
            </w:r>
            <w:r>
              <w:rPr>
                <w:b/>
                <w:i/>
              </w:rPr>
              <w:t>,</w:t>
            </w:r>
            <w:r>
              <w:t xml:space="preserve"> η ανεπαρκής διαλειτουργικότητα μεταξύ των εθνικών συστημάτων </w:t>
            </w:r>
            <w:r>
              <w:rPr>
                <w:b/>
                <w:i/>
              </w:rPr>
              <w:t>και η ελλιπής χρηματοδότηση</w:t>
            </w:r>
            <w:r>
              <w:t xml:space="preserve"> εξακολουθούν να παρεμποδίζουν την ελεύθερη κυκλοφορία των εργαζομένων και, ιδίως, των επαγγελματιών του τομέα της ΕΕΚ·  λαμβάνοντας υπόψη ότι η ενισχυμένη συνεργασία μεταξύ των κρατών μελών και των περιφερειακών πλαισίων μπορεί να συμβάλει στην οικοδόμηση αμοιβαίας εμπιστοσύνης, στον εκσυγχρονισμό των διαδικασιών αναγνώρισης και στη διευκόλυνση της κινητικότητας του εργατικού δυναμικού για τους επαγγελματίες της ΕΕΚ, με παράλληλη διατήρηση υψηλών προτύπων· </w:t>
            </w:r>
            <w:r>
              <w:rPr>
                <w:b/>
                <w:i/>
              </w:rPr>
              <w:t>λαμβάνοντας υπόψη ότι τα συστήματα αναγνώρισης θα πρέπει επίσης να υποστηρίζουν την επικύρωση των ικανοτήτων που αποκτώνται μέσω μη τυπικής και άτυπης μάθησης, συμπεριλαμβανομένου του εθελοντισμού, της εργασίας για τη νεολαία και της εργασιακής πείρας·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λαμβάνοντας υπόψη ότι οι περιττοί διοικητικοί φραγμοί, οι κατακερματισμένες διαδικασίες αναγνώρισης και η ανεπαρκής διαλειτουργικότητα μεταξύ των εθνικών συστημάτων εξακολουθούν να παρεμποδίζουν την ελεύθερη κυκλοφορία των εργαζομένων και, ιδίως, των επαγγελματιών του τομέα της ΕΕΚ·  λαμβάνοντας υπόψη ότι η ενισχυμένη συνεργασία μεταξύ των κρατών μελών και των περιφερειακών πλαισίων μπορεί να συμβάλει στην οικοδόμηση αμοιβαίας εμπιστοσύνης, στον εκσυγχρονισμό των διαδικασιών αναγνώρισης και στη διευκόλυνση της κινητικότητας του εργατικού δυναμικού για τους επαγγελματίες της ΕΕΚ, με παράλληλη </w:t>
            </w:r>
            <w:r>
              <w:rPr>
                <w:b/>
                <w:i/>
              </w:rPr>
              <w:t>διατήρηση υψηλών</w:t>
            </w:r>
            <w:r>
              <w:t xml:space="preserve"> προτύπων·</w:t>
            </w:r>
          </w:p>
        </w:tc>
        <w:tc>
          <w:tcPr>
            <w:tcW w:w="4876" w:type="dxa"/>
            <w:tcBorders>
              <w:top w:val="nil"/>
              <w:left w:val="nil"/>
              <w:bottom w:val="nil"/>
              <w:right w:val="nil"/>
            </w:tcBorders>
          </w:tcPr>
          <w:p>
            <w:pPr>
              <w:pStyle w:val="Normal6a"/>
            </w:pPr>
            <w:r>
              <w:t>Ε.</w:t>
            </w:r>
            <w:r>
              <w:tab/>
            </w:r>
            <w:r>
              <w:t xml:space="preserve">λαμβάνοντας υπόψη ότι οι περιττοί διοικητικοί φραγμοί, οι κατακερματισμένες διαδικασίες αναγνώρισης και η ανεπαρκής διαλειτουργικότητα μεταξύ των εθνικών συστημάτων εξακολουθούν να παρεμποδίζουν την ελεύθερη κυκλοφορία των εργαζομένων και, ιδίως, των επαγγελματιών του τομέα της ΕΕΚ·  λαμβάνοντας υπόψη ότι η ενισχυμένη συνεργασία μεταξύ των κρατών μελών και των περιφερειακών πλαισίων μπορεί να συμβάλει στην οικοδόμηση αμοιβαίας εμπιστοσύνης, στον εκσυγχρονισμό των διαδικασιών αναγνώρισης και στη διευκόλυνση της κινητικότητας του εργατικού δυναμικού για τους επαγγελματίες της ΕΕΚ, με παράλληλη </w:t>
            </w:r>
            <w:r>
              <w:rPr>
                <w:b/>
                <w:i/>
              </w:rPr>
              <w:t>διασφάλιση των</w:t>
            </w:r>
            <w:r>
              <w:t xml:space="preserve"> προτύπων </w:t>
            </w:r>
            <w:r>
              <w:rPr>
                <w:b/>
                <w:i/>
              </w:rPr>
              <w:t>εργασίας, των συλλογικών συμβάσεων, των δικαιωμάτων κοινωνικής ασφάλισης και της ίσης μεταχείρισης για όλους τους εργαζομένους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λαμβάνοντας υπόψη ότι οι περιττοί διοικητικοί φραγμοί, οι κατακερματισμένες διαδικασίες αναγνώρισης και η ανεπαρκής διαλειτουργικότητα μεταξύ των εθνικών συστημάτων εξακολουθούν να παρεμποδίζουν την ελεύθερη κυκλοφορία των εργαζομένων και, ιδίως, των επαγγελματιών του τομέα της ΕΕΚ·  λαμβάνοντας υπόψη ότι η ενισχυμένη συνεργασία μεταξύ των κρατών μελών και των περιφερειακών πλαισίων μπορεί να συμβάλει στην οικοδόμηση αμοιβαίας εμπιστοσύνης, στον εκσυγχρονισμό των διαδικασιών αναγνώρισης και στη διευκόλυνση της κινητικότητας του εργατικού δυναμικού για τους επαγγελματίες της ΕΕΚ, με παράλληλη διατήρηση υψηλών προτύπων·</w:t>
            </w:r>
          </w:p>
        </w:tc>
        <w:tc>
          <w:tcPr>
            <w:tcW w:w="4876" w:type="dxa"/>
            <w:tcBorders>
              <w:top w:val="nil"/>
              <w:left w:val="nil"/>
              <w:bottom w:val="nil"/>
              <w:right w:val="nil"/>
            </w:tcBorders>
          </w:tcPr>
          <w:p>
            <w:pPr>
              <w:pStyle w:val="Normal6a"/>
            </w:pPr>
            <w:r>
              <w:t>Ε.</w:t>
            </w:r>
            <w:r>
              <w:tab/>
            </w:r>
            <w:r>
              <w:t xml:space="preserve">λαμβάνοντας υπόψη ότι οι περιττοί διοικητικοί φραγμοί, οι κατακερματισμένες διαδικασίες αναγνώρισης και η ανεπαρκής διαλειτουργικότητα μεταξύ των εθνικών συστημάτων εξακολουθούν να παρεμποδίζουν την ελεύθερη κυκλοφορία των εργαζομένων και, ιδίως, των </w:t>
            </w:r>
            <w:r>
              <w:rPr>
                <w:b/>
                <w:i/>
              </w:rPr>
              <w:t>εκπαιδευμένων</w:t>
            </w:r>
            <w:r>
              <w:t xml:space="preserve"> επαγγελματιών του τομέα της ΕΕΚ·  λαμβάνοντας υπόψη ότι η ενισχυμένη συνεργασία μεταξύ των κρατών μελών και των περιφερειακών πλαισίων μπορεί να συμβάλει στην οικοδόμηση αμοιβαίας εμπιστοσύνης, στον εκσυγχρονισμό των διαδικασιών αναγνώρισης και στη διευκόλυνση της κινητικότητας του εργατικού δυναμικού για τους επαγγελματίες της ΕΕΚ, με παράλληλη διατήρηση υψηλών προτύπων·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Εα.</w:t>
            </w:r>
            <w:r>
              <w:tab/>
            </w:r>
            <w:r>
              <w:rPr>
                <w:b/>
                <w:i/>
              </w:rPr>
              <w:t>λαμβάνοντας υπόψη ότι ο κατασκευαστικός τομέας αντιμετωπίζει εμμένουσες ελλείψεις εργατικού δυναμικού και δεξιοτήτων, οι οποίες επιδεινώνονται από τη γήρανση του εργατικού δυναμικού, τη χαμηλή ελκυστικότητα για τους νέους και την αυξανόμενη ζήτηση για πράσινες και ψηφιακές ικανότητες·</w:t>
            </w:r>
            <w:r>
              <w:t xml:space="preserve"> </w:t>
            </w:r>
            <w:r>
              <w:rPr>
                <w:b/>
                <w:i/>
              </w:rPr>
              <w:t>λαμβάνοντας υπόψη ότι διάφορες πρωτοβουλίες σε επίπεδο Ένωσης, συμπεριλαμβανομένων της σύμπραξης δεξιοτήτων μεγάλης κλίμακας για τις κατασκευές, του σχεδίου για τις δεξιότητες στον κλάδο των οικοδομών, του συμφώνου για τις δεξιότητες, της ακαδημίας του Νέου Ευρωπαϊκού Μπάουχαους και της ευρωπαϊκής στρατηγικής για την κατασκευή κατοικιών, έχουν επιδιώξει να αντιμετωπίσουν αυτές τις προκλήσεις, αλλά εξακολουθούν να υπάρχουν σημαντικά κενά δεξιοτήτων, γεγονός που περιορίζει την ικανότητα του τομέα να παρέχει οικονομικά προσιτή, βιώσιμη και υψηλής ποιότητας στέγαση·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Εα.</w:t>
            </w:r>
            <w:r>
              <w:tab/>
            </w:r>
            <w:r>
              <w:rPr>
                <w:b/>
                <w:i/>
              </w:rPr>
              <w:t>λαμβάνοντας υπόψη ότι τα συστήματα μαθητείας και τα διττά συστήματα επαγγελματικής εκπαίδευσης και κατάρτισης, τα οποία συνδυάζουν τη μάθηση στο σχολείο με την ουσιαστική κατάρτιση στον χώρο εργασίας σε επιχειρήσεις, έχουν αποδειχθεί αποτελεσματικά για τη στήριξη της μετάβασης από την εκπαίδευση στην απασχόληση·</w:t>
            </w:r>
            <w:r>
              <w:t xml:space="preserve"> </w:t>
            </w:r>
            <w:r>
              <w:rPr>
                <w:b/>
                <w:i/>
              </w:rPr>
              <w:t>λαμβάνοντας υπόψη ότι τα κράτη μέλη με καθιερωμένα διττά συστήματα ΕΕΚ έχουν συχνά καταγράψει συγκριτικά ευνοϊκά αποτελέσματα στην αγορά εργασίας για τους νέους και μπορούν να παράσχουν πολύτιμα παραδείγματα ορθών πρακτικών για την ενίσχυση της Ένωσης Δεξιοτήτων·</w:t>
            </w:r>
            <w:r>
              <w:rPr>
                <w:b/>
                <w:i/>
                <w:vertAlign w:val="superscript"/>
              </w:rPr>
              <w:t>1α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Cedefop (2021).</w:t>
            </w:r>
            <w:r>
              <w:t xml:space="preserve"> </w:t>
            </w:r>
            <w:r>
              <w:rPr>
                <w:b/>
                <w:i/>
              </w:rPr>
              <w:t>The role of work-based learning in VET and tertiary education:</w:t>
            </w:r>
            <w:r>
              <w:t xml:space="preserve"> </w:t>
            </w:r>
            <w:r>
              <w:rPr>
                <w:b/>
                <w:i/>
              </w:rPr>
              <w:t>evidence from the 2016 EU labour force survey. (Ο ρόλος της μάθησης στον χώρο εργασίας στην ΕΕΚ και την τριτοβάθμια εκπαίδευση: στοιχεία από την έρευνα εργατικού δυναμικού της ΕΕ για το 2016.)</w:t>
            </w:r>
            <w:r>
              <w:t xml:space="preserve"> </w:t>
            </w:r>
            <w:r>
              <w:rPr>
                <w:b/>
                <w:i/>
              </w:rPr>
              <w:t>Λουξεμβούργο:</w:t>
            </w:r>
            <w:r>
              <w:t xml:space="preserve"> </w:t>
            </w:r>
            <w:r>
              <w:rPr>
                <w:b/>
                <w:i/>
              </w:rPr>
              <w:t>Υπηρεσία Εκδόσεων της Ευρωπαϊκής Ένωσης.</w:t>
            </w:r>
            <w:r>
              <w:t xml:space="preserve"> </w:t>
            </w:r>
            <w:r>
              <w:rPr>
                <w:b/>
                <w:i/>
              </w:rPr>
              <w:t>Έγγραφο έρευνας του Cedefop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η διαδικασία της Μπολόνια έχει καθιερώσει τη συγκρισιμότητα των προτύπων και των μηχανισμών διαφάνειας για τα προσόντα της ακαδημαϊκής εκπαίδευσης·</w:t>
            </w:r>
            <w:r>
              <w:t xml:space="preserve"> </w:t>
            </w:r>
            <w:r>
              <w:rPr>
                <w:b/>
                <w:i/>
              </w:rPr>
              <w:t>λαμβάνοντας υπόψη ότι η διαδικασία της Κοπεγχάγης επιδίωξε να αυξήσει τη διαφάνεια, να βελτιώσει τη διασφάλιση της ποιότητας, να διευκολύνει την κινητικότητα και να προωθήσει την αμοιβαία εμπιστοσύνη στην ΕΕΚ σε όλα τα κράτη μέλη, αλλά πέτυχε περιορισμένη μόνο σύγκλιση λόγω της ποικιλομορφίας των εθνικών συστημάτων ΕΕΚ και της ισχυρής ενσωμάτωσης της ΕΕΚ στην εθνική αγορά εργασίας και στα βιομηχανικά ιδρύματα·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η οργάνωση, η διακυβέρνηση και η χρηματοδότηση της επαγγελματικής εκπαίδευσης και κατάρτισης παραμένουν πρωτίστως αρμοδιότητα των κρατών μελών και θα πρέπει να σέβονται πλήρως την αρχή της επικουρικότητας·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η επαγγελματική κατάρτιση κατά καιρούς προβαλλόταν αρνητικά λόγω της αντίληψης ότι πρόκειται για δυσμενές μαθησιακό περιβάλλον, το οποίο μπορεί να αποθαρρύνει τους σπουδαστές και τις οικογένειες από την επιλογή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β.</w:t>
            </w:r>
            <w:r>
              <w:tab/>
            </w:r>
            <w:r>
              <w:rPr>
                <w:b/>
                <w:i/>
              </w:rPr>
              <w:t>λαμβάνοντας υπόψη ότι η ΕΕ υπολείπεται κατά πολύ του στόχου της για το 2030 όσον αφορά τη συμμετοχή των ενηλίκων στη μάθηση, γεγονός που παρεμποδίζει την τόσο αναγκαία αναβάθμιση των δεξιοτήτων και επανειδίκευση·</w:t>
            </w:r>
            <w:r>
              <w:t xml:space="preserve"> </w:t>
            </w:r>
            <w:r>
              <w:rPr>
                <w:b/>
                <w:i/>
              </w:rPr>
              <w:t>λαμβάνοντας υπόψη ότι μπορεί να εξακολουθεί να είναι δύσκολη η πρόσβαση των εργαζομένων στην κατάρτιση λόγω των εργασιακών υποχρεώσεων και του κόστους της κατάρτισης·</w:t>
            </w:r>
            <w:r>
              <w:t xml:space="preserve"> </w:t>
            </w:r>
            <w:r>
              <w:rPr>
                <w:b/>
                <w:i/>
              </w:rPr>
              <w:t>λαμβάνοντας υπόψη ότι η συμμετοχή στην κατάρτιση και η χρήση των μαθησιακών δικαιωμάτων παραμένουν σημαντικά χαμηλότερες μεταξύ των εργαζομένων με επαγγελματική εκπαίδευση σε σύγκριση με τους εργαζομένους με ακαδημαϊκή εκπαίδευση, γεγονός που ενισχύει τις υφιστάμενες ανισότητες ως προς τις δεξιότητες·</w:t>
            </w:r>
            <w:r>
              <w:t xml:space="preserve"> </w:t>
            </w:r>
            <w:r>
              <w:rPr>
                <w:b/>
                <w:i/>
              </w:rPr>
              <w:t>λαμβάνοντας υπόψη ότι η ζήτηση δεξιοτήτων και η παροχή κατάρτισης δεν ευθυγραμμίζονται πάντα επαρκώς και ότι οι ευκαιρίες μάθησης εξακολουθούν πολύ συχνά να είναι αποσυνδεδεμένες από τον χώρο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β.</w:t>
            </w:r>
            <w:r>
              <w:tab/>
            </w:r>
            <w:r>
              <w:rPr>
                <w:b/>
                <w:i/>
              </w:rPr>
              <w:t>λαμβάνοντας υπόψη ότι η ΕΕΚ δεν έχει τύχει ακόμα της δέουσας αναγνώρισης όχι μόνο ως εκπαιδευτική επιλογή, αλλά και ως κρίσιμη οικονομική και κοινωνική υποδομή, ικανή:</w:t>
            </w:r>
            <w:r>
              <w:t xml:space="preserve"> </w:t>
            </w:r>
            <w:r>
              <w:rPr>
                <w:b/>
                <w:i/>
              </w:rPr>
              <w:t>να προετοιμάσει δεόντως ειδικευμένο εργατικό δυναμικό, ικανό να εφαρμόσει τεχνολογικές αλλαγές και να προωθήσει την ανθρώπινη ανάπτυξη·</w:t>
            </w:r>
            <w:r>
              <w:t xml:space="preserve"> </w:t>
            </w:r>
            <w:r>
              <w:rPr>
                <w:b/>
                <w:i/>
              </w:rPr>
              <w:t>εφαρμόσει καινοτομίες σε ευρύ φάσμα κοινωνικοοικονομικών τομέων·</w:t>
            </w:r>
            <w:r>
              <w:t xml:space="preserve"> </w:t>
            </w:r>
            <w:r>
              <w:rPr>
                <w:b/>
                <w:i/>
              </w:rPr>
              <w:t>να μετριάσει τις ελλείψεις δεξιοτήτων μέσω της σύγχρονης μάθησης στον χώρο εργασίας, των διαδρομών εκπαίδευσης ενηλίκων και της διά βίου μάθησης·</w:t>
            </w:r>
            <w:r>
              <w:t xml:space="preserve"> </w:t>
            </w:r>
            <w:r>
              <w:rPr>
                <w:b/>
                <w:i/>
              </w:rPr>
              <w:t>να παρέχει αναβάθμιση δεξιοτήτων και επανειδίκευση επαγγελματιών·</w:t>
            </w:r>
            <w:r>
              <w:t xml:space="preserve"> </w:t>
            </w:r>
            <w:r>
              <w:rPr>
                <w:b/>
                <w:i/>
              </w:rPr>
              <w:t>να προωθήσει τη δημοκρατίας, την ιδιότητα του πολίτη και την ένταξη·</w:t>
            </w:r>
            <w:r>
              <w:t xml:space="preserve"> </w:t>
            </w:r>
            <w:r>
              <w:rPr>
                <w:b/>
                <w:i/>
              </w:rPr>
              <w:t>να προωθήσει ανθεκτικά βιομηχανικά οικοσυστήματα σε ολόκληρη την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Εβ.</w:t>
            </w:r>
            <w:r>
              <w:tab/>
            </w:r>
            <w:r>
              <w:rPr>
                <w:b/>
                <w:i/>
              </w:rPr>
              <w:t>λαμβάνοντας υπόψη ότι οι ΜΜΕ διαδραματίζουν κεντρικό ρόλο στην επαγγελματική εκπαίδευση και κατάρτιση που βασίζεται στη μαθητεία σε ολόκληρη την Ένωση·</w:t>
            </w:r>
            <w:r>
              <w:t xml:space="preserve"> </w:t>
            </w:r>
            <w:r>
              <w:rPr>
                <w:b/>
                <w:i/>
              </w:rPr>
              <w:t>λαμβάνοντας υπόψη ότι η συμμετοχή τους σε προγράμματα διασυνοριακής κινητικότητας μπορεί να περιορίζεται από διοικητικές και οργανωτικές προκλήσεις, ιδίως όταν η προσωρινή απουσία μαθητευομένων ασκεί πρόσθετη πίεση στις μικρές επιχειρήσεις·</w:t>
            </w:r>
            <w:r>
              <w:t xml:space="preserve"> </w:t>
            </w:r>
            <w:r>
              <w:rPr>
                <w:b/>
                <w:i/>
              </w:rPr>
              <w:t>λαμβάνοντας υπόψη ότι η στοχευμένη στήριξη και οι απλουστευμένες διαδικασίες μπορούν να συμβάλουν στην αύξηση της συμμετοχής των εκπαιδευομένων ΕΕΚ σε ευκαιρίες κινητικότητας·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Εγ.</w:t>
            </w:r>
            <w:r>
              <w:tab/>
            </w:r>
            <w:r>
              <w:rPr>
                <w:b/>
                <w:i/>
              </w:rPr>
              <w:t>λαμβάνοντας υπόψη ότι είναι ζωτικής σημασίας για την ευρωπαϊκή οικονομική ευημερία να υπάρχει ένας ακμάζων πληθυσμός με επαγγελματική κατάρτιση·</w:t>
            </w:r>
            <w:r>
              <w:t xml:space="preserve"> </w:t>
            </w:r>
            <w:r>
              <w:rPr>
                <w:b/>
                <w:i/>
              </w:rPr>
              <w:t>λαμβάνοντας υπόψη ότι η ατομική κινητικότητα και η κινητικότητα των μαθητευομένων αποτελούν βασικούς μοχλούς για την ποιοτική ευρωπαϊκή επαγγελματική εκπαίδευση και για την προώθηση της προσωπικής ανάπτυξης, της ανάπτυξης δεξιοτήτων και της ενεργού συμμετοχής στα κοινά·</w:t>
            </w:r>
            <w:r>
              <w:t xml:space="preserve"> </w:t>
            </w:r>
            <w:r>
              <w:rPr>
                <w:b/>
                <w:i/>
              </w:rPr>
              <w:t>λαμβάνοντας υπόψη ότι τα ποσοστά συμμετοχής στην κινητικότητα παραμένουν χαμηλότερα για τους εκπαιδευόμενους ΕΕΚ απ’ ό,τι για τους σπουδαστές ακαδημαϊκής εκπαίδευσης·</w:t>
            </w:r>
            <w:r>
              <w:t xml:space="preserve"> </w:t>
            </w:r>
            <w:r>
              <w:rPr>
                <w:b/>
                <w:i/>
              </w:rPr>
              <w:t>λαμβάνοντας υπόψη ότι στους φραγμούς περιλαμβάνονται το αρχικό κόστος, η ανεπαρκής χρηματοδοτική στήριξη, τα γλωσσικά εμπόδια, οι δυσκολίες στην αναγνώριση των μαθησιακών αποτελεσμάτων που αποκτήθηκαν στο εξωτερικό και η περιορισμένη στήριξη των εργοδοτών για την κινητικότητα των μαθητευομένων·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Εγ.</w:t>
            </w:r>
            <w:r>
              <w:tab/>
            </w:r>
            <w:r>
              <w:rPr>
                <w:b/>
                <w:i/>
              </w:rPr>
              <w:t>λαμβάνοντας υπόψη ότι η έκθεση Draghi και η Πυξίδα Ανταγωνιστικότητας υπογραμμίζουν τη σημασία των δεξιοτήτων, της παραγωγικότητας και της βιομηχανικής ανταγωνιστικότητας για το μέλλον της ευρωπαϊκής οικονομίας·</w:t>
            </w:r>
            <w:r>
              <w:t xml:space="preserve"> </w:t>
            </w:r>
            <w:r>
              <w:rPr>
                <w:b/>
                <w:i/>
              </w:rPr>
              <w:t>λαμβάνοντας υπόψη ότι τα υψηλής ποιότητας συστήματα επαγγελματικής εκπαίδευσης και κατάρτισης διαδραματίζουν καίριο ρόλο στη διασφάλιση της διαθεσιμότητας ειδικευμένων εργαζομένων που απαιτούνται για τον βιομηχανικό και τεχνολογικό μετασχηματισμό της Ευρώπης·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c>
          <w:tcPr>
            <w:tcW w:w="4876" w:type="dxa"/>
            <w:tcBorders>
              <w:top w:val="nil"/>
              <w:left w:val="nil"/>
              <w:bottom w:val="nil"/>
              <w:right w:val="nil"/>
            </w:tcBorders>
          </w:tcPr>
          <w:p>
            <w:pPr>
              <w:pStyle w:val="Normal6a"/>
            </w:pPr>
            <w:r>
              <w:t>1.</w:t>
            </w:r>
            <w:r>
              <w:tab/>
            </w:r>
            <w:r>
              <w:t xml:space="preserve">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 </w:t>
            </w:r>
            <w:r>
              <w:rPr>
                <w:b/>
                <w:i/>
              </w:rPr>
              <w:t>τονίζει ότι η ενίσχυση της ΕΕΚ συμβάλλει στον στόχο να διασφαλιστεί ότι όλα τα άτομα μπορούν να έχουν πρόσβαση σε απασχόληση που αντιστοιχεί στα ταλέντα, τις ικανότητες και τις προσπάθειές τους, στηρίζοντας παράλληλα την κοινωνική κινητικότητα, την ένταξη στην αγορά εργασίας και την οικονομική ανθεκτικότητα σε ολόκληρη 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c>
          <w:tcPr>
            <w:tcW w:w="4876" w:type="dxa"/>
            <w:tcBorders>
              <w:top w:val="nil"/>
              <w:left w:val="nil"/>
              <w:bottom w:val="nil"/>
              <w:right w:val="nil"/>
            </w:tcBorders>
          </w:tcPr>
          <w:p>
            <w:pPr>
              <w:pStyle w:val="Normal6a"/>
            </w:pPr>
            <w:r>
              <w:t>1.</w:t>
            </w:r>
            <w:r>
              <w:tab/>
            </w:r>
            <w:r>
              <w:t xml:space="preserve">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 </w:t>
            </w:r>
            <w:r>
              <w:rPr>
                <w:b/>
                <w:i/>
              </w:rPr>
              <w:t>τονίζει ότι η βελτίωση της ελκυστικότητας της ΕΕΚ απαιτεί όχι μόνο εκστρατείες ευαισθητοποίησης, αλλά και επενδύσεις σε ποιοτική απασχόληση, δίκαιους μισθούς, ισχυρή προστασία της εργασίας και ευκαιρίες επαγγελματικής εξέλιξης στα τεχνικά επαγγέλματα·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c>
          <w:tcPr>
            <w:tcW w:w="4876" w:type="dxa"/>
            <w:tcBorders>
              <w:top w:val="nil"/>
              <w:left w:val="nil"/>
              <w:bottom w:val="nil"/>
              <w:right w:val="nil"/>
            </w:tcBorders>
          </w:tcPr>
          <w:p>
            <w:pPr>
              <w:pStyle w:val="Normal6a"/>
            </w:pPr>
            <w:r>
              <w:t>1.</w:t>
            </w:r>
            <w:r>
              <w:tab/>
            </w:r>
            <w:r>
              <w:t>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r>
              <w:rPr>
                <w:b/>
                <w:i/>
              </w:rPr>
              <w:t>, διασφαλίζοντας παράλληλα ισότιμη πρόσβαση για τους εκπαιδευόμενους με λιγότερες ευκαιρίες και αντιμετωπίζοντας τα εμπόδια που συνδέονται με το φύλο, την αναπηρία, το μεταναστευτικό υπόβαθρο, τη γεωγραφία και την κοινωνικοοικονομική κατάσταση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c>
          <w:tcPr>
            <w:tcW w:w="4876" w:type="dxa"/>
            <w:tcBorders>
              <w:top w:val="nil"/>
              <w:left w:val="nil"/>
              <w:bottom w:val="nil"/>
              <w:right w:val="nil"/>
            </w:tcBorders>
          </w:tcPr>
          <w:p>
            <w:pPr>
              <w:pStyle w:val="Normal6a"/>
            </w:pPr>
            <w:r>
              <w:t>1.</w:t>
            </w:r>
            <w:r>
              <w:tab/>
            </w:r>
            <w:r>
              <w:t>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r>
              <w:rPr>
                <w:b/>
                <w:i/>
              </w:rPr>
              <w:t>, μεταξύ άλλων μέσω υψηλής ποιότητας μέτρων εκπαιδευτικού και επαγγελματικού προσανατολισμού που αυξάνουν την ενημέρωση σχετικά με τις επαγγελματικές σταδιοδρομίες και τις ευκαιρίες απασχόλησης και ανέλιξής τους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τονίζει τη σημασία της ΕΕΚ για την οικονομική ευημερία και </w:t>
            </w:r>
            <w:r>
              <w:rPr>
                <w:b/>
                <w:i/>
              </w:rPr>
              <w:t>την</w:t>
            </w:r>
            <w:r>
              <w:t xml:space="preserve">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c>
          <w:tcPr>
            <w:tcW w:w="4876" w:type="dxa"/>
            <w:tcBorders>
              <w:top w:val="nil"/>
              <w:left w:val="nil"/>
              <w:bottom w:val="nil"/>
              <w:right w:val="nil"/>
            </w:tcBorders>
          </w:tcPr>
          <w:p>
            <w:pPr>
              <w:pStyle w:val="Normal6a"/>
            </w:pPr>
            <w:r>
              <w:t>1.</w:t>
            </w:r>
            <w:r>
              <w:tab/>
            </w:r>
            <w:r>
              <w:t>Τονίζει τη σημασία της ΕΕΚ για την οικονομική ευημερία και ανταγωνιστικότητα της ΕΕ</w:t>
            </w:r>
            <w:r>
              <w:rPr>
                <w:b/>
                <w:i/>
              </w:rPr>
              <w:t>, τη βιομηχανική κυριαρχία και τη στρατηγική ανθεκτικότητα και ανθρώπινη ανάπτυξη</w:t>
            </w:r>
            <w:r>
              <w:t>·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c>
          <w:tcPr>
            <w:tcW w:w="4876" w:type="dxa"/>
            <w:tcBorders>
              <w:top w:val="nil"/>
              <w:left w:val="nil"/>
              <w:bottom w:val="nil"/>
              <w:right w:val="nil"/>
            </w:tcBorders>
          </w:tcPr>
          <w:p>
            <w:pPr>
              <w:pStyle w:val="Normal6a"/>
            </w:pPr>
            <w:r>
              <w:t>1.</w:t>
            </w:r>
            <w:r>
              <w:tab/>
            </w:r>
            <w:r>
              <w:t xml:space="preserve">τονίζει τη σημασία της ΕΕΚ για την </w:t>
            </w:r>
            <w:r>
              <w:rPr>
                <w:b/>
                <w:i/>
              </w:rPr>
              <w:t>κοινωνική και</w:t>
            </w:r>
            <w:r>
              <w:t xml:space="preserve">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w:t>
            </w:r>
            <w:r>
              <w:rPr>
                <w:b/>
                <w:i/>
              </w:rPr>
              <w:t>και τις ποιοτικές θέσεις εργασίας</w:t>
            </w:r>
            <w:r>
              <w:t>·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c>
          <w:tcPr>
            <w:tcW w:w="4876" w:type="dxa"/>
            <w:tcBorders>
              <w:top w:val="nil"/>
              <w:left w:val="nil"/>
              <w:bottom w:val="nil"/>
              <w:right w:val="nil"/>
            </w:tcBorders>
          </w:tcPr>
          <w:p>
            <w:pPr>
              <w:pStyle w:val="Normal6a"/>
            </w:pPr>
            <w:r>
              <w:t>1.</w:t>
            </w:r>
            <w:r>
              <w:tab/>
            </w:r>
            <w:r>
              <w:t xml:space="preserve">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w:t>
            </w:r>
            <w:r>
              <w:rPr>
                <w:b/>
                <w:i/>
              </w:rPr>
              <w:t>την εκπαίδευση και</w:t>
            </w:r>
            <w:r>
              <w:t xml:space="preserve">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c>
          <w:tcPr>
            <w:tcW w:w="4876" w:type="dxa"/>
            <w:tcBorders>
              <w:top w:val="nil"/>
              <w:left w:val="nil"/>
              <w:bottom w:val="nil"/>
              <w:right w:val="nil"/>
            </w:tcBorders>
          </w:tcPr>
          <w:p>
            <w:pPr>
              <w:pStyle w:val="Normal6a"/>
            </w:pPr>
            <w:r>
              <w:t>1.</w:t>
            </w:r>
            <w:r>
              <w:tab/>
            </w:r>
            <w:r>
              <w:t xml:space="preserve">τονίζει τη σημασία της ΕΕΚ για την οικονομική ευημερία και την ανταγωνιστικότητα της ΕΕ· τονίζει ότι η προώθηση και η αξιοποίηση της ΕΕΚ είναι σημαντικές για να βελτιωθεί η ελκυστικότητά της ως ποιοτικής οδού </w:t>
            </w:r>
            <w:r>
              <w:rPr>
                <w:b/>
                <w:i/>
              </w:rPr>
              <w:t>χωρίς αποκλεισμούς</w:t>
            </w:r>
            <w:r>
              <w:t xml:space="preserve"> προς την απασχόληση·  καλεί την Επιτροπή να διασφαλίσει ότι η επικείμενη στρατηγική ΕΕΚ θα έχει ως αντικείμενο την ποιότητα και τη συνάφεια των προγραμμάτων σπουδών ΕΕΚ, σε συνδυασμό με τη βελτιωμένη προώθηση των προγραμμάτων ΕΕΚ στους εκπαιδευόμενους, τους εργοδότες και το ευρύτερο κοινό·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εκφράζει την ικανοποίησή του για την απόφαση του Ευρωπαϊκού Κοινοβουλίου να ανοίξει μια σειρά περιόδων πρακτικής άσκησης Schuman σε υποψηφίους που διαθέτουν προσόντα επαγγελματικής εκπαίδευσης και κατάρτισης, συμβάλλοντας έτσι στην προβολή και την αναγνώριση των επαγγελματικών διαδρομών·</w:t>
            </w:r>
            <w:r>
              <w:t xml:space="preserve"> </w:t>
            </w:r>
            <w:r>
              <w:rPr>
                <w:b/>
                <w:i/>
              </w:rPr>
              <w:t>ενθαρρύνει τα θεσμικά όργανα της ΕΕ να συνεχίσουν να προωθούν τις ίσες ευκαιρίες για υποψηφίους από επαγγελματικές και ακαδημαϊκές διαδρομές στις πολιτικές τους για την πρακτική άσκηση και τις προσλήψεις·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τονίζει ότι οι πάροχοι τυπικής επαγγελματικής εκπαίδευσης και τα καθιερωμένα προσόντα που εστιάζουν σε θεμελιώδεις δεξιότητες θα πρέπει να συνεχίσουν να αποτελούν τη βάση των στρατηγικών και της παροχής ΕΕΚ, ενώ τα προγράμματα μάθησης, καθώς και τα διαπιστευτήρια, που διεξάγονται ψηφιακά, κατά ενότητα και ειδικεύονται ανά καθήκον μπορούν να διαδραματίσουν σημαντικό συμπληρωματικό ρόλο, υπό την προϋπόθεση ότι πληρούν σχετικά και μεταβιβάσιμα κριτήρια διασφάλισης της ποιότητας·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να ενθαρρύνει τα κράτη μέλη να διασφαλίσουν καλές συνθήκες εργασίας για τους αυτοαπασχολούμενους, ώστε τα τεχνικά επαγγέλματα να διαθέτουν ένα ασφαλές πλαίσιο για τη δραστηριότητά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τονίζει ότι η ΕΕΚ θα πρέπει να θεωρείται εργαλείο που μπορεί τόσο να στηρίξει την προσωπική ανάπτυξη των σπουδαστών και των εργαζομένων όσο και να αντιμετωπίσει τις ελλείψεις στην αγορά εργασίας, συμβάλλοντας έτσι </w:t>
            </w:r>
            <w:r>
              <w:rPr>
                <w:b/>
                <w:i/>
              </w:rPr>
              <w:t>στην</w:t>
            </w:r>
            <w:r>
              <w:t xml:space="preserve"> ανταγωνιστικότητα της ΕΕ και στηρίζοντας την καινοτομία σε στρατηγικούς τομείς·</w:t>
            </w:r>
          </w:p>
        </w:tc>
        <w:tc>
          <w:tcPr>
            <w:tcW w:w="4876" w:type="dxa"/>
            <w:tcBorders>
              <w:top w:val="nil"/>
              <w:left w:val="nil"/>
              <w:bottom w:val="nil"/>
              <w:right w:val="nil"/>
            </w:tcBorders>
          </w:tcPr>
          <w:p>
            <w:pPr>
              <w:pStyle w:val="Normal6a"/>
            </w:pPr>
            <w:r>
              <w:t>2.</w:t>
            </w:r>
            <w:r>
              <w:tab/>
            </w:r>
            <w:r>
              <w:t xml:space="preserve">τονίζει ότι η ΕΕΚ θα πρέπει να θεωρείται εργαλείο που μπορεί τόσο να στηρίξει την προσωπική ανάπτυξη των σπουδαστών και των εργαζομένων όσο και να αντιμετωπίσει τις ελλείψεις στην αγορά εργασίας, συμβάλλοντας έτσι </w:t>
            </w:r>
            <w:r>
              <w:rPr>
                <w:b/>
                <w:i/>
              </w:rPr>
              <w:t>στη βιώσιμη</w:t>
            </w:r>
            <w:r>
              <w:t xml:space="preserve"> ανταγωνιστικότητα </w:t>
            </w:r>
            <w:r>
              <w:rPr>
                <w:b/>
                <w:i/>
              </w:rPr>
              <w:t>και ευημερία</w:t>
            </w:r>
            <w:r>
              <w:t xml:space="preserve"> της ΕΕ και στηρίζοντας την καινοτομία σε στρατηγικούς τομείς·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τονίζει ότι η ΕΕΚ θα πρέπει να θεωρείται εργαλείο που μπορεί τόσο να στηρίξει την προσωπική ανάπτυξη των σπουδαστών και των εργαζομένων όσο και να αντιμετωπίσει τις ελλείψεις στην αγορά εργασίας, συμβάλλοντας έτσι στην ανταγωνιστικότητα της ΕΕ και στηρίζοντας την καινοτομία σε </w:t>
            </w:r>
            <w:r>
              <w:rPr>
                <w:b/>
                <w:i/>
              </w:rPr>
              <w:t>στρατηγικούς</w:t>
            </w:r>
            <w:r>
              <w:t xml:space="preserve"> τομείς·</w:t>
            </w:r>
          </w:p>
        </w:tc>
        <w:tc>
          <w:tcPr>
            <w:tcW w:w="4876" w:type="dxa"/>
            <w:tcBorders>
              <w:top w:val="nil"/>
              <w:left w:val="nil"/>
              <w:bottom w:val="nil"/>
              <w:right w:val="nil"/>
            </w:tcBorders>
          </w:tcPr>
          <w:p>
            <w:pPr>
              <w:pStyle w:val="Normal6a"/>
            </w:pPr>
            <w:r>
              <w:t>2.</w:t>
            </w:r>
            <w:r>
              <w:tab/>
            </w:r>
            <w:r>
              <w:t xml:space="preserve">τονίζει ότι η ΕΕΚ θα πρέπει να θεωρείται εργαλείο που μπορεί τόσο να στηρίξει την προσωπική ανάπτυξη των σπουδαστών και των εργαζομένων όσο και να αντιμετωπίσει τις ελλείψεις στην αγορά εργασίας, συμβάλλοντας έτσι στην ανταγωνιστικότητα της ΕΕ και στηρίζοντας την καινοτομία σε </w:t>
            </w:r>
            <w:r>
              <w:rPr>
                <w:b/>
                <w:i/>
              </w:rPr>
              <w:t>όλους τους</w:t>
            </w:r>
            <w:r>
              <w:t xml:space="preserve"> τομείς·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τονίζει ότι η ΕΕΚ θα πρέπει να θεωρείται εργαλείο που μπορεί τόσο να στηρίξει την προσωπική ανάπτυξη των σπουδαστών και των εργαζομένων όσο και να αντιμετωπίσει τις ελλείψεις στην αγορά εργασίας, συμβάλλοντας έτσι στην ανταγωνιστικότητα της ΕΕ </w:t>
            </w:r>
            <w:r>
              <w:rPr>
                <w:b/>
                <w:i/>
              </w:rPr>
              <w:t>και</w:t>
            </w:r>
            <w:r>
              <w:t xml:space="preserve"> στηρίζοντας την καινοτομία σε στρατηγικούς τομείς·</w:t>
            </w:r>
          </w:p>
        </w:tc>
        <w:tc>
          <w:tcPr>
            <w:tcW w:w="4876" w:type="dxa"/>
            <w:tcBorders>
              <w:top w:val="nil"/>
              <w:left w:val="nil"/>
              <w:bottom w:val="nil"/>
              <w:right w:val="nil"/>
            </w:tcBorders>
          </w:tcPr>
          <w:p>
            <w:pPr>
              <w:pStyle w:val="Normal6a"/>
            </w:pPr>
            <w:r>
              <w:t>2.</w:t>
            </w:r>
            <w:r>
              <w:tab/>
            </w:r>
            <w:r>
              <w:t>τονίζει ότι η ΕΕΚ θα πρέπει να θεωρείται εργαλείο που μπορεί τόσο να στηρίξει την προσωπική ανάπτυξη των σπουδαστών και των εργαζομένων όσο και να αντιμετωπίσει τις ελλείψεις στην αγορά εργασίας, συμβάλλοντας έτσι στην ανταγωνιστικότητα της ΕΕ</w:t>
            </w:r>
            <w:r>
              <w:rPr>
                <w:b/>
                <w:i/>
              </w:rPr>
              <w:t>,</w:t>
            </w:r>
            <w:r>
              <w:t xml:space="preserve"> στηρίζοντας την καινοτομία σε στρατηγικούς τομείς </w:t>
            </w:r>
            <w:r>
              <w:rPr>
                <w:b/>
                <w:i/>
              </w:rPr>
              <w:t>και προωθώντας ποιοτική απασχόληση και ευκαιρίες επαγγελματικής εξέλιξης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τονίζει ότι, σε μια περίοδο κατά την οποία οι ευρωπαϊκές κοινωνίες αντιμετωπίζουν σύνθετες προκλήσεις που συνδέονται με την πόλωση, την παραπληροφόρηση, την εσφαλμένη πληροφόρηση και ένα μεταβαλλόμενο περιβάλλον ασφάλειας, είναι σημαντικό όλοι οι σπουδαστές και οι εκπαιδευόμενοι να διαθέτουν τις δεξιότητες και τις γνώσεις που απαιτούνται για να συμμετέχουν ως ενεργά μέλη της κοινωνίας και να αναλύουν με κριτικό πνεύμα τις πληροφορίες·</w:t>
            </w:r>
            <w:r>
              <w:t xml:space="preserve"> </w:t>
            </w:r>
            <w:r>
              <w:rPr>
                <w:b/>
                <w:i/>
              </w:rPr>
              <w:t>υπογραμμίζει, ως εκ τούτου, την ανάγκη να διασφαλιστεί ότι οι σπουδαστές ΕΕΚ έχουν ίσες ευκαιρίες να αποκτήσουν δεξιότητες και γνώσεις που σχετίζονται με τη συμμετοχή στα κοινά, τον γραμματισμό στα μέσα επικοινωνίας και την κριτική σκέψη, τονίζοντας παράλληλα τη σημασία των λεγόμενων μη τεχνικών δεξιοτήτων στην επαγγελματική εκπαίδευση και κατάρτιση·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2α.</w:t>
            </w:r>
            <w:r>
              <w:tab/>
            </w:r>
            <w:r>
              <w:rPr>
                <w:b/>
                <w:i/>
              </w:rPr>
              <w:t>τονίζει ότι η ΕΕΚ μπορεί να καταστεί ελκυστική μόνο εάν οδηγήσει σε ποιοτικές θέσεις εργασίας·</w:t>
            </w:r>
            <w:r>
              <w:t xml:space="preserve"> </w:t>
            </w:r>
            <w:r>
              <w:rPr>
                <w:b/>
                <w:i/>
              </w:rPr>
              <w:t>υπογραμμίζει ότι οι δίκαιοι μισθοί, οι αξιοπρεπείς συνθήκες εργασίας, η εργασιακή ασφάλεια και οι ευκαιρίες επαγγελματικής εξέλιξης είναι ουσιαστικής σημασίας για την προσέλκυση και τη διατήρηση των εργαζομένων·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τονίζει την ανάγκη να διασφαλιστεί ότι οι σπουδαστές και οι απόφοιτοι ΕΕΚ θα αισθάνονται ότι τα προσόντα και τα επαγγέλματά τους θεωρούνται ισάξια με την ακαδημαϊκή εκπαίδευση, </w:t>
            </w:r>
            <w:r>
              <w:rPr>
                <w:b/>
                <w:i/>
              </w:rPr>
              <w:t>ώστε να διασφαλιστεί</w:t>
            </w:r>
            <w:r>
              <w:t xml:space="preserve"> η κοινωνική συνοχή και ένταξη·</w:t>
            </w:r>
          </w:p>
        </w:tc>
        <w:tc>
          <w:tcPr>
            <w:tcW w:w="4876" w:type="dxa"/>
            <w:tcBorders>
              <w:top w:val="nil"/>
              <w:left w:val="nil"/>
              <w:bottom w:val="nil"/>
              <w:right w:val="nil"/>
            </w:tcBorders>
          </w:tcPr>
          <w:p>
            <w:pPr>
              <w:pStyle w:val="Normal6a"/>
            </w:pPr>
            <w:r>
              <w:t>3.</w:t>
            </w:r>
            <w:r>
              <w:tab/>
            </w:r>
            <w:r>
              <w:t xml:space="preserve">τονίζει την ανάγκη να διασφαλιστεί ότι οι σπουδαστές και οι απόφοιτοι ΕΕΚ θα αισθάνονται ότι τα προσόντα και τα επαγγέλματά τους θεωρούνται ισάξια με την ακαδημαϊκή εκπαίδευση, </w:t>
            </w:r>
            <w:r>
              <w:rPr>
                <w:b/>
                <w:i/>
              </w:rPr>
              <w:t>για να προωθείται</w:t>
            </w:r>
            <w:r>
              <w:t xml:space="preserve"> η κοινωνική συνοχή και ένταξη· </w:t>
            </w:r>
            <w:r>
              <w:rPr>
                <w:b/>
                <w:i/>
              </w:rPr>
              <w:t>επισημαίνει την αυξανόμενη ζήτηση για ένα νέο είδος εργατικού δυναμικού ικανού όχι μόνο να χρησιμοποιεί εργαλεία τεχνητής νοημοσύνης, αλλά και να καθοδηγεί, να επιβλέπει και να συνεργάζεται επαγγελματικά με αυτά·</w:t>
            </w:r>
            <w:r>
              <w:t xml:space="preserve"> </w:t>
            </w:r>
            <w:r>
              <w:rPr>
                <w:b/>
                <w:i/>
              </w:rPr>
              <w:t>τονίζει ότι τα προγράμματα σπουδών ΕΕΚ θα πρέπει να εφοδιάζουν τους εκπαιδευόμενους με τις πρακτικές, τεχνικές και ψηφιακές δεξιότητες που απαιτούνται για τη μεγιστοποίηση των οφελών της ΤΝ, διατηρώντας παράλληλα την ανθρώπινη ευθύνη, τη δημιουργικότητα και τη λήψη αποφάσεων στον χώρο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τονίζει την ανάγκη να διασφαλιστεί ότι οι σπουδαστές και οι απόφοιτοι ΕΕΚ θα αισθάνονται ότι τα προσόντα και τα επαγγέλματά τους θεωρούνται ισάξια με την ακαδημαϊκή εκπαίδευση, ώστε να διασφαλιστεί η κοινωνική συνοχή και ένταξη·</w:t>
            </w:r>
          </w:p>
        </w:tc>
        <w:tc>
          <w:tcPr>
            <w:tcW w:w="4876" w:type="dxa"/>
            <w:tcBorders>
              <w:top w:val="nil"/>
              <w:left w:val="nil"/>
              <w:bottom w:val="nil"/>
              <w:right w:val="nil"/>
            </w:tcBorders>
          </w:tcPr>
          <w:p>
            <w:pPr>
              <w:pStyle w:val="Normal6a"/>
            </w:pPr>
            <w:r>
              <w:t>3.</w:t>
            </w:r>
            <w:r>
              <w:tab/>
            </w:r>
            <w:r>
              <w:t xml:space="preserve">τονίζει την ανάγκη να διασφαλιστεί ότι οι σπουδαστές και οι απόφοιτοι ΕΕΚ θα αισθάνονται ότι τα προσόντα και τα επαγγέλματά τους θεωρούνται ισάξια με την ακαδημαϊκή εκπαίδευση, ώστε να διασφαλιστεί η κοινωνική συνοχή και ένταξη· </w:t>
            </w:r>
            <w:r>
              <w:rPr>
                <w:b/>
                <w:i/>
              </w:rPr>
              <w:t>καλεί την Επιτροπή και τα κράτη μέλη να αντιμετωπίσουν τις επίμονες αρνητικές αντιλήψεις σχετικά με την εικόνα και την αξία της ΕΕΚ μέσω έγκαιρου και συνεχούς επαγγελματικού προσανατολισμού, στοχευμένης συνεργασίας με γονείς και οικογένειες, ποιοτικών αμειβόμενων θέσεων μαθητείας και μακροπρόθεσμων επενδύσεων σε περιφερειακά οικοσυστήματα δεξιοτήτων που ενισχύουν την προβολή και την ελκυστικότητα της ΕΕΚ·</w:t>
            </w:r>
            <w:r>
              <w:t xml:space="preserve"> </w:t>
            </w:r>
            <w:r>
              <w:rPr>
                <w:b/>
                <w:i/>
              </w:rPr>
              <w:t>καλεί τα κράτη μέλη να επενδύσουν σημαντικά σε υπηρεσίες καθοδήγησης και συστήματα διδασκαλίας, αναγνωρίζοντας τον καίριο ρόλο των διδασκόντων και των συμβούλων στη στήριξη των εκπαιδευομένων, μαζί με τους εκπαιδευτικούς και τους εκπαιδευτές·</w:t>
            </w:r>
            <w:r>
              <w:t xml:space="preserve"> </w:t>
            </w:r>
            <w:r>
              <w:rPr>
                <w:b/>
                <w:i/>
              </w:rPr>
              <w:t>καλεί την Ευρωπαϊκή Επιτροπή να καταρτίσει ένα ενωσιακό πλαίσιο καθοδήγησης και παροχής συμβουλών·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τονίζει την ανάγκη να διασφαλιστεί ότι οι σπουδαστές και οι απόφοιτοι ΕΕΚ θα αισθάνονται ότι τα προσόντα και τα επαγγέλματά τους θεωρούνται ισάξια με την ακαδημαϊκή εκπαίδευση, ώστε να διασφαλιστεί η κοινωνική συνοχή και ένταξη·</w:t>
            </w:r>
          </w:p>
        </w:tc>
        <w:tc>
          <w:tcPr>
            <w:tcW w:w="4876" w:type="dxa"/>
            <w:tcBorders>
              <w:top w:val="nil"/>
              <w:left w:val="nil"/>
              <w:bottom w:val="nil"/>
              <w:right w:val="nil"/>
            </w:tcBorders>
          </w:tcPr>
          <w:p>
            <w:pPr>
              <w:pStyle w:val="Normal6a"/>
            </w:pPr>
            <w:r>
              <w:t>3.</w:t>
            </w:r>
            <w:r>
              <w:tab/>
            </w:r>
            <w:r>
              <w:t>τονίζει την ανάγκη να διασφαλιστεί ότι οι σπουδαστές και οι απόφοιτοι ΕΕΚ θα αισθάνονται ότι τα προσόντα και τα επαγγέλματά τους θεωρούνται ισάξια με την ακαδημαϊκή εκπαίδευση, ώστε να διασφαλιστεί η κοινωνική συνοχή και ένταξη</w:t>
            </w:r>
            <w:r>
              <w:rPr>
                <w:b/>
                <w:i/>
              </w:rPr>
              <w:t>, οι ίσες ευκαιρίες κατά την πρόσβαση στην απασχόληση, την κινητικότητα, την περαιτέρω μάθηση και την επαγγελματική εξέλιξη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Pál Szekeres,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επισημαίνει ότι η βελτίωση της πεποίθησης του κόσμου για την ΕΕΚ και της ελκυστικότητάς της απαιτεί όχι μόνο μέτρα πολιτικής, αλλά και ανανεωμένο αφήγημα και ορολογία που να αντικατοπτρίζει καλύτερα την αξία των επαγγελματικών διαδρομών·</w:t>
            </w:r>
            <w:r>
              <w:t xml:space="preserve"> </w:t>
            </w:r>
            <w:r>
              <w:rPr>
                <w:b/>
                <w:i/>
              </w:rPr>
              <w:t>ενθαρρύνει την ανάπτυξη πλαισίων επικοινωνίας που παρουσιάζουν την τριτοβάθμια εκπαίδευση και την ΕΕΚ ως συμπληρωματικές παρά ως ιεραρχικές μορφές μάθησης, με την τριτοβάθμια εκπαίδευση να επικεντρώνεται συχνά στην ανάπτυξη δημιουργών, φορέων καινοτομίας και φορέων επίλυσης εννοιολογικών προβλημάτων, ενώ η ΕΕΚ εξοπλίζει τους υπεύθυνους χάραξης πολιτικής, τους κατασκευαστές και τους φορείς υλοποίησης που μετατρέπουν τη γνώση σε απτή οικονομική και κοινωνική αξία·</w:t>
            </w:r>
            <w:r>
              <w:t xml:space="preserve"> </w:t>
            </w:r>
            <w:r>
              <w:rPr>
                <w:b/>
                <w:i/>
              </w:rPr>
              <w:t>τονίζει ότι η διάκριση αυτή δεν θα πρέπει να συνεπάγεται διαφορές στην πνευματική αξία, καθώς και οι δύο διαδρομές βασίζονται στην επιστημονική γνώση και την κριτική σκέψη, αλλά μάλλον αντικατοπτρίζουν διαφορετικές αλλά εξίσου πολύτιμες εφαρμογές της γνώσης, των δεξιοτήτων και της δημιουργικότητας στην κοινωνία και 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καλεί τα κράτη μέλη και την Επιτροπή, κατά περίπτωση, να διασφαλίσουν ότι τα υφιστάμενα μέσα στήριξης της ακαδημαϊκής εκπαίδευσης και τα συστήματα δημόσιας στήριξης επεκτείνονται και στους εκπαιδευόμενους ΕΕΚ, αντί να δημιουργούν χωριστά συστήματα·</w:t>
            </w:r>
            <w:r>
              <w:t xml:space="preserve"> </w:t>
            </w:r>
            <w:r>
              <w:rPr>
                <w:b/>
                <w:i/>
              </w:rPr>
              <w:t>τονίζει ότι οι κανόνες επιλεξιμότητας για φοιτητικές ταυτότητες, τα συστήματα οικονομικής στήριξης, τα συστήματα αναγνώρισης και η πρόσβαση σε ευκαιρίες του δημόσιου τομέα θα πρέπει να σχεδιαστούν κατά τρόπο που δεν εισάγει αποκλεισμούς και δεν πραγματοποιεί διακρίσεις μεταξύ των εκπαιδευομένων ΕΕΚ και ακαδημαϊκής εκπαίδευσης·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τονίζει τη σημασία των σαφών διαδρομών προόδου στο πλαίσιο της επαγγελματικής εκπαίδευσης και κατάρτισης, συμπεριλαμβανομένης της τριτοβάθμιας επαγγελματικής εκπαίδευσης και κατάρτισης και των προσόντων σε επίπεδο ΕΠΕΠ 5 και άνω, προκειμένου να ενισχυθεί η ελκυστικότητα της ΕΕΚ, να υποστηριχθεί η διά βίου μάθηση και να αντιμετωπιστούν οι ελλείψεις δεξιοτήτων·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καλεί τα κράτη μέλη να αντιμετωπίσουν τα έμφυλα στερεότυπα στις εκπαιδευτικές και επαγγελματικές επιλογές και να ενθαρρύνουν μια πιο ισορροπημένη συμμετοχή γυναικών και ανδρών σε επαγγελματικές διαδρομές, τομείς και επαγγέλματα·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τονίζει ότι η ΕΕΚ χωρίς αποκλεισμούς διαδραματίζει καίριο ρόλο στη στήριξη των εκπαιδευομένων που διατρέχουν κίνδυνο αποκλεισμού από την κοινωνία και την αγορά εργασίας, καθώς και στην προώθηση της ευημερίας, των ίσων ευκαιριών και της κοινωνικής συνοχής·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3β.</w:t>
            </w:r>
            <w:r>
              <w:tab/>
            </w:r>
            <w:r>
              <w:rPr>
                <w:b/>
                <w:i/>
              </w:rPr>
              <w:t>καλεί τα κράτη μέλη να βελτιώσουν την επάρκεια, την προσβασιμότητα και τη δικαιοσύνη της χρηματοδοτικής στήριξης για τους εκπαιδευόμενους ΕΕΚ·</w:t>
            </w:r>
            <w:r>
              <w:t xml:space="preserve"> </w:t>
            </w:r>
            <w:r>
              <w:rPr>
                <w:b/>
                <w:i/>
              </w:rPr>
              <w:t>σημειώνει με ανησυχία τις εμμένουσες ανισότητες, σύμφωνα με τις οποίες οι εκπαιδευόμενοι στην ανώτερη δευτεροβάθμια και μεταδευτεροβάθμια μη τριτοβάθμια εκπαίδευση λαμβάνουν χαμηλότερα επίπεδα δημόσιας χρηματοδοτικής στήριξης από ό,τι οι εκπαιδευόμενοι στην τριτοβάθμια εκπαίδευση·</w:t>
            </w:r>
            <w:r>
              <w:t xml:space="preserve"> </w:t>
            </w:r>
            <w:r>
              <w:rPr>
                <w:b/>
                <w:i/>
              </w:rPr>
              <w:t>τονίζει την ανάγκη να αρθούν οι αδικαιολόγητοι φραγμοί επιλεξιμότητας που συνδέονται με το καθεστώς απασχόλησης, την ηλικία ή τις μορφές διαβίωσης, ιδίως για τους μαθητευόμενους με συμβάσεις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3β.</w:t>
            </w:r>
            <w:r>
              <w:tab/>
            </w:r>
            <w:r>
              <w:rPr>
                <w:b/>
                <w:i/>
              </w:rPr>
              <w:t>τονίζει ότι όλα τα προσόντα και τα διαπιστευτήρια ΕΕΚ θα πρέπει να προσφέρουν σαφείς οδούς για περαιτέρω σπουδές και πρόοδο·</w:t>
            </w:r>
            <w:r>
              <w:t xml:space="preserve"> </w:t>
            </w:r>
            <w:r>
              <w:rPr>
                <w:b/>
                <w:i/>
              </w:rPr>
              <w:t>τονίζει ότι η επιδίωξη της ΕΕΚ στην ανώτερη δευτεροβάθμια εκπαίδευση δεν θα πρέπει να εμποδίζει τα άτομα να συνεχίζουν τις σπουδές τους σε ιδρύματα τριτοβάθμιας εκπαίδευσης, συμπεριλαμβανομένης της προηγμένης ΕΕΚ και των πανεπιστημίων·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3β.</w:t>
            </w:r>
            <w:r>
              <w:tab/>
            </w:r>
            <w:r>
              <w:rPr>
                <w:b/>
                <w:i/>
              </w:rPr>
              <w:t>τονίζει τη σημασία των επαγγελματικών οδών που παραμένουν προσβάσιμες μετά την ολοκλήρωση της γενικής ανώτερης δευτεροβάθμιας εκπαίδευσης και συνδυάζουν το προηγμένο μορφωτικό επίπεδο με τη μάθηση στον χώρο εργασίας, διευρύνοντας έτσι τις επιλογές σταδιοδρομίας και στηρίζοντας την ανάπτυξη εργαζομένων υψηλής ειδίκευσης·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3γ.</w:t>
            </w:r>
            <w:r>
              <w:tab/>
            </w:r>
            <w:r>
              <w:rPr>
                <w:b/>
                <w:i/>
              </w:rPr>
              <w:t>τονίζει τις δυνατότητες των μικροδιαπιστευτηρίων και των ευκαιριών μάθησης κατά ενότητες για τη στήριξη της αναβάθμισης των δεξιοτήτων και της επανειδίκευσης καθ’ όλη τη διάρκεια του εργασιακού βίου και για την παροχή ευέλικτων μαθησιακών διαδρομών για τους εργαζομένους και τους εργοδότες σε μια ταχέως μεταβαλλόμενη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3δ.</w:t>
            </w:r>
            <w:r>
              <w:tab/>
            </w:r>
            <w:r>
              <w:rPr>
                <w:b/>
                <w:i/>
              </w:rPr>
              <w:t>τονίζει τη σημασία της διαγενεακής μεταλαμπάδευσης δεξιοτήτων για την αντιμετώπιση της δημογραφικής αλλαγής και των ελλείψεων εργατικού δυναμικού·</w:t>
            </w:r>
            <w:r>
              <w:t xml:space="preserve"> </w:t>
            </w:r>
            <w:r>
              <w:rPr>
                <w:b/>
                <w:i/>
              </w:rPr>
              <w:t>ενθαρρύνει πρωτοβουλίες που στηρίζουν τους έμπειρους εργαζομένους στη μετάδοση των γνώσεων και της εμπειρογνωσίας τους μέσω προγραμμάτων καθοδήγησης, αναβάθμισης δεξιοτήτων και μαθητείας·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καλεί τα θεσμικά όργανα της ΕΕ και τα κράτη μέλη να προωθήσουν μια ορολογία που να σέβεται περισσότερο τις εκπαιδευτικές διαδρομές </w:t>
            </w:r>
            <w:r>
              <w:rPr>
                <w:b/>
                <w:i/>
              </w:rPr>
              <w:t>και να καταργήσουν</w:t>
            </w:r>
            <w:r>
              <w:t xml:space="preserve"> όρους όπως «ανώτερη» και «κατώτερη» εκπαίδευση· καλεί την Επιτροπή να </w:t>
            </w:r>
            <w:r>
              <w:rPr>
                <w:b/>
                <w:i/>
              </w:rPr>
              <w:t>καταργήσει τον στόχο που έχει τεθεί σε</w:t>
            </w:r>
            <w:r>
              <w:t xml:space="preserve"> επίπεδο </w:t>
            </w:r>
            <w:r>
              <w:rPr>
                <w:b/>
                <w:i/>
              </w:rPr>
              <w:t>ΕΕ για απόκτηση διπλώματος</w:t>
            </w:r>
            <w:r>
              <w:t xml:space="preserve"> τριτοβάθμιας εκπαίδευσης </w:t>
            </w:r>
            <w:r>
              <w:rPr>
                <w:b/>
                <w:i/>
              </w:rPr>
              <w:t>ως κριτήριο αναφοράς, δεδομένου ότι δεν συμμορφώνεται</w:t>
            </w:r>
            <w:r>
              <w:t xml:space="preserve"> με </w:t>
            </w:r>
            <w:r>
              <w:rPr>
                <w:b/>
                <w:i/>
              </w:rPr>
              <w:t>την πρόθεση της Επιτροπής να θεωρείται η ΕΕΚ εκπαίδευση ίσης αξίας</w:t>
            </w:r>
            <w:r>
              <w:t>·</w:t>
            </w:r>
          </w:p>
        </w:tc>
        <w:tc>
          <w:tcPr>
            <w:tcW w:w="4876" w:type="dxa"/>
            <w:tcBorders>
              <w:top w:val="nil"/>
              <w:left w:val="nil"/>
              <w:bottom w:val="nil"/>
              <w:right w:val="nil"/>
            </w:tcBorders>
          </w:tcPr>
          <w:p>
            <w:pPr>
              <w:pStyle w:val="Normal6a"/>
            </w:pPr>
            <w:r>
              <w:t>4.</w:t>
            </w:r>
            <w:r>
              <w:tab/>
            </w:r>
            <w:r>
              <w:t xml:space="preserve">καλεί τα θεσμικά όργανα της ΕΕ και τα κράτη μέλη να προωθήσουν μια ορολογία που να σέβεται περισσότερο τις εκπαιδευτικές διαδρομές </w:t>
            </w:r>
            <w:r>
              <w:rPr>
                <w:b/>
                <w:i/>
              </w:rPr>
              <w:t>βασιζόμενη στα επίπεδα του ευρωπαϊκού πλαισίου επαγγελματικών προσόντων (ΕΠΕΠ) παρά σε</w:t>
            </w:r>
            <w:r>
              <w:t xml:space="preserve"> όρους όπως «ανώτερη» και «κατώτερη» εκπαίδευση· καλεί την Επιτροπή να </w:t>
            </w:r>
            <w:r>
              <w:rPr>
                <w:b/>
                <w:i/>
              </w:rPr>
              <w:t>συμπληρώσει το κριτήριο αναφοράς για το</w:t>
            </w:r>
            <w:r>
              <w:t xml:space="preserve"> επίπεδο </w:t>
            </w:r>
            <w:r>
              <w:rPr>
                <w:b/>
                <w:i/>
              </w:rPr>
              <w:t>της</w:t>
            </w:r>
            <w:r>
              <w:t xml:space="preserve"> τριτοβάθμιας εκπαίδευσης με </w:t>
            </w:r>
            <w:r>
              <w:rPr>
                <w:b/>
                <w:i/>
              </w:rPr>
              <w:t>έναν φιλόδοξο στόχο σε επίπεδο ΕΕ για τη συμμετοχή και την ολοκλήρωση στην ΕΕΚ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καλεί τα θεσμικά όργανα της ΕΕ και τα κράτη μέλη να προωθήσουν μια ορολογία που να σέβεται περισσότερο τις εκπαιδευτικές διαδρομές και να καταργήσουν όρους όπως «ανώτερη» και «κατώτερη» εκπαίδευση· καλεί την Επιτροπή </w:t>
            </w:r>
            <w:r>
              <w:rPr>
                <w:b/>
                <w:i/>
              </w:rPr>
              <w:t>να καταργήσει τον στόχο που έχει τεθεί σε επίπεδο ΕΕ για απόκτηση διπλώματος τριτοβάθμιας εκπαίδευσης ως κριτήριο αναφοράς, δεδομένου ότι δεν συμμορφώνεται με την πρόθεση της Επιτροπής να θεωρείται η ΕΕΚ εκπαίδευση ίσης αξίας</w:t>
            </w:r>
            <w:r>
              <w:t>·</w:t>
            </w:r>
          </w:p>
        </w:tc>
        <w:tc>
          <w:tcPr>
            <w:tcW w:w="4876" w:type="dxa"/>
            <w:tcBorders>
              <w:top w:val="nil"/>
              <w:left w:val="nil"/>
              <w:bottom w:val="nil"/>
              <w:right w:val="nil"/>
            </w:tcBorders>
          </w:tcPr>
          <w:p>
            <w:pPr>
              <w:pStyle w:val="Normal6a"/>
            </w:pPr>
            <w:r>
              <w:t>4.</w:t>
            </w:r>
            <w:r>
              <w:tab/>
            </w:r>
            <w:r>
              <w:t>καλεί τα θεσμικά όργανα της ΕΕ και τα κράτη μέλη να προωθήσουν μια ορολογία που να σέβεται περισσότερο τις εκπαιδευτικές διαδρομές και να καταργήσουν όρους όπως «ανώτερη» και «κατώτερη» εκπαίδευση· καλεί</w:t>
            </w:r>
            <w:r>
              <w:rPr>
                <w:b/>
                <w:i/>
              </w:rPr>
              <w:t>, επιπλέον,</w:t>
            </w:r>
            <w:r>
              <w:t xml:space="preserve"> την Επιτροπή </w:t>
            </w:r>
            <w:r>
              <w:rPr>
                <w:b/>
                <w:i/>
              </w:rPr>
              <w:t>και τα κράτη μέλη να διασφαλίσουν την ισότιμη αναγνώριση των επαγγελματικών και ακαδημαϊκών διαδρομών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καλεί τα θεσμικά όργανα της ΕΕ και τα κράτη μέλη να προωθήσουν μια ορολογία που να σέβεται περισσότερο τις εκπαιδευτικές διαδρομές και να καταργήσουν όρους όπως «ανώτερη» και «κατώτερη» εκπαίδευση· καλεί την Επιτροπή να </w:t>
            </w:r>
            <w:r>
              <w:rPr>
                <w:b/>
                <w:i/>
              </w:rPr>
              <w:t>καταργήσει τον στόχο που έχει τεθεί</w:t>
            </w:r>
            <w:r>
              <w:t xml:space="preserve"> σε επίπεδο ΕΕ </w:t>
            </w:r>
            <w:r>
              <w:rPr>
                <w:b/>
                <w:i/>
              </w:rPr>
              <w:t>για</w:t>
            </w:r>
            <w:r>
              <w:t xml:space="preserve"> απόκτηση διπλώματος τριτοβάθμιας εκπαίδευσης </w:t>
            </w:r>
            <w:r>
              <w:rPr>
                <w:b/>
                <w:i/>
              </w:rPr>
              <w:t>ως κριτήριο αναφοράς, δεδομένου ότι δεν συμμορφώνεται με την πρόθεση της Επιτροπής να θεωρείται η ΕΕΚ</w:t>
            </w:r>
            <w:r>
              <w:t xml:space="preserve"> εκπαίδευση </w:t>
            </w:r>
            <w:r>
              <w:rPr>
                <w:b/>
                <w:i/>
              </w:rPr>
              <w:t>ίσης αξίας</w:t>
            </w:r>
            <w:r>
              <w:t>·</w:t>
            </w:r>
          </w:p>
        </w:tc>
        <w:tc>
          <w:tcPr>
            <w:tcW w:w="4876" w:type="dxa"/>
            <w:tcBorders>
              <w:top w:val="nil"/>
              <w:left w:val="nil"/>
              <w:bottom w:val="nil"/>
              <w:right w:val="nil"/>
            </w:tcBorders>
          </w:tcPr>
          <w:p>
            <w:pPr>
              <w:pStyle w:val="Normal6a"/>
            </w:pPr>
            <w:r>
              <w:t>4.</w:t>
            </w:r>
            <w:r>
              <w:tab/>
            </w:r>
            <w:r>
              <w:t xml:space="preserve">καλεί τα θεσμικά όργανα της ΕΕ και τα κράτη μέλη να προωθήσουν μια ορολογία που να σέβεται περισσότερο τις εκπαιδευτικές διαδρομές και να καταργήσουν όρους όπως «ανώτερη» και «κατώτερη» εκπαίδευση· καλεί την Επιτροπή να </w:t>
            </w:r>
            <w:r>
              <w:rPr>
                <w:b/>
                <w:i/>
              </w:rPr>
              <w:t>διασφαλίσει ότι οι στόχοι και τα κριτήρια αναφοράς</w:t>
            </w:r>
            <w:r>
              <w:t xml:space="preserve"> σε επίπεδο ΕΕ </w:t>
            </w:r>
            <w:r>
              <w:rPr>
                <w:b/>
                <w:i/>
              </w:rPr>
              <w:t>όσον αφορά τις δεξιότητες και την</w:t>
            </w:r>
            <w:r>
              <w:t xml:space="preserve"> απόκτηση διπλώματος τριτοβάθμιας εκπαίδευσης </w:t>
            </w:r>
            <w:r>
              <w:rPr>
                <w:b/>
                <w:i/>
              </w:rPr>
              <w:t>δεν ευνοούν τη μία διαδρομή έναντι της άλλης και ότι η επαγγελματική</w:t>
            </w:r>
            <w:r>
              <w:t xml:space="preserve"> εκπαίδευση </w:t>
            </w:r>
            <w:r>
              <w:rPr>
                <w:b/>
                <w:i/>
              </w:rPr>
              <w:t>και κατάρτιση αποτιμάται επί ίσοις όροις με την τριτοβάθμια εκπαίδευση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καλεί τα θεσμικά όργανα της ΕΕ και τα κράτη μέλη να προωθήσουν μια ορολογία που να σέβεται περισσότερο τις εκπαιδευτικές διαδρομές και να καταργήσουν όρους όπως «ανώτερη» και «κατώτερη» εκπαίδευση· καλεί την Επιτροπή να καταργήσει τον στόχο που έχει τεθεί σε επίπεδο ΕΕ για απόκτηση διπλώματος τριτοβάθμιας εκπαίδευσης ως κριτήριο αναφοράς, δεδομένου ότι δεν συμμορφώνεται με την πρόθεση της Επιτροπής να θεωρείται η ΕΕΚ εκπαίδευση ίσης αξίας·</w:t>
            </w:r>
          </w:p>
        </w:tc>
        <w:tc>
          <w:tcPr>
            <w:tcW w:w="4876" w:type="dxa"/>
            <w:tcBorders>
              <w:top w:val="nil"/>
              <w:left w:val="nil"/>
              <w:bottom w:val="nil"/>
              <w:right w:val="nil"/>
            </w:tcBorders>
          </w:tcPr>
          <w:p>
            <w:pPr>
              <w:pStyle w:val="Normal6a"/>
            </w:pPr>
            <w:r>
              <w:t>4.</w:t>
            </w:r>
            <w:r>
              <w:tab/>
            </w:r>
            <w:r>
              <w:t xml:space="preserve">καλεί τα θεσμικά όργανα της ΕΕ και τα κράτη μέλη να προωθήσουν μια ορολογία που να σέβεται περισσότερο τις εκπαιδευτικές διαδρομές και να καταργήσουν όρους όπως «ανώτερη» και «κατώτερη» εκπαίδευση· καλεί την Επιτροπή να καταργήσει τον στόχο που έχει τεθεί σε επίπεδο ΕΕ για απόκτηση διπλώματος τριτοβάθμιας εκπαίδευσης ως κριτήριο αναφοράς, δεδομένου ότι δεν συμμορφώνεται με την πρόθεση της Επιτροπής να θεωρείται η ΕΕΚ εκπαίδευση ίσης αξίας· </w:t>
            </w:r>
            <w:r>
              <w:rPr>
                <w:b/>
                <w:i/>
              </w:rPr>
              <w:t>καλεί, επιπλέον, την Επιτροπή και τα κράτη μέλη να διασφαλίσουν ότι η τριτοβάθμια επαγγελματική εκπαίδευση στα επίπεδα ISCED 5 και ΕΠΕΠ 5 και 6 αναγνωρίζεται ρητά και προωθείται στα πλαίσια πολιτικής της ΕΕ για τις δεξιότητες ως εξίσου πολύτιμη διαδρομή παράλληλα με την ακαδημαϊκή τριτοβάθμια εκπαίδευση·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καλεί τα θεσμικά όργανα της ΕΕ και τα κράτη μέλη να προωθήσουν μια ορολογία που να σέβεται περισσότερο τις εκπαιδευτικές διαδρομές και να καταργήσουν όρους όπως «ανώτερη» και «κατώτερη» εκπαίδευση· καλεί την Επιτροπή να καταργήσει τον στόχο που έχει τεθεί σε επίπεδο ΕΕ για απόκτηση διπλώματος τριτοβάθμιας εκπαίδευσης ως κριτήριο αναφοράς, δεδομένου ότι δεν συμμορφώνεται με την πρόθεση της Επιτροπής να θεωρείται η ΕΕΚ εκπαίδευση ίσης αξίας·</w:t>
            </w:r>
          </w:p>
        </w:tc>
        <w:tc>
          <w:tcPr>
            <w:tcW w:w="4876" w:type="dxa"/>
            <w:tcBorders>
              <w:top w:val="nil"/>
              <w:left w:val="nil"/>
              <w:bottom w:val="nil"/>
              <w:right w:val="nil"/>
            </w:tcBorders>
          </w:tcPr>
          <w:p>
            <w:pPr>
              <w:pStyle w:val="Normal6a"/>
            </w:pPr>
            <w:r>
              <w:t>4.</w:t>
            </w:r>
            <w:r>
              <w:tab/>
            </w:r>
            <w:r>
              <w:t>καλεί τα θεσμικά όργανα της ΕΕ και τα κράτη μέλη να προωθήσουν μια ορολογία που να σέβεται περισσότερο τις εκπαιδευτικές διαδρομές και να καταργήσουν όρους όπως «ανώτερη» και «κατώτερη» εκπαίδευση</w:t>
            </w:r>
            <w:r>
              <w:rPr>
                <w:b/>
                <w:i/>
              </w:rPr>
              <w:t>·</w:t>
            </w:r>
            <w:r>
              <w:t xml:space="preserve"> </w:t>
            </w:r>
            <w:r>
              <w:rPr>
                <w:b/>
                <w:i/>
              </w:rPr>
              <w:t>καλεί την Επιτροπή να διασφαλίσει ότι οι σχετικές στρατηγικές, οι ανακοινώσεις, η καθοδήγηση και τα χρηματοδοτικά μέσα της αντικατοπτρίζουν και προωθούν την ισότιμη αναγνώριση και αποτίμηση των επαγγελματικών και ακαδημαϊκών διαδρομών</w:t>
            </w:r>
            <w:r>
              <w:t>· καλεί την Επιτροπή να καταργήσει τον στόχο που έχει τεθεί σε επίπεδο ΕΕ για απόκτηση διπλώματος τριτοβάθμιας εκπαίδευσης ως κριτήριο αναφοράς, δεδομένου ότι δεν συμμορφώνεται με την πρόθεση της Επιτροπής να θεωρείται η ΕΕΚ εκπαίδευση ίσης αξίας·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καλεί τα κράτη μέλη και τα θεσμικά όργανα της ΕΕ να εξασφαλίσουν τη συμμετοχή σπουδαστών </w:t>
            </w:r>
            <w:r>
              <w:rPr>
                <w:b/>
                <w:i/>
              </w:rPr>
              <w:t>και</w:t>
            </w:r>
            <w:r>
              <w:t xml:space="preserve"> αποφοίτων </w:t>
            </w:r>
            <w:r>
              <w:rPr>
                <w:b/>
                <w:i/>
              </w:rPr>
              <w:t>ΕΕΚ</w:t>
            </w:r>
            <w:r>
              <w:t xml:space="preserve"> σε όλα τα επίπεδα χάραξης πολιτικής, ώστε να διασφαλιστεί η </w:t>
            </w:r>
            <w:r>
              <w:rPr>
                <w:b/>
                <w:i/>
              </w:rPr>
              <w:t>ισότιμη</w:t>
            </w:r>
            <w:r>
              <w:t xml:space="preserve"> συμμετοχή</w:t>
            </w:r>
            <w:r>
              <w:rPr>
                <w:b/>
                <w:i/>
              </w:rPr>
              <w:t>, και να προσφέρουν επίσης θέσεις πρακτικής άσκησης ΕΕΚ</w:t>
            </w:r>
            <w:r>
              <w:t>·</w:t>
            </w:r>
          </w:p>
        </w:tc>
        <w:tc>
          <w:tcPr>
            <w:tcW w:w="4876" w:type="dxa"/>
            <w:tcBorders>
              <w:top w:val="nil"/>
              <w:left w:val="nil"/>
              <w:bottom w:val="nil"/>
              <w:right w:val="nil"/>
            </w:tcBorders>
          </w:tcPr>
          <w:p>
            <w:pPr>
              <w:pStyle w:val="Normal6a"/>
            </w:pPr>
            <w:r>
              <w:t>5.</w:t>
            </w:r>
            <w:r>
              <w:tab/>
            </w:r>
            <w:r>
              <w:t xml:space="preserve">καλεί τα κράτη μέλη και τα θεσμικά όργανα της ΕΕ να εξασφαλίσουν τη συμμετοχή σπουδαστών </w:t>
            </w:r>
            <w:r>
              <w:rPr>
                <w:b/>
                <w:i/>
              </w:rPr>
              <w:t>ΕΕΚ, μαθητευομένων,</w:t>
            </w:r>
            <w:r>
              <w:t xml:space="preserve"> αποφοίτων</w:t>
            </w:r>
            <w:r>
              <w:rPr>
                <w:b/>
                <w:i/>
              </w:rPr>
              <w:t>, εκπαιδευτικών, εκπαιδευτών και συνδικαλιστικών οργανώσεων</w:t>
            </w:r>
            <w:r>
              <w:t xml:space="preserve"> σε όλα τα επίπεδα χάραξης πολιτικής, ώστε να διασφαλιστεί η </w:t>
            </w:r>
            <w:r>
              <w:rPr>
                <w:b/>
                <w:i/>
              </w:rPr>
              <w:t>ουσιαστική</w:t>
            </w:r>
            <w:r>
              <w:t xml:space="preserve"> συμμετοχή </w:t>
            </w:r>
            <w:r>
              <w:rPr>
                <w:b/>
                <w:i/>
              </w:rPr>
              <w:t>και η δημοκρατική διακυβέρνηση των συστημάτων επαγγελματικής εκπαίδευσης και κατάρτισης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καλεί τα κράτη μέλη και τα θεσμικά όργανα της ΕΕ να εξασφαλίσουν τη συμμετοχή σπουδαστών </w:t>
            </w:r>
            <w:r>
              <w:rPr>
                <w:b/>
                <w:i/>
              </w:rPr>
              <w:t>και</w:t>
            </w:r>
            <w:r>
              <w:t xml:space="preserve"> αποφοίτων </w:t>
            </w:r>
            <w:r>
              <w:rPr>
                <w:b/>
                <w:i/>
              </w:rPr>
              <w:t>ΕΕΚ</w:t>
            </w:r>
            <w:r>
              <w:t xml:space="preserve"> σε όλα τα επίπεδα χάραξης πολιτικής, ώστε να διασφαλιστεί η ισότιμη συμμετοχή, και να προσφέρουν επίσης θέσεις </w:t>
            </w:r>
            <w:r>
              <w:rPr>
                <w:b/>
                <w:i/>
              </w:rPr>
              <w:t>πρακτικής άσκησης</w:t>
            </w:r>
            <w:r>
              <w:t xml:space="preserve"> ΕΕΚ·</w:t>
            </w:r>
          </w:p>
        </w:tc>
        <w:tc>
          <w:tcPr>
            <w:tcW w:w="4876" w:type="dxa"/>
            <w:tcBorders>
              <w:top w:val="nil"/>
              <w:left w:val="nil"/>
              <w:bottom w:val="nil"/>
              <w:right w:val="nil"/>
            </w:tcBorders>
          </w:tcPr>
          <w:p>
            <w:pPr>
              <w:pStyle w:val="Normal6a"/>
            </w:pPr>
            <w:r>
              <w:t>5.</w:t>
            </w:r>
            <w:r>
              <w:tab/>
            </w:r>
            <w:r>
              <w:t xml:space="preserve">καλεί τα κράτη μέλη και τα θεσμικά όργανα της ΕΕ να εξασφαλίσουν τη συμμετοχή </w:t>
            </w:r>
            <w:r>
              <w:rPr>
                <w:b/>
                <w:i/>
              </w:rPr>
              <w:t>των</w:t>
            </w:r>
            <w:r>
              <w:t xml:space="preserve"> σπουδαστών </w:t>
            </w:r>
            <w:r>
              <w:rPr>
                <w:b/>
                <w:i/>
              </w:rPr>
              <w:t>ΕΕΚ, των μαθητευομένων, των</w:t>
            </w:r>
            <w:r>
              <w:t xml:space="preserve"> αποφοίτων</w:t>
            </w:r>
            <w:r>
              <w:rPr>
                <w:b/>
                <w:i/>
              </w:rPr>
              <w:t>, των εκπαιδευτικών, των εκπαιδευτών και των εκπροσώπων τους, συμπεριλαμβανομένων των συνδικαλιστικών οργανώσεων και των φοιτητικών ενώσεων,</w:t>
            </w:r>
            <w:r>
              <w:t xml:space="preserve"> σε όλα τα επίπεδα χάραξης πολιτικής, ώστε να διασφαλιστεί η ισότιμη συμμετοχή, και να προσφέρουν επίσης θέσεις </w:t>
            </w:r>
            <w:r>
              <w:rPr>
                <w:b/>
                <w:i/>
              </w:rPr>
              <w:t>μαθητείας</w:t>
            </w:r>
            <w:r>
              <w:t xml:space="preserve">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καλεί τα κράτη μέλη και τα θεσμικά όργανα της ΕΕ να εξασφαλίσουν τη συμμετοχή σπουδαστών και αποφοίτων ΕΕΚ </w:t>
            </w:r>
            <w:r>
              <w:rPr>
                <w:b/>
                <w:i/>
              </w:rPr>
              <w:t>σε όλα τα επίπεδα</w:t>
            </w:r>
            <w:r>
              <w:t xml:space="preserve"> χάραξης πολιτικής, ώστε να διασφαλιστεί η ισότιμη συμμετοχή, και να προσφέρουν επίσης θέσεις πρακτικής άσκησης ΕΕΚ·</w:t>
            </w:r>
          </w:p>
        </w:tc>
        <w:tc>
          <w:tcPr>
            <w:tcW w:w="4876" w:type="dxa"/>
            <w:tcBorders>
              <w:top w:val="nil"/>
              <w:left w:val="nil"/>
              <w:bottom w:val="nil"/>
              <w:right w:val="nil"/>
            </w:tcBorders>
          </w:tcPr>
          <w:p>
            <w:pPr>
              <w:pStyle w:val="Normal6a"/>
            </w:pPr>
            <w:r>
              <w:t>5.</w:t>
            </w:r>
            <w:r>
              <w:tab/>
            </w:r>
            <w:r>
              <w:t xml:space="preserve">Καλεί τα κράτη μέλη και τα θεσμικά όργανα της ΕΕ να εξασφαλίσουν τη συμμετοχή </w:t>
            </w:r>
            <w:r>
              <w:rPr>
                <w:b/>
                <w:i/>
              </w:rPr>
              <w:t>των</w:t>
            </w:r>
            <w:r>
              <w:t xml:space="preserve"> σπουδαστών και αποφοίτων ΕΕΚ</w:t>
            </w:r>
            <w:r>
              <w:rPr>
                <w:b/>
                <w:i/>
              </w:rPr>
              <w:t>, των εργοδοτών, των εμπορικών επιμελητηρίων, των βιοτεχνικών οργανώσεων και των κοινωνικών εταίρων στον σχεδιασμό όλων των επιπέδων</w:t>
            </w:r>
            <w:r>
              <w:t xml:space="preserve"> χάραξης πολιτικής, ώστε να διασφαλιστεί η ισότιμη συμμετοχή, και να προσφέρουν επίσης θέσεις πρακτικής άσκησης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καλεί τα κράτη μέλη και τα θεσμικά όργανα της ΕΕ να εξασφαλίσουν τη συμμετοχή σπουδαστών και αποφοίτων ΕΕΚ σε όλα τα επίπεδα χάραξης πολιτικής, ώστε να διασφαλιστεί η ισότιμη συμμετοχή, και να προσφέρουν επίσης θέσεις πρακτικής άσκησης ΕΕΚ·</w:t>
            </w:r>
          </w:p>
        </w:tc>
        <w:tc>
          <w:tcPr>
            <w:tcW w:w="4876" w:type="dxa"/>
            <w:tcBorders>
              <w:top w:val="nil"/>
              <w:left w:val="nil"/>
              <w:bottom w:val="nil"/>
              <w:right w:val="nil"/>
            </w:tcBorders>
          </w:tcPr>
          <w:p>
            <w:pPr>
              <w:pStyle w:val="Normal6a"/>
            </w:pPr>
            <w:r>
              <w:t>5.</w:t>
            </w:r>
            <w:r>
              <w:tab/>
            </w:r>
            <w:r>
              <w:t xml:space="preserve">καλεί τα κράτη μέλη και τα θεσμικά όργανα της ΕΕ να εξασφαλίσουν τη συμμετοχή σπουδαστών και αποφοίτων ΕΕΚ σε όλα τα επίπεδα χάραξης πολιτικής, ώστε να διασφαλιστεί η ισότιμη συμμετοχή, και να προσφέρουν επίσης </w:t>
            </w:r>
            <w:r>
              <w:rPr>
                <w:b/>
                <w:i/>
              </w:rPr>
              <w:t>ποιοτικές και δίκαια αμοιβόμενες</w:t>
            </w:r>
            <w:r>
              <w:t xml:space="preserve"> θέσεις πρακτικής άσκησης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καλεί τα κράτη μέλη και τα θεσμικά όργανα της ΕΕ να εξασφαλίσουν τη συμμετοχή σπουδαστών και αποφοίτων ΕΕΚ </w:t>
            </w:r>
            <w:r>
              <w:rPr>
                <w:b/>
                <w:i/>
              </w:rPr>
              <w:t>σε όλα τα</w:t>
            </w:r>
            <w:r>
              <w:t xml:space="preserve"> επίπεδα χάραξης πολιτικής, ώστε να διασφαλιστεί η ισότιμη συμμετοχή, και να προσφέρουν επίσης θέσεις πρακτικής άσκησης ΕΕΚ·</w:t>
            </w:r>
          </w:p>
        </w:tc>
        <w:tc>
          <w:tcPr>
            <w:tcW w:w="4876" w:type="dxa"/>
            <w:tcBorders>
              <w:top w:val="nil"/>
              <w:left w:val="nil"/>
              <w:bottom w:val="nil"/>
              <w:right w:val="nil"/>
            </w:tcBorders>
          </w:tcPr>
          <w:p>
            <w:pPr>
              <w:pStyle w:val="Normal6a"/>
            </w:pPr>
            <w:r>
              <w:t>5.</w:t>
            </w:r>
            <w:r>
              <w:tab/>
            </w:r>
            <w:r>
              <w:t xml:space="preserve">καλεί τα κράτη μέλη και τα θεσμικά όργανα της ΕΕ να εξασφαλίσουν τη συμμετοχή σπουδαστών και αποφοίτων ΕΕΚ </w:t>
            </w:r>
            <w:r>
              <w:rPr>
                <w:b/>
                <w:i/>
              </w:rPr>
              <w:t>στα σχετικά</w:t>
            </w:r>
            <w:r>
              <w:t xml:space="preserve"> επίπεδα χάραξης πολιτικής, ώστε να διασφαλιστεί η ισότιμη συμμετοχή, και να προσφέρουν επίσης θέσεις πρακτικής άσκησης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καλεί τα κράτη μέλη και τα θεσμικά όργανα της ΕΕ να εξασφαλίσουν τη συμμετοχή σπουδαστών και αποφοίτων ΕΕΚ σε όλα τα επίπεδα χάραξης πολιτικής, ώστε να διασφαλιστεί η ισότιμη συμμετοχή, και να προσφέρουν επίσης θέσεις πρακτικής άσκησης </w:t>
            </w:r>
            <w:r>
              <w:rPr>
                <w:b/>
                <w:i/>
              </w:rPr>
              <w:t>ΕΕΚ</w:t>
            </w:r>
            <w:r>
              <w:t>·</w:t>
            </w:r>
          </w:p>
        </w:tc>
        <w:tc>
          <w:tcPr>
            <w:tcW w:w="4876" w:type="dxa"/>
            <w:tcBorders>
              <w:top w:val="nil"/>
              <w:left w:val="nil"/>
              <w:bottom w:val="nil"/>
              <w:right w:val="nil"/>
            </w:tcBorders>
          </w:tcPr>
          <w:p>
            <w:pPr>
              <w:pStyle w:val="Normal6a"/>
            </w:pPr>
            <w:r>
              <w:t>5.</w:t>
            </w:r>
            <w:r>
              <w:tab/>
            </w:r>
            <w:r>
              <w:rPr>
                <w:b/>
                <w:i/>
              </w:rPr>
              <w:t>επισημαίνει την υπερεκπροσώπηση ατόμων με ακαδημαϊκή εκπαίδευση στη λήψη πολιτικών και διοικητικών αποφάσεων, γεγονός που περιορίζει την ποικιλομορφία των προοπτικών επαγγελματικής κατάρτισης στον σχεδιασμό πολιτικής·</w:t>
            </w:r>
            <w:r>
              <w:t xml:space="preserve"> καλεί τα κράτη μέλη και τα θεσμικά όργανα της ΕΕ να εξασφαλίσουν τη συμμετοχή σπουδαστών και αποφοίτων ΕΕΚ σε όλα τα επίπεδα χάραξης πολιτικής, ώστε να διασφαλιστεί η ισότιμη συμμετοχή, και να προσφέρουν επίσης θέσεις </w:t>
            </w:r>
            <w:r>
              <w:rPr>
                <w:b/>
                <w:i/>
              </w:rPr>
              <w:t>μαθητείας, σύντομης ή μακράς</w:t>
            </w:r>
            <w:r>
              <w:t xml:space="preserve"> πρακτικής άσκησης </w:t>
            </w:r>
            <w:r>
              <w:rPr>
                <w:b/>
                <w:i/>
              </w:rPr>
              <w:t>και απασχόλησης</w:t>
            </w:r>
            <w:r>
              <w:t xml:space="preserve">· </w:t>
            </w:r>
            <w:r>
              <w:rPr>
                <w:b/>
                <w:i/>
              </w:rPr>
              <w:t>καλεί την Επιτροπή να δημιουργήσει έναν μηχανισμό πρακτικών συμβουλών παράλληλα με τον μηχανισμό επιστημονικών συμβουλών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εκφράζει τη λύπη του για τις διακρίσεις με βάση την εκπαίδευση στην Ευρώπη·</w:t>
            </w:r>
            <w:r>
              <w:t xml:space="preserve"> </w:t>
            </w:r>
            <w:r>
              <w:rPr>
                <w:b/>
                <w:i/>
              </w:rPr>
              <w:t>εκφράζει την ικανοποίησή του για το γεγονός ότι η Βουλγαρία, η Κροατία, η Πορτογαλία και η Σλοβενία παρέχουν ήδη νομική προστασία κατά των διακρίσεων αυτών στα εθνικά νομικά τους συστήματα·</w:t>
            </w:r>
            <w:r>
              <w:t xml:space="preserve"> </w:t>
            </w:r>
            <w:r>
              <w:rPr>
                <w:b/>
                <w:i/>
              </w:rPr>
              <w:t>επισημαίνει τη συμβουλευτική γνωμοδότηση του Ινστιτούτου Ανθρωπίνων Δικαιωμάτων των Κάτω Χωρών</w:t>
            </w:r>
            <w:r>
              <w:rPr>
                <w:b/>
                <w:i/>
                <w:vertAlign w:val="superscript"/>
              </w:rPr>
              <w:t>1α</w:t>
            </w:r>
            <w:r>
              <w:rPr>
                <w:b/>
                <w:i/>
              </w:rPr>
              <w:t>, με την οποία ζητείται να συμπεριληφθεί η απόκτηση διπλώματος τριτοβάθμιας εκπαίδευσης ως προστατευόμενος λόγος διακρίσεων για αγαθά και υπηρεσίες·</w:t>
            </w:r>
            <w:r>
              <w:t xml:space="preserve"> </w:t>
            </w:r>
            <w:r>
              <w:rPr>
                <w:b/>
                <w:i/>
              </w:rPr>
              <w:t>καλεί την Ευρωπαϊκή Επιτροπή να αξιολογήσει και να προτείνει κατάλληλα μέτρα για να διασφαλίσει ότι οι διακρίσεις με βάση την εκπαίδευση αντιμετωπίζονται επαρκώς εντός του πλαισίου της ΕΕ για την ισότητα·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https://www.mensenrechten.nl/actueel/nieuws/2024/09/04/advies-college-vul-wetgeving-aan-met-bescherming-tegen-discriminatie-vanwege-opleiding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υπογραμμίζει τη σημασία της ΕΕΚ για τα άτομα και όσους αντιμετωπίζουν αναπηρία και τονίζει την ανάγκη να αναπτυχθούν στρατηγικές για να προσφέρονται περισσότερες και καλύτερες ευκαιρίες ΕΕΚ για αυτούς και να διευκολύνεται η ενσωμάτωσή τους στην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5β.</w:t>
            </w:r>
            <w:r>
              <w:tab/>
            </w:r>
            <w:r>
              <w:rPr>
                <w:b/>
                <w:i/>
              </w:rPr>
              <w:t>εκφράζει τη λύπη του για το γεγονός ότι τα επίπεδα αμοιβής σε πολλά τεχνικά επαγγέλματα — ιδίως στον δημόσιο τομέα- εξακολουθούν να μην ευθυγραμμίζονται επαρκώς με την πολυπλοκότητα, την ευθύνη και την κοινωνική αξία αυτών των ρόλων, γεγονός που συμβάλλει στις επίμονες ελλείψεις εργατικού δυναμικού και στη μειωμένη ελκυστικότητα επαγγελματικών διαδρομών·</w:t>
            </w:r>
            <w:r>
              <w:t xml:space="preserve"> </w:t>
            </w:r>
            <w:r>
              <w:rPr>
                <w:b/>
                <w:i/>
              </w:rPr>
              <w:t>καλεί τα κράτη μέλη και ενθαρρύνει τους κοινωνικούς εταίρους να αναθεωρήσουν τα πλαίσια αμοιβής τους προκειμένου να ενισχυθούν οι προσλήψεις, η παραμονή των απασχολουμένων και η μακροπρόθεσμη βιωσιμότητα βασικών τεχνικών υπηρεσιών και επαγγελμάτων.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αναγνωρίζει τη συμβολή των WorldSkills και EuroSkills στην προώθηση της αριστείας, της καινοτομίας και της ελκυστικότητας της ΕΕΚ σε ολόκληρη την Ευρώπη· ενθαρρύνει τη στενότερη συνεργασία μεταξύ της Επιτροπής, των κρατών μελών και των φορέων διοργάνωσης διαγωνισμών δεξιοτήτων ΕΕΚ, προκειμένου να προωθηθεί η επαγγελματική αριστεία και να υποστηριχθεί η προβολή της ΕΕΚ· αναγνωρίζει ότι οι εν λόγω διαγωνισμοί και τα πλαίσια που συνδέονται με αυτούς, όπως τα επαγγελματικά πρότυπα WorldSkills, θα πρέπει να χρησιμεύσουν ως πηγή έμπνευσης για τους υπεύθυνους χάραξης πολιτικής και για την ανάπτυξη πολιτικής ΕΕΚ και την αναγνώριση δεξιοτήτων·</w:t>
            </w:r>
          </w:p>
        </w:tc>
        <w:tc>
          <w:tcPr>
            <w:tcW w:w="4876" w:type="dxa"/>
            <w:tcBorders>
              <w:top w:val="nil"/>
              <w:left w:val="nil"/>
              <w:bottom w:val="nil"/>
              <w:right w:val="nil"/>
            </w:tcBorders>
          </w:tcPr>
          <w:p>
            <w:pPr>
              <w:pStyle w:val="Normal6a"/>
            </w:pPr>
            <w:r>
              <w:t>6.</w:t>
            </w:r>
            <w:r>
              <w:tab/>
            </w:r>
            <w:r>
              <w:t xml:space="preserve">αναγνωρίζει τη συμβολή των WorldSkills και EuroSkills στην προώθηση της αριστείας, της καινοτομίας και της ελκυστικότητας της ΕΕΚ σε ολόκληρη την Ευρώπη· ενθαρρύνει τη στενότερη συνεργασία μεταξύ της Επιτροπής, των κρατών μελών και των φορέων διοργάνωσης διαγωνισμών δεξιοτήτων ΕΕΚ, προκειμένου να προωθηθεί η επαγγελματική αριστεία και να υποστηριχθεί η προβολή της ΕΕΚ· αναγνωρίζει ότι οι εν λόγω διαγωνισμοί και τα πλαίσια που συνδέονται με αυτούς, όπως τα επαγγελματικά πρότυπα WorldSkills, θα πρέπει να χρησιμεύσουν ως πηγή έμπνευσης για τους υπεύθυνους χάραξης πολιτικής και για την ανάπτυξη πολιτικής ΕΕΚ και την αναγνώριση δεξιοτήτων· </w:t>
            </w:r>
            <w:r>
              <w:rPr>
                <w:b/>
                <w:i/>
              </w:rPr>
              <w:t>υπενθυμίζοντας παράλληλα ότι η αριστεία στην ΕΕΚ πρέπει επίσης να περιλαμβάνει την ένταξη, την προσβασιμότητα, τις ποιοτικές συνθήκες εργασίας για τους εκπαιδευτικούς και τους εκπαιδευτές και τις ίσες ευκαιρίες για όλους τους εκπαιδευόμενους·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αναγνωρίζει τη συμβολή των WorldSkills και EuroSkills στην προώθηση της αριστείας, της καινοτομίας και της ελκυστικότητας της ΕΕΚ σε ολόκληρη την Ευρώπη· ενθαρρύνει τη στενότερη συνεργασία μεταξύ της Επιτροπής, των κρατών μελών και των φορέων διοργάνωσης διαγωνισμών δεξιοτήτων ΕΕΚ, προκειμένου να προωθηθεί η επαγγελματική αριστεία και να υποστηριχθεί η προβολή της ΕΕΚ· αναγνωρίζει ότι οι εν λόγω διαγωνισμοί και τα πλαίσια που συνδέονται με αυτούς, όπως τα επαγγελματικά πρότυπα WorldSkills, θα πρέπει να χρησιμεύσουν ως πηγή έμπνευσης για τους υπεύθυνους χάραξης πολιτικής και για την ανάπτυξη πολιτικής ΕΕΚ και την αναγνώριση δεξιοτήτων·</w:t>
            </w:r>
          </w:p>
        </w:tc>
        <w:tc>
          <w:tcPr>
            <w:tcW w:w="4876" w:type="dxa"/>
            <w:tcBorders>
              <w:top w:val="nil"/>
              <w:left w:val="nil"/>
              <w:bottom w:val="nil"/>
              <w:right w:val="nil"/>
            </w:tcBorders>
          </w:tcPr>
          <w:p>
            <w:pPr>
              <w:pStyle w:val="Normal6a"/>
            </w:pPr>
            <w:r>
              <w:t>6.</w:t>
            </w:r>
            <w:r>
              <w:tab/>
            </w:r>
            <w:r>
              <w:t>αναγνωρίζει τη συμβολή των WorldSkills και EuroSkills στην προώθηση της αριστείας, της καινοτομίας και της ελκυστικότητας της ΕΕΚ σε ολόκληρη την Ευρώπη· ενθαρρύνει τη στενότερη συνεργασία μεταξύ της Επιτροπής, των κρατών μελών</w:t>
            </w:r>
            <w:r>
              <w:rPr>
                <w:b/>
                <w:i/>
              </w:rPr>
              <w:t>, των περιφερειακών και κλαδικών οργανώσεων</w:t>
            </w:r>
            <w:r>
              <w:t xml:space="preserve"> και των φορέων διοργάνωσης διαγωνισμών δεξιοτήτων ΕΕΚ, προκειμένου να προωθηθεί η επαγγελματική αριστεία και να υποστηριχθεί η προβολή της ΕΕΚ· αναγνωρίζει ότι οι εν λόγω διαγωνισμοί και τα πλαίσια που συνδέονται με αυτούς, όπως τα επαγγελματικά πρότυπα WorldSkills, θα πρέπει να χρησιμεύσουν ως πηγή έμπνευσης για τους υπεύθυνους χάραξης πολιτικής και για την ανάπτυξη πολιτικής ΕΕΚ και την αναγνώριση δεξιοτήτων·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υπενθυμίζει ότι, παρόλο που η ανακοίνωση της Επιτροπής με τίτλο «Η Ένωση Δεξιοτήτων» αναφέρει ότι η ΕΕΚ θα πρέπει να καταστεί μια μαθησιακή διαδρομή που θα θεωρείται ισάξια με την τριτοβάθμια εκπαίδευση, η ΕΕΚ εξακολουθεί να λαμβάνει μικρότερο μερίδιο της χρηματοδότησης του Erasmus +, σε σύγκριση με την ακαδημαϊκή εκπαίδευση· επιμένει ότι τα κονδύλια του προϋπολογισμού που προορίζονται για αυτήν πρέπει να αυξηθούν ώστε να διασφαλιστεί η επίτευξη αυτού του στόχου στην πράξη, και να υποστηριχθεί ο στόχος «Η Ευρώπη σε κίνηση» για μαθησιακή κινητικότητα της τάξης του 12 % για τους εκπαιδευόμενους ΕΕΚ έως το 2030·</w:t>
            </w:r>
          </w:p>
        </w:tc>
        <w:tc>
          <w:tcPr>
            <w:tcW w:w="4876" w:type="dxa"/>
            <w:tcBorders>
              <w:top w:val="nil"/>
              <w:left w:val="nil"/>
              <w:bottom w:val="nil"/>
              <w:right w:val="nil"/>
            </w:tcBorders>
          </w:tcPr>
          <w:p>
            <w:pPr>
              <w:pStyle w:val="Normal6a"/>
            </w:pPr>
            <w:r>
              <w:t>7.</w:t>
            </w:r>
            <w:r>
              <w:tab/>
            </w:r>
            <w:r>
              <w:t>υπενθυμίζει ότι, παρόλο που η ανακοίνωση της Επιτροπής με τίτλο «Η Ένωση Δεξιοτήτων» αναφέρει ότι η ΕΕΚ θα πρέπει να καταστεί μια μαθησιακή διαδρομή που θα θεωρείται ισάξια με την τριτοβάθμια εκπαίδευση, η ΕΕΚ εξακολουθεί να λαμβάνει μικρότερο μερίδιο της χρηματοδότησης του Erasmus +, σε σύγκριση με την ακαδημαϊκή εκπαίδευση· επιμένει ότι τα κονδύλια του προϋπολογισμού που προορίζονται για αυτήν πρέπει να αυξηθούν ώστε να διασφαλιστεί η επίτευξη αυτού του στόχου στην πράξη, και να υποστηριχθεί ο στόχος «Η Ευρώπη σε κίνηση» για μαθησιακή κινητικότητα της τάξης του 12 % για τους εκπαιδευόμενους ΕΕΚ έως το 2030</w:t>
            </w:r>
            <w:r>
              <w:rPr>
                <w:b/>
                <w:i/>
              </w:rPr>
              <w:t>, ο οποίος πρέπει να επιτευχθεί, μεταξύ άλλων, μέσω του προγράμματος Erasmus+</w:t>
            </w:r>
            <w:r>
              <w:t xml:space="preserve">· </w:t>
            </w:r>
            <w:r>
              <w:rPr>
                <w:b/>
                <w:i/>
              </w:rPr>
              <w:t>υπενθυμίζει την ανάγκη να ενισχυθεί η πρόσβαση στη μαθησιακή κινητικότητα για μαθητευόμενους, ενήλικες εκπαιδευόμενους και εκπαιδευόμενους με λιγότερες ευκαιρίες, μεταξύ άλλων μέσω της στήριξης για προπαρασκευαστικά, γλωσσικά και συνοδευτικά μέτρα στήριξης·</w:t>
            </w:r>
            <w:r>
              <w:t xml:space="preserve"> </w:t>
            </w:r>
            <w:r>
              <w:rPr>
                <w:b/>
                <w:i/>
              </w:rPr>
              <w:t>υπενθυμίζει ότι, στο πλαίσιο της αποτελεσματικής προώθησης προγραμμάτων κινητικότητας για ΕΕΚ σε γυναίκες, πρέπει να λαμβάνεται υπόψη η ισορροπία των φύλων όσον αφορά την πρόσβαση σε τέτοιου είδους δραστηριότητες·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υπενθυμίζει ότι, παρόλο που η ανακοίνωση της Επιτροπής με τίτλο «Η Ένωση Δεξιοτήτων» αναφέρει ότι η ΕΕΚ θα πρέπει να καταστεί μια μαθησιακή διαδρομή που θα θεωρείται ισάξια με την τριτοβάθμια εκπαίδευση, η ΕΕΚ εξακολουθεί να λαμβάνει μικρότερο μερίδιο της χρηματοδότησης του Erasmus +, σε σύγκριση με την ακαδημαϊκή εκπαίδευση· επιμένει ότι τα κονδύλια του προϋπολογισμού που προορίζονται για αυτήν πρέπει να αυξηθούν ώστε να διασφαλιστεί η επίτευξη αυτού του στόχου στην πράξη, και να υποστηριχθεί ο στόχος «Η Ευρώπη σε κίνηση» για μαθησιακή κινητικότητα της τάξης του 12 % για τους εκπαιδευόμενους ΕΕΚ έως το 2030·</w:t>
            </w:r>
          </w:p>
        </w:tc>
        <w:tc>
          <w:tcPr>
            <w:tcW w:w="4876" w:type="dxa"/>
            <w:tcBorders>
              <w:top w:val="nil"/>
              <w:left w:val="nil"/>
              <w:bottom w:val="nil"/>
              <w:right w:val="nil"/>
            </w:tcBorders>
          </w:tcPr>
          <w:p>
            <w:pPr>
              <w:pStyle w:val="Normal6a"/>
            </w:pPr>
            <w:r>
              <w:t>7.</w:t>
            </w:r>
            <w:r>
              <w:tab/>
            </w:r>
            <w:r>
              <w:t xml:space="preserve">υπενθυμίζει ότι, παρόλο που η ανακοίνωση της Επιτροπής με τίτλο «Η Ένωση Δεξιοτήτων» αναφέρει ότι η ΕΕΚ θα πρέπει να καταστεί μια μαθησιακή διαδρομή που θα θεωρείται ισάξια με την τριτοβάθμια εκπαίδευση, η ΕΕΚ εξακολουθεί να λαμβάνει μικρότερο μερίδιο της χρηματοδότησης του Erasmus +, σε σύγκριση με την ακαδημαϊκή εκπαίδευση· επιμένει ότι τα κονδύλια του προϋπολογισμού που προορίζονται για αυτήν πρέπει να αυξηθούν ώστε να διασφαλιστεί η επίτευξη αυτού του στόχου στην πράξη, και να υποστηριχθεί ο στόχος «Η Ευρώπη σε κίνηση» για μαθησιακή κινητικότητα της τάξης του 12 % για τους εκπαιδευόμενους ΕΕΚ έως το 2030· </w:t>
            </w:r>
            <w:r>
              <w:rPr>
                <w:b/>
                <w:i/>
              </w:rPr>
              <w:t>επιμένει ότι το Erasmus + θα πρέπει να αναγνωρίζει όχι μόνο τα αποτελέσματα στην αγορά εργασίας, αλλά και την προσωπική ανάπτυξη, τη διαπολιτισμική μάθηση και την εμπειρία των νέων ως βασικούς στόχους της κινητικότητας ΕΕΚ·</w:t>
            </w:r>
            <w:r>
              <w:t xml:space="preserve"> </w:t>
            </w:r>
            <w:r>
              <w:rPr>
                <w:b/>
                <w:i/>
              </w:rPr>
              <w:t>καλεί την Ευρωπαϊκή Επιτροπή να αυξήσει την προσβασιμότητα, την ένταξη και τη βιωσιμότητα των προγραμμάτων κινητικότητας, με τη διάθεση ειδικών κονδυλίων σε προγράμματα που τελούν υπό τη διαχείριση της ΕΕ για τη στήριξη της κινητικότητας χωρίς αποκλεισμούς για εκπαιδευόμενους από κοινωνικοοικονομικά μειονεκτούντα περιβάλλοντα·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υπενθυμίζει ότι, παρόλο που η ανακοίνωση της Επιτροπής με τίτλο «Η Ένωση Δεξιοτήτων» αναφέρει ότι η ΕΕΚ θα πρέπει να καταστεί μια μαθησιακή διαδρομή που θα θεωρείται ισάξια με την τριτοβάθμια εκπαίδευση, η ΕΕΚ εξακολουθεί να λαμβάνει μικρότερο μερίδιο της χρηματοδότησης του Erasmus +, σε σύγκριση με την ακαδημαϊκή εκπαίδευση· επιμένει ότι τα κονδύλια του προϋπολογισμού που προορίζονται για αυτήν πρέπει να αυξηθούν ώστε να διασφαλιστεί η επίτευξη αυτού του στόχου στην πράξη, και να υποστηριχθεί ο στόχος «Η Ευρώπη σε κίνηση» για μαθησιακή κινητικότητα της τάξης του 12 % για τους εκπαιδευόμενους ΕΕΚ έως το 2030·</w:t>
            </w:r>
          </w:p>
        </w:tc>
        <w:tc>
          <w:tcPr>
            <w:tcW w:w="4876" w:type="dxa"/>
            <w:tcBorders>
              <w:top w:val="nil"/>
              <w:left w:val="nil"/>
              <w:bottom w:val="nil"/>
              <w:right w:val="nil"/>
            </w:tcBorders>
          </w:tcPr>
          <w:p>
            <w:pPr>
              <w:pStyle w:val="Normal6a"/>
            </w:pPr>
            <w:r>
              <w:t>7.</w:t>
            </w:r>
            <w:r>
              <w:tab/>
            </w:r>
            <w:r>
              <w:t xml:space="preserve">υπενθυμίζει ότι, παρόλο που η ανακοίνωση της Επιτροπής με τίτλο «Η Ένωση Δεξιοτήτων» αναφέρει ότι η ΕΕΚ θα πρέπει να καταστεί μια μαθησιακή διαδρομή που θα θεωρείται ισάξια με την τριτοβάθμια εκπαίδευση, η ΕΕΚ εξακολουθεί να λαμβάνει μικρότερο μερίδιο της χρηματοδότησης του Erasmus +, σε σύγκριση με την ακαδημαϊκή εκπαίδευση· επιμένει ότι τα κονδύλια του προϋπολογισμού που προορίζονται για αυτήν πρέπει να αυξηθούν ώστε να διασφαλιστεί η επίτευξη αυτού του στόχου στην πράξη, και να υποστηριχθεί ο στόχος «Η Ευρώπη σε κίνηση» για μαθησιακή κινητικότητα της τάξης του 12 % για τους εκπαιδευόμενους ΕΕΚ έως το 2030· </w:t>
            </w:r>
            <w:r>
              <w:rPr>
                <w:b/>
                <w:i/>
              </w:rPr>
              <w:t>ζητεί την ενίσχυση των πρωτοβουλιών ανάπτυξης ικανοτήτων του Erasmus + στον τομέα της επαγγελματικής εκπαίδευσης και κατάρτισης, αναγνωρίζοντας τη συμβολή τους στη θεσμική ανάπτυξη, την καινοτομία και τη μακροπρόθεσμη ποιότητα και ανθεκτικότητα των συστημάτων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υπενθυμίζει ότι, παρόλο που η ανακοίνωση της Επιτροπής με τίτλο «Η Ένωση Δεξιοτήτων» αναφέρει ότι η ΕΕΚ θα πρέπει να καταστεί μια μαθησιακή διαδρομή που θα θεωρείται ισάξια με την τριτοβάθμια εκπαίδευση, η ΕΕΚ εξακολουθεί να λαμβάνει μικρότερο μερίδιο της χρηματοδότησης του Erasmus +, σε σύγκριση με την ακαδημαϊκή εκπαίδευση· επιμένει ότι τα κονδύλια του προϋπολογισμού που προορίζονται για αυτήν πρέπει να αυξηθούν ώστε να διασφαλιστεί η επίτευξη αυτού του στόχου στην πράξη, και να υποστηριχθεί ο στόχος «Η Ευρώπη σε κίνηση» για μαθησιακή κινητικότητα της τάξης του 12 % για τους εκπαιδευόμενους ΕΕΚ έως το 2030·</w:t>
            </w:r>
          </w:p>
        </w:tc>
        <w:tc>
          <w:tcPr>
            <w:tcW w:w="4876" w:type="dxa"/>
            <w:tcBorders>
              <w:top w:val="nil"/>
              <w:left w:val="nil"/>
              <w:bottom w:val="nil"/>
              <w:right w:val="nil"/>
            </w:tcBorders>
          </w:tcPr>
          <w:p>
            <w:pPr>
              <w:pStyle w:val="Normal6a"/>
            </w:pPr>
            <w:r>
              <w:t>7.</w:t>
            </w:r>
            <w:r>
              <w:tab/>
            </w:r>
            <w:r>
              <w:t xml:space="preserve">υπενθυμίζει ότι, παρόλο που η ανακοίνωση της Επιτροπής με τίτλο «Η Ένωση Δεξιοτήτων» αναφέρει ότι η ΕΕΚ θα πρέπει να καταστεί μια μαθησιακή διαδρομή που θα θεωρείται ισάξια με την τριτοβάθμια εκπαίδευση, η ΕΕΚ εξακολουθεί να λαμβάνει μικρότερο μερίδιο της χρηματοδότησης του Erasmus +, σε σύγκριση με την ακαδημαϊκή εκπαίδευση· </w:t>
            </w:r>
            <w:r>
              <w:rPr>
                <w:b/>
                <w:i/>
              </w:rPr>
              <w:t>ζητεί να αυξηθεί σημαντικά ο συνολικός προϋπολογισμός του Erasmus + στο επόμενο πολυετές δημοσιονομικό πλαίσιο, με ειδική στήριξη για εκπαιδευόμενους από μειονεκτούντα κοινωνικοοικονομικά περιβάλλοντα, αγροτικές περιοχές και εξόχως απόκεντρες περιοχές,</w:t>
            </w:r>
            <w:r>
              <w:t xml:space="preserve"> επιμένει ότι τα κονδύλια του προϋπολογισμού που προορίζονται για αυτήν πρέπει να αυξηθούν ώστε να διασφαλιστεί η επίτευξη αυτού του στόχου στην πράξη, και να υποστηριχθεί ο στόχος «Η Ευρώπη σε κίνηση» για μαθησιακή κινητικότητα της τάξης του 12 % για τους εκπαιδευόμενους ΕΕΚ έως το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εκφράζει τη λύπη του για το γεγονός ότι οι επίμονοι διαρθρωτικοί και οικονομικοί φραγμοί εξακολουθούν να περιορίζουν τη συμμετοχή των εκπαιδευομένων ΕΕΚ στη διεθνή κινητικότητα·</w:t>
            </w:r>
            <w:r>
              <w:t xml:space="preserve"> </w:t>
            </w:r>
            <w:r>
              <w:rPr>
                <w:b/>
                <w:i/>
              </w:rPr>
              <w:t>ζητεί τη θέσπιση ενός ισχυρού κοινού ευρωπαϊκού πλαισίου που θα διασφαλίζει την αυτόματη αναγνώριση των προσόντων και των μαθησιακών αποτελεσμάτων που αποκτώνται κατά τη διάρκεια περιόδων κινητικότητας και πρακτικής άσκησης και μαθητείας στο εξωτερικό·</w:t>
            </w:r>
            <w:r>
              <w:t xml:space="preserve"> </w:t>
            </w:r>
            <w:r>
              <w:rPr>
                <w:b/>
                <w:i/>
              </w:rPr>
              <w:t>ζητεί επίσης οι υποτροφίες κινητικότητας του Erasmus + να βασίζονται στο πραγματικό κόστος διαβίωσης στις χώρες υποδοχής και να λαμβάνουν υπόψη το ειδικό πρόσθετο κόστος που αντιμετωπίζουν οι σπουδαστές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υπογραμμίζει την ανάγκη να αναπτυχθούν εξατομικευμένες οδοί στήριξης για τους νέους που βρίσκονται εκτός απασχόλησης, εκπαίδευσης ή κατάρτισης (ΕΕΑΚ), μέσω εργαλείων καθοδήγησης, διδασκαλίας και μεντορίας, ικανών να αντιμετωπίσουν τις ατομικές ανάγκες και να άρουν τα εμπόδια στην πρόσβαση σε διαδρομές εκπαίδευσης και επαγγελματικής κατάρτισης·</w:t>
            </w:r>
            <w:r>
              <w:t xml:space="preserve"> </w:t>
            </w:r>
            <w:r>
              <w:rPr>
                <w:b/>
                <w:i/>
              </w:rPr>
              <w:t>καλεί την Επιτροπή και τα κράτη μέλη να ενισχύσουν τα μέτρα ένταξης και επανένταξης, προωθώντας τη συμμετοχή των ΕΕΑΚ σε προγράμματα επαγγελματικής εκπαίδευσης και κατάρτισης και σε ευκαιρίες διά βίου μάθησης.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καλεί την Επιτροπή και τα κράτη μέλη να διευκολύνουν τη συμμετοχή των ΜΜΕ στα προγράμματα κινητικότητας Erasmus + για μαθητευόμενους και εκπαιδευόμενους ΕΕΚ απλουστεύοντας τις διοικητικές διαδικασίες, μειώνοντας τις απαιτήσεις υποβολής εκθέσεων, παρέχοντας στοχευμένη οργανωτική στήριξη και λαμβάνοντας υπόψη τις ειδικές προκλήσεις που αντιμετωπίζουν οι μικρές επιχειρήσεις όταν οι μαθητευόμενοι απουσιάζουν προσωρινά από τον χώρο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εκφράζει τη λύπη του για την απόφαση της Ευρωπαϊκής Επιτροπής να μην συμπεριλάβει τις ευρωπαϊκές ενώσεις ΕΕΚ στο συμβούλιο υψηλού επιπέδου για τις δεξιότητες και καλεί την Επιτροπή να τις συμπεριλάβει ως πλήρες μέλος, υπό το πρίσμα της πείρας τους στην κατάρτιση, την εκπαίδευση και τις δεξιότητες, η οποία ευθυγραμμίζεται με τη βασική αποστολή του συμβουλίου και συμπληρώνει τα στοιχεία που παρέχονται από το Ευρωπαϊκό Παρατηρητήριο Πληροφοριών για τις Δεξιότητες·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καλεί τα κράτη μέλη και την Επιτροπή να λάβουν στοχευμένα μέτρα για τη γεφύρωση του χάσματος μεταξύ των φύλων στην εκπαίδευση και κατάρτιση που σχετίζεται με τους τομείς STEM, συμπεριλαμβανομένης της ΕΕΚ, αντιμετωπίζοντας τα στερεότυπα, βελτιώνοντας την διατήρηση των απασχολουμένων και την πρόοδο και διασφαλίζοντας ισότιμη πρόσβαση σε ποιοτική κατάρτιση, μαθητεία και μελλοντικές σταδιοδρομίες σε στρατηγικούς τομείς·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τονίζει ότι ο εύρυθμος κοινωνικός διάλογος, οι συλλογικές συμβάσεις και η ουσιαστική συμμετοχή των κοινωνικών εταίρων είναι ουσιαστικής σημασίας για τη βελτίωση της ελκυστικότητας και της ποιότητας της ΕΕΚ, την πρόβλεψη των αναγκών σε δεξιότητες και τη στήριξη των εργαζομένων μέσω της πράσινης και της ψηφιακής μετάβασης·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7β.</w:t>
            </w:r>
            <w:r>
              <w:tab/>
            </w:r>
            <w:r>
              <w:rPr>
                <w:b/>
                <w:i/>
              </w:rPr>
              <w:t>ζητεί να ληφθούν μέτρα που θα παρέχουν πρόσθετη στήριξη και θα απλουστεύουν τις διοικητικές διαδικασίες, ώστε να καταστεί ευκολότερο και ελκυστικότερο για τις εταιρείες και τις ΜΜΕ να φιλοξενούν και να αποστέλλουν διεθνείς μαθητευόμενους·</w:t>
            </w:r>
            <w:r>
              <w:t xml:space="preserve"> </w:t>
            </w:r>
            <w:r>
              <w:rPr>
                <w:b/>
                <w:i/>
              </w:rPr>
              <w:t>ζητεί την εφαρμογή του Erasmus Without Paper και της φοιτητικής ταυτότητας Erasmus στον τομέα της ΕΕΚ το συντομότερο δυνατόν·</w:t>
            </w:r>
            <w:r>
              <w:t xml:space="preserve"> </w:t>
            </w:r>
            <w:r>
              <w:rPr>
                <w:b/>
                <w:i/>
              </w:rPr>
              <w:t>ζητεί να διατεθεί προϋπολογισμός στους παρόχους ΕΕΚ ώστε να απασχολούν περισσότερους διεθνείς συντονιστές κινητικότητας·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7β.</w:t>
            </w:r>
            <w:r>
              <w:tab/>
            </w:r>
            <w:r>
              <w:rPr>
                <w:b/>
                <w:i/>
              </w:rPr>
              <w:t>ενθαρρύνει την ανάπτυξη εταιρικών σχέσεων και δικτύων ανταλλαγών μεταξύ επιχειρήσεων, παρόχων ΕΕΚ και ενδιάμεσων οργανισμών για τη διευκόλυνση της κινητικότητας στο πλαίσιο της μαθητείας, ιδίως για τις ΜΜΕ με περιορισμένη διοικητική και οργανωτική ικανότητα·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7γ.</w:t>
            </w:r>
            <w:r>
              <w:tab/>
            </w:r>
            <w:r>
              <w:rPr>
                <w:b/>
                <w:i/>
              </w:rPr>
              <w:t>επισημαίνει τη σημασία της ενίσχυσης της συνεργασίας και των επαφών μεταξύ σπουδαστών ΕΕΚ και σπουδαστών ακαδημαϊκής εκπαίδευσης·</w:t>
            </w:r>
            <w:r>
              <w:t xml:space="preserve"> </w:t>
            </w:r>
            <w:r>
              <w:rPr>
                <w:b/>
                <w:i/>
              </w:rPr>
              <w:t>θεωρεί ότι η διευκόλυνση κοινών μαθησιακών περιβαλλόντων, κοινών έργων και τακτικών ανταλλαγών μεταξύ των δύο ομάδων μπορεί να βελτιώσει την αμοιβαία κατανόηση, να στηρίξει ομαλότερες διαδρομές προόδου και να προωθήσει πιο καινοτόμα και συμπεριληπτικά μαθησιακά οικοσυστήματα·</w:t>
            </w:r>
            <w:r>
              <w:t xml:space="preserve"> </w:t>
            </w:r>
            <w:r>
              <w:rPr>
                <w:b/>
                <w:i/>
              </w:rPr>
              <w:t>καλεί την Επιτροπή να διερευνήσει ένα πιλοτικό πρόγραμμα Erasmus + για διατομεακά διεθνή σχέδια κινητικότητας για σπουδαστές ΕΕΚ και ακαδημαϊκούς σπουδαστές·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7γ.</w:t>
            </w:r>
            <w:r>
              <w:tab/>
            </w:r>
            <w:r>
              <w:rPr>
                <w:b/>
                <w:i/>
              </w:rPr>
              <w:t>καλεί την Επιτροπή να αξιοποιήσει τις υφιστάμενες ευρωπαϊκές και εθνικές δομές, την εμπειρογνωσία και τις εταιρικές σχέσεις κατά την υλοποίηση της Ένωσης Δεξιοτήτων, αποφεύγοντας την περιττή διοικητική πολυπλοκότητα και διασφαλίζοντας την αποδοτική χρήση των πόρων·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7δ.</w:t>
            </w:r>
            <w:r>
              <w:tab/>
            </w:r>
            <w:r>
              <w:rPr>
                <w:b/>
                <w:i/>
              </w:rPr>
              <w:t>θεωρεί ότι η ενεργός συμμετοχή και εκπροσώπηση των σπουδαστών είναι ζωτικής σημασίας για την αποτελεσματική διακυβέρνηση σε όλα τα εκπαιδευτικά ιδρύματα.</w:t>
            </w:r>
            <w:r>
              <w:t xml:space="preserve"> </w:t>
            </w:r>
            <w:r>
              <w:rPr>
                <w:b/>
                <w:i/>
              </w:rPr>
              <w:t>εκφράζει τη λύπη του για το γεγονός ότι από τα ιδρύματα ΕΕΚ συχνά λείπει η κατάλληλη συμμετοχή των σπουδαστών στα όργανα λήψης αποφάσεων και ότι οι σπουδαστές ΕΕΚ συχνά έχουν ανεπαρκή νομική προστασία κατά την εκπροσώπηση των δικαιωμάτων τους·</w:t>
            </w:r>
            <w:r>
              <w:t xml:space="preserve"> </w:t>
            </w:r>
            <w:r>
              <w:rPr>
                <w:b/>
                <w:i/>
              </w:rPr>
              <w:t>καλεί τα κράτη μέλη να διασφαλίσουν νομικές διατάξεις για τη συμμετοχή των φοιτητών·</w:t>
            </w:r>
            <w:r>
              <w:t xml:space="preserve"> </w:t>
            </w:r>
            <w:r>
              <w:rPr>
                <w:b/>
                <w:i/>
              </w:rPr>
              <w:t>καλεί την Ευρωπαϊκή Επιτροπή να στηρίξει την ανάπτυξη ενός ευρωπαϊκού δικτύου εκπροσώπησης των σπουδαστών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7δ.</w:t>
            </w:r>
            <w:r>
              <w:tab/>
            </w:r>
            <w:r>
              <w:rPr>
                <w:b/>
                <w:i/>
              </w:rPr>
              <w:t>εκφράζει την ικανοποίησή του για τις συνεχιζόμενες προσπάθειες της Επιτροπής να διευκολύνει τη διασυνοριακή κινητικότητα και τη φορητότητα δεξιοτήτων, μεταξύ άλλων μέσω της επικείμενης πρωτοβουλίας για τη φορητότητα δεξιοτήτων και μέσω της ψηφιοποίησης και της απλούστευσης διοικητικών διαδικασιών, ιδίως μέσω πρωτοβουλιών όπως το ευρωπαϊκό διαβατήριο κοινωνικής ασφάλισης (ESSPASS) και το πλαίσιο ηλεκτρονικής δήλωσης (eDeclaration framework) , με σκοπό τη μείωση του διοικητικού φόρτου και τη διευκόλυνση της κινητικότητας για τους εκπαιδευόμενους, τους εργαζομένους και τους εργοδότες σε ολόκληρη 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7ε.</w:t>
            </w:r>
            <w:r>
              <w:tab/>
            </w:r>
            <w:r>
              <w:rPr>
                <w:b/>
                <w:i/>
              </w:rPr>
              <w:t>καλεί την Επιτροπή και τα κράτη μέλη να ενισχύσουν το επίπεδο 5 του ΕΠΕΠ ως μια συνεκτική και αναγνωρισμένη διαδρομή τριτοβάθμιας επαγγελματικής κατάρτισης·</w:t>
            </w:r>
            <w:r>
              <w:t xml:space="preserve"> </w:t>
            </w:r>
            <w:r>
              <w:rPr>
                <w:b/>
                <w:i/>
              </w:rPr>
              <w:t>τονίζει την ανάγκη για μεγαλύτερη συνέπεια στον ρόλο και την προβολή του σε όλα τα κράτη μέλη·</w:t>
            </w:r>
            <w:r>
              <w:t xml:space="preserve"> </w:t>
            </w:r>
            <w:r>
              <w:rPr>
                <w:b/>
                <w:i/>
              </w:rPr>
              <w:t>τονίζει τη σημασία των σαφών οδών προόδου, των ενισχυμένων ρυθμίσεων μεταφοράς ακαδημαϊκών μονάδων και της βελτιωμένης διαπερατότητας μεταξύ της ΕΕΚ και των συστημάτων τριτοβάθμιας εκπαίδευσης, τονίζοντας παράλληλα ότι τα επίπεδα 3 και 4 του ΕΠΕΠ θα πρέπει να αναγνωρίζονται ως πολύτιμο και πλήρες επίπεδο προσόντων για τους εκπαιδευόμενους που επιθυμούν να εισέλθουν στην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καλεί την Επιτροπή να στηρίξει τα κράτη μέλη ώστε να </w:t>
            </w:r>
            <w:r>
              <w:rPr>
                <w:b/>
                <w:i/>
              </w:rPr>
              <w:t>επενδύσουν επαρκώς</w:t>
            </w:r>
            <w:r>
              <w:t xml:space="preserve"> στην ΕΕΚ μέσω </w:t>
            </w:r>
            <w:r>
              <w:rPr>
                <w:b/>
                <w:i/>
              </w:rPr>
              <w:t>των ειδικών ανά χώρα συστάσεων στο πλαίσιο</w:t>
            </w:r>
            <w:r>
              <w:t xml:space="preserve"> του Ευρωπαϊκού Εξαμήνου </w:t>
            </w:r>
            <w:r>
              <w:rPr>
                <w:b/>
                <w:i/>
              </w:rPr>
              <w:t>και της διάθεσης ενωσιακής χρηματοδότησης</w:t>
            </w:r>
            <w:r>
              <w:t>·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και συνιστά να ακολουθηθεί το παράδειγμα αυτό στο πλαίσιο των εθνικών και περιφερειακών σχεδίων εταιρικής σχέσης των κρατών μελών, προκειμένου να προωθηθεί η ΕΕΚ·</w:t>
            </w:r>
          </w:p>
        </w:tc>
        <w:tc>
          <w:tcPr>
            <w:tcW w:w="4876" w:type="dxa"/>
            <w:tcBorders>
              <w:top w:val="nil"/>
              <w:left w:val="nil"/>
              <w:bottom w:val="nil"/>
              <w:right w:val="nil"/>
            </w:tcBorders>
          </w:tcPr>
          <w:p>
            <w:pPr>
              <w:pStyle w:val="Normal6a"/>
            </w:pPr>
            <w:r>
              <w:t>8.</w:t>
            </w:r>
            <w:r>
              <w:tab/>
            </w:r>
            <w:r>
              <w:t xml:space="preserve">καλεί την Επιτροπή να στηρίξει τα κράτη μέλη ώστε να </w:t>
            </w:r>
            <w:r>
              <w:rPr>
                <w:b/>
                <w:i/>
              </w:rPr>
              <w:t>αυξήσουν ουσιαστικά τις δημόσιες επενδύσεις</w:t>
            </w:r>
            <w:r>
              <w:t xml:space="preserve"> στην ΕΕΚ μέσω του Ευρωπαϊκού Εξαμήνου</w:t>
            </w:r>
            <w:r>
              <w:rPr>
                <w:b/>
                <w:i/>
              </w:rPr>
              <w:t>, της πολιτικής συνοχής και των ειδικών χρηματοδοτικών μέσων της Ένωσης·</w:t>
            </w:r>
            <w:r>
              <w:t xml:space="preserve"> </w:t>
            </w:r>
            <w:r>
              <w:rPr>
                <w:b/>
                <w:i/>
              </w:rPr>
              <w:t>τονίζει ότι η πρόσβαση σε υψηλής ποιότητας επαγγελματική εκπαίδευση και κατάρτιση δεν θα πρέπει να εξαρτάται από τον περιφερειακό πλούτο ή την τοπική δημοσιονομική ικανότητα</w:t>
            </w:r>
            <w:r>
              <w:t>·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και συνιστά να ακολουθηθεί το παράδειγμα αυτό στο πλαίσιο των εθνικών και περιφερειακών σχεδίων εταιρικής σχέσης των κρατών μελών, προκειμένου να προωθηθεί η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καλεί την Επιτροπή να στηρίξει τα κράτη μέλη ώστε να επενδύσουν επαρκώς στην ΕΕΚ μέσω των ειδικών ανά χώρα συστάσεων στο πλαίσιο του Ευρωπαϊκού Εξαμήνου και </w:t>
            </w:r>
            <w:r>
              <w:rPr>
                <w:b/>
                <w:i/>
              </w:rPr>
              <w:t>της διάθεσης ενωσιακής χρηματοδότησης</w:t>
            </w:r>
            <w:r>
              <w:t>·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και συνιστά να ακολουθηθεί το παράδειγμα αυτό στο πλαίσιο των εθνικών και περιφερειακών σχεδίων εταιρικής σχέσης των κρατών μελών, προκειμένου να προωθηθεί η ΕΕΚ·</w:t>
            </w:r>
          </w:p>
        </w:tc>
        <w:tc>
          <w:tcPr>
            <w:tcW w:w="4876" w:type="dxa"/>
            <w:tcBorders>
              <w:top w:val="nil"/>
              <w:left w:val="nil"/>
              <w:bottom w:val="nil"/>
              <w:right w:val="nil"/>
            </w:tcBorders>
          </w:tcPr>
          <w:p>
            <w:pPr>
              <w:pStyle w:val="Normal6a"/>
            </w:pPr>
            <w:r>
              <w:t>8.</w:t>
            </w:r>
            <w:r>
              <w:tab/>
            </w:r>
            <w:r>
              <w:t xml:space="preserve">καλεί την Επιτροπή να στηρίξει τα κράτη μέλη ώστε να επενδύσουν επαρκώς στην ΕΕΚ μέσω των ειδικών ανά χώρα συστάσεων στο πλαίσιο του Ευρωπαϊκού Εξαμήνου και </w:t>
            </w:r>
            <w:r>
              <w:rPr>
                <w:b/>
                <w:i/>
              </w:rPr>
              <w:t>μέσω της αποτελεσματικής χρήσης των διαθέσιμων χρηματοδοτικών μέσων της ΕΕ</w:t>
            </w:r>
            <w:r>
              <w:t>·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και συνιστά να ακολουθηθεί το παράδειγμα αυτό στο πλαίσιο των εθνικών και περιφερειακών σχεδίων εταιρικής σχέσης των κρατών μελών, προκειμένου να προωθηθεί η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καλεί την Επιτροπή να στηρίξει τα κράτη μέλη ώστε να επενδύσουν επαρκώς στην ΕΕΚ μέσω των ειδικών ανά χώρα συστάσεων </w:t>
            </w:r>
            <w:r>
              <w:rPr>
                <w:b/>
                <w:i/>
              </w:rPr>
              <w:t>στο πλαίσιο του Ευρωπαϊκού Εξαμήνου</w:t>
            </w:r>
            <w:r>
              <w:t xml:space="preserve"> και της διάθεσης ενωσιακής χρηματοδότησης·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και συνιστά να ακολουθηθεί το παράδειγμα αυτό στο πλαίσιο των εθνικών και περιφερειακών σχεδίων εταιρικής σχέσης των κρατών μελών, προκειμένου να προωθηθεί η ΕΕΚ·</w:t>
            </w:r>
          </w:p>
        </w:tc>
        <w:tc>
          <w:tcPr>
            <w:tcW w:w="4876" w:type="dxa"/>
            <w:tcBorders>
              <w:top w:val="nil"/>
              <w:left w:val="nil"/>
              <w:bottom w:val="nil"/>
              <w:right w:val="nil"/>
            </w:tcBorders>
          </w:tcPr>
          <w:p>
            <w:pPr>
              <w:pStyle w:val="Normal6a"/>
            </w:pPr>
            <w:r>
              <w:t>8.</w:t>
            </w:r>
            <w:r>
              <w:tab/>
            </w:r>
            <w:r>
              <w:t>καλεί την Επιτροπή να στηρίξει τα κράτη μέλη ώστε να επενδύσουν επαρκώς στην ΕΕΚ μέσω των ειδικών ανά χώρα συστάσεων και της διάθεσης ενωσιακής χρηματοδότησης·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και συνιστά να ακολουθηθεί το παράδειγμα αυτό στο πλαίσιο των εθνικών και περιφερειακών σχεδίων εταιρικής σχέσης των κρατών μελών, προκειμένου να προωθηθεί η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καλεί την Επιτροπή να στηρίξει τα κράτη μέλη ώστε να επενδύσουν επαρκώς στην ΕΕΚ μέσω των ειδικών ανά χώρα συστάσεων στο πλαίσιο του Ευρωπαϊκού Εξαμήνου και της διάθεσης ενωσιακής χρηματοδότησης·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και συνιστά να ακολουθηθεί το παράδειγμα αυτό στο πλαίσιο των εθνικών και περιφερειακών σχεδίων εταιρικής σχέσης των κρατών μελών, προκειμένου να προωθηθεί η ΕΕΚ·</w:t>
            </w:r>
          </w:p>
        </w:tc>
        <w:tc>
          <w:tcPr>
            <w:tcW w:w="4876" w:type="dxa"/>
            <w:tcBorders>
              <w:top w:val="nil"/>
              <w:left w:val="nil"/>
              <w:bottom w:val="nil"/>
              <w:right w:val="nil"/>
            </w:tcBorders>
          </w:tcPr>
          <w:p>
            <w:pPr>
              <w:pStyle w:val="Normal6a"/>
            </w:pPr>
            <w:r>
              <w:t>8.</w:t>
            </w:r>
            <w:r>
              <w:tab/>
            </w:r>
            <w:r>
              <w:t xml:space="preserve">καλεί την Επιτροπή να στηρίξει τα κράτη μέλη ώστε να επενδύσουν επαρκώς στην ΕΕΚ μέσω των ειδικών ανά χώρα συστάσεων στο πλαίσιο του Ευρωπαϊκού Εξαμήνου και της διάθεσης ενωσιακής χρηματοδότησης·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w:t>
            </w:r>
            <w:r>
              <w:rPr>
                <w:b/>
                <w:i/>
              </w:rPr>
              <w:t>και τις κοινωνικές επιχειρήσεις</w:t>
            </w:r>
            <w:r>
              <w:t xml:space="preserve">, και συνιστά να ακολουθηθεί το παράδειγμα αυτό στο πλαίσιο των εθνικών και περιφερειακών σχεδίων εταιρικής σχέσης των κρατών μελών, προκειμένου να προωθηθεί η ΕΕΚ· </w:t>
            </w:r>
            <w:r>
              <w:rPr>
                <w:b/>
                <w:i/>
              </w:rPr>
              <w:t>καλεί την Επιτροπή και τα κράτη μέλη να διασφαλίσουν ότι τα μέτρα αυτά ενσωματώνονται στις στρατηγικές δίκαιης μετάβασης και υποστηρίζονται από επαρκή δημόσια χρηματοδότηση, κοινωνικό διάλογο και πρόσβαση σε ποιοτική κατάρτιση καθ’ όλη τη διάρκεια του εργασιακού βίου·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καλεί την Επιτροπή να στηρίξει τα κράτη μέλη ώστε να επενδύσουν επαρκώς στην ΕΕΚ μέσω των ειδικών ανά χώρα συστάσεων στο πλαίσιο του Ευρωπαϊκού Εξαμήνου και της διάθεσης ενωσιακής χρηματοδότησης·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και συνιστά να ακολουθηθεί το παράδειγμα αυτό στο πλαίσιο των εθνικών και περιφερειακών σχεδίων εταιρικής σχέσης των κρατών μελών, προκειμένου να προωθηθεί η ΕΕΚ·</w:t>
            </w:r>
          </w:p>
        </w:tc>
        <w:tc>
          <w:tcPr>
            <w:tcW w:w="4876" w:type="dxa"/>
            <w:tcBorders>
              <w:top w:val="nil"/>
              <w:left w:val="nil"/>
              <w:bottom w:val="nil"/>
              <w:right w:val="nil"/>
            </w:tcBorders>
          </w:tcPr>
          <w:p>
            <w:pPr>
              <w:pStyle w:val="Normal6a"/>
            </w:pPr>
            <w:r>
              <w:t>8.</w:t>
            </w:r>
            <w:r>
              <w:tab/>
            </w:r>
            <w:r>
              <w:t xml:space="preserve">καλεί την Επιτροπή να στηρίξει τα κράτη μέλη ώστε να επενδύσουν επαρκώς στην ΕΕΚ μέσω των ειδικών ανά χώρα συστάσεων στο πλαίσιο του Ευρωπαϊκού Εξαμήνου και της διάθεσης ενωσιακής χρηματοδότησης·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και συνιστά να ακολουθηθεί το παράδειγμα αυτό στο πλαίσιο των εθνικών και περιφερειακών σχεδίων εταιρικής σχέσης των κρατών μελών, προκειμένου να προωθηθεί η ΕΕΚ· </w:t>
            </w:r>
            <w:r>
              <w:rPr>
                <w:b/>
                <w:i/>
              </w:rPr>
              <w:t>και τονίζει ότι οι επενδύσεις θα πρέπει να στοχεύουν σε τομείς που αντιμετωπίζουν εμμένουσες ελλείψεις εργατικού δυναμικού και έχουν στρατηγική βιομηχανική σημασία.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καλεί την Επιτροπή να στηρίξει τα κράτη μέλη ώστε να επενδύσουν επαρκώς στην ΕΕΚ μέσω των ειδικών ανά χώρα συστάσεων στο πλαίσιο του Ευρωπαϊκού Εξαμήνου και της διάθεσης ενωσιακής χρηματοδότησης·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και συνιστά να </w:t>
            </w:r>
            <w:r>
              <w:rPr>
                <w:b/>
                <w:i/>
              </w:rPr>
              <w:t>ακολουθηθεί</w:t>
            </w:r>
            <w:r>
              <w:t xml:space="preserve"> το παράδειγμα αυτό στο πλαίσιο των εθνικών και περιφερειακών σχεδίων εταιρικής σχέσης των κρατών μελών, προκειμένου να προωθηθεί η ΕΕΚ·</w:t>
            </w:r>
          </w:p>
        </w:tc>
        <w:tc>
          <w:tcPr>
            <w:tcW w:w="4876" w:type="dxa"/>
            <w:tcBorders>
              <w:top w:val="nil"/>
              <w:left w:val="nil"/>
              <w:bottom w:val="nil"/>
              <w:right w:val="nil"/>
            </w:tcBorders>
          </w:tcPr>
          <w:p>
            <w:pPr>
              <w:pStyle w:val="Normal6a"/>
            </w:pPr>
            <w:r>
              <w:t>8.</w:t>
            </w:r>
            <w:r>
              <w:tab/>
            </w:r>
            <w:r>
              <w:t xml:space="preserve">καλεί την Επιτροπή να στηρίξει τα κράτη μέλη ώστε να επενδύσουν επαρκώς στην ΕΕΚ μέσω των ειδικών ανά χώρα συστάσεων στο πλαίσιο του Ευρωπαϊκού Εξαμήνου και της διάθεσης ενωσιακής χρηματοδότησης· υπενθυμίζει τις επιτυχείς επενδύσεις, στο πλαίσιο του Ταμείου Δίκαιης Μετάβασης, στις τοπικές οικονομίες μέσω ενός συνδυασμού χρηματοδότησης για τις δεξιότητες και για τις μικρές και μεσαίες επιχειρήσεις, και συνιστά να </w:t>
            </w:r>
            <w:r>
              <w:rPr>
                <w:b/>
                <w:i/>
              </w:rPr>
              <w:t>ληφθεί υπόψη</w:t>
            </w:r>
            <w:r>
              <w:t xml:space="preserve"> το παράδειγμα αυτό στο πλαίσιο των εθνικών και περιφερειακών σχεδίων εταιρικής σχέσης των κρατών μελών, προκειμένου να προωθηθεί η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8α.</w:t>
            </w:r>
            <w:r>
              <w:tab/>
            </w:r>
            <w:r>
              <w:rPr>
                <w:b/>
                <w:i/>
              </w:rPr>
              <w:t>καλεί την Επιτροπή να παρουσιάσει μια φιλόδοξη ευρωπαϊκή στρατηγική για την ΕΕΚ·</w:t>
            </w:r>
            <w:r>
              <w:t xml:space="preserve"> </w:t>
            </w:r>
            <w:r>
              <w:rPr>
                <w:b/>
                <w:i/>
              </w:rPr>
              <w:t>ενθαρρύνει την Επιτροπή να μεριμνήσει για τη συστηματική συμμετοχή των κοινωνικών εταίρων και των παρόχων ΕΕΚ σε πρώιμο στάδιο στον σχεδιασμό, την εφαρμογή και τη διακυβέρνηση των πολιτικών ΕΕΚ·</w:t>
            </w:r>
            <w:r>
              <w:t xml:space="preserve"> </w:t>
            </w:r>
            <w:r>
              <w:rPr>
                <w:b/>
                <w:i/>
              </w:rPr>
              <w:t>καλεί την Επιτροπή και το Συμβούλιο να τροποποιήσουν τον κανονισμό για την ίδρυση του Cedefop, ώστε να διασφαλιστεί ότι οι πάροχοι ΕΕΚ συμμετέχουν συστηματικά στις δομές διακυβέρνησης και παροχής συμβουλών του·</w:t>
            </w:r>
            <w:r>
              <w:t xml:space="preserve"> </w:t>
            </w:r>
            <w:r>
              <w:rPr>
                <w:b/>
                <w:i/>
              </w:rPr>
              <w:t>ενθαρρύνει την Επιτροπή να αναθέσει στις αντιπροσωπείες των παρόχων ΕΕΚ ρόλο μέλους στη συμβουλευτική επιτροπή για την επαγγελματική κατάρτιση και στο συμβούλιο υψηλού επιπέδου για τις δεξιότητες·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8α.</w:t>
            </w:r>
            <w:r>
              <w:tab/>
            </w:r>
            <w:r>
              <w:rPr>
                <w:b/>
                <w:i/>
              </w:rPr>
              <w:t>ζητεί, επιπλέον, βιώσιμες δημόσιες επενδύσεις στα συστήματα ΕΕΚ, με ιδιαίτερη προσοχή στις περιφέρειες που αντιμετωπίζουν διαρθρωτικές προκλήσεις στην αγορά εργασίας, ελλείψεις δεξιοτήτων ή περιορισμένη πρόσβαση σε ευκαιρίες κατάρτισης, συμπεριλαμβανομένων των αγροτικών, απομακρυσμένων, εξόχως απόκεντρων, αποβιομηχανοποιημένων και οικονομικά μειονεκτουσών περιοχών, ώστε να ενισχυθούν τα τοπικά οικοσυστήματα δεξιοτήτων και να υποστηριχθούν οι θετικές δευτερογενείς επιπτώσεις στην απασχόληση, την καινοτομία και την εδαφική συνοχή·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8β.</w:t>
            </w:r>
            <w:r>
              <w:tab/>
            </w:r>
            <w:r>
              <w:rPr>
                <w:b/>
                <w:i/>
              </w:rPr>
              <w:t>τονίζει ότι οι επενδύσεις της Ένωσης σε στρατηγικούς τομείς και στην πράσινη και την ψηφιακή μετάβαση μπορούν να επιτύχουν τον πλήρη αντίκτυπό τους μόνο όταν οι οι εργαζόμενοι, οι εκπαιδευόμενοι και οι εργοδότες έχουν πρόσβαση στις δεξιότητες που χρειάζονται για την ανάπτυξη, τη λειτουργία και την επέκταση νέων τεχνολογιών·</w:t>
            </w:r>
            <w:r>
              <w:t xml:space="preserve"> </w:t>
            </w:r>
            <w:r>
              <w:rPr>
                <w:b/>
                <w:i/>
              </w:rPr>
              <w:t>υπενθυμίζει ότι οι εμμένουσες ελλείψεις δεξιοτήτων αντικατοπτρίζουν τις μακροχρόνιες ανεπαρκείς επενδύσεις στην κατάρτιση, τον ανεπαρκή συντονισμό και την άνιση πρόσβαση σε ευκαιρίες ποιοτικής μάθησης, και μπορούν να επιβραδύνουν τη βιομηχανική εφαρμογή, να περιορίσουν την καινοτομία και να αποδυναμώσουν την ανταγωνιστικότητα της Ένωσης·</w:t>
            </w:r>
            <w:r>
              <w:t xml:space="preserve"> </w:t>
            </w:r>
            <w:r>
              <w:rPr>
                <w:b/>
                <w:i/>
              </w:rPr>
              <w:t>υπογραμμίζει, ως εκ τούτου, ότι η στήριξη της ΕΕΚ, της αναβάθμισης των δεξιοτήτων και της επανειδίκευσης θα πρέπει να αποτελεί αναπόσπαστο μέρος όλων των σχετικών επενδυτικών μέσων και μέσων πολιτικής της Ένωσης, μεταξύ άλλων μέσω ενός ουσιαστικού και προβλέψιμου μεριδίου των πόρων που προορίζονται για την ανάπτυξη δεξιοτήτων, την παροχή κατάρτισης και την προσαρμογή του εργατικού δυναμικού σε κάθε σχετικό πρόγραμμα ή σκέλος πολιτικής·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υποστηρίζει τις συμπράξεις </w:t>
            </w:r>
            <w:r>
              <w:rPr>
                <w:b/>
                <w:i/>
              </w:rPr>
              <w:t>σε ενωσιακό και εθνικό επίπεδο</w:t>
            </w:r>
            <w:r>
              <w:t xml:space="preserve"> μεταξύ εργοδοτών </w:t>
            </w:r>
            <w:r>
              <w:rPr>
                <w:b/>
                <w:i/>
              </w:rPr>
              <w:t>και</w:t>
            </w:r>
            <w:r>
              <w:t xml:space="preserve"> παρόχων ΕΕΚ για τη βελτίωση της συνάφειας και της ποιότητας των προγραμμάτων σπουδών ΕΕΚ·</w:t>
            </w:r>
            <w:r>
              <w:rPr>
                <w:b/>
                <w:i/>
              </w:rPr>
              <w:t> </w:t>
            </w:r>
            <w:r>
              <w:t xml:space="preserve"> </w:t>
            </w:r>
            <w:r>
              <w:rPr>
                <w:b/>
                <w:i/>
              </w:rPr>
              <w:t>ζητεί τη σύνδεση των παρόχων ΕΕΚ με τους περιφερειακούς βιομηχανικούς και τεχνολογικούς συνεργατικούς σχηματισμούς</w:t>
            </w:r>
            <w:r>
              <w:t>·</w:t>
            </w:r>
          </w:p>
        </w:tc>
        <w:tc>
          <w:tcPr>
            <w:tcW w:w="4876" w:type="dxa"/>
            <w:tcBorders>
              <w:top w:val="nil"/>
              <w:left w:val="nil"/>
              <w:bottom w:val="nil"/>
              <w:right w:val="nil"/>
            </w:tcBorders>
          </w:tcPr>
          <w:p>
            <w:pPr>
              <w:pStyle w:val="Normal6a"/>
            </w:pPr>
            <w:r>
              <w:t>9.</w:t>
            </w:r>
            <w:r>
              <w:tab/>
            </w:r>
            <w:r>
              <w:t>υποστηρίζει τις συμπράξεις μεταξύ εργοδοτών</w:t>
            </w:r>
            <w:r>
              <w:rPr>
                <w:b/>
                <w:i/>
              </w:rPr>
              <w:t>,</w:t>
            </w:r>
            <w:r>
              <w:t xml:space="preserve"> παρόχων ΕΕΚ</w:t>
            </w:r>
            <w:r>
              <w:rPr>
                <w:b/>
                <w:i/>
              </w:rPr>
              <w:t>, συνδικαλιστικών οργανώσεων και δημόσιων αρχών</w:t>
            </w:r>
            <w:r>
              <w:t xml:space="preserve"> για τη βελτίωση της συνάφειας και της ποιότητας των προγραμμάτων σπουδών ΕΕΚ· </w:t>
            </w:r>
            <w:r>
              <w:rPr>
                <w:b/>
                <w:i/>
              </w:rPr>
              <w:t>τονίζει ότι οι κοινωνικοί εταίροι θα πρέπει να διαδραματίζουν κεντρικό ρόλο στην ανάπτυξη προγραμμάτων σπουδών, προτύπων μαθητείας και προβλέψεων δεξιοτήτων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υποστηρίζει τις συμπράξεις σε ενωσιακό και εθνικό επίπεδο μεταξύ εργοδοτών και παρόχων ΕΕΚ για τη βελτίωση της συνάφειας και της ποιότητας των προγραμμάτων σπουδών ΕΕΚ·  ζητεί τη σύνδεση των παρόχων ΕΕΚ με τους περιφερειακούς βιομηχανικούς και τεχνολογικούς συνεργατικούς σχηματισμούς·</w:t>
            </w:r>
          </w:p>
        </w:tc>
        <w:tc>
          <w:tcPr>
            <w:tcW w:w="4876" w:type="dxa"/>
            <w:tcBorders>
              <w:top w:val="nil"/>
              <w:left w:val="nil"/>
              <w:bottom w:val="nil"/>
              <w:right w:val="nil"/>
            </w:tcBorders>
          </w:tcPr>
          <w:p>
            <w:pPr>
              <w:pStyle w:val="Normal6a"/>
            </w:pPr>
            <w:r>
              <w:t>9.</w:t>
            </w:r>
            <w:r>
              <w:tab/>
            </w:r>
            <w:r>
              <w:t xml:space="preserve">υποστηρίζει τις συμπράξεις σε ενωσιακό και εθνικό επίπεδο μεταξύ εργοδοτών και παρόχων ΕΕΚ για τη βελτίωση της συνάφειας και της ποιότητας των προγραμμάτων σπουδών ΕΕΚ·  ζητεί τη σύνδεση των παρόχων ΕΕΚ με τους περιφερειακούς βιομηχανικούς και τεχνολογικούς συνεργατικούς σχηματισμούς· </w:t>
            </w:r>
            <w:r>
              <w:rPr>
                <w:b/>
                <w:i/>
              </w:rPr>
              <w:t>τονίζει την ανάγκη να εκτιμηθούν οι τοπικοί πάροχοι ΕΕΚ, όπως τα σχολεία, τα τεχνικά ιδρύματα και τα διαπιστευμένα κέντρα κατάρτισης, καθώς χρησιμεύουν ως ζωτικός σύνδεσμος μεταξύ των εκπαιδευομένων και της τοπικής αγοράς εργασίας·</w:t>
            </w:r>
            <w:r>
              <w:t xml:space="preserve"> </w:t>
            </w:r>
            <w:r>
              <w:rPr>
                <w:b/>
                <w:i/>
              </w:rPr>
              <w:t>υπογραμμίζει ότι, λόγω της βαθιάς κατανόησης των ειδικών τοπικών αναγκών, αποτελούν τους πλέον αποτελεσματικούς διαύλους για την ευθυγράμμιση της εκπαιδευτικής ζήτησης με τον περιφερειακό παραγωγικό ιστό, με ιδιαίτερη έμφαση στις ΜΜΕ·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υποστηρίζει τις συμπράξεις σε ενωσιακό και εθνικό επίπεδο μεταξύ εργοδοτών και παρόχων ΕΕΚ για τη βελτίωση της συνάφειας και της ποιότητας των προγραμμάτων σπουδών ΕΕΚ·</w:t>
            </w:r>
            <w:r>
              <w:rPr>
                <w:b/>
                <w:i/>
              </w:rPr>
              <w:t> </w:t>
            </w:r>
            <w:r>
              <w:t xml:space="preserve"> ζητεί τη σύνδεση των παρόχων ΕΕΚ με τους περιφερειακούς βιομηχανικούς και τεχνολογικούς συνεργατικούς σχηματισμούς·</w:t>
            </w:r>
          </w:p>
        </w:tc>
        <w:tc>
          <w:tcPr>
            <w:tcW w:w="4876" w:type="dxa"/>
            <w:tcBorders>
              <w:top w:val="nil"/>
              <w:left w:val="nil"/>
              <w:bottom w:val="nil"/>
              <w:right w:val="nil"/>
            </w:tcBorders>
          </w:tcPr>
          <w:p>
            <w:pPr>
              <w:pStyle w:val="Normal6a"/>
            </w:pPr>
            <w:r>
              <w:t>9.</w:t>
            </w:r>
            <w:r>
              <w:tab/>
            </w:r>
            <w:r>
              <w:t xml:space="preserve">υποστηρίζει τις συμπράξεις σε ενωσιακό και εθνικό επίπεδο μεταξύ εργοδοτών και παρόχων ΕΕΚ </w:t>
            </w:r>
            <w:r>
              <w:rPr>
                <w:b/>
                <w:i/>
              </w:rPr>
              <w:t>και εκπροσώπων εκπαιδευομένων, μαθητευομένων, εκπαιδευτικών και όλων των άλλων ενδιαφερόμενων μερών στον τομέα της εκπαίδευσης,</w:t>
            </w:r>
            <w:r>
              <w:t xml:space="preserve"> για τη βελτίωση της συνάφειας και της ποιότητας των προγραμμάτων σπουδών ΕΕΚ</w:t>
            </w:r>
            <w:r>
              <w:rPr>
                <w:b/>
                <w:i/>
              </w:rPr>
              <w:t>, μεταξύ άλλων μέσω της παροχής ευκαιριών μαθητείας υψηλής ποιότητας</w:t>
            </w:r>
            <w:r>
              <w:t xml:space="preserve">· ζητεί τη σύνδεση των παρόχων ΕΕΚ με τους περιφερειακούς βιομηχανικούς και τεχνολογικούς συνεργατικούς σχηματισμούς· </w:t>
            </w:r>
            <w:r>
              <w:rPr>
                <w:b/>
                <w:i/>
              </w:rPr>
              <w:t>υπενθυμίζει την ανάγκη να εξασφαλιστούν επαρκείς μισθοί και συνθήκες εργασίας για τους εκπαιδευτικούς και τους εκπαιδευτές στην ΕΕΚ, ώστε να βελτιωθεί η ελκυστικότητα του επαγγέλματος·</w:t>
            </w:r>
            <w:r>
              <w:t xml:space="preserve"> </w:t>
            </w:r>
            <w:r>
              <w:rPr>
                <w:b/>
                <w:i/>
              </w:rPr>
              <w:t>ζητεί να διευρυνθούν οι δυνατότητες για υβριδικούς εκπαιδευτικούς και εκπαιδευτές στην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υποστηρίζει τις συμπράξεις σε ενωσιακό και εθνικό επίπεδο μεταξύ εργοδοτών και παρόχων ΕΕΚ για τη βελτίωση της συνάφειας και της ποιότητας των προγραμμάτων σπουδών ΕΕΚ·  ζητεί τη σύνδεση των παρόχων ΕΕΚ με τους περιφερειακούς βιομηχανικούς και τεχνολογικούς συνεργατικούς σχηματισμούς·</w:t>
            </w:r>
          </w:p>
        </w:tc>
        <w:tc>
          <w:tcPr>
            <w:tcW w:w="4876" w:type="dxa"/>
            <w:tcBorders>
              <w:top w:val="nil"/>
              <w:left w:val="nil"/>
              <w:bottom w:val="nil"/>
              <w:right w:val="nil"/>
            </w:tcBorders>
          </w:tcPr>
          <w:p>
            <w:pPr>
              <w:pStyle w:val="Normal6a"/>
            </w:pPr>
            <w:r>
              <w:t>9.</w:t>
            </w:r>
            <w:r>
              <w:tab/>
            </w:r>
            <w:r>
              <w:t xml:space="preserve">υποστηρίζει τις συμπράξεις σε ενωσιακό και εθνικό επίπεδο μεταξύ εργοδοτών και παρόχων ΕΕΚ για τη βελτίωση της συνάφειας και της ποιότητας των προγραμμάτων σπουδών ΕΕΚ·  </w:t>
            </w:r>
            <w:r>
              <w:rPr>
                <w:b/>
                <w:i/>
              </w:rPr>
              <w:t>καλεί την Επιτροπή να διασφαλίσει ότι η επικείμενη στρατηγική ΕΕΚ στηρίζει τα κράτη μέλη και τους παρόχους ΕΕΚ ώστε να διασφαλιστεί ότι όλα τα προγράμματα και τα διαπιστευτήρια ΕΕΚ, συμπεριλαμβανομένων των διαρθρωμένων κατά ενότητες, των εξειδικευμένων ανά καθήκον και των ψηφιακών προγραμμάτων μάθησης, πληρούν τα κριτήρια και τα πρότυπα που ορίζονται στα σχετικά ευρέως αναγνωρισμένα συστήματα διασφάλισης της ποιότητας·</w:t>
            </w:r>
            <w:r>
              <w:t xml:space="preserve"> ζητεί τη σύνδεση των παρόχων ΕΕΚ με τους περιφερειακούς βιομηχανικούς και τεχνολογικούς συνεργατικούς σχηματισμούς·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υποστηρίζει τις συμπράξεις σε ενωσιακό και εθνικό επίπεδο μεταξύ εργοδοτών </w:t>
            </w:r>
            <w:r>
              <w:rPr>
                <w:b/>
                <w:i/>
              </w:rPr>
              <w:t>και</w:t>
            </w:r>
            <w:r>
              <w:t xml:space="preserve"> παρόχων ΕΕΚ για τη βελτίωση της συνάφειας και της ποιότητας των προγραμμάτων σπουδών ΕΕΚ·  ζητεί τη σύνδεση των παρόχων ΕΕΚ με τους περιφερειακούς βιομηχανικούς και τεχνολογικούς συνεργατικούς σχηματισμούς·</w:t>
            </w:r>
          </w:p>
        </w:tc>
        <w:tc>
          <w:tcPr>
            <w:tcW w:w="4876" w:type="dxa"/>
            <w:tcBorders>
              <w:top w:val="nil"/>
              <w:left w:val="nil"/>
              <w:bottom w:val="nil"/>
              <w:right w:val="nil"/>
            </w:tcBorders>
          </w:tcPr>
          <w:p>
            <w:pPr>
              <w:pStyle w:val="Normal6a"/>
            </w:pPr>
            <w:r>
              <w:t>9.</w:t>
            </w:r>
            <w:r>
              <w:tab/>
            </w:r>
            <w:r>
              <w:rPr>
                <w:b/>
                <w:i/>
              </w:rPr>
              <w:t>ζητεί την ενίσχυση του κοινωνικού διαλόγου σχετικά με τις πολιτικές ΕΕΚ και μαθητείας και την αποτελεσματική συνεργασία με τις συνδικαλιστικές οργανώσεις στον τομέα της εκπαίδευσης, προκειμένου να βελτιωθεί η ελκυστικότητα του επαγγέλματος του εκπαιδευτικού ΕΕΚ και να αντιμετωπιστούν οι ελλείψεις εκπαιδευτικών και εκπαιδευτών ΕΕΚ·</w:t>
            </w:r>
            <w:r>
              <w:t xml:space="preserve"> υποστηρίζει τις συμπράξεις σε ενωσιακό και εθνικό επίπεδο μεταξύ εργοδοτών</w:t>
            </w:r>
            <w:r>
              <w:rPr>
                <w:b/>
                <w:i/>
              </w:rPr>
              <w:t>,</w:t>
            </w:r>
            <w:r>
              <w:t xml:space="preserve"> παρόχων ΕΕΚ </w:t>
            </w:r>
            <w:r>
              <w:rPr>
                <w:b/>
                <w:i/>
              </w:rPr>
              <w:t>και κοινωνικών εταίρων</w:t>
            </w:r>
            <w:r>
              <w:t xml:space="preserve"> για τη βελτίωση της συνάφειας και της ποιότητας των προγραμμάτων σπουδών ΕΕΚ·  ζητεί τη σύνδεση των παρόχων ΕΕΚ με τους περιφερειακούς βιομηχανικούς και τεχνολογικούς συνεργατικούς σχηματισμούς·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υποστηρίζει τις συμπράξεις σε ενωσιακό και εθνικό επίπεδο μεταξύ εργοδοτών και παρόχων ΕΕΚ </w:t>
            </w:r>
            <w:r>
              <w:rPr>
                <w:b/>
                <w:i/>
              </w:rPr>
              <w:t>για τη βελτίωση της συνάφειας και της ποιότητας</w:t>
            </w:r>
            <w:r>
              <w:t xml:space="preserve"> των προγραμμάτων σπουδών ΕΕΚ·</w:t>
            </w:r>
            <w:r>
              <w:rPr>
                <w:b/>
                <w:i/>
              </w:rPr>
              <w:t> </w:t>
            </w:r>
            <w:r>
              <w:t xml:space="preserve"> ζητεί τη σύνδεση των παρόχων ΕΕΚ με τους περιφερειακούς βιομηχανικούς και τεχνολογικούς συνεργατικούς σχηματισμούς·</w:t>
            </w:r>
          </w:p>
        </w:tc>
        <w:tc>
          <w:tcPr>
            <w:tcW w:w="4876" w:type="dxa"/>
            <w:tcBorders>
              <w:top w:val="nil"/>
              <w:left w:val="nil"/>
              <w:bottom w:val="nil"/>
              <w:right w:val="nil"/>
            </w:tcBorders>
          </w:tcPr>
          <w:p>
            <w:pPr>
              <w:pStyle w:val="Normal6a"/>
            </w:pPr>
            <w:r>
              <w:t>9.</w:t>
            </w:r>
            <w:r>
              <w:tab/>
            </w:r>
            <w:r>
              <w:t>υποστηρίζει τις συμπράξεις σε ενωσιακό και εθνικό επίπεδο μεταξύ εργοδοτών και παρόχων ΕΕΚ</w:t>
            </w:r>
            <w:r>
              <w:rPr>
                <w:b/>
                <w:i/>
              </w:rPr>
              <w:t>, κοινωνικών εταίρων, συνδικαλιστικών οργανώσεων, υπηρεσιών απασχόλησης, τοπικών και περιφερειακών αρχών, οργανώσεων νεολαίας και οργανώσεων της κοινωνίας των πολιτών, προκειμένου να βελτιωθεί η συνάφεια και η ποιότητα</w:t>
            </w:r>
            <w:r>
              <w:t xml:space="preserve"> των προγραμμάτων σπουδών ΕΕΚ· ζητεί τη σύνδεση των παρόχων ΕΕΚ με τους περιφερειακούς βιομηχανικούς και τεχνολογικούς συνεργατικούς σχηματισμούς·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υποστηρίζει τις συμπράξεις σε ενωσιακό και εθνικό επίπεδο μεταξύ εργοδοτών </w:t>
            </w:r>
            <w:r>
              <w:rPr>
                <w:b/>
                <w:i/>
              </w:rPr>
              <w:t>και</w:t>
            </w:r>
            <w:r>
              <w:t xml:space="preserve"> παρόχων ΕΕΚ για τη βελτίωση της συνάφειας και της ποιότητας των προγραμμάτων σπουδών ΕΕΚ·  ζητεί τη σύνδεση των παρόχων ΕΕΚ με τους περιφερειακούς βιομηχανικούς και τεχνολογικούς συνεργατικούς σχηματισμούς·</w:t>
            </w:r>
          </w:p>
        </w:tc>
        <w:tc>
          <w:tcPr>
            <w:tcW w:w="4876" w:type="dxa"/>
            <w:tcBorders>
              <w:top w:val="nil"/>
              <w:left w:val="nil"/>
              <w:bottom w:val="nil"/>
              <w:right w:val="nil"/>
            </w:tcBorders>
          </w:tcPr>
          <w:p>
            <w:pPr>
              <w:pStyle w:val="Normal6a"/>
            </w:pPr>
            <w:r>
              <w:t>9.</w:t>
            </w:r>
            <w:r>
              <w:tab/>
            </w:r>
            <w:r>
              <w:t>υποστηρίζει τις συμπράξεις σε ενωσιακό και εθνικό επίπεδο μεταξύ εργοδοτών</w:t>
            </w:r>
            <w:r>
              <w:rPr>
                <w:b/>
                <w:i/>
              </w:rPr>
              <w:t>,</w:t>
            </w:r>
            <w:r>
              <w:t xml:space="preserve"> παρόχων ΕΕΚ </w:t>
            </w:r>
            <w:r>
              <w:rPr>
                <w:b/>
                <w:i/>
              </w:rPr>
              <w:t>και ειδικά των κοινωνικών εταίρων</w:t>
            </w:r>
            <w:r>
              <w:t xml:space="preserve"> για τη βελτίωση της συνάφειας και της ποιότητας των προγραμμάτων σπουδών ΕΕΚ·  ζητεί τη σύνδεση των παρόχων ΕΕΚ με τους περιφερειακούς βιομηχανικούς και τεχνολογικούς συνεργατικούς σχηματισμούς·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9α.</w:t>
            </w:r>
            <w:r>
              <w:tab/>
            </w:r>
            <w:r>
              <w:rPr>
                <w:b/>
                <w:i/>
              </w:rPr>
              <w:t>υπογραμμίζει ότι τα κέντρα επαγγελματικής αριστείας (ΚΕΑ) θα πρέπει να τεθούν στο επίκεντρο της μελλοντικής ανάπτυξης των συστημάτων τεχνικής εκπαίδευσης και κατάρτισης στην Ευρώπη, ως βασικές κινητήριες δυνάμεις των διαρθρωτικών μεταρρυθμίσεων, της καινοτομίας, της αναγνώρισης και του εκσυγχρονισμού·</w:t>
            </w:r>
            <w:r>
              <w:t xml:space="preserve"> </w:t>
            </w:r>
            <w:r>
              <w:rPr>
                <w:b/>
                <w:i/>
              </w:rPr>
              <w:t>καλεί την Επιτροπή να ενισχύσει τις μακροπρόθεσμες επενδυτικές διαδρομές για τα ΚΕΑ και να τις χρηματοδοτήσει στο ίδιο επίπεδο με τις συμμαχίες ευρωπαϊκών πανεπιστημίων·</w:t>
            </w:r>
            <w:r>
              <w:t xml:space="preserve"> </w:t>
            </w:r>
            <w:r>
              <w:rPr>
                <w:b/>
                <w:i/>
              </w:rPr>
              <w:t>τονίζει ότι τα ΚΕΑ φέρνουν σε επαφή παρόχους εκπαίδευσης, επιχειρήσεις, περιφερειακές αρχές και κοινωνικούς εταίρους για την αντιμετώπιση των αναγκών της αγοράς εργασίας, την προώθηση της καινοτομίας, την ενίσχυση της περιφερειακής ανταγωνιστικότητας και τη στήριξη της πράσινης και της ψηφιακής μετάβασης·</w:t>
            </w:r>
            <w:r>
              <w:t xml:space="preserve"> </w:t>
            </w:r>
            <w:r>
              <w:rPr>
                <w:b/>
                <w:i/>
              </w:rPr>
              <w:t>ζητεί ανεξάρτητη αξιολόγηση των ΚΕΑ·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9α.</w:t>
            </w:r>
            <w:r>
              <w:tab/>
            </w:r>
            <w:r>
              <w:rPr>
                <w:b/>
                <w:i/>
              </w:rPr>
              <w:t>αναγνωρίζει ότι οι επιχειρήσεις διαδραματίζουν κεντρικό ρόλο στην επαγγελματική εκπαίδευση και κατάρτιση, ιδίως στα διττά συστήματα κατάρτισης, παρέχοντας περιβάλλοντα μάθησης με βάση την εργασία, μεταδίδοντας επικαιροποιημένες δεξιότητες και ικανότητες και στηρίζοντας την καινοτομία·</w:t>
            </w:r>
            <w:r>
              <w:t xml:space="preserve"> </w:t>
            </w:r>
            <w:r>
              <w:rPr>
                <w:b/>
                <w:i/>
              </w:rPr>
              <w:t>καλεί την Επιτροπή και τα κράτη μέλη να ενισχύσουν τον ρόλο και την προβολή των επιχειρήσεων ως βασικών χώρων μάθησης στο πλαίσιο των συστημάτων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9α.</w:t>
            </w:r>
            <w:r>
              <w:tab/>
            </w:r>
            <w:r>
              <w:rPr>
                <w:b/>
                <w:i/>
              </w:rPr>
              <w:t>καλεί την ΕΕ και τα κράτη μέλη να αντιμετωπίσουν τις αναντιστοιχίες δεξιοτήτων ενισχύοντας τη συνεργασία μεταξύ των παρόχων ΕΕΚ και των εργοδοτών, μεταξύ άλλων μέσω ελέγχων δεξιοτήτων σε επίπεδο χώρου εργασίας και κατάρτισης προφίλ ικανοτήτων για τον εντοπισμό των υφιστάμενων δεξιοτήτων και ικανοτήτων, τη στήριξη της επίσημης αναγνώρισής τους και τον προσδιορισμό των τομέων στους οποίους απαιτείται περαιτέρω κατάρτιση·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9α.</w:t>
            </w:r>
            <w:r>
              <w:tab/>
            </w:r>
            <w:r>
              <w:rPr>
                <w:b/>
                <w:i/>
              </w:rPr>
              <w:t>τονίζει ότι η έλλειψη εκπαιδευτικών και εκπαιδευτών ΕΕΚ αποτελεί μείζον εμπόδιο για την υψηλής ποιότητας επαγγελματική εκπαίδευση·</w:t>
            </w:r>
            <w:r>
              <w:t xml:space="preserve"> </w:t>
            </w:r>
            <w:r>
              <w:rPr>
                <w:b/>
                <w:i/>
              </w:rPr>
              <w:t>καλεί τα κράτη μέλη να επενδύσουν στην πρόσληψη, τη συνεχή επαγγελματική εξέλιξη, την αξιοπρεπή αμοιβή και τις αξιοπρεπείς συνθήκες εργασίας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9β.</w:t>
            </w:r>
            <w:r>
              <w:tab/>
            </w:r>
            <w:r>
              <w:rPr>
                <w:b/>
                <w:i/>
              </w:rPr>
              <w:t>ενθαρρύνει την περαιτέρω ανάπτυξη των κέντρων επαγγελματικής αριστείας ως πλατφορμών συνεργασίας μεταξύ παρόχων εκπαίδευσης, επιχειρήσεων, ερευνητικών ιδρυμάτων και περιφερειακών οικοσυστημάτων καινοτομίας με σκοπό την ενίσχυση της ανάπτυξης δεξιοτήτων, της ικανότητας καινοτομίας και της ανταγωνιστικότητας σε στρατηγικούς τομείς, στηρίζοντας παράλληλα την τακτική αξιολόγηση της αποτελεσματικότητάς τους και της συμβολής τους στις ανάγκες της αγοράς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9β.</w:t>
            </w:r>
            <w:r>
              <w:tab/>
            </w:r>
            <w:r>
              <w:rPr>
                <w:b/>
                <w:i/>
              </w:rPr>
              <w:t>εξαίρει την αυξανόμενη δέσμευση των κρατών μελών να θεσπίσουν και να ενισχύσουν εθνικές πρωτοβουλίες ΚΕΑ·</w:t>
            </w:r>
            <w:r>
              <w:t xml:space="preserve"> </w:t>
            </w:r>
            <w:r>
              <w:rPr>
                <w:b/>
                <w:i/>
              </w:rPr>
              <w:t>σημειώνει, στο πλαίσιο αυτό, τις πρωτοβουλίες που έχουν αναλάβει η Γαλλία, οι Κάτω Χώρες, η Ισπανία, η Ιταλία, η Δανία, η Πολωνία και η Σλοβακία για την ανάπτυξη ή την πιλοτική εφαρμογή εθνικών πλαισίων ΚΕΑ παράλληλα με τη συμμετοχή τους στο ευρωπαϊκό οικοσύστημα ΚΕΑ·</w:t>
            </w:r>
            <w:r>
              <w:t xml:space="preserve"> </w:t>
            </w:r>
            <w:r>
              <w:rPr>
                <w:b/>
                <w:i/>
              </w:rPr>
              <w:t>ενθαρρύνει τα άλλα κράτη μέλη να ακολουθήσουν το παράδειγμά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9β.</w:t>
            </w:r>
            <w:r>
              <w:tab/>
            </w:r>
            <w:r>
              <w:rPr>
                <w:b/>
                <w:i/>
              </w:rPr>
              <w:t>τονίζει ότι η μακροπρόθεσμη ελκυστικότητα των επαγγελματικών επαγγελμάτων εξαρτάται από την ύπαρξη συστημάτων συλλογικών διαπραγματεύσεων ικανών να διασφαλίζουν δίκαιους μισθούς, ασφαλείς συνθήκες εργασίας, επαγγελματική εξέλιξη και ίση μεταχείριση για τους εργαζομένους σε όλους τους τομείς·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την ευρύτερη ένταξη της ΕΕΚ στις υφιστάμενες πολιτικές και στα υφιστάμενα προγράμματα της ΕΕ·  ενθαρρύνει την καλύτερη ενσωμάτωση των φορέων ΕΕΚ στην ανάπτυξη πολιτικών καινοτομίας για την ενίσχυση της διάδοσης και της υιοθέτησης καινοτόμων λύσεων σε όλους τους τομείς· επιμένει στην ανάγκη στήριξης των επενδύσεων σε δεξιότητες σε στρατηγικούς τομείς στο πλαίσιο των σκελών πολιτικής του προτεινόμενου Ευρωπαϊκού Ταμείου Ανταγωνιστικότητας·</w:t>
            </w:r>
          </w:p>
        </w:tc>
        <w:tc>
          <w:tcPr>
            <w:tcW w:w="4876" w:type="dxa"/>
            <w:tcBorders>
              <w:top w:val="nil"/>
              <w:left w:val="nil"/>
              <w:bottom w:val="nil"/>
              <w:right w:val="nil"/>
            </w:tcBorders>
          </w:tcPr>
          <w:p>
            <w:pPr>
              <w:pStyle w:val="Normal6a"/>
            </w:pPr>
            <w:r>
              <w:t>10.</w:t>
            </w:r>
            <w:r>
              <w:tab/>
            </w:r>
            <w:r>
              <w:t xml:space="preserve">ζητεί την ευρύτερη ένταξη της ΕΕΚ στις υφιστάμενες πολιτικές και στα υφιστάμενα προγράμματα της ΕΕ·  ενθαρρύνει την καλύτερη ενσωμάτωση των φορέων ΕΕΚ στην ανάπτυξη πολιτικών καινοτομίας για την ενίσχυση της διάδοσης και της υιοθέτησης καινοτόμων λύσεων σε όλους τους τομείς· επιμένει στην ανάγκη στήριξης των επενδύσεων σε δεξιότητες σε στρατηγικούς τομείς στο πλαίσιο των σκελών πολιτικής του προτεινόμενου Ευρωπαϊκού Ταμείου Ανταγωνιστικότητας· </w:t>
            </w:r>
            <w:r>
              <w:rPr>
                <w:b/>
                <w:i/>
              </w:rPr>
              <w:t>ζητεί επίσης στρατηγικές για τη διευκόλυνση της πρόσβασης στην προστασία της διανοητικής ιδιοκτησίας, συμπεριλαμβανομένης της καταχώρισης διπλωμάτων ευρεσιτεχνίας, εμπορικών σημάτων, βιομηχανικών σχεδίων και άλλων δικαιωμάτων διανοητικής ιδιοκτησίας, όχι μόνο για τους αποφοίτους πανεπιστημίων και τους ακαδημαϊκούς ερευνητές, αλλά και για τους σπουδαστές ΕΕΚ, τους αποφοίτους και τους ειδικευμένους επαγγελματίες, αναγνωρίζοντας τη σημαντική συμβολή τους στην εφαρμοσμένη καινοτομία, την τεχνολογική ανάπτυξη και τη βιομηχανική ανταγωνιστικότητα σε ολόκληρη 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την ευρύτερη ένταξη της ΕΕΚ στις υφιστάμενες πολιτικές και στα υφιστάμενα προγράμματα της ΕΕ·  ενθαρρύνει την καλύτερη ενσωμάτωση των φορέων ΕΕΚ στην ανάπτυξη πολιτικών καινοτομίας για την ενίσχυση της διάδοσης και της υιοθέτησης καινοτόμων λύσεων σε όλους τους τομείς· επιμένει στην ανάγκη στήριξης των επενδύσεων σε δεξιότητες σε στρατηγικούς τομείς στο πλαίσιο των σκελών πολιτικής του προτεινόμενου Ευρωπαϊκού Ταμείου Ανταγωνιστικότητας·</w:t>
            </w:r>
          </w:p>
        </w:tc>
        <w:tc>
          <w:tcPr>
            <w:tcW w:w="4876" w:type="dxa"/>
            <w:tcBorders>
              <w:top w:val="nil"/>
              <w:left w:val="nil"/>
              <w:bottom w:val="nil"/>
              <w:right w:val="nil"/>
            </w:tcBorders>
          </w:tcPr>
          <w:p>
            <w:pPr>
              <w:pStyle w:val="Normal6a"/>
            </w:pPr>
            <w:r>
              <w:t>10.</w:t>
            </w:r>
            <w:r>
              <w:tab/>
            </w:r>
            <w:r>
              <w:t xml:space="preserve">ζητεί την ευρύτερη ένταξη της ΕΕΚ στις υφιστάμενες πολιτικές και στα υφιστάμενα προγράμματα της ΕΕ·  ενθαρρύνει την καλύτερη ενσωμάτωση των φορέων ΕΕΚ στην ανάπτυξη πολιτικών καινοτομίας για την ενίσχυση της διάδοσης και της υιοθέτησης καινοτόμων λύσεων σε όλους τους τομείς· επιμένει στην ανάγκη στήριξης των επενδύσεων σε δεξιότητες σε στρατηγικούς τομείς στο πλαίσιο των σκελών πολιτικής του προτεινόμενου Ευρωπαϊκού Ταμείου Ανταγωνιστικότητας· </w:t>
            </w:r>
            <w:r>
              <w:rPr>
                <w:b/>
                <w:i/>
              </w:rPr>
              <w:t>ζητεί συγκεκριμένα την ενσωμάτωση των ιδρυμάτων τριτοβάθμιας επαγγελματικής εκπαίδευσης επιπέδου ISCED 5 και των επιπέδων 5 και 6 του ΕΠΕΠ στα ευρωπαϊκά οικοσυστήματα έρευνας και καινοτομίας ως παρόχων εξειδικευμένων τεχνικών δεξιοτήτων·</w:t>
            </w:r>
            <w:r>
              <w:br/>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ζητεί, επιπλέον, μεγαλύτερη συμμετοχή των ΜΜΕ, των οικογενειακών επιχειρήσεων και των τοπικών παραγωγικών περιφερειών στον σχεδιασμό και την εφαρμογή προγραμμάτων επαγγελματικής κατάρτισης.</w:t>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ζητεί την ευρύτερη ένταξη της ΕΕΚ στις υφιστάμενες πολιτικές και στα υφιστάμενα προγράμματα της ΕΕ·  ενθαρρύνει </w:t>
            </w:r>
            <w:r>
              <w:rPr>
                <w:b/>
                <w:i/>
              </w:rPr>
              <w:t>την καλύτερη</w:t>
            </w:r>
            <w:r>
              <w:t xml:space="preserve"> ενσωμάτωση των </w:t>
            </w:r>
            <w:r>
              <w:rPr>
                <w:b/>
                <w:i/>
              </w:rPr>
              <w:t>φορέων ΕΕΚ στην ανάπτυξη</w:t>
            </w:r>
            <w:r>
              <w:t xml:space="preserve"> πολιτικών καινοτομίας </w:t>
            </w:r>
            <w:r>
              <w:rPr>
                <w:b/>
                <w:i/>
              </w:rPr>
              <w:t>για την ενίσχυση της διάδοσης και της υιοθέτησης καινοτόμων λύσεων σε όλους τους τομείς</w:t>
            </w:r>
            <w:r>
              <w:t>· επιμένει στην ανάγκη στήριξης των επενδύσεων σε δεξιότητες σε στρατηγικούς τομείς στο πλαίσιο των σκελών πολιτικής του προτεινόμενου Ευρωπαϊκού Ταμείου Ανταγωνιστικότητας·</w:t>
            </w:r>
          </w:p>
        </w:tc>
        <w:tc>
          <w:tcPr>
            <w:tcW w:w="4876" w:type="dxa"/>
            <w:tcBorders>
              <w:top w:val="nil"/>
              <w:left w:val="nil"/>
              <w:bottom w:val="nil"/>
              <w:right w:val="nil"/>
            </w:tcBorders>
          </w:tcPr>
          <w:p>
            <w:pPr>
              <w:pStyle w:val="Normal6a"/>
            </w:pPr>
            <w:r>
              <w:t>10.</w:t>
            </w:r>
            <w:r>
              <w:tab/>
            </w:r>
            <w:r>
              <w:t xml:space="preserve">ζητεί την ευρύτερη ένταξη της ΕΕΚ στις υφιστάμενες πολιτικές και στα υφιστάμενα προγράμματα της ΕΕ·  ενθαρρύνει </w:t>
            </w:r>
            <w:r>
              <w:rPr>
                <w:b/>
                <w:i/>
              </w:rPr>
              <w:t>τη βαθύτερη</w:t>
            </w:r>
            <w:r>
              <w:t xml:space="preserve"> ενσωμάτωση των </w:t>
            </w:r>
            <w:r>
              <w:rPr>
                <w:b/>
                <w:i/>
              </w:rPr>
              <w:t>ιδρυμάτων ΕΕΚ στον σχεδιασμό και την εφαρμογή</w:t>
            </w:r>
            <w:r>
              <w:t xml:space="preserve"> πολιτικών καινοτομίας</w:t>
            </w:r>
            <w:r>
              <w:rPr>
                <w:b/>
                <w:i/>
              </w:rPr>
              <w:t>, προκειμένου να επιταχυνθεί η προσαρμογή και η κλιμάκωση των καινοτομιών στον χώρο εργασίας·</w:t>
            </w:r>
            <w:r>
              <w:t xml:space="preserve"> </w:t>
            </w:r>
            <w:r>
              <w:rPr>
                <w:b/>
                <w:i/>
              </w:rPr>
              <w:t>καλεί την Επιτροπή να διασφαλίσει την ενεργό συμμετοχή των ιδρυμάτων ΕΕΚ στις προσκλήσεις υποβολής προτάσεων του προγράμματος «Ορίζων Ευρώπη», ιδίως σε έργα με υψηλότερα επίπεδα τεχνολογικής ετοιμότητας, για τον αντίκτυπο των οποίων η υλοποίηση, η δοκιμή και η κλιμάκωση σε πραγματικές συνθήκες από εκπαιδευμένους επαγγελματίες ΕΕΚ είναι ζωτικής σημασίας</w:t>
            </w:r>
            <w:r>
              <w:t>· επιμένει στην ανάγκη στήριξης των επενδύσεων σε δεξιότητες σε στρατηγικούς τομείς στο πλαίσιο των σκελών πολιτικής του προτεινόμενου Ευρωπαϊκού Ταμείου Ανταγωνιστικότητας·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την ευρύτερη ένταξη της ΕΕΚ στις υφιστάμενες πολιτικές και στα υφιστάμενα προγράμματα της ΕΕ·  ενθαρρύνει την καλύτερη ενσωμάτωση των φορέων ΕΕΚ στην ανάπτυξη πολιτικών καινοτομίας για την ενίσχυση της διάδοσης και της υιοθέτησης καινοτόμων λύσεων σε όλους τους τομείς· επιμένει στην ανάγκη στήριξης των επενδύσεων σε δεξιότητες σε στρατηγικούς τομείς στο πλαίσιο των σκελών πολιτικής του προτεινόμενου Ευρωπαϊκού Ταμείου Ανταγωνιστικότητας·</w:t>
            </w:r>
          </w:p>
        </w:tc>
        <w:tc>
          <w:tcPr>
            <w:tcW w:w="4876" w:type="dxa"/>
            <w:tcBorders>
              <w:top w:val="nil"/>
              <w:left w:val="nil"/>
              <w:bottom w:val="nil"/>
              <w:right w:val="nil"/>
            </w:tcBorders>
          </w:tcPr>
          <w:p>
            <w:pPr>
              <w:pStyle w:val="Normal6a"/>
            </w:pPr>
            <w:r>
              <w:t>10.</w:t>
            </w:r>
            <w:r>
              <w:tab/>
            </w:r>
            <w:r>
              <w:t xml:space="preserve">ζητεί την ευρύτερη ένταξη της ΕΕΚ στις υφιστάμενες πολιτικές και στα υφιστάμενα προγράμματα της ΕΕ·  ενθαρρύνει την καλύτερη ενσωμάτωση των φορέων ΕΕΚ στην ανάπτυξη πολιτικών καινοτομίας για την ενίσχυση της διάδοσης και της υιοθέτησης καινοτόμων λύσεων σε όλους τους τομείς· επιμένει στην ανάγκη στήριξης των επενδύσεων σε δεξιότητες σε στρατηγικούς τομείς στο πλαίσιο των σκελών πολιτικής του προτεινόμενου Ευρωπαϊκού Ταμείου Ανταγωνιστικότητας· </w:t>
            </w:r>
            <w:r>
              <w:rPr>
                <w:b/>
                <w:i/>
              </w:rPr>
              <w:t>υπογραμμίζει ότι η πρόσβαση σε κονδύλια και άλλα μέσα της ΕΕ θα πρέπει να εξαρτάται από τη συμμόρφωση των εταιρειών με τις κοινωνικές προϋποθέσεις, τον σεβασμό των συνδικαλιστικών δικαιωμάτων, τα πρότυπα ποιότητας της μαθητείας και τις αποδείξιμες επενδύσεις στις δεξιότητες των εργαζομένων και στην ποιοτική κατάρτιση·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ζητεί την ευρύτερη ένταξη της ΕΕΚ στις υφιστάμενες πολιτικές και στα υφιστάμενα προγράμματα της ΕΕ·  ενθαρρύνει την καλύτερη ενσωμάτωση των φορέων ΕΕΚ στην ανάπτυξη πολιτικών καινοτομίας για την ενίσχυση της διάδοσης και της υιοθέτησης καινοτόμων λύσεων σε όλους τους τομείς· επιμένει στην ανάγκη στήριξης των επενδύσεων σε δεξιότητες σε στρατηγικούς τομείς στο πλαίσιο των σκελών πολιτικής του προτεινόμενου Ευρωπαϊκού Ταμείου Ανταγωνιστικότητας·</w:t>
            </w:r>
          </w:p>
        </w:tc>
        <w:tc>
          <w:tcPr>
            <w:tcW w:w="4876" w:type="dxa"/>
            <w:tcBorders>
              <w:top w:val="nil"/>
              <w:left w:val="nil"/>
              <w:bottom w:val="nil"/>
              <w:right w:val="nil"/>
            </w:tcBorders>
          </w:tcPr>
          <w:p>
            <w:pPr>
              <w:pStyle w:val="Normal6a"/>
            </w:pPr>
            <w:r>
              <w:t>10.</w:t>
            </w:r>
            <w:r>
              <w:tab/>
            </w:r>
            <w:r>
              <w:t xml:space="preserve">ζητεί την ευρύτερη ένταξη της ΕΕΚ στις υφιστάμενες πολιτικές και στα υφιστάμενα προγράμματα της ΕΕ·  ενθαρρύνει την καλύτερη ενσωμάτωση των φορέων ΕΕΚ στην ανάπτυξη πολιτικών καινοτομίας για την ενίσχυση της διάδοσης και της υιοθέτησης καινοτόμων λύσεων σε όλους τους τομείς· επιμένει στην ανάγκη στήριξης των επενδύσεων σε δεξιότητες σε στρατηγικούς τομείς στο πλαίσιο των σκελών πολιτικής του προτεινόμενου Ευρωπαϊκού Ταμείου Ανταγωνιστικότητας· </w:t>
            </w:r>
            <w:r>
              <w:rPr>
                <w:b/>
                <w:i/>
              </w:rPr>
              <w:t>καλεί τα κράτη μέλη να εξαρτήσουν τη δημόσια χρηματοδότηση και τις δημόσιες συμβάσεις σε τομείς υψηλής έντασης ΕΕΚ από τη συμμόρφωση με τις ισχύουσες συλλογικές συμβάσεις και από την παροχή ποιοτικών θέσεων μαθητείας και κατάρτισης·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καλεί την Επιτροπή και τα κράτη μέλη να ενισχύσουν τη συνεργασία για την ανάπτυξη μαθησιακών περιβαλλόντων, προγραμμάτων σπουδών και πρακτικών ΕΕΚ που ανταποκρίνονται στις ανάγκες που προκύπτουν από τον οικολογικό μετασχηματισμό, διασφαλίζοντας ότι θέματα όπως η κυκλική οικονομία, η ενεργειακή απόδοση και η ενεργειακή μετάβαση αντιμετωπίζονται επαρκώς και ότι οι μελλοντικοί επαγγελματίες διαθέτουν τις γνώσεις, τις δεξιότητες και τις ικανότητες που απαιτούνται για την προώθηση του βιώσιμου μετασχηματισμού σε όλους τους κλάδους και τις επιχειρήσεις·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καλεί τα κράτη μέλη να θέσουν την επαγγελματική εκπαίδευση και κατάρτιση ως ακρογωνιαίο λίθο της ανάπτυξης δεξιοτήτων, αξιοποιώντας το επόμενο ΠΔΠ για τη χρηματοδότηση της αναβάθμισης των δεξιοτήτων και της επανειδίκευσης των νέων σε στρατηγικούς βιώσιμους τομείς, όπως οι ανανεώσιμες πηγές ενέργειας, η κυκλική οικονομία και η οικολογική αποκατάσταση·</w:t>
            </w:r>
            <w:r>
              <w:t xml:space="preserve"> </w:t>
            </w:r>
            <w:r>
              <w:rPr>
                <w:b/>
                <w:i/>
              </w:rPr>
              <w:t>τονίζει τις δυνατότητες της ΕΕΚ να προσφέρει ποιοτικές πράσινες θέσεις εργασίας και ευκαιρίες κοινωνικής οικονομίας, συμπεριλαμβανομένων των συνεταιρισμών, των υπηρεσιών φροντίδας και των μεταβάσεων με πρωτοβουλία των τοπικών κοινοτήτων για νέους με λιγότερες ευκαιρίες·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10α.</w:t>
            </w:r>
            <w:r>
              <w:tab/>
            </w:r>
            <w:r>
              <w:rPr>
                <w:b/>
                <w:i/>
              </w:rPr>
              <w:t>καλεί τα κράτη μέλη να αντιμετωπίσουν την αυξανόμενη έλλειψη εκπαιδευτικών ΕΕΚ, εκπαιδευτών και μεντόρων στον χώρο εργασίας, βελτιώνοντας την ελκυστικότητα του επαγγέλματος μέσω επαρκούς αμοιβής, ποιοτικών συνθηκών εργασίας, συνεχούς επαγγελματικής εξέλιξης και σαφών ευκαιριών επαγγελματικής εξέλιξης·</w:t>
            </w:r>
            <w:r>
              <w:t xml:space="preserve"> </w:t>
            </w:r>
            <w:r>
              <w:rPr>
                <w:b/>
                <w:i/>
              </w:rPr>
              <w:t>τονίζει τη σημασία της στήριξης των ανταλλαγών μεταξύ των ιδρυμάτων ΕΕΚ και της αγοράς εργασίας, ώστε να διασφαλιστεί ότι τα προγράμματα διδασκαλίας παραμένουν επικαιροποιημένα ως προς τις εξελίξεις στην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τονίζει ότι η ΤΝ και η αυτοματοποίηση έχουν οδηγήσει σε αυξημένη ανάγκη επανειδίκευσης·  τονίζει, στο πλαίσιο αυτό, την αυξανόμενη σημασία της προσβάσιμης κατάρτισης για όλους τους εργαζόμενους για την τρέχουσα ή την εναλλακτική σταδιοδρομία τους·</w:t>
            </w:r>
          </w:p>
        </w:tc>
        <w:tc>
          <w:tcPr>
            <w:tcW w:w="4876" w:type="dxa"/>
            <w:tcBorders>
              <w:top w:val="nil"/>
              <w:left w:val="nil"/>
              <w:bottom w:val="nil"/>
              <w:right w:val="nil"/>
            </w:tcBorders>
          </w:tcPr>
          <w:p>
            <w:pPr>
              <w:pStyle w:val="Normal6a"/>
            </w:pPr>
            <w:r>
              <w:t>11.</w:t>
            </w:r>
            <w:r>
              <w:tab/>
            </w:r>
            <w:r>
              <w:t xml:space="preserve">τονίζει ότι η ΤΝ και η αυτοματοποίηση έχουν οδηγήσει σε αυξημένη ανάγκη επανειδίκευσης·  τονίζει, στο πλαίσιο αυτό, την αυξανόμενη σημασία της προσβάσιμης κατάρτισης για όλους τους εργαζόμενους για την τρέχουσα ή την εναλλακτική σταδιοδρομία τους· </w:t>
            </w:r>
            <w:r>
              <w:rPr>
                <w:b/>
                <w:i/>
              </w:rPr>
              <w:t>καλεί την Επιτροπή και τα κράτη μέλη να διασφαλίσουν ότι η κατάρτιση αυτή είναι διαθέσιμη κατά τη διάρκεια του χρόνου εργασίας και χωρίς κόστος για τους εργαζομένους·</w:t>
            </w:r>
            <w:r>
              <w:t xml:space="preserve"> </w:t>
            </w:r>
            <w:r>
              <w:rPr>
                <w:b/>
                <w:i/>
              </w:rPr>
              <w:t>ζητεί, επιπλέον, τη θέσπιση νομοθεσίας της ΕΕ για τη θέσπιση οικουμενικού δικαιώματος στην κατάρτιση για όλους τους εργαζομένους, το οποίο θα βασίζεται σταθερά στην αρχή 1 του ευρωπαϊκού πυλώνα κοινωνικών δικαιωμάτων·</w:t>
            </w:r>
            <w:r>
              <w:t xml:space="preserve"> </w:t>
            </w:r>
            <w:r>
              <w:rPr>
                <w:b/>
                <w:i/>
              </w:rPr>
              <w:t>τονίζει ότι η νομοθεσία αυτή θα πρέπει να εγγυάται την πρόσβαση σε ποιοτική και χωρίς αποκλεισμούς κατάρτιση των εργαζομένων για όλους τους εργαζομένους, ανεξάρτητα από τη συμβατική τους κατάσταση ή το μέγεθος των εταιρειών στις οποίες εργάζονται·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τονίζει ότι η ΤΝ και η αυτοματοποίηση έχουν οδηγήσει σε αυξημένη ανάγκη επανειδίκευσης·  τονίζει, στο πλαίσιο αυτό, την αυξανόμενη σημασία της προσβάσιμης κατάρτισης για όλους τους εργαζόμενους για την τρέχουσα ή την εναλλακτική σταδιοδρομία τους·</w:t>
            </w:r>
          </w:p>
        </w:tc>
        <w:tc>
          <w:tcPr>
            <w:tcW w:w="4876" w:type="dxa"/>
            <w:tcBorders>
              <w:top w:val="nil"/>
              <w:left w:val="nil"/>
              <w:bottom w:val="nil"/>
              <w:right w:val="nil"/>
            </w:tcBorders>
          </w:tcPr>
          <w:p>
            <w:pPr>
              <w:pStyle w:val="Normal6a"/>
            </w:pPr>
            <w:r>
              <w:t>11.</w:t>
            </w:r>
            <w:r>
              <w:tab/>
            </w:r>
            <w:r>
              <w:t xml:space="preserve">τονίζει ότι η ΤΝ και η αυτοματοποίηση έχουν οδηγήσει σε αυξημένη ανάγκη επανειδίκευσης·  τονίζει, στο πλαίσιο αυτό, την αυξανόμενη σημασία της προσβάσιμης κατάρτισης για όλους τους εργαζόμενους για την τρέχουσα ή την εναλλακτική σταδιοδρομία τους· </w:t>
            </w:r>
            <w:r>
              <w:rPr>
                <w:b/>
                <w:i/>
              </w:rPr>
              <w:t>καλεί την Επιτροπή να αναγνωρίσει και να στηρίξει το ατομικό ιδιωτικό δικαίωμα όλων των Ευρωπαίων εργαζομένων στη διά βίου μάθηση, την αναβάθμιση των δεξιοτήτων και την επανειδίκευση, όπως προτείνεται στην έκθεση Draghi για την ευρωπαϊκή ανταγωνιστικότητα·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τονίζει ότι η ΤΝ και η αυτοματοποίηση έχουν οδηγήσει σε αυξημένη ανάγκη επανειδίκευσης·  τονίζει, στο πλαίσιο αυτό, την αυξανόμενη σημασία της προσβάσιμης κατάρτισης για όλους τους εργαζόμενους για την τρέχουσα ή την εναλλακτική σταδιοδρομία τους·</w:t>
            </w:r>
          </w:p>
        </w:tc>
        <w:tc>
          <w:tcPr>
            <w:tcW w:w="4876" w:type="dxa"/>
            <w:tcBorders>
              <w:top w:val="nil"/>
              <w:left w:val="nil"/>
              <w:bottom w:val="nil"/>
              <w:right w:val="nil"/>
            </w:tcBorders>
          </w:tcPr>
          <w:p>
            <w:pPr>
              <w:pStyle w:val="Normal6a"/>
            </w:pPr>
            <w:r>
              <w:t>11.</w:t>
            </w:r>
            <w:r>
              <w:tab/>
            </w:r>
            <w:r>
              <w:t xml:space="preserve">τονίζει ότι η ΤΝ και η αυτοματοποίηση έχουν οδηγήσει σε αυξημένη ανάγκη επανειδίκευσης·  τονίζει, στο πλαίσιο αυτό, την αυξανόμενη σημασία της προσβάσιμης κατάρτισης για όλους τους εργαζόμενους για την τρέχουσα ή την εναλλακτική σταδιοδρομία τους· </w:t>
            </w:r>
            <w:r>
              <w:rPr>
                <w:b/>
                <w:i/>
              </w:rPr>
              <w:t>τονίζει ότι όλοι οι εργαζόμενοι θα πρέπει να έχουν εκτελεστό δικαίωμα σε αμειβόμενη κατάρτιση κατά τη διάρκεια του χρόνου εργασίας, με την υποστήριξη των εργοδοτών και των δημόσιων αρχών, κατά περίπτωση·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τονίζει ότι η </w:t>
            </w:r>
            <w:r>
              <w:rPr>
                <w:b/>
                <w:i/>
              </w:rPr>
              <w:t>ΤΝ και η αυτοματοποίηση έχουν οδηγήσει σε αυξημένη ανάγκη επανειδίκευσης</w:t>
            </w:r>
            <w:r>
              <w:t>·</w:t>
            </w:r>
            <w:r>
              <w:rPr>
                <w:b/>
                <w:i/>
              </w:rPr>
              <w:t> </w:t>
            </w:r>
            <w:r>
              <w:t xml:space="preserve"> τονίζει, στο πλαίσιο αυτό, την αυξανόμενη σημασία της προσβάσιμης κατάρτισης για όλους τους εργαζόμενους για την τρέχουσα ή την εναλλακτική σταδιοδρομία τους·</w:t>
            </w:r>
          </w:p>
        </w:tc>
        <w:tc>
          <w:tcPr>
            <w:tcW w:w="4876" w:type="dxa"/>
            <w:tcBorders>
              <w:top w:val="nil"/>
              <w:left w:val="nil"/>
              <w:bottom w:val="nil"/>
              <w:right w:val="nil"/>
            </w:tcBorders>
          </w:tcPr>
          <w:p>
            <w:pPr>
              <w:pStyle w:val="Normal6a"/>
            </w:pPr>
            <w:r>
              <w:t>11.</w:t>
            </w:r>
            <w:r>
              <w:tab/>
            </w:r>
            <w:r>
              <w:t xml:space="preserve">τονίζει ότι η </w:t>
            </w:r>
            <w:r>
              <w:rPr>
                <w:b/>
                <w:i/>
              </w:rPr>
              <w:t>τεχνολογική καινοτομία, συμπεριλαμβανομένης της τεχνητής νοημοσύνης και της αυτοματοποίησης, απαιτεί συνεχή αναβάθμιση των δεξιοτήτων και επανειδίκευση, διασφαλίζοντας παράλληλα ότι οι εργαζόμενοι παραμένουν προσαρμόσιμοι καθ’ όλη τη διάρκεια της επαγγελματικής τους σταδιοδρομίας</w:t>
            </w:r>
            <w:r>
              <w:t>· τονίζει, στο πλαίσιο αυτό, την αυξανόμενη σημασία της προσβάσιμης κατάρτισης για όλους τους εργαζόμενους για την τρέχουσα ή την εναλλακτική σταδιοδρομία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τονίζει ότι η ΤΝ και η αυτοματοποίηση έχουν οδηγήσει σε αυξημένη ανάγκη επανειδίκευσης·</w:t>
            </w:r>
            <w:r>
              <w:rPr>
                <w:b/>
                <w:i/>
              </w:rPr>
              <w:t> </w:t>
            </w:r>
            <w:r>
              <w:t xml:space="preserve"> τονίζει, στο πλαίσιο αυτό, την αυξανόμενη σημασία της προσβάσιμης κατάρτισης για όλους τους εργαζόμενους για την τρέχουσα ή την εναλλακτική σταδιοδρομία τους·</w:t>
            </w:r>
          </w:p>
        </w:tc>
        <w:tc>
          <w:tcPr>
            <w:tcW w:w="4876" w:type="dxa"/>
            <w:tcBorders>
              <w:top w:val="nil"/>
              <w:left w:val="nil"/>
              <w:bottom w:val="nil"/>
              <w:right w:val="nil"/>
            </w:tcBorders>
          </w:tcPr>
          <w:p>
            <w:pPr>
              <w:pStyle w:val="Normal6a"/>
            </w:pPr>
            <w:r>
              <w:t>11.</w:t>
            </w:r>
            <w:r>
              <w:tab/>
            </w:r>
            <w:r>
              <w:t>τονίζει ότι η ΤΝ</w:t>
            </w:r>
            <w:r>
              <w:rPr>
                <w:b/>
                <w:i/>
              </w:rPr>
              <w:t>, η πράσινη μετάβαση, η ψηφιοποίηση</w:t>
            </w:r>
            <w:r>
              <w:t xml:space="preserve"> και η αυτοματοποίηση έχουν οδηγήσει σε αυξημένη ανάγκη επανειδίκευσης· τονίζει, στο πλαίσιο αυτό, την αυξανόμενη σημασία της προσβάσιμης κατάρτισης </w:t>
            </w:r>
            <w:r>
              <w:rPr>
                <w:b/>
                <w:i/>
              </w:rPr>
              <w:t>και των βασικών δεξιοτήτων βιωσιμότητας και ψηφιακών δεξιοτήτων</w:t>
            </w:r>
            <w:r>
              <w:t xml:space="preserve"> για όλους τους εργαζόμενους για την τρέχουσα ή την εναλλακτική σταδιοδρομία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τονίζει ότι η ΤΝ </w:t>
            </w:r>
            <w:r>
              <w:rPr>
                <w:b/>
                <w:i/>
              </w:rPr>
              <w:t>και</w:t>
            </w:r>
            <w:r>
              <w:t xml:space="preserve"> η αυτοματοποίηση έχουν οδηγήσει σε αυξημένη ανάγκη επανειδίκευσης·  τονίζει, στο πλαίσιο αυτό, την αυξανόμενη σημασία της προσβάσιμης κατάρτισης για όλους τους εργαζόμενους για την τρέχουσα ή την εναλλακτική σταδιοδρομία τους·</w:t>
            </w:r>
          </w:p>
        </w:tc>
        <w:tc>
          <w:tcPr>
            <w:tcW w:w="4876" w:type="dxa"/>
            <w:tcBorders>
              <w:top w:val="nil"/>
              <w:left w:val="nil"/>
              <w:bottom w:val="nil"/>
              <w:right w:val="nil"/>
            </w:tcBorders>
          </w:tcPr>
          <w:p>
            <w:pPr>
              <w:pStyle w:val="Normal6a"/>
            </w:pPr>
            <w:r>
              <w:t>11.</w:t>
            </w:r>
            <w:r>
              <w:tab/>
            </w:r>
            <w:r>
              <w:t>τονίζει ότι η ΤΝ</w:t>
            </w:r>
            <w:r>
              <w:rPr>
                <w:b/>
                <w:i/>
              </w:rPr>
              <w:t>,</w:t>
            </w:r>
            <w:r>
              <w:t xml:space="preserve"> η αυτοματοποίηση </w:t>
            </w:r>
            <w:r>
              <w:rPr>
                <w:b/>
                <w:i/>
              </w:rPr>
              <w:t>και η πράσινη μετάβαση</w:t>
            </w:r>
            <w:r>
              <w:t xml:space="preserve"> έχουν οδηγήσει σε αυξημένη ανάγκη επανειδίκευσης·  τονίζει, στο πλαίσιο αυτό, την αυξανόμενη σημασία της προσβάσιμης κατάρτισης για όλους τους εργαζόμενους </w:t>
            </w:r>
            <w:r>
              <w:rPr>
                <w:b/>
                <w:i/>
              </w:rPr>
              <w:t>παρεχόμενης χωρίς κόστος και κατά τις ώρες εργασίας</w:t>
            </w:r>
            <w:r>
              <w:t xml:space="preserve"> για την τρέχουσα ή την εναλλακτική σταδιοδρομία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11α.</w:t>
            </w:r>
            <w:r>
              <w:tab/>
            </w:r>
            <w:r>
              <w:rPr>
                <w:b/>
                <w:i/>
              </w:rPr>
              <w:t>τονίζει ότι οι ΜΜΕ αποτελούν κεντρικούς παράγοντες στα ευρωπαϊκά συστήματα ΕΕΚ, οι οποίοι παρέχουν σημαντικό μερίδιο ευκαιριών μαθητείας, πρακτικής άσκησης και μάθησης στον χώρο εργασίας·</w:t>
            </w:r>
            <w:r>
              <w:t xml:space="preserve"> </w:t>
            </w:r>
            <w:r>
              <w:rPr>
                <w:b/>
                <w:i/>
              </w:rPr>
              <w:t>αναγνωρίζει, ωστόσο, ότι οι ΜΜΕ αντιμετωπίζουν συχνά διοικητικούς, οικονομικούς και οργανωτικούς περιορισμούς και, ως εκ τούτου, ζητεί φιλική προς τις ΜΜΕ εφαρμογή των ευρωπαϊκών πρωτοβουλιών ΕΕΚ, συμπεριλαμβανομένης της μείωσης του διοικητικού φόρτου και των μηχανισμών πρακτικής βοήθειας για τη διευκόλυνση της συνεχούς και διευρυμένης συμμετοχής τους σε οικοσυστήματα ανάπτυξης δεξιοτήτων, όπως τα ΚΕΑ.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11β.</w:t>
            </w:r>
            <w:r>
              <w:tab/>
            </w:r>
            <w:r>
              <w:rPr>
                <w:b/>
                <w:i/>
              </w:rPr>
              <w:t>καλεί την Ευρωπαϊκή Επιτροπή να διασφαλίσει ότι οι κανόνες για τις κρατικές ενισχύσεις στηρίζουν και δεν περιορίζουν τις επενδύσεις σε δεξιότητες, διά βίου μάθηση και ανάπτυξη του εργατικού δυναμικού, ιδίως με την επέκταση των δυνατοτήτων βάσει του γενικού κανονισμού απαλλαγής κατά κατηγορία (GBER) και των σχετικών πλαισίων για τη χρηματοδότηση δραστηριοτήτων κατάρτισης και οικοσυστημάτων δεξιοτήτων·</w:t>
            </w:r>
            <w:r>
              <w:t xml:space="preserve"> </w:t>
            </w:r>
            <w:r>
              <w:rPr>
                <w:b/>
                <w:i/>
              </w:rPr>
              <w:t>τονίζει ότι οι διατάξεις για τις κρατικές ενισχύσεις θα πρέπει να διευκολύνουν τη συνεργασία μεταξύ δημόσιων παρόχων ΕΕΚ και ιδιωτικών εταίρων, συμπεριλαμβανομένων εταιρειών, τομεακών οργανώσεων και παρόχων κατάρτισης, όταν η συνεργασία αυτή εξυπηρετεί έναν σαφή εκπαιδευτικό, κοινωνικό στόχο ή στόχο καινοτομίας.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καλεί την Επιτροπή, τα κράτη μέλη και τους εργοδότες να διασφαλίσουν δίκαιη αμοιβή και αξιοπρεπείς συνθήκες εργασίας για </w:t>
            </w:r>
            <w:r>
              <w:rPr>
                <w:b/>
                <w:i/>
              </w:rPr>
              <w:t>τις θέσεις μαθητείας και πρακτικής άσκησης</w:t>
            </w:r>
            <w:r>
              <w:t xml:space="preserve"> στην ΕΕΚ, προκειμένου να βελτιωθούν η ελκυστικότητα, η ποιότητα και η συμπεριληπτικότητα της μάθησης στον χώρο εργασίας·</w:t>
            </w:r>
          </w:p>
        </w:tc>
        <w:tc>
          <w:tcPr>
            <w:tcW w:w="4876" w:type="dxa"/>
            <w:tcBorders>
              <w:top w:val="nil"/>
              <w:left w:val="nil"/>
              <w:bottom w:val="nil"/>
              <w:right w:val="nil"/>
            </w:tcBorders>
          </w:tcPr>
          <w:p>
            <w:pPr>
              <w:pStyle w:val="Normal6a"/>
            </w:pPr>
            <w:r>
              <w:t>12.</w:t>
            </w:r>
            <w:r>
              <w:tab/>
            </w:r>
            <w:r>
              <w:t xml:space="preserve">καλεί την Επιτροπή, τα κράτη μέλη και τους εργοδότες να διασφαλίσουν δίκαιη αμοιβή και αξιοπρεπείς συνθήκες εργασίας για </w:t>
            </w:r>
            <w:r>
              <w:rPr>
                <w:b/>
                <w:i/>
              </w:rPr>
              <w:t>μαθητευόμενους και ασκούμενους</w:t>
            </w:r>
            <w:r>
              <w:t xml:space="preserve"> στην ΕΕΚ, προκειμένου να βελτιωθούν η ελκυστικότητα, η ποιότητα και η συμπεριληπτικότητα της μάθησης στον χώρο εργασίας· </w:t>
            </w:r>
            <w:r>
              <w:rPr>
                <w:b/>
                <w:i/>
              </w:rPr>
              <w:t>ζητεί ισορροπημένα συστήματα ΕΕΚ που συνδυάζουν τη μάθηση στον χώρο εργασίας με δομημένα εκπαιδευτικά περιβάλλοντα, διασφαλίζοντας ότι οι εκπαιδευόμενοι επωφελούνται τόσο από την επαγγελματική πρακτική όσο και από την ευρύτερη εκπαιδευτική αγωγή·</w:t>
            </w:r>
            <w:r>
              <w:t xml:space="preserve"> </w:t>
            </w:r>
            <w:r>
              <w:rPr>
                <w:b/>
                <w:i/>
              </w:rPr>
              <w:t>τονίζει ότι η πρακτική μάθηση βάσει αντικειμένου εργασίας δεν θα πρέπει να περιορίζεται στην ΕΕΚ, αλλά θα πρέπει επίσης να αποτελεί ουσιαστική συνιστώσα της πανεπιστημιακής εκπαίδευσης·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καλεί την Επιτροπή, τα κράτη μέλη και τους εργοδότες να διασφαλίσουν </w:t>
            </w:r>
            <w:r>
              <w:rPr>
                <w:b/>
                <w:i/>
              </w:rPr>
              <w:t>δίκαιη αμοιβή</w:t>
            </w:r>
            <w:r>
              <w:t xml:space="preserve"> και αξιοπρεπείς συνθήκες εργασίας για </w:t>
            </w:r>
            <w:r>
              <w:rPr>
                <w:b/>
                <w:i/>
              </w:rPr>
              <w:t>τις θέσεις μαθητείας και πρακτικής άσκησης στην ΕΕΚ</w:t>
            </w:r>
            <w:r>
              <w:t>, προκειμένου να βελτιωθούν η ελκυστικότητα, η ποιότητα και η συμπεριληπτικότητα της μάθησης στον χώρο εργασίας·</w:t>
            </w:r>
          </w:p>
        </w:tc>
        <w:tc>
          <w:tcPr>
            <w:tcW w:w="4876" w:type="dxa"/>
            <w:tcBorders>
              <w:top w:val="nil"/>
              <w:left w:val="nil"/>
              <w:bottom w:val="nil"/>
              <w:right w:val="nil"/>
            </w:tcBorders>
          </w:tcPr>
          <w:p>
            <w:pPr>
              <w:pStyle w:val="Normal6a"/>
            </w:pPr>
            <w:r>
              <w:t>12.</w:t>
            </w:r>
            <w:r>
              <w:tab/>
            </w:r>
            <w:r>
              <w:t>καλεί την Επιτροπή, τα κράτη μέλη και τους εργοδότες</w:t>
            </w:r>
            <w:r>
              <w:rPr>
                <w:b/>
                <w:i/>
              </w:rPr>
              <w:t>, σύμφωνα με τις εθνικές ή τομεακές απαιτήσεις ή τις συλλογικές συμβάσεις, όπου υπάρχουν,</w:t>
            </w:r>
            <w:r>
              <w:t xml:space="preserve"> να διασφαλίσουν </w:t>
            </w:r>
            <w:r>
              <w:rPr>
                <w:b/>
                <w:i/>
              </w:rPr>
              <w:t>επαρκή αποζημίωση</w:t>
            </w:r>
            <w:r>
              <w:t xml:space="preserve"> και αξιοπρεπείς συνθήκες εργασίας για </w:t>
            </w:r>
            <w:r>
              <w:rPr>
                <w:b/>
                <w:i/>
              </w:rPr>
              <w:t>τη συνιστώσα των προγραμμάτων ΕΕΚ που βασίζεται στον χώρο εργασίας</w:t>
            </w:r>
            <w:r>
              <w:t>, προκειμένου να βελτιωθούν η ελκυστικότητα, η ποιότητα και η συμπεριληπτικότητα της μάθησης</w:t>
            </w:r>
            <w:r>
              <w:rPr>
                <w:b/>
                <w:i/>
              </w:rPr>
              <w:t>, που προσφέρουν,</w:t>
            </w:r>
            <w:r>
              <w:t xml:space="preserve"> στον χώρο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καλεί την Επιτροπή, τα κράτη μέλη και τους εργοδότες να διασφαλίσουν </w:t>
            </w:r>
            <w:r>
              <w:rPr>
                <w:b/>
                <w:i/>
              </w:rPr>
              <w:t>δίκαιη</w:t>
            </w:r>
            <w:r>
              <w:t xml:space="preserve"> αμοιβή και </w:t>
            </w:r>
            <w:r>
              <w:rPr>
                <w:b/>
                <w:i/>
              </w:rPr>
              <w:t>αξιοπρεπείς</w:t>
            </w:r>
            <w:r>
              <w:t xml:space="preserve"> συνθήκες εργασίας για τις θέσεις μαθητείας και πρακτικής άσκησης στην ΕΕΚ, προκειμένου να βελτιωθούν η ελκυστικότητα, η ποιότητα και η συμπεριληπτικότητα της μάθησης στον χώρο εργασίας·</w:t>
            </w:r>
          </w:p>
        </w:tc>
        <w:tc>
          <w:tcPr>
            <w:tcW w:w="4876" w:type="dxa"/>
            <w:tcBorders>
              <w:top w:val="nil"/>
              <w:left w:val="nil"/>
              <w:bottom w:val="nil"/>
              <w:right w:val="nil"/>
            </w:tcBorders>
          </w:tcPr>
          <w:p>
            <w:pPr>
              <w:pStyle w:val="Normal6a"/>
            </w:pPr>
            <w:r>
              <w:t>12.</w:t>
            </w:r>
            <w:r>
              <w:tab/>
            </w:r>
            <w:r>
              <w:t xml:space="preserve">καλεί την Επιτροπή, τα κράτη μέλη και τους εργοδότες να διασφαλίσουν </w:t>
            </w:r>
            <w:r>
              <w:rPr>
                <w:b/>
                <w:i/>
              </w:rPr>
              <w:t>κατάλληλη</w:t>
            </w:r>
            <w:r>
              <w:t xml:space="preserve"> αμοιβή και </w:t>
            </w:r>
            <w:r>
              <w:rPr>
                <w:b/>
                <w:i/>
              </w:rPr>
              <w:t>ποιοτικές</w:t>
            </w:r>
            <w:r>
              <w:t xml:space="preserve"> συνθήκες εργασίας </w:t>
            </w:r>
            <w:r>
              <w:rPr>
                <w:b/>
                <w:i/>
              </w:rPr>
              <w:t>σύμφωνα με την εθνική νομοθεσία και τα συστήματα συλλογικών διαπραγματεύσεων</w:t>
            </w:r>
            <w:r>
              <w:t xml:space="preserve"> για τις θέσεις μαθητείας και πρακτικής άσκησης στην ΕΕΚ, προκειμένου να βελτιωθούν η ελκυστικότητα, η ποιότητα και η συμπεριληπτικότητα της μάθησης στον χώρο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καλεί την Επιτροπή, τα κράτη μέλη και τους εργοδότες να διασφαλίσουν δίκαιη αμοιβή και αξιοπρεπείς συνθήκες εργασίας για τις θέσεις μαθητείας </w:t>
            </w:r>
            <w:r>
              <w:rPr>
                <w:b/>
                <w:i/>
              </w:rPr>
              <w:t>και πρακτικής άσκησης</w:t>
            </w:r>
            <w:r>
              <w:t xml:space="preserve"> στην ΕΕΚ, προκειμένου να βελτιωθούν η ελκυστικότητα, η ποιότητα και η συμπεριληπτικότητα της μάθησης στον χώρο εργασίας·</w:t>
            </w:r>
          </w:p>
        </w:tc>
        <w:tc>
          <w:tcPr>
            <w:tcW w:w="4876" w:type="dxa"/>
            <w:tcBorders>
              <w:top w:val="nil"/>
              <w:left w:val="nil"/>
              <w:bottom w:val="nil"/>
              <w:right w:val="nil"/>
            </w:tcBorders>
          </w:tcPr>
          <w:p>
            <w:pPr>
              <w:pStyle w:val="Normal6a"/>
            </w:pPr>
            <w:r>
              <w:t>12.</w:t>
            </w:r>
            <w:r>
              <w:tab/>
            </w:r>
            <w:r>
              <w:t xml:space="preserve">καλεί την Επιτροπή, τα κράτη μέλη και τους εργοδότες να διασφαλίσουν δίκαιη αμοιβή και αξιοπρεπείς συνθήκες εργασίας για τις θέσεις μαθητείας στην ΕΕΚ, προκειμένου να βελτιωθούν η ελκυστικότητα, η ποιότητα και η συμπεριληπτικότητα της μάθησης στον χώρο εργασίας· </w:t>
            </w:r>
            <w:r>
              <w:rPr>
                <w:b/>
                <w:i/>
              </w:rPr>
              <w:t>τονίζει τη σημασία της ενεργού συμμετοχής των κοινωνικών εταίρων στον σχεδιασμό, την παρακολούθηση και την αξιολόγηση των προγραμμάτων μαθητείας·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καλεί την Επιτροπή, τα κράτη μέλη και τους εργοδότες να διασφαλίσουν δίκαιη αμοιβή και αξιοπρεπείς συνθήκες εργασίας για </w:t>
            </w:r>
            <w:r>
              <w:rPr>
                <w:b/>
                <w:i/>
              </w:rPr>
              <w:t>τις</w:t>
            </w:r>
            <w:r>
              <w:t xml:space="preserve"> θέσεις μαθητείας και πρακτικής άσκησης στην ΕΕΚ, προκειμένου να βελτιωθούν η ελκυστικότητα, η ποιότητα και η συμπεριληπτικότητα της μάθησης στον χώρο εργασίας·</w:t>
            </w:r>
          </w:p>
        </w:tc>
        <w:tc>
          <w:tcPr>
            <w:tcW w:w="4876" w:type="dxa"/>
            <w:tcBorders>
              <w:top w:val="nil"/>
              <w:left w:val="nil"/>
              <w:bottom w:val="nil"/>
              <w:right w:val="nil"/>
            </w:tcBorders>
          </w:tcPr>
          <w:p>
            <w:pPr>
              <w:pStyle w:val="Normal6a"/>
            </w:pPr>
            <w:r>
              <w:t>12.</w:t>
            </w:r>
            <w:r>
              <w:tab/>
            </w:r>
            <w:r>
              <w:t xml:space="preserve">καλεί την Επιτροπή, τα κράτη μέλη και τους εργοδότες να διασφαλίσουν δίκαιη αμοιβή και αξιοπρεπείς συνθήκες εργασίας </w:t>
            </w:r>
            <w:r>
              <w:rPr>
                <w:b/>
                <w:i/>
              </w:rPr>
              <w:t>που να καλύπτονται από συστήματα κοινωνικής προστασίας, να προστατεύονται από περιστατικά κατάχρησης και εκμετάλλευσης και να συνοδεύονται από υψηλής ποιότητας μαθησιακά αποτελέσματα και καθοδήγηση</w:t>
            </w:r>
            <w:r>
              <w:t xml:space="preserve"> για θέσεις μαθητείας και πρακτικής άσκησης στην ΕΕΚ, προκειμένου να βελτιωθούν η ελκυστικότητα, η ποιότητα και η συμπεριληπτικότητα της μάθησης στον χώρο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καλεί την Επιτροπή, τα κράτη μέλη και τους εργοδότες να διασφαλίσουν δίκαιη αμοιβή και αξιοπρεπείς συνθήκες εργασίας για τις θέσεις μαθητείας και πρακτικής άσκησης στην ΕΕΚ, προκειμένου να βελτιωθούν η ελκυστικότητα, η ποιότητα και η συμπεριληπτικότητα της μάθησης στον χώρο εργασίας·</w:t>
            </w:r>
          </w:p>
        </w:tc>
        <w:tc>
          <w:tcPr>
            <w:tcW w:w="4876" w:type="dxa"/>
            <w:tcBorders>
              <w:top w:val="nil"/>
              <w:left w:val="nil"/>
              <w:bottom w:val="nil"/>
              <w:right w:val="nil"/>
            </w:tcBorders>
          </w:tcPr>
          <w:p>
            <w:pPr>
              <w:pStyle w:val="Normal6a"/>
            </w:pPr>
            <w:r>
              <w:t>12.</w:t>
            </w:r>
            <w:r>
              <w:tab/>
            </w:r>
            <w:r>
              <w:t xml:space="preserve">καλεί την Επιτροπή, τα κράτη μέλη και τους εργοδότες να διασφαλίσουν δίκαιη αμοιβή και αξιοπρεπείς συνθήκες εργασίας για τις θέσεις μαθητείας και πρακτικής άσκησης στην ΕΕΚ, προκειμένου να βελτιωθούν η ελκυστικότητα, η ποιότητα και η συμπεριληπτικότητα της μάθησης στον χώρο εργασίας· </w:t>
            </w:r>
            <w:r>
              <w:rPr>
                <w:b/>
                <w:i/>
              </w:rPr>
              <w:t>υπενθυμίζει ότι οι ποιοτικές θέσεις εργασίας είναι απαραίτητες για την ελκυστικότητα των επαγγελματικών διαδρομών και για την ικανότητα της Ένωσης να διατηρεί ειδικευμένους εργαζομένους·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τονίζει ότι η επίτευξη των στόχων της Ένωσης για βιώσιμη, οικονομικά προσιτή και ανθεκτική στην κλιματική αλλαγή στέγαση απαιτεί σημαντικές επενδύσεις στην αναβάθμιση των δεξιοτήτων και την επανειδίκευση των εργαζομένων στον κατασκευαστικό τομέα, ιδίως όσον αφορά τις πράσινες και ψηφιακές ικανότητες·</w:t>
            </w:r>
            <w:r>
              <w:t xml:space="preserve"> </w:t>
            </w:r>
            <w:r>
              <w:rPr>
                <w:b/>
                <w:i/>
              </w:rPr>
              <w:t>καλεί την Επιτροπή και τα κράτη μέλη να διασφαλίσουν ότι οι εν λόγω ικανότητες ενσωματώνονται στην επαγγελματική εκπαίδευση και κατάρτιση, τη μαθητεία και τη συνεχή κατάρτιση, μεταξύ άλλων για επαγγέλματα που σχετίζονται με την ανακαίνιση, προκειμένου να βελτιωθούν οι περιβαλλοντικές επιδόσεις, η αποδοτική χρήση των πόρων και η ικανότητα καινοτομίας του τομέα·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καλεί την Επιτροπή και τα κράτη μέλη, σε συνεργασία με τους κοινωνικούς εταίρους και τους παρόχους ΕΕΚ, να αναπτύξουν ολοκληρωμένες και εφαρμόσιμες στρατηγικές για την ενίσχυση της ευημερίας των εκπαιδευομένων, των εκπαιδευτικών και των εκπαιδευτών σε όλα τα μαθησιακά περιβάλλοντα ΕΕΚ, μεταξύ άλλων μέσω εργαλείων παρακολούθησης και υποβολής εκθέσεων, πρόσβασης σε συμβουλευτική και καθοδήγηση, χρηματοδοτικής στήριξης, επαγγελματικής εξέλιξης και ευαισθητοποίησης·</w:t>
            </w:r>
            <w:r>
              <w:t xml:space="preserve"> </w:t>
            </w:r>
            <w:r>
              <w:rPr>
                <w:b/>
                <w:i/>
              </w:rPr>
              <w:t>στο πλαίσιο αυτό, τονίζει τη σημασία των επαγγελματιών της ειδικής εκπαίδευσης, των ψυχολόγων και των βοηθών για την αντιμετώπιση των ατομικών αναγκών όλων των εκπαιδευομένων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καλεί την Επιτροπή και τα κράτη μέλη να απαγορεύσουν τις μη αμειβόμενες θέσεις μαθητείας, πρακτικής άσκησης και την τοποθέτηση για εκπαίδευση σε χώρο εργασίας στην ΕΕΚ και να διασφαλίσουν ότι όλοι οι μαθητευόμενοι και οι ασκούμενοι λαμβάνουν κατάλληλη αμοιβή, πλήρη κοινωνική προστασία, ασφαλείς συνθήκες εργασίας, αποτελεσματική καθοδήγηση και προστασία από την υποκατάσταση της κανονικής απασχόλησης·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αναγνωρίζει το μετασχηματιστικό δυναμικό της ΤΝ ως καταλύτη για τον εκσυγχρονισμό των συστημάτων ΕΕΚ στην Ευρώπη·</w:t>
            </w:r>
            <w:r>
              <w:t xml:space="preserve"> </w:t>
            </w:r>
            <w:r>
              <w:rPr>
                <w:b/>
                <w:i/>
              </w:rPr>
              <w:t>ζητεί τη στρατηγική ενσωμάτωση εργαλείων ΤΝ για τη στήριξη της καινοτομίας στα προγράμματα σπουδών, της εξατομικευμένης μάθησης, της επαγγελματικής ανάπτυξης και της αξιολόγησης των δεξιοτήτων·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τονίζει τη σημασία της προώθησης επαγγελματικών διαδρομών μεταξύ των νέων μέσω ισχυρότερου επαγγελματικού προσανατολισμού, συνεργασίας με τις οικογένειες και τους τοπικούς εργοδότες, καθώς και εκστρατειών ευαισθητοποίησης που αναδεικνύουν τις ευκαιρίες απασχόλησης σε τεχνικά και πρακτικά επαγγέλματα·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12β.</w:t>
            </w:r>
            <w:r>
              <w:tab/>
            </w:r>
            <w:r>
              <w:rPr>
                <w:b/>
                <w:i/>
              </w:rPr>
              <w:t>καλεί την Επιτροπή και τα κράτη μέλη να αντιμετωπίσουν τις αυξανόμενες ελλείψεις εκπαιδευτικών και εκπαιδευτών ΕΕΚ βελτιώνοντας την ελκυστικότητα, την κοινωνική αναγνώριση και την αμοιβή του επαγγέλματος, διασφαλίζοντας καλές συνθήκες εργασίας, επαγγελματική αυτονομία και επαγγελματική εξέλιξη, και στηρίζοντας την καθοδήγηση, τη μάθηση από ομοτίμους και τις δυνατότητες επαγγελματικής εξέλιξης·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12β.</w:t>
            </w:r>
            <w:r>
              <w:tab/>
            </w:r>
            <w:r>
              <w:rPr>
                <w:b/>
                <w:i/>
              </w:rPr>
              <w:t>καλεί την Επιτροπή, τα κράτη μέλη και τα σχετικά ενδιαφερόμενα μέρη να προωθήσουν προσεγγίσεις που δίνουν προτεραιότητα στις δεξιότητες όσον αφορά τις προσλήψεις, την πρόοδο και την πρόσβαση σε υπηρεσίες·</w:t>
            </w:r>
            <w:r>
              <w:t xml:space="preserve"> </w:t>
            </w:r>
            <w:r>
              <w:rPr>
                <w:b/>
                <w:i/>
              </w:rPr>
              <w:t>τονίζει ότι οι απόφοιτοι ΕΕΚ ενδέχεται να αντιμετωπίζουν διαρθρωτικά μειονεκτήματα καθώς οι τίτλοι επαγγελματικών προσόντων σε σύγκριση με τα ακαδημαϊκά διπλώματα έχουν χαμηλότερη αξία πιστοποίησης·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12β.</w:t>
            </w:r>
            <w:r>
              <w:tab/>
            </w:r>
            <w:r>
              <w:rPr>
                <w:b/>
                <w:i/>
              </w:rPr>
              <w:t>ζητεί στοχευμένα μέτρα για την αύξηση της συμμετοχής στην ΕΕΚ των γυναικών, των ατόμων με αναπηρία, των μεταναστών, των φυλετικοποιημένων μειονοτήτων, των εργαζομένων μεγαλύτερης ηλικίας και των ατόμων από μειονεκτούντα κοινωνικοοικονομικά περιβάλλοντα, συμπεριλαμβανομένης της χρηματοδοτικής στήριξης, των υπηρεσιών καθοδήγησης και των μέτρων κατά των διακρίσεων·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12β.</w:t>
            </w:r>
            <w:r>
              <w:tab/>
            </w:r>
            <w:r>
              <w:rPr>
                <w:b/>
                <w:i/>
              </w:rPr>
              <w:t>τονίζει τη σημασία της στήριξης της επαγγελματικής εκπαίδευσης και κατάρτισης σε αγροτικές, απομακρυσμένες και οικονομικά μειονεκτούσες περιοχές, προκειμένου να καταπολεμηθεί η πληθυσμιακή συρρίκνωση, να ενισχυθούν οι τοπικές αγορές εργασίας και να διατηρηθούν οι παραδοσιακές δεξιότητες και τέχνες·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τονίζει τη σημασία της αναγνώρισης των διπλωμάτων και των δεξιοτήτων για τη διασφάλιση της ελεύθερης κυκλοφορίας των σπουδαστών και των εργαζομένων ΕΕΚ και την αντιμετώπιση του χαμηλού αριθμού ευκαιριών κινητικότητας στο πλαίσιο αυτό·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w:t>
            </w:r>
          </w:p>
        </w:tc>
        <w:tc>
          <w:tcPr>
            <w:tcW w:w="4876" w:type="dxa"/>
            <w:tcBorders>
              <w:top w:val="nil"/>
              <w:left w:val="nil"/>
              <w:bottom w:val="nil"/>
              <w:right w:val="nil"/>
            </w:tcBorders>
          </w:tcPr>
          <w:p>
            <w:pPr>
              <w:pStyle w:val="Normal6a"/>
            </w:pPr>
            <w:r>
              <w:t>13.</w:t>
            </w:r>
            <w:r>
              <w:tab/>
            </w:r>
            <w:r>
              <w:t>τονίζει τη σημασία της αναγνώρισης των διπλωμάτων και των δεξιοτήτων για τη διασφάλιση της ελεύθερης κυκλοφορίας των σπουδαστών και των εργαζομένων ΕΕΚ και την αντιμετώπιση του χαμηλού αριθμού ευκαιριών κινητικότητας στο πλαίσιο αυτό</w:t>
            </w:r>
            <w:r>
              <w:rPr>
                <w:b/>
                <w:i/>
              </w:rPr>
              <w:t>·</w:t>
            </w:r>
            <w:r>
              <w:t xml:space="preserve"> </w:t>
            </w:r>
            <w:r>
              <w:rPr>
                <w:b/>
                <w:i/>
              </w:rPr>
              <w:t>καλεί την Ευρωπαϊκή Επιτροπή να θεσπίσει ένα δίπλωμα ΕΕΚ, σύμφωνα με την ανακοίνωση για την Ένωση Δεξιοτήτων, με πρωτοβουλίες από τη βάση προς την κορυφή για την προώθηση της επικαιροποίησης των προγραμμάτων σπουδών, της συνάφειας σε διεθνές επίπεδο και των αυξημένων ευκαιριών κινητικότητας</w:t>
            </w:r>
            <w:r>
              <w:t xml:space="preserve">·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 </w:t>
            </w:r>
            <w:r>
              <w:rPr>
                <w:b/>
                <w:i/>
              </w:rPr>
              <w:t>με πλήρη σεβασμό της αρμοδιότητας των κρατών μελών όσον αφορά τα επαγγελματικά προσόντα και τα νομοθετικά κατοχυρωμένα επαγγέλματα·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Pál Szekeres, Margarita de la Pisa Carrión,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τονίζει τη σημασία της αναγνώρισης των διπλωμάτων και των δεξιοτήτων για τη διασφάλιση της ελεύθερης κυκλοφορίας των σπουδαστών και των εργαζομένων ΕΕΚ και την αντιμετώπιση του χαμηλού αριθμού ευκαιριών κινητικότητας στο πλαίσιο αυτό·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w:t>
            </w:r>
          </w:p>
        </w:tc>
        <w:tc>
          <w:tcPr>
            <w:tcW w:w="4876" w:type="dxa"/>
            <w:tcBorders>
              <w:top w:val="nil"/>
              <w:left w:val="nil"/>
              <w:bottom w:val="nil"/>
              <w:right w:val="nil"/>
            </w:tcBorders>
          </w:tcPr>
          <w:p>
            <w:pPr>
              <w:pStyle w:val="Normal6a"/>
            </w:pPr>
            <w:r>
              <w:t>13.</w:t>
            </w:r>
            <w:r>
              <w:tab/>
            </w:r>
            <w:r>
              <w:t xml:space="preserve">τονίζει τη σημασία της αναγνώρισης των διπλωμάτων και των δεξιοτήτων για τη διασφάλιση της ελεύθερης κυκλοφορίας των σπουδαστών και των εργαζομένων ΕΕΚ και την αντιμετώπιση του χαμηλού αριθμού ευκαιριών κινητικότητας στο πλαίσιο αυτό·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 </w:t>
            </w:r>
            <w:r>
              <w:rPr>
                <w:b/>
                <w:i/>
              </w:rPr>
              <w:t>τονίζει περαιτέρω ότι η ενισχυμένη κινητικότητα και αναγνώριση δεξιοτήτων θα πρέπει να συνοδεύεται από μέτρα που αποσκοπούν στην πρόληψη της δυσανάλογης διαρροής δυναμικού και της επιδείνωσης των ελλείψεων εργατικού δυναμικού σε λιγότερο εύπορα κράτη μέλη και περιφέρειες, μεταξύ άλλων μέσω στοχευμένων επενδύσεων, στρατηγικών διατήρησης δεξιοτήτων και κινήτρων που στηρίζουν την ισόρροπη οικονομική σύγκλιση και την ανάπτυξη τοπικών αγορών εργασίας σε ολόκληρη 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τονίζει τη σημασία της αναγνώρισης των διπλωμάτων και των δεξιοτήτων για τη διασφάλιση της ελεύθερης κυκλοφορίας των σπουδαστών και των εργαζομένων ΕΕΚ και την αντιμετώπιση του χαμηλού αριθμού ευκαιριών κινητικότητας στο πλαίσιο αυτό·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w:t>
            </w:r>
          </w:p>
        </w:tc>
        <w:tc>
          <w:tcPr>
            <w:tcW w:w="4876" w:type="dxa"/>
            <w:tcBorders>
              <w:top w:val="nil"/>
              <w:left w:val="nil"/>
              <w:bottom w:val="nil"/>
              <w:right w:val="nil"/>
            </w:tcBorders>
          </w:tcPr>
          <w:p>
            <w:pPr>
              <w:pStyle w:val="Normal6a"/>
            </w:pPr>
            <w:r>
              <w:t>13.</w:t>
            </w:r>
            <w:r>
              <w:tab/>
            </w:r>
            <w:r>
              <w:t xml:space="preserve">τονίζει τη σημασία της αναγνώρισης των διπλωμάτων και των δεξιοτήτων για τη διασφάλιση της ελεύθερης κυκλοφορίας των σπουδαστών και των εργαζομένων ΕΕΚ και την αντιμετώπιση του χαμηλού αριθμού ευκαιριών κινητικότητας στο πλαίσιο αυτό·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 </w:t>
            </w:r>
            <w:r>
              <w:rPr>
                <w:b/>
                <w:i/>
              </w:rPr>
              <w:t>τονίζει ότι η ενισχυμένη κινητικότητα δεν πρέπει να συμβάλλει στο κοινωνικό ντάμπινγκ ή στη διάβρωση των εργασιακών προτύπων και θα πρέπει να συνοδεύεται από αποτελεσματική επιβολή των εργασιακών δικαιωμάτων σε ολόκληρη 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τονίζει τη σημασία της αναγνώρισης των διπλωμάτων και των δεξιοτήτων για τη διασφάλιση της ελεύθερης κυκλοφορίας των σπουδαστών και των εργαζομένων ΕΕΚ και την αντιμετώπιση του χαμηλού αριθμού ευκαιριών κινητικότητας στο πλαίσιο αυτό·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w:t>
            </w:r>
          </w:p>
        </w:tc>
        <w:tc>
          <w:tcPr>
            <w:tcW w:w="4876" w:type="dxa"/>
            <w:tcBorders>
              <w:top w:val="nil"/>
              <w:left w:val="nil"/>
              <w:bottom w:val="nil"/>
              <w:right w:val="nil"/>
            </w:tcBorders>
          </w:tcPr>
          <w:p>
            <w:pPr>
              <w:pStyle w:val="Normal6a"/>
            </w:pPr>
            <w:r>
              <w:t>13.</w:t>
            </w:r>
            <w:r>
              <w:tab/>
            </w:r>
            <w:r>
              <w:t>τονίζει τη σημασία της αναγνώρισης των διπλωμάτων και των δεξιοτήτων για τη διασφάλιση της ελεύθερης κυκλοφορίας των σπουδαστών και των εργαζομένων ΕΕΚ και την αντιμετώπιση του χαμηλού αριθμού ευκαιριών κινητικότητας στο πλαίσιο αυτό·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w:t>
            </w:r>
            <w:r>
              <w:rPr>
                <w:b/>
                <w:i/>
              </w:rPr>
              <w:t>, και ότι τα μέτρα στο πλαίσιο των πρωτοβουλιών θα πρέπει να υποστηρίζονται από επαρκείς διασφαλίσεις με βάση την ισότητα και τα βασικά δικαιώματα των διακινούμενων εργαζομένων σύμφωνα με τα ισχύοντα διεθνή πρότυπα εργασίας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Romana Jerković, Estelle Ceulemans, Vilija Blinkevičiūtė, Marianne Vind, Idoia Mendia,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τονίζει τη σημασία της αναγνώρισης των διπλωμάτων </w:t>
            </w:r>
            <w:r>
              <w:rPr>
                <w:b/>
                <w:i/>
              </w:rPr>
              <w:t>και των δεξιοτήτων</w:t>
            </w:r>
            <w:r>
              <w:t xml:space="preserve"> για τη διασφάλιση της ελεύθερης κυκλοφορίας των σπουδαστών και των εργαζομένων ΕΕΚ και την αντιμετώπιση του χαμηλού αριθμού ευκαιριών κινητικότητας στο πλαίσιο αυτό·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w:t>
            </w:r>
          </w:p>
        </w:tc>
        <w:tc>
          <w:tcPr>
            <w:tcW w:w="4876" w:type="dxa"/>
            <w:tcBorders>
              <w:top w:val="nil"/>
              <w:left w:val="nil"/>
              <w:bottom w:val="nil"/>
              <w:right w:val="nil"/>
            </w:tcBorders>
          </w:tcPr>
          <w:p>
            <w:pPr>
              <w:pStyle w:val="Normal6a"/>
            </w:pPr>
            <w:r>
              <w:t>13.</w:t>
            </w:r>
            <w:r>
              <w:tab/>
            </w:r>
            <w:r>
              <w:t xml:space="preserve">τονίζει τη σημασία της αναγνώρισης των </w:t>
            </w:r>
            <w:r>
              <w:rPr>
                <w:b/>
                <w:i/>
              </w:rPr>
              <w:t>προσόντων και των</w:t>
            </w:r>
            <w:r>
              <w:t xml:space="preserve"> διπλωμάτων για τη διασφάλιση της ελεύθερης κυκλοφορίας </w:t>
            </w:r>
            <w:r>
              <w:rPr>
                <w:b/>
                <w:i/>
              </w:rPr>
              <w:t>και την προώθηση της δίκαιης μαθησιακής κινητικότητας</w:t>
            </w:r>
            <w:r>
              <w:t xml:space="preserve"> των σπουδαστών</w:t>
            </w:r>
            <w:r>
              <w:rPr>
                <w:b/>
                <w:i/>
              </w:rPr>
              <w:t>, των μαθητευομένων</w:t>
            </w:r>
            <w:r>
              <w:t xml:space="preserve"> και των εργαζομένων ΕΕΚ</w:t>
            </w:r>
            <w:r>
              <w:rPr>
                <w:b/>
                <w:i/>
              </w:rPr>
              <w:t>,</w:t>
            </w:r>
            <w:r>
              <w:t xml:space="preserve"> και την αντιμετώπιση του χαμηλού αριθμού ευκαιριών κινητικότητας στο πλαίσιο αυτό·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τονίζει τη σημασία της αναγνώρισης των διπλωμάτων και των δεξιοτήτων για τη διασφάλιση της ελεύθερης κυκλοφορίας των σπουδαστών και των εργαζομένων ΕΕΚ και την αντιμετώπιση του χαμηλού αριθμού ευκαιριών κινητικότητας στο πλαίσιο αυτό·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w:t>
            </w:r>
          </w:p>
        </w:tc>
        <w:tc>
          <w:tcPr>
            <w:tcW w:w="4876" w:type="dxa"/>
            <w:tcBorders>
              <w:top w:val="nil"/>
              <w:left w:val="nil"/>
              <w:bottom w:val="nil"/>
              <w:right w:val="nil"/>
            </w:tcBorders>
          </w:tcPr>
          <w:p>
            <w:pPr>
              <w:pStyle w:val="Normal6a"/>
            </w:pPr>
            <w:r>
              <w:t>13.</w:t>
            </w:r>
            <w:r>
              <w:tab/>
            </w:r>
            <w:r>
              <w:t>τονίζει τη σημασία της αναγνώρισης των διπλωμάτων και των δεξιοτήτων για τη διασφάλιση της ελεύθερης κυκλοφορίας των σπουδαστών και των εργαζομένων ΕΕΚ και την αντιμετώπιση του χαμηλού αριθμού ευκαιριών κινητικότητας στο πλαίσιο αυτό</w:t>
            </w:r>
            <w:r>
              <w:rPr>
                <w:b/>
                <w:i/>
              </w:rPr>
              <w:t>, μεταξύ άλλων μέσω του προγράμματος Erasmus+</w:t>
            </w:r>
            <w:r>
              <w:t>·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τονίζει τη σημασία της αναγνώρισης των </w:t>
            </w:r>
            <w:r>
              <w:rPr>
                <w:b/>
                <w:i/>
              </w:rPr>
              <w:t>διπλωμάτων</w:t>
            </w:r>
            <w:r>
              <w:t xml:space="preserve"> και των δεξιοτήτων για τη διασφάλιση της ελεύθερης κυκλοφορίας </w:t>
            </w:r>
            <w:r>
              <w:rPr>
                <w:b/>
                <w:i/>
              </w:rPr>
              <w:t>των σπουδαστών και των εργαζομένων ΕΕΚ</w:t>
            </w:r>
            <w:r>
              <w:t xml:space="preserve"> και την αντιμετώπιση </w:t>
            </w:r>
            <w:r>
              <w:rPr>
                <w:b/>
                <w:i/>
              </w:rPr>
              <w:t>του χαμηλού αριθμού ευκαιριών</w:t>
            </w:r>
            <w:r>
              <w:t xml:space="preserve"> κινητικότητας </w:t>
            </w:r>
            <w:r>
              <w:rPr>
                <w:b/>
                <w:i/>
              </w:rPr>
              <w:t>στο πλαίσιο αυτό</w:t>
            </w:r>
            <w:r>
              <w:t>·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w:t>
            </w:r>
          </w:p>
        </w:tc>
        <w:tc>
          <w:tcPr>
            <w:tcW w:w="4876" w:type="dxa"/>
            <w:tcBorders>
              <w:top w:val="nil"/>
              <w:left w:val="nil"/>
              <w:bottom w:val="nil"/>
              <w:right w:val="nil"/>
            </w:tcBorders>
          </w:tcPr>
          <w:p>
            <w:pPr>
              <w:pStyle w:val="Normal6a"/>
            </w:pPr>
            <w:r>
              <w:t>13.</w:t>
            </w:r>
            <w:r>
              <w:tab/>
            </w:r>
            <w:r>
              <w:t xml:space="preserve">τονίζει τη σημασία της αναγνώρισης των </w:t>
            </w:r>
            <w:r>
              <w:rPr>
                <w:b/>
                <w:i/>
              </w:rPr>
              <w:t>προσόντων</w:t>
            </w:r>
            <w:r>
              <w:t xml:space="preserve"> και των δεξιοτήτων για τη διασφάλιση της ελεύθερης κυκλοφορίας και την αντιμετώπιση </w:t>
            </w:r>
            <w:r>
              <w:rPr>
                <w:b/>
                <w:i/>
              </w:rPr>
              <w:t>της δίκαιης</w:t>
            </w:r>
            <w:r>
              <w:t xml:space="preserve"> κινητικότητας </w:t>
            </w:r>
            <w:r>
              <w:rPr>
                <w:b/>
                <w:i/>
              </w:rPr>
              <w:t>σπουδών για τους σπουδαστές ΕΕΚ, καθώς και της δίκαιης κινητικότητας του εργατικού δυναμικού για όλους τους μαθητευόμενους και τους εργαζομένους</w:t>
            </w:r>
            <w:r>
              <w:t>· ζητεί η επικείμενη πρωτοβουλία για τη φορητότητα δεξιοτήτων να δημιουργήσει ένα συνεκτικό ενωσιακό οικοσύστημα για την αναγνώριση και την κινητικότητα των δεξιοτήτων, διασφαλίζοντας τη διαλειτουργικότητα μεταξύ του Europass, της πολύγλωσσης ταξινόμησης των ευρωπαϊκών δεξιοτήτων, ικανοτήτων και επαγγελμάτων, των εθνικών πλαισίων επαγγελματικών προσόντων, των μικροδιαπιστευτηρίων και των ψηφιακών διαπιστευτηρίων·  τονίζει ότι το σύστημα αυτό θα πρέπει να είναι διαφανές, φιλικό προς τον πολίτη, ψηφιακό και δωρεάν·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επισημαίνει ότι τα επαγγέλματα που συνδέονται με την επαγγελματική εκπαίδευση και κατάρτιση (ΕΕΚ) έχουν την αναγκαία ευελιξία ώστε να εκτελούνται οπουδήποτε, και ότι, κατά συνέπεια, η κινητικότητα στο πλαίσιο της ΕΕΚ είναι ένα από τα σημαντικά εργαλεία για την καταπολέμηση της ανεργίας, καθώς βελτιώνει την απασχολησιμότητα, μειώνει την έλλειψη δεξιοτήτων και διευκολύνει την αντιστοίχιση μεταξύ προσφοράς και ζήτησης εργασίας, ιδίως για τους νέους, παρέχοντας δεξιότητες και μια μοναδική εμπειρία, στοιχεία που είναι απαραίτητα για να είναι κανείς ανταγωνιστικός στις σημερινές αγορές εργασίας εντός της ΕΕ·</w:t>
            </w:r>
            <w:r>
              <w:t xml:space="preserve"> </w:t>
            </w:r>
            <w:r>
              <w:rPr>
                <w:b/>
                <w:i/>
              </w:rPr>
              <w:t>ενθαρρύνει τα κράτη μέλη να προωθήσουν το σύνολο των ευκαιριών που προσφέρει το πρόγραμμα Erasmus +, το οποίο παρέχει στους νέους όχι μόνο δυνατότητες σπουδών στο εξωτερικό, αλλά και ευκαιρίες μαθητείας και πρακτικής άσκησης·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καλεί την Επιτροπή και τα κράτη μέλη να θεσπίσουν περιφερειακούς πιλοτικούς τομείς για τη δυνατότητα μεταφοράς τίτλων δεξιοτήτων και των προσόντων, με βάση τα υφιστάμενα πλαίσια διασυνοριακής συνεργασίας, όπως η Ένωση Μπενελούξ και οι γειτονικές παραμεθόριες περιοχές τους, προκειμένου να δοκιμαστούν καινοτόμες προσεγγίσεις για την αναγνώριση, την επικύρωση και την αυτόματη δυνατότητα μεταφοράς των τίτλων προσόντων, δεξιοτήτων και των μικροδιαπιστευτηρίων σε διασυνοριακό επίπεδο·</w:t>
            </w:r>
            <w:r>
              <w:t xml:space="preserve"> </w:t>
            </w:r>
            <w:r>
              <w:rPr>
                <w:b/>
                <w:i/>
              </w:rPr>
              <w:t>θεωρεί ότι τα επιτυχημένα πιλοτικά έργα θα μπορούσαν να δημιουργήσουν πολύτιμα στοιχεία, να ενισχύσουν την αμοιβαία εμπιστοσύνη μεταξύ των αρμόδιων αρχών και να δημιουργήσουν θετικές δευτερογενείς επιπτώσεις για ευρύτερη εφαρμογή σε ολόκληρη 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τονίζει την ανάγκη μετάβασης προς την αυτόματη αναγνώριση των ακαδημαϊκών και επαγγελματικών προσόντων μεταξύ των κρατών μελών για συγκρίσιμα επίπεδα εκπαίδευσης, προκειμένου να μειωθούν τα εμπόδια στην κινητικότητα και να ενισχυθεί η λειτουργία της ενιαίας αγοράς εκπαίδευσης και εργασίας, καλεί την Επιτροπή και τα κράτη μέλη να διασφαλίσουν ότι τα προσόντα επαγγελματικής εκπαίδευσης και κατάρτισης (ΕΕΚ) αξιολογούνται σε ισότιμη βάση με τα ακαδημαϊκά προσόντα, με βάση τα μαθησιακά αποτελέσματα και όχι μόνο τις επίσημες διαδρομές σπουδών.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τονίζει ότι η βελτίωση της αναγνώρισης και της δυνατότητας μεταφοράς τίτλων επαγγελματικών προσόντων θα πρέπει να συμβάλει όχι μόνο στην κινητικότητα του εργατικού δυναμικού, αλλά και στην καλύτερη αντιστοίχιση των δεξιοτήτων και των αναγκών της αγοράς εργασίας σε ολόκληρη 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13β.</w:t>
            </w:r>
            <w:r>
              <w:tab/>
            </w:r>
            <w:r>
              <w:rPr>
                <w:b/>
                <w:i/>
              </w:rPr>
              <w:t>υπογραμμίζει την ανάγκη να ενισχυθεί το ευρωπαϊκό πλαίσιο επαγγελματικών προσόντων (ΕΠΕΠ) ως κοινό σημείο αναφοράς για τη συγκρισιμότητα των επαγγελματικών προσόντων, προκειμένου να μειωθούν οι αποκλίσεις μεταξύ των εθνικών συστημάτων και να διευκολυνθεί η διασυνοριακή αναγνώριση, τονίζει την ανάγκη να μειωθούν οι διακριτικές πρακτικές κατά την αναγνώριση των επαγγελματικών προσόντων σε όλα τα κράτη μέλη με την προώθηση κοινών κριτηρίων και τυποποιημένων χρονοδιαγραμμάτων που βασίζονται σε κοινά μαθησιακά αποτελέσματα·</w:t>
            </w:r>
            <w:r>
              <w:t xml:space="preserve"> </w:t>
            </w:r>
            <w:r>
              <w:rPr>
                <w:b/>
                <w:i/>
              </w:rPr>
              <w:t>υποστηρίζει τον στόχο ενός πραγματικού Ευρωπαϊκού Χώρου Εκπαίδευσης στον οποίο η αναγνώριση των ακαδημαϊκών και επαγγελματικών προσόντων θα γίνεται σταδιακά αυτόματη, ενισχύοντας την αμοιβαία εμπιστοσύνη μεταξύ των εκπαιδευτικών συστημάτων και διευκολύνοντας την κινητικότητα των ειδικευμένων εργαζομένων.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13β.</w:t>
            </w:r>
            <w:r>
              <w:tab/>
            </w:r>
            <w:r>
              <w:rPr>
                <w:b/>
                <w:i/>
              </w:rPr>
              <w:t>ζητεί την ανάπτυξη διαλειτουργικών, ασφαλών και επαληθεύσιμων ψηφιακών διαπιστευτηρίων για τα προσόντα και τις επαγγελματικές δεξιότητες, τα οποία θα εκδίδονται από αρμόδιες και αναγνωρισμένες αρχές και θα μπορούν να ανταλλάσσονται εύκολα σε διασυνοριακό επίπεδο, διασφαλίζοντας παράλληλα τη συνοχή με τις υφιστάμενες πρωτοβουλίες της ΕΕ και διατηρώντας τα πρότυπα·</w:t>
            </w:r>
            <w:r>
              <w:t xml:space="preserve"> </w:t>
            </w:r>
            <w:r>
              <w:rPr>
                <w:b/>
                <w:i/>
              </w:rPr>
              <w:t>εξετάζει τις δυνατότητες της ΤΝ για την αναγνώριση των προσόντων και των μικροδιαπιστευτηρίων·</w:t>
            </w:r>
            <w:r>
              <w:t xml:space="preserve"> </w:t>
            </w:r>
            <w:r>
              <w:rPr>
                <w:b/>
                <w:i/>
              </w:rPr>
              <w:t>ενθαρρύνει την ανάπτυξη ευρωπαϊκών μηχανισμών πιστοποίησης που βασίζονται στην ΤΝ για την ενίσχυση της διαφάνειας και της δυνατότητας μεταφοράς των προσόντων ΕΕΚ σε όλα 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Andrzej Buła, Martine Kemp, Henrik Dahl,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13β.</w:t>
            </w:r>
            <w:r>
              <w:tab/>
            </w:r>
            <w:r>
              <w:rPr>
                <w:b/>
                <w:i/>
              </w:rPr>
              <w:t>καλεί την Επιτροπή και τα κράτη μέλη να απλουστεύσουν και να επιταχύνουν περαιτέρω την αναγνώριση των επαγγελματικών προσόντων σε ολόκληρη την Ένωση, με παράλληλο σεβασμό των εθνικών αρμοδιοτήτων, προκειμένου να διευκολυνθεί η κινητικότητα του εργατικού δυναμικού και να αντιμετωπιστούν οι ελλείψεις δεξιοτήτων·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13γ.</w:t>
            </w:r>
            <w:r>
              <w:tab/>
            </w:r>
            <w:r>
              <w:rPr>
                <w:b/>
                <w:i/>
              </w:rPr>
              <w:t>επισημαίνει την αξία των διαρθρωμένων συστημάτων μάθησης στον χώρο εργασίας, συμπεριλαμβανομένων των προγραμμάτων μαθητείας και των διττών συστημάτων εκπαίδευσης και κατάρτισης, ως βασικών εργαλείων για τη διευκόλυνση της μετάβασης από την εκπαίδευση στην αγορά εργασίας και για τη διασφάλιση της απόκτησης δεξιοτήτων ευθυγραμμισμένων με τις οικονομικές και κοινωνικές ανάγκες·</w:t>
            </w:r>
            <w:r>
              <w:t xml:space="preserve"> </w:t>
            </w:r>
            <w:r>
              <w:rPr>
                <w:b/>
                <w:i/>
              </w:rPr>
              <w:t>καλεί τα κράτη μέλη να ενισχύσουν, να επεκτείνουν και να ενσωματώσουν πλήρως τα εν λόγω συστήματα στα εθνικά συστήματα εκπαίδευσης και κατάρτισης, διασφαλίζοντας υψηλής ποιότητας και καλά εποπτευόμενες τοποθετήσεις όχι μόνο στον ιδιωτικό τομέα και εντός των επιχειρήσεων, αλλά και στις δημόσιες διοικήσεις, τα ερευνητικά κέντρα, τις εθελοντικές οργανώσεις και τον ευρύτερο τρίτο τομέα, ώστε να παρέχεται στους σπουδαστές ένα ευρύτερο, πιο συμπεριληπτικό και διαφοροποιημένο φάσμα ευκαιριών μάθησης.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13γ.</w:t>
            </w:r>
            <w:r>
              <w:tab/>
            </w:r>
            <w:r>
              <w:rPr>
                <w:b/>
                <w:i/>
              </w:rPr>
              <w:t>εκφράζει την ικανοποίησή του για την ειδική έκθεση του Ευρωπαϊκού Ελεγκτικού Συνεδρίου σχετικά με την αναγνώριση των επαγγελματικών προσόντων στην ΕΕ και καλεί την Επιτροπή και τα κράτη μέλη να εφαρμόσουν τις συστάσεις του, ιδίως τη μείωση των προθεσμιών αναγνώρισης μέσω του αυτόματου συστήματος για τα τομεακά επαγγέλματα για την προσωρινή και μόνιμη κινητικότητα·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Andrea Wechsler, Romana Tomc, Andrzej Buła, Martine Kemp,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13γ.</w:t>
            </w:r>
            <w:r>
              <w:tab/>
            </w:r>
            <w:r>
              <w:rPr>
                <w:b/>
                <w:i/>
              </w:rPr>
              <w:t>ενθαρρύνει την ανάπτυξη εταιρικών σχέσεων δεξιοτήτων και κατάρτισης με τρίτες χώρες σε τομείς που αντιμετωπίζουν επίμονες ελλείψεις εργατικού δυναμικού, συνδυάζοντας ευκαιρίες κατάρτισης υψηλής ποιότητας με διαφανείς διαδρομές αναγνώρισης και αμοιβαία επωφελείς ρυθμίσεις κινητικότητας·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Angelika Winzig, Ελεονώρα Μελέτη, Miriam Lexmann, Andrea Wechsler, Romana Tomc, Martine Kemp, Letizia Moratti, 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εκφράζει τη λύπη του για το γεγονός</w:t>
            </w:r>
            <w:r>
              <w:t xml:space="preserve"> ότι η υιοθέτηση κοινών πλαισίων κατάρτισης βάσει της οδηγίας 2005/36/ΕΚ</w:t>
            </w:r>
            <w:r>
              <w:rPr>
                <w:vertAlign w:val="superscript"/>
              </w:rPr>
              <w:t>5</w:t>
            </w:r>
            <w:r>
              <w:t xml:space="preserve"> </w:t>
            </w:r>
            <w:r>
              <w:rPr>
                <w:b/>
                <w:i/>
              </w:rPr>
              <w:t>υπήρξε</w:t>
            </w:r>
            <w:r>
              <w:t xml:space="preserve"> περιορισμένη και καλεί την Επιτροπή</w:t>
            </w:r>
            <w:r>
              <w:rPr>
                <w:b/>
                <w:i/>
              </w:rPr>
              <w:t>, τα κράτη μέλη και τους σχετικούς επαγγελματικούς φορείς να προωθήσουν ενεργά την</w:t>
            </w:r>
            <w:r>
              <w:t xml:space="preserve"> ανάπτυξη και </w:t>
            </w:r>
            <w:r>
              <w:rPr>
                <w:b/>
                <w:i/>
              </w:rPr>
              <w:t>την εφαρμογή</w:t>
            </w:r>
            <w:r>
              <w:t xml:space="preserve"> τους σε </w:t>
            </w:r>
            <w:r>
              <w:rPr>
                <w:b/>
                <w:i/>
              </w:rPr>
              <w:t>επαγγελματικούς</w:t>
            </w:r>
            <w:r>
              <w:t xml:space="preserve"> τομείς, όπου οι κοινές απαιτήσεις κατάρτισης θα μπορούσαν να στηρίξουν την επαγγελματική κινητικότητα και να αντιμετωπίσουν τις ελλείψεις δεξιοτήτων·</w:t>
            </w:r>
          </w:p>
        </w:tc>
        <w:tc>
          <w:tcPr>
            <w:tcW w:w="4876" w:type="dxa"/>
            <w:tcBorders>
              <w:top w:val="nil"/>
              <w:left w:val="nil"/>
              <w:bottom w:val="nil"/>
              <w:right w:val="nil"/>
            </w:tcBorders>
          </w:tcPr>
          <w:p>
            <w:pPr>
              <w:pStyle w:val="Normal6a"/>
            </w:pPr>
            <w:r>
              <w:t>14.</w:t>
            </w:r>
            <w:r>
              <w:tab/>
            </w:r>
            <w:r>
              <w:rPr>
                <w:b/>
                <w:i/>
              </w:rPr>
              <w:t>σημειώνει</w:t>
            </w:r>
            <w:r>
              <w:t xml:space="preserve"> ότι η υιοθέτηση κοινών πλαισίων κατάρτισης βάσει της οδηγίας 2005/36/ΕΚ</w:t>
            </w:r>
            <w:r>
              <w:rPr>
                <w:vertAlign w:val="superscript"/>
              </w:rPr>
              <w:t>5</w:t>
            </w:r>
            <w:r>
              <w:t xml:space="preserve"> </w:t>
            </w:r>
            <w:r>
              <w:rPr>
                <w:b/>
                <w:i/>
              </w:rPr>
              <w:t>ήταν</w:t>
            </w:r>
            <w:r>
              <w:t xml:space="preserve"> περιορισμένη και καλεί την Επιτροπή </w:t>
            </w:r>
            <w:r>
              <w:rPr>
                <w:b/>
                <w:i/>
              </w:rPr>
              <w:t>να αξιολογήσει τους λόγους αυτής της περιορισμένης υιοθέτησης, να εντοπίσει πιθανά εμπόδια στην</w:t>
            </w:r>
            <w:r>
              <w:t xml:space="preserve"> ανάπτυξη και </w:t>
            </w:r>
            <w:r>
              <w:rPr>
                <w:b/>
                <w:i/>
              </w:rPr>
              <w:t>τη χρήση τους και να διερευνήσει τρόπους για την προώθηση της υιοθέτησής</w:t>
            </w:r>
            <w:r>
              <w:t xml:space="preserve"> τους σε τομείς, όπου οι κοινές απαιτήσεις κατάρτισης θα μπορούσαν να στηρίξουν την επαγγελματική κινητικότητα και να αντιμετωπίσουν τις ελλείψεις δεξιοτήτων·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 Οδηγία 2005/36/ΕΚ του Ευρωπαϊκού Κοινοβουλίου και του Συμβουλίου, της 7ης Σεπτεμβρίου 2005, σχετικά με την αναγνώριση των επαγγελματικών προσόντων, (ΕΕ L 255 της 30.9.2005, σ.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 Οδηγία 2005/36/ΕΚ του Ευρωπαϊκού Κοινοβουλίου και του Συμβουλίου, της 7ης Σεπτεμβρίου 2005, σχετικά με την αναγνώριση των επαγγελματικών προσόντων, (ΕΕ L 255 της 30.9.2005, σ.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εκφράζει τη λύπη του για το γεγονός ότι η υιοθέτηση κοινών πλαισίων κατάρτισης βάσει της οδηγίας 2005/36/ΕΚ</w:t>
            </w:r>
            <w:r>
              <w:rPr>
                <w:vertAlign w:val="superscript"/>
              </w:rPr>
              <w:t>5</w:t>
            </w:r>
            <w:r>
              <w:t xml:space="preserve"> υπήρξε περιορισμένη και καλεί την Επιτροπή, τα κράτη μέλη και τους σχετικούς επαγγελματικούς φορείς να προωθήσουν ενεργά την ανάπτυξη και την εφαρμογή τους σε επαγγελματικούς τομείς, όπου οι κοινές απαιτήσεις κατάρτισης θα μπορούσαν να στηρίξουν την επαγγελματική κινητικότητα </w:t>
            </w:r>
            <w:r>
              <w:rPr>
                <w:b/>
                <w:i/>
              </w:rPr>
              <w:t>και να αντιμετωπίσουν τις</w:t>
            </w:r>
            <w:r>
              <w:t xml:space="preserve"> ελλείψεις </w:t>
            </w:r>
            <w:r>
              <w:rPr>
                <w:b/>
                <w:i/>
              </w:rPr>
              <w:t>δεξιοτήτων·</w:t>
            </w:r>
          </w:p>
        </w:tc>
        <w:tc>
          <w:tcPr>
            <w:tcW w:w="4876" w:type="dxa"/>
            <w:tcBorders>
              <w:top w:val="nil"/>
              <w:left w:val="nil"/>
              <w:bottom w:val="nil"/>
              <w:right w:val="nil"/>
            </w:tcBorders>
          </w:tcPr>
          <w:p>
            <w:pPr>
              <w:pStyle w:val="Normal6a"/>
            </w:pPr>
            <w:r>
              <w:t>14.</w:t>
            </w:r>
            <w:r>
              <w:tab/>
            </w:r>
            <w:r>
              <w:t>εκφράζει τη λύπη του για το γεγονός ότι η υιοθέτηση κοινών πλαισίων κατάρτισης βάσει της οδηγίας 2005/36/ΕΚ</w:t>
            </w:r>
            <w:r>
              <w:rPr>
                <w:vertAlign w:val="superscript"/>
              </w:rPr>
              <w:t>5</w:t>
            </w:r>
            <w:r>
              <w:t xml:space="preserve"> υπήρξε περιορισμένη και καλεί την Επιτροπή, τα κράτη μέλη και τους σχετικούς επαγγελματικούς φορείς να προωθήσουν ενεργά την ανάπτυξη και την εφαρμογή τους σε επαγγελματικούς τομείς, όπου οι κοινές απαιτήσεις κατάρτισης θα μπορούσαν να στηρίξουν την επαγγελματική κινητικότητα</w:t>
            </w:r>
            <w:r>
              <w:rPr>
                <w:b/>
                <w:i/>
              </w:rPr>
              <w:t>·</w:t>
            </w:r>
            <w:r>
              <w:t xml:space="preserve"> </w:t>
            </w:r>
            <w:r>
              <w:rPr>
                <w:b/>
                <w:i/>
              </w:rPr>
              <w:t>ενθαρρύνει την επέκταση των συστημάτων αυτόματης αναγνώρισης, ιδίως σε τομείς που αντιμετωπίζουν</w:t>
            </w:r>
            <w:r>
              <w:t xml:space="preserve"> ελλείψεις </w:t>
            </w:r>
            <w:r>
              <w:rPr>
                <w:b/>
                <w:i/>
              </w:rPr>
              <w:t>εργατικού δυναμικού ή υψηλή διασυνοριακή κινητικότητα, με βάση επιτυχημένες πιλοτικές προσεγγίσεις σε πλαίσια περιφερειακής συνεργασίας.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 Οδηγία 2005/36/ΕΚ του Ευρωπαϊκού Κοινοβουλίου και του Συμβουλίου, της 7ης Σεπτεμβρίου 2005, σχετικά με την αναγνώριση των επαγγελματικών προσόντων, (ΕΕ L 255 της 30.9.2005, σ.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 Οδηγία 2005/36/ΕΚ του Ευρωπαϊκού Κοινοβουλίου και του Συμβουλίου, της 7ης Σεπτεμβρίου 2005, σχετικά με την αναγνώριση των επαγγελματικών προσόντων, (ΕΕ L 255 της 30.9.2005, σ.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εκφράζει τη λύπη του για το γεγονός ότι η υιοθέτηση κοινών πλαισίων κατάρτισης βάσει της οδηγίας 2005/36/ΕΚ</w:t>
            </w:r>
            <w:r>
              <w:rPr>
                <w:vertAlign w:val="superscript"/>
              </w:rPr>
              <w:t>5</w:t>
            </w:r>
            <w:r>
              <w:t xml:space="preserve"> υπήρξε περιορισμένη και καλεί την Επιτροπή, τα κράτη μέλη και τους σχετικούς επαγγελματικούς φορείς να προωθήσουν ενεργά την ανάπτυξη και την εφαρμογή τους σε επαγγελματικούς τομείς, όπου οι κοινές απαιτήσεις κατάρτισης θα μπορούσαν να στηρίξουν την επαγγελματική κινητικότητα και να αντιμετωπίσουν τις ελλείψεις δεξιοτήτων·</w:t>
            </w:r>
          </w:p>
        </w:tc>
        <w:tc>
          <w:tcPr>
            <w:tcW w:w="4876" w:type="dxa"/>
            <w:tcBorders>
              <w:top w:val="nil"/>
              <w:left w:val="nil"/>
              <w:bottom w:val="nil"/>
              <w:right w:val="nil"/>
            </w:tcBorders>
          </w:tcPr>
          <w:p>
            <w:pPr>
              <w:pStyle w:val="Normal6a"/>
            </w:pPr>
            <w:r>
              <w:t>14.</w:t>
            </w:r>
            <w:r>
              <w:tab/>
            </w:r>
            <w:r>
              <w:t>εκφράζει τη λύπη του για το γεγονός ότι η υιοθέτηση κοινών πλαισίων κατάρτισης βάσει της οδηγίας 2005/36/ΕΚ</w:t>
            </w:r>
            <w:r>
              <w:rPr>
                <w:vertAlign w:val="superscript"/>
              </w:rPr>
              <w:t>5</w:t>
            </w:r>
            <w:r>
              <w:t xml:space="preserve"> υπήρξε περιορισμένη και καλεί την Επιτροπή, τα κράτη μέλη και τους σχετικούς επαγγελματικούς φορείς να προωθήσουν ενεργά την ανάπτυξη και την εφαρμογή τους σε επαγγελματικούς τομείς, όπου οι κοινές απαιτήσεις κατάρτισης θα μπορούσαν να στηρίξουν την επαγγελματική κινητικότητα και να αντιμετωπίσουν τις ελλείψεις δεξιοτήτων· </w:t>
            </w:r>
            <w:r>
              <w:rPr>
                <w:b/>
                <w:i/>
              </w:rPr>
              <w:t>καλεί την Επιτροπή και τα κράτη μέλη να ενισχύσουν τη διασυνοριακή συνεργασία μεταξύ των επιθεωρήσεων εργασίας και των αρμόδιων αρχών για την καταπολέμηση της απάτης, της ψευδούς αυτοαπασχόλησης, της εκμετάλλευσης και της αδήλωτης εργασίας που πλήττουν τους μετακινούμενους εργαζομένους σε τεχνικά επαγγέλματα·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 Οδηγία 2005/36/ΕΚ του Ευρωπαϊκού Κοινοβουλίου και του Συμβουλίου, της 7ης Σεπτεμβρίου 2005, σχετικά με την αναγνώριση των επαγγελματικών προσόντων, (ΕΕ L 255 της 30.9.2005, σ.  22, ELI: http://data.europa.eu/eli/dir/2005/36/oj).</w:t>
            </w:r>
          </w:p>
        </w:tc>
        <w:tc>
          <w:tcPr>
            <w:tcW w:w="4876" w:type="dxa"/>
            <w:tcBorders>
              <w:top w:val="nil"/>
              <w:left w:val="nil"/>
              <w:bottom w:val="nil"/>
              <w:right w:val="nil"/>
            </w:tcBorders>
          </w:tcPr>
          <w:p>
            <w:pPr>
              <w:pStyle w:val="Normal6a"/>
            </w:pPr>
            <w:r>
              <w:rPr>
                <w:vertAlign w:val="superscript"/>
              </w:rPr>
              <w:t>5</w:t>
            </w:r>
            <w:r>
              <w:t xml:space="preserve"> </w:t>
            </w:r>
            <w:r>
              <w:t> Οδηγία 2005/36/ΕΚ του Ευρωπαϊκού Κοινοβουλίου και του Συμβουλίου, της 7ης Σεπτεμβρίου 2005, σχετικά με την αναγνώριση των επαγγελματικών προσόντων, (ΕΕ L 255 της 30.9.2005, σ.  22, ELI: http://data.europa.eu/eli/dir/2005/36/oj).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14α.</w:t>
            </w:r>
            <w:r>
              <w:tab/>
            </w:r>
            <w:r>
              <w:rPr>
                <w:b/>
                <w:i/>
              </w:rPr>
              <w:t>ζητεί κοινές διαδικαστικές αρχές της ΕΕ για την αναγνώριση των προσόντων των υπηκόων τρίτων χωρών, συμπεριλαμβανομένων διαφανών χρονοδιαγραμμάτων, σαφών κριτηρίων και της συστηματικής χρήσης αξιολογήσεων βάσει δεξιοτήτων, όπως πρακτικές δοκιμασίες και επικύρωση προηγούμενης μάθησης όταν η τεκμηρίωση είναι ελλιπής.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14α.</w:t>
            </w:r>
            <w:r>
              <w:tab/>
            </w:r>
            <w:r>
              <w:rPr>
                <w:b/>
                <w:i/>
              </w:rPr>
              <w:t>καλεί την Επιτροπή να αξιολογήσει τον αντίκτυπο των υπερβολικών κανονιστικών επιβαρύνσεων στα τεχνικά επαγγέλματα και να εντοπίσει ευκαιρίες απλούστευσης που μπορούν να διευκολύνουν την πρόσβαση των αποφοίτων επαγγελματικής εκπαίδευσης στην απασχόληση, την επιχειρηματικότητα και την αυτοαπασχόληση.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14β.</w:t>
            </w:r>
            <w:r>
              <w:tab/>
            </w:r>
            <w:r>
              <w:rPr>
                <w:b/>
                <w:i/>
              </w:rPr>
              <w:t>καλεί τα κράτη μέλη και την Επιτροπή να ενισχύσουν τη χρήση της ESCO (Ευρωπαϊκής ταξινόμησης δεξιοτήτων, ικανοτήτων, προσόντων και επαγγελμάτων) ως κοινής γλώσσας αναφοράς για τις δεξιότητες σε μη νομοθετικά κατοχυρωμένα επαγγέλματα, επιτρέποντας στους εργοδότες, τις υπηρεσίες απασχόλησης και τις πλατφόρμες να αναγνωρίζουν και να συγκρίνουν καλύτερα τις δεξιότητες σε διασυνοριακό και διατομεακό επίπεδο.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Mariateresa Vivaldini, Francesco Torselli, Chiara Gemma, Elena Donazzan,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14β.</w:t>
            </w:r>
            <w:r>
              <w:tab/>
            </w:r>
            <w:r>
              <w:rPr>
                <w:b/>
                <w:i/>
              </w:rPr>
              <w:t>αναγνωρίζει τον ουσιαστικό ρόλο των τεχνικών επαγγελμάτων στη διαφύλαξη της μεταποιητικής βάσης της Ευρώπης, της ενεργειακής ασφάλειας, των συστημάτων μεταφορών, του κατασκευαστικού τομέα και των στρατηγικών υποδομών, και ζητεί οι πολιτικές επαγγελματικής εκπαίδευσης να αντικατοπτρίζουν αυτές τις προτεραιότητες.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14γ.</w:t>
            </w:r>
            <w:r>
              <w:tab/>
            </w:r>
            <w:r>
              <w:rPr>
                <w:b/>
                <w:i/>
              </w:rPr>
              <w:t>καλεί την Επιτροπή να διερευνήσει τα επαγγελματικά πρότυπα WorldSkills ως βασικό πλαίσιο αναφοράς για την ανάπτυξη ευρωπαϊκών πρωτοβουλιών σχετικά με την αναγνώριση δεξιοτήτων, τη διαφάνεια και την αναγνώριση στην αρχική επαγγελματική εκπαίδευση και κατάρτιση (ΑΕΕΚ)·</w:t>
            </w:r>
            <w:r>
              <w:t xml:space="preserve"> </w:t>
            </w:r>
            <w:r>
              <w:rPr>
                <w:b/>
                <w:i/>
              </w:rPr>
              <w:t>θεωρεί ότι τα πρότυπα αυτά παρέχουν μια ισχυρή, βασισμένη στην πρακτική μεθοδολογία για τον καθορισμό των επαγγελματικών ικανοτήτων εισαγωγικού επιπέδου και μπορούν να ενισχύσουν σημαντικά τη διασυνοριακή συγκρισιμότητα και την κινητικότητα του εργατικού δυναμικού.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14δ.</w:t>
            </w:r>
            <w:r>
              <w:tab/>
            </w:r>
            <w:r>
              <w:rPr>
                <w:b/>
                <w:i/>
              </w:rPr>
              <w:t>τονίζει την ανάγκη θέσπισης ενός κοινού πλαισίου αναφοράς της ΕΕ για την αναγνώριση των προσόντων ΕΕΚ, με βάση τα υφιστάμενα εργαλεία, όπως το ΕΠΕΠ και τα μαθησιακά αποτελέσματα·</w:t>
            </w:r>
            <w:r>
              <w:t xml:space="preserve"> </w:t>
            </w:r>
            <w:r>
              <w:rPr>
                <w:b/>
                <w:i/>
              </w:rPr>
              <w:t>θεωρεί ότι απαιτείται μεγαλύτερη συνοχή μεταξύ των διαδικασιών της Κοπεγχάγης και της Μπολόνιας·</w:t>
            </w:r>
            <w:r>
              <w:t xml:space="preserve"> </w:t>
            </w:r>
            <w:r>
              <w:rPr>
                <w:b/>
                <w:i/>
              </w:rPr>
              <w:t>χαιρετίζει την πρόθεση της Επιτροπής να διερευνήσει την επέκταση του ευρωπαϊκού συστήματος μεταφοράς και συσσώρευσης ακαδημαϊκών μονάδων (ECTS) στην ΕΕΚ, στο πλαίσιο των προσπαθειών για την ενίσχυση της διαπερατότητας μεταξύ των τομέων της εκπαίδευσης·</w:t>
            </w:r>
            <w:r>
              <w:t xml:space="preserve"> </w:t>
            </w:r>
            <w:r>
              <w:rPr>
                <w:b/>
                <w:i/>
              </w:rPr>
              <w:t>υπογραμμίζει, ωστόσο, ότι μια τέτοια επέκταση πρέπει να συνοδεύεται από ισχυρούς και βασισμένους στην εμπιστοσύνη μηχανισμούς διασφάλισης της ποιότητας·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14ε.</w:t>
            </w:r>
            <w:r>
              <w:tab/>
            </w:r>
            <w:r>
              <w:rPr>
                <w:b/>
                <w:i/>
              </w:rPr>
              <w:t>ζητεί τη δημιουργία ενός ευρωπαϊκού δικτύου μεταξύ των οργανισμών διασφάλισης της ποιότητας για την ΕΕΚ, παρόμοιου με το EQAR στην ακαδημαϊκή εκπαίδευση, ώστε να καταστεί δυνατή η συστηματική μάθηση από ομοτίμους, ο συντονισμός και η οικοδόμηση εμπιστοσύνης σε όλα τα συστήματα διασφάλισης της ποιότητας·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14στ.</w:t>
            </w:r>
            <w:r>
              <w:tab/>
            </w:r>
            <w:r>
              <w:rPr>
                <w:b/>
                <w:i/>
              </w:rPr>
              <w:t>υποστηρίζει την ανάπτυξη διακρατικών κοινών προγραμμάτων ΕΕΚ·</w:t>
            </w:r>
            <w:r>
              <w:t xml:space="preserve"> </w:t>
            </w:r>
            <w:r>
              <w:rPr>
                <w:b/>
                <w:i/>
              </w:rPr>
              <w:t>ζητεί να διερευνηθεί ένα εθελοντικό σήμα ευρωπαϊκού τίτλου σπουδών ΕΕΚ ως μήνυμα διαφάνειας και ποιότητας για προγράμματα που αναπτύσσονται από κοινού, το οποίο θα συμβάλει στην ενίσχυση της αναγνώρισης, της κινητικότητας και της απασχολησιμότητας σε ολόκληρη την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14ζ.</w:t>
            </w:r>
            <w:r>
              <w:tab/>
            </w:r>
            <w:r>
              <w:rPr>
                <w:b/>
                <w:i/>
              </w:rPr>
              <w:t>καλεί την Επιτροπή και τα κράτη μέλη να ενισχύσουν τα ευέλικτα και διαπερατά συστήματα εκπαίδευσης και κατάρτισης προωθώντας τη διάρθρωση σπουδών κατά ενότητες και επεκτείνοντας την αναγνώριση και την επικύρωση της προηγούμενης μάθησης, συμπεριλαμβανομένης της μη τυπικής και της άτυπης μάθησης, ώστε να διευκολυνθεί η επανένταξη στην εκπαίδευση και την κατάρτιση·</w:t>
            </w:r>
            <w:r>
              <w:t xml:space="preserve"> </w:t>
            </w:r>
            <w:r>
              <w:rPr>
                <w:b/>
                <w:i/>
              </w:rPr>
              <w:t>ενθαρρύνει τη διαθεσιμότητα ευέλικτων τρόπων παροχής εκπαίδευσης, συμπεριλαμβανομένης της μερικής παρακολούθησης, της μικτής και της διαδικτυακής μάθησης, για την κάλυψη των αναγκών εκπαιδευομένων με ευθύνες φροντίδας, δεσμεύσεις απασχόλησης ή διακοπτόμενες εκπαιδευτικές διαδρομές·</w:t>
            </w:r>
            <w:r>
              <w:t xml:space="preserve"> </w:t>
            </w:r>
            <w:r>
              <w:rPr>
                <w:b/>
                <w:i/>
              </w:rPr>
              <w:t>καλεί την Ευρωπαϊκή Επιτροπή να επικαιροποιήσει τη σύσταση του Συμβουλίου του 2020 σχετικά με την ΕΕΚ για βιώσιμη ανταγωνιστικότητα, κοινωνική δικαιοσύνη και ανθεκτικότητα, θεσπίζοντας ποσοτικούς στόχους για την ευελιξία και τη διάρθρωση κατά ενότητες των προγραμμάτων σπουδών στην ΕΕΚ·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790.034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122</w:t>
    </w:r>
    <w:r>
      <w:fldChar w:fldCharType="end"/>
    </w:r>
    <w:r>
      <w:t>/</w:t>
    </w:r>
    <w:r>
      <w:fldChar w:fldCharType="begin"/>
    </w:r>
    <w:r>
      <w:instrText xml:space="preserve"> NUMPAGES </w:instrText>
    </w:r>
    <w:r>
      <w:fldChar w:fldCharType="separate"/>
    </w:r>
    <w:r>
      <w:t>123</w:t>
    </w:r>
    <w:r>
      <w:fldChar w:fldCharType="end"/>
    </w:r>
    <w:r>
      <w:tab/>
    </w:r>
    <w:r>
      <w:rPr>
        <w:rStyle w:val="HideTWBExt"/>
      </w:rPr>
      <w:t>&lt;PathFdR&gt;</w:t>
    </w:r>
    <w:r>
      <w:t>AM\1346123EL.docx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AM\1346123EL.docx</w:t>
    </w:r>
    <w:r>
      <w:rPr>
        <w:rStyle w:val="HideTWBExt"/>
      </w:rPr>
      <w:t>&lt;/PathFdR&gt;</w:t>
    </w:r>
    <w:r>
      <w:tab/>
    </w:r>
    <w:r>
      <w:fldChar w:fldCharType="begin"/>
    </w:r>
    <w:r>
      <w:instrText xml:space="preserve"> PAGE </w:instrText>
    </w:r>
    <w:r>
      <w:fldChar w:fldCharType="separate"/>
    </w:r>
    <w:r>
      <w:t>123</w:t>
    </w:r>
    <w:r>
      <w:fldChar w:fldCharType="end"/>
    </w:r>
    <w:r>
      <w:t>/</w:t>
    </w:r>
    <w:r>
      <w:fldChar w:fldCharType="begin"/>
    </w:r>
    <w:r>
      <w:instrText xml:space="preserve"> NUMPAGES </w:instrText>
    </w:r>
    <w:r>
      <w:fldChar w:fldCharType="separate"/>
    </w:r>
    <w:r>
      <w:t>123</w:t>
    </w:r>
    <w:r>
      <w:fldChar w:fldCharType="end"/>
    </w:r>
    <w:r>
      <w:tab/>
    </w:r>
    <w:r>
      <w:t>PE</w:t>
    </w:r>
    <w:r>
      <w:rPr>
        <w:rStyle w:val="HideTWBExt"/>
      </w:rPr>
      <w:t>&lt;NoPE&gt;</w:t>
    </w:r>
    <w:r>
      <w:t>790.034</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AM\1346123EL.docx</w:t>
    </w:r>
    <w:r>
      <w:rPr>
        <w:rStyle w:val="HideTWBExt"/>
      </w:rPr>
      <w:t>&lt;/PathFdR&gt;</w:t>
    </w:r>
    <w:r>
      <w:tab/>
    </w:r>
    <w:r>
      <w:tab/>
    </w:r>
    <w:r>
      <w:t>PE</w:t>
    </w:r>
    <w:r>
      <w:rPr>
        <w:rStyle w:val="HideTWBExt"/>
      </w:rPr>
      <w:t>&lt;NoPE&gt;</w:t>
    </w:r>
    <w:r>
      <w:t>790.034</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123</Pages>
  <Words>25692</Words>
  <Characters>159832</Characters>
  <Application>Microsoft Office Word</Application>
  <DocSecurity>0</DocSecurity>
  <Lines>1</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573724</vt:lpwstr>
  </property>
  <property fmtid="{D5CDD505-2E9C-101B-9397-08002B2CF9AE}" pid="7" name="dmxml.render.traceId">
    <vt:lpwstr>6a55e721fce9b6a8c4b98cc3996bb25b</vt:lpwstr>
  </property>
  <property fmtid="{D5CDD505-2E9C-101B-9397-08002B2CF9AE}" pid="8" name="FooterPath">
    <vt:lpwstr>AM\1346123EL.docx</vt:lpwstr>
  </property>
  <property fmtid="{D5CDD505-2E9C-101B-9397-08002B2CF9AE}" pid="9" name="PE Number">
    <vt:lpwstr>790.034</vt:lpwstr>
  </property>
  <property fmtid="{D5CDD505-2E9C-101B-9397-08002B2CF9AE}" pid="10" name="UID">
    <vt:lpwstr>eu.europa.europarl-DIN1-2026-0000186884_02.00-el-01.00_text-xml</vt:lpwstr>
  </property>
</Properties>
</file>