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Európai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Foglalkoztatási és Szociális Bizottság</w:t>
      </w:r>
      <w:r>
        <w:rPr>
          <w:rStyle w:val="HideTWBExt"/>
        </w:rPr>
        <w:t>&lt;/Commission&gt;</w:t>
      </w:r>
    </w:p>
    <w:p>
      <w:pPr>
        <w:pStyle w:val="LineBottom"/>
      </w:pPr>
      <w:r>
        <w:t xml:space="preserve"> </w:t>
      </w:r>
    </w:p>
    <w:p>
      <w:pPr>
        <w:pStyle w:val="CoverReference"/>
      </w:pPr>
      <w:r>
        <w:rPr>
          <w:rStyle w:val="HideTWBExt"/>
        </w:rPr>
        <w:t>&lt;RefProc&gt;</w:t>
      </w:r>
      <w:r>
        <w:t>2026/2070</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{23/06/2026}</w:t>
      </w:r>
      <w:r>
        <w:t>23.6.2026</w:t>
      </w:r>
      <w:r>
        <w:rPr>
          <w:rStyle w:val="HideTWBExt"/>
        </w:rPr>
        <w:t>&lt;/Date&gt;</w:t>
      </w:r>
    </w:p>
    <w:p>
      <w:pPr>
        <w:pStyle w:val="CoverDocType"/>
      </w:pPr>
      <w:r>
        <w:rPr>
          <w:rStyle w:val="HideTWBExt"/>
        </w:rPr>
        <w:t>&lt;TypeAM&gt;</w:t>
      </w:r>
      <w:r>
        <w:t>MÓDOSÍTÁS:</w:t>
      </w:r>
      <w:r>
        <w:rPr>
          <w:rStyle w:val="HideTWBExt"/>
        </w:rPr>
        <w:t>&lt;/TypeAM&gt;</w:t>
      </w:r>
    </w:p>
    <w:p>
      <w:pPr>
        <w:pStyle w:val="CoverDocType24a"/>
      </w:pPr>
      <w:r>
        <w:rPr>
          <w:rStyle w:val="HideTWBExt"/>
        </w:rPr>
        <w:t>&lt;RangeAM&gt;</w:t>
      </w:r>
      <w:r>
        <w:t>1</w:t>
      </w:r>
      <w:r>
        <w:t xml:space="preserve"> - </w:t>
      </w:r>
      <w:r>
        <w:t>199</w:t>
      </w:r>
      <w:r>
        <w:rPr>
          <w:rStyle w:val="HideTWBExt"/>
        </w:rPr>
        <w:t>&lt;/RangeAM&gt;</w:t>
      </w:r>
    </w:p>
    <w:p>
      <w:pPr>
        <w:pStyle w:val="CoverBold"/>
      </w:pPr>
      <w:r>
        <w:rPr>
          <w:rStyle w:val="HideTWBExt"/>
        </w:rPr>
        <w:t>&lt;TitreType&gt;</w:t>
      </w:r>
      <w:r>
        <w:t>Jelentéstervezet</w:t>
      </w:r>
      <w:r>
        <w:rPr>
          <w:rStyle w:val="HideTWBExt"/>
        </w:rPr>
        <w:t>&lt;/TitreType&gt;</w:t>
      </w:r>
    </w:p>
    <w:p>
      <w:pPr>
        <w:pStyle w:val="CoverBold"/>
      </w:pPr>
      <w:r>
        <w:rPr>
          <w:rStyle w:val="HideTWBExt"/>
        </w:rPr>
        <w:t>&lt;Rapporteur&gt;</w:t>
      </w:r>
      <w:r>
        <w:t>Brigitte van den Berg</w:t>
      </w:r>
      <w:r>
        <w:rPr>
          <w:rStyle w:val="HideTWBExt"/>
        </w:rPr>
        <w:t>&lt;/Rapporteur&gt;</w:t>
      </w:r>
    </w:p>
    <w:p>
      <w:pPr>
        <w:pStyle w:val="CoverNormal24a"/>
      </w:pPr>
      <w:r>
        <w:rPr>
          <w:rStyle w:val="HideTWBExt"/>
        </w:rPr>
        <w:t>&lt;DocRefPE&gt;</w:t>
      </w:r>
      <w:r>
        <w:t>(PE789.915v01-00)</w:t>
      </w:r>
      <w:r>
        <w:rPr>
          <w:rStyle w:val="HideTWBExt"/>
        </w:rPr>
        <w:t>&lt;/DocRefPE&gt;</w:t>
      </w:r>
    </w:p>
    <w:p>
      <w:pPr>
        <w:pStyle w:val="CoverNormal"/>
      </w:pPr>
      <w:r>
        <w:rPr>
          <w:rStyle w:val="HideTWBExt"/>
        </w:rPr>
        <w:t>&lt;Titre&gt;</w:t>
      </w:r>
      <w:r>
        <w:t>A készségek fejlesztése az Unióban – szakoktatási és szakképzési lehetőségek az átmenet idején</w:t>
      </w:r>
      <w:r>
        <w:rPr>
          <w:rStyle w:val="HideTWBExt"/>
        </w:rPr>
        <w:t>&lt;/Titre&gt;</w:t>
      </w:r>
    </w:p>
    <w:p>
      <w:pPr>
        <w:pStyle w:val="CoverNormal24a"/>
      </w:pPr>
      <w:r>
        <w:rPr>
          <w:rStyle w:val="HideTWBExt"/>
        </w:rPr>
        <w:t>&lt;DocRef&gt;</w:t>
      </w:r>
      <w:r>
        <w:t>(2026/2070(INI))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Módosítás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a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tekintettel az Európai Unió működéséről szóló szerződés 6., 41., 156. és 166. cikkére,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5 a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tekintettel a szociális jogok európai pillérére, és különösen a minőségi, inkluzív oktatás, képzés és egész életen át tartó tanulás biztosításáról szóló 1. számú prioritására;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5 b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tekintettel "A szakképzés – mint a munkavállalók sikerének eszköze és az EU gazdaságának építőeleme – előmozdításáról és átalakításáról az új Ipar 4.0-ban" (2022/2207(INI)) című, 2023. július 11-i állásfoglalására;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A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mivel 2025-ben a nem foglalkoztatott, oktatásban és képzésben nem részesülő 15 és 29 év közötti fiatalok (NEET-fiatalok) aránya az EU-ban 11,0% volt;</w:t>
            </w:r>
            <w:r>
              <w:t xml:space="preserve"> </w:t>
            </w:r>
            <w:r>
              <w:rPr>
                <w:b/>
                <w:i/>
              </w:rPr>
              <w:t>mivel a vertikális strukturális munkaerőhiány továbbra is tartós kihívást jelent Unió-szerte, mivel a felsőfokú végzettséggel rendelkező munkavállalók körében az átlagos túlképzettségi arány 22%, és több tagállam munkaerőpiacán meghaladja a 30%-ot;</w:t>
            </w:r>
            <w:r>
              <w:t xml:space="preserve"> </w:t>
            </w:r>
            <w:r>
              <w:rPr>
                <w:b/>
                <w:i/>
              </w:rPr>
              <w:t>mivel ez a jelenség jelentős strukturális készséghiánnyal párosul, és a kkv-k 80%-a arról számol be, hogy nehezen talál a szükséges készségekkel rendelkező profilokat;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Pál Szekeres,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A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mivel egyes tagállamokban a felsőoktatás gyors bővülését a túlképzettség és a tanúsítványinfláció növekvő szintje kísérte, amelynek során a diplomákat egyre gyakrabban használják átvilágítási mechanizmusként olyan foglalkozások esetében, amelyek nem feltétlenül igényelnek felsőfokú kompetenciákat;</w:t>
            </w:r>
            <w:r>
              <w:t xml:space="preserve"> </w:t>
            </w:r>
            <w:r>
              <w:rPr>
                <w:b/>
                <w:i/>
              </w:rPr>
              <w:t>mivel ez a tendencia azzal a kockázattal jár, hogy alulértékelik a szakképzést annak ellenére, hogy bizonyítottan hozzájárul a foglalkoztatáshoz, a termelékenységhez és a készségfejlesztéshez;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A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mivel az európai versenyképesség jövőjéről szóló Draghi-jelentés arra figyelmeztet, hogy Európa hosszú távú termelékenységét és versenyképességét strukturális hiányosságok korlátozzák, beleértve a készségekbe, az oktatásba és a humán tőkébe történő elégtelen beruházásokat, és hangsúlyozza, hogy az innovációs és készséghiány megszüntetése elengedhetetlen Európa gazdasági modelljének fenntartásához a globális versennyel szemben;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A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mivel a szakképzés, és különösen a munkavállalók továbbképzése és átképzése már csak a digitális és zöld átállás miatt is még nagyobb jelentőséggel fog bírni;</w:t>
            </w:r>
            <w:r>
              <w:t xml:space="preserve"> </w:t>
            </w:r>
            <w:r>
              <w:rPr>
                <w:b/>
                <w:i/>
              </w:rPr>
              <w:t>mivel a digitális és zöld átállás csak akkor lehet sikeres, ha a munkavállalók szert tesznek a szükséges készségekre és kompetenciákra;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A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mivel az Unió hatáskörrel rendelkezik a tagállamok oktatási és szakképzési intézkedéseit támogató, összehangoló vagy kiegészítő intézkedések végrehajtására;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A b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mivel a foglalkoztatás, valamint az élet- és munkakörülmények javítása érdekében a Bizottság ösztönzi a tagállamok közötti együttműködést, és elősegíti az alap- és továbbképzéssel kapcsolatos tevékenységeik összehangolását;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A c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mivel a tagállamok közötti együttműködés ösztönzése és az alap- és magasabb szintű szakképzéssel kapcsolatos tevékenységeik összehangolásának megkönnyítése érdekében a Bizottság a tagállamokkal szoros együttműködésben tanulmányokat készít, véleményeket ad ki és konzultációkat szervez mind a nemzeti szinten felmerülő, mind a nemzetközi szervezeteket érintő problémákról, különös tekintettel az iránymutatások és mutatók megállapítására, a bevált gyakorlatok cseréjének megszervezésére, valamint az időszakos ellenőrzés és értékelés szükséges elemeinek előkészítésére irányuló kezdeményezésekre, az Európai Parlament teljes körű tájékoztatása és a Gazdasági és Szociális Bizottsággal való konzultáció mellett, mielőtt ilyen véleményeket adna 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A d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mivel a szakképzés tartalma és megszervezése nemzeti hatáskörbe tartozik;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A e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Ae.</w:t>
            </w:r>
            <w:r>
              <w:tab/>
            </w:r>
            <w:r>
              <w:rPr>
                <w:b/>
                <w:i/>
              </w:rPr>
              <w:t>mivel a szakképzéssel kapcsolatos ügyekben az Unió fellépésének célja az ipari változásokhoz való alkalmazkodás megkönnyítése, a szakmai alapképzés és továbbképzés javítása a szakmai beilleszkedés és a munkaerőpiacra történő visszailleszkedés elősegítése érdekében, a szakképzéshez való hozzáférés megkönnyítése, az oktatók és gyakornokok, és különösen a fiatalok mobilitásának ösztönzése, az oktatási vagy képzési intézmények és cégek közötti képzési együttműködés ösztönzése, valamint a tagállamok képzési rendszereit egyaránt érintő kérdésekre vonatkozó információ- és tapasztalatcsere fejlesztése;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mivel az EU-ban </w:t>
            </w:r>
            <w:r>
              <w:rPr>
                <w:b/>
                <w:i/>
              </w:rPr>
              <w:t>a zöld és digitális átállás,</w:t>
            </w:r>
            <w:r>
              <w:t xml:space="preserve"> az ipari visszatelepítés, az infrastrukturális beruházások és a demográfiai változások miatt egyre nagyobb a kereslet a szakképesítést igénylő szakmák iránt; mivel a munkaerőpiaci információk akut és tartós hiányt mutatnak a szakképzés-intenzív ágazatokban; mivel a Cedefop készségigény-előrejelzése szerint az 2035-re az összes álláshely 60%-a igényel középfokú szakképesítést</w:t>
            </w:r>
            <w:r>
              <w:rPr>
                <w:vertAlign w:val="superscript"/>
              </w:rPr>
              <w:t>4</w:t>
            </w:r>
            <w:r>
              <w:t>, ami a szakképzési pályákon keresztül leggyakrabban biztosított fokozat;</w:t>
            </w:r>
          </w:p>
        </w:tc>
        <w:tc>
          <w:tcPr>
            <w:tcW w:w="4876" w:type="dxa"/>
            <w:tcBorders>
              <w:top w:val="nil"/>
              <w:left w:val="nil"/>
              <w:bottom w:val="nil"/>
              <w:right w:val="nil"/>
            </w:tcBorders>
          </w:tcPr>
          <w:p>
            <w:pPr>
              <w:pStyle w:val="Normal6a"/>
            </w:pPr>
            <w:r>
              <w:t>B.</w:t>
            </w:r>
            <w:r>
              <w:tab/>
            </w:r>
            <w:r>
              <w:t>mivel az EU-ban az ipari visszatelepítés</w:t>
            </w:r>
            <w:r>
              <w:rPr>
                <w:b/>
                <w:i/>
              </w:rPr>
              <w:t>, a stratégiai autonómiára vonatkozó célkitűzések</w:t>
            </w:r>
            <w:r>
              <w:t>, az infrastrukturális beruházások és a demográfiai változások miatt egyre nagyobb a kereslet a szakképesítést igénylő szakmák iránt; mivel a munkaerőpiaci információk akut és tartós hiányt mutatnak a szakképzés-intenzív ágazatokban; mivel a Cedefop készségigény-előrejelzése szerint az 2035-re az összes álláshely 60%-a igényel középfokú szakképesítést</w:t>
            </w:r>
            <w:r>
              <w:rPr>
                <w:vertAlign w:val="superscript"/>
              </w:rPr>
              <w:t>4</w:t>
            </w:r>
            <w:r>
              <w:t>, ami a szakképzési pályákon keresztül leggyakrabban biztosított fokozat;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Európai Szakképzésfejlesztési Központ (Cedefop), „Skills Forecast” (Készség-előrejelzés), https://www.cedefop.europa.eu/en/tools/skills-forecast.</w:t>
            </w:r>
          </w:p>
        </w:tc>
        <w:tc>
          <w:tcPr>
            <w:tcW w:w="4876" w:type="dxa"/>
            <w:tcBorders>
              <w:top w:val="nil"/>
              <w:left w:val="nil"/>
              <w:bottom w:val="nil"/>
              <w:right w:val="nil"/>
            </w:tcBorders>
          </w:tcPr>
          <w:p>
            <w:pPr>
              <w:pStyle w:val="Normal6a"/>
            </w:pPr>
            <w:r>
              <w:rPr>
                <w:vertAlign w:val="superscript"/>
              </w:rPr>
              <w:t>4</w:t>
            </w:r>
            <w:r>
              <w:t xml:space="preserve"> </w:t>
            </w:r>
            <w:r>
              <w:t>Európai Szakképzésfejlesztési Központ (Cedefop), „Skills Forecast” (Készség-előrejelzés), https://www.cedefop.europa.eu/en/tools/skills-forecast.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mivel az EU-ban </w:t>
            </w:r>
            <w:r>
              <w:rPr>
                <w:b/>
                <w:i/>
              </w:rPr>
              <w:t>a zöld és digitális</w:t>
            </w:r>
            <w:r>
              <w:t xml:space="preserve"> átállás, az ipari visszatelepítés, az infrastrukturális beruházások és a demográfiai változások miatt egyre nagyobb a kereslet a szakképesítést igénylő szakmák iránt; mivel a munkaerőpiaci információk akut és tartós hiányt mutatnak a szakképzés-intenzív ágazatokban; mivel a Cedefop készségigény-előrejelzése szerint az 2035-re az összes álláshely 60%-a igényel középfokú szakképesítést</w:t>
            </w:r>
            <w:r>
              <w:rPr>
                <w:vertAlign w:val="superscript"/>
              </w:rPr>
              <w:t>4</w:t>
            </w:r>
            <w:r>
              <w:t>, ami a szakképzési pályákon keresztül leggyakrabban biztosított fokozat;</w:t>
            </w:r>
          </w:p>
        </w:tc>
        <w:tc>
          <w:tcPr>
            <w:tcW w:w="4876" w:type="dxa"/>
            <w:tcBorders>
              <w:top w:val="nil"/>
              <w:left w:val="nil"/>
              <w:bottom w:val="nil"/>
              <w:right w:val="nil"/>
            </w:tcBorders>
          </w:tcPr>
          <w:p>
            <w:pPr>
              <w:pStyle w:val="Normal6a"/>
            </w:pPr>
            <w:r>
              <w:t>B.</w:t>
            </w:r>
            <w:r>
              <w:tab/>
            </w:r>
            <w:r>
              <w:t xml:space="preserve">mivel az EU-ban </w:t>
            </w:r>
            <w:r>
              <w:rPr>
                <w:b/>
                <w:i/>
              </w:rPr>
              <w:t>jelenleg zajló</w:t>
            </w:r>
            <w:r>
              <w:t xml:space="preserve"> átállás, az ipari visszatelepítés, az infrastrukturális beruházások és a demográfiai változások miatt egyre nagyobb a kereslet a szakképesítést igénylő szakmák iránt; mivel a munkaerőpiaci információk akut és tartós hiányt mutatnak a szakképzés-intenzív ágazatokban; mivel a Cedefop készségigény-előrejelzése szerint az 2035-re az összes álláshely 60%-a igényel középfokú szakképesítést</w:t>
            </w:r>
            <w:r>
              <w:rPr>
                <w:vertAlign w:val="superscript"/>
              </w:rPr>
              <w:t>4</w:t>
            </w:r>
            <w:r>
              <w:t>, ami a szakképzési pályákon keresztül leggyakrabban biztosított fokozat;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Európai Szakképzésfejlesztési Központ (Cedefop), „Skills Forecast” (Készség-előrejelzés), https://www.cedefop.europa.eu/en/tools/skills-forecast.</w:t>
            </w:r>
          </w:p>
        </w:tc>
        <w:tc>
          <w:tcPr>
            <w:tcW w:w="4876" w:type="dxa"/>
            <w:tcBorders>
              <w:top w:val="nil"/>
              <w:left w:val="nil"/>
              <w:bottom w:val="nil"/>
              <w:right w:val="nil"/>
            </w:tcBorders>
          </w:tcPr>
          <w:p>
            <w:pPr>
              <w:pStyle w:val="Normal6a"/>
            </w:pPr>
            <w:r>
              <w:rPr>
                <w:vertAlign w:val="superscript"/>
              </w:rPr>
              <w:t>4</w:t>
            </w:r>
            <w:r>
              <w:t xml:space="preserve"> </w:t>
            </w:r>
            <w:r>
              <w:t>Európai Szakképzésfejlesztési Központ (Cedefop), „Skills Forecast” (Készség-előrejelzés), https://www.cedefop.europa.eu/en/tools/skills-forecast.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mivel az EU-ban </w:t>
            </w:r>
            <w:r>
              <w:rPr>
                <w:b/>
                <w:i/>
              </w:rPr>
              <w:t>a zöld és digitális átállás,</w:t>
            </w:r>
            <w:r>
              <w:t xml:space="preserve"> az ipari visszatelepítés, az infrastrukturális beruházások és a demográfiai változások miatt egyre nagyobb a kereslet a szakképesítést igénylő szakmák iránt; mivel a munkaerőpiaci információk akut és tartós hiányt mutatnak a szakképzés-intenzív ágazatokban; mivel a Cedefop készségigény-előrejelzése szerint az 2035-re az összes álláshely 60%-a igényel középfokú szakképesítést</w:t>
            </w:r>
            <w:r>
              <w:rPr>
                <w:vertAlign w:val="superscript"/>
              </w:rPr>
              <w:t>4</w:t>
            </w:r>
            <w:r>
              <w:t>, ami a szakképzési pályákon keresztül leggyakrabban biztosított fokozat;</w:t>
            </w:r>
          </w:p>
        </w:tc>
        <w:tc>
          <w:tcPr>
            <w:tcW w:w="4876" w:type="dxa"/>
            <w:tcBorders>
              <w:top w:val="nil"/>
              <w:left w:val="nil"/>
              <w:bottom w:val="nil"/>
              <w:right w:val="nil"/>
            </w:tcBorders>
          </w:tcPr>
          <w:p>
            <w:pPr>
              <w:pStyle w:val="Normal6a"/>
            </w:pPr>
            <w:r>
              <w:t>B.</w:t>
            </w:r>
            <w:r>
              <w:tab/>
            </w:r>
            <w:r>
              <w:t>mivel az EU-ban az ipari visszatelepítés, az infrastrukturális beruházások és a demográfiai változások miatt egyre nagyobb a kereslet a szakképesítést igénylő szakmák iránt; mivel a munkaerőpiaci információk akut és tartós hiányt mutatnak a szakképzés-intenzív ágazatokban; mivel a Cedefop készségigény-előrejelzése szerint az 2035-re az összes álláshely 60%-a igényel középfokú szakképesítést</w:t>
            </w:r>
            <w:r>
              <w:rPr>
                <w:vertAlign w:val="superscript"/>
              </w:rPr>
              <w:t>4</w:t>
            </w:r>
            <w:r>
              <w:t>, ami a szakképzési pályákon keresztül leggyakrabban biztosított fokozat;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Európai Szakképzésfejlesztési Központ (Cedefop), „Skills Forecast” (Készség-előrejelzés), https://www.cedefop.europa.eu/en/tools/skills-forecast.</w:t>
            </w:r>
          </w:p>
        </w:tc>
        <w:tc>
          <w:tcPr>
            <w:tcW w:w="4876" w:type="dxa"/>
            <w:tcBorders>
              <w:top w:val="nil"/>
              <w:left w:val="nil"/>
              <w:bottom w:val="nil"/>
              <w:right w:val="nil"/>
            </w:tcBorders>
          </w:tcPr>
          <w:p>
            <w:pPr>
              <w:pStyle w:val="Normal6a"/>
            </w:pPr>
            <w:r>
              <w:rPr>
                <w:vertAlign w:val="superscript"/>
              </w:rPr>
              <w:t>4</w:t>
            </w:r>
            <w:r>
              <w:t xml:space="preserve"> </w:t>
            </w:r>
            <w:r>
              <w:t>Európai Szakképzésfejlesztési Központ (Cedefop), „Skills Forecast” (Készség-előrejelzés), https://www.cedefop.europa.eu/en/tools/skills-forecast.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mivel az EU-ban a zöld és digitális átállás, az ipari visszatelepítés, az infrastrukturális beruházások és a demográfiai változások miatt egyre nagyobb a kereslet a szakképesítést igénylő szakmák iránt; mivel a munkaerőpiaci információk akut és tartós hiányt mutatnak a szakképzés-intenzív ágazatokban; mivel a Cedefop készségigény-előrejelzése szerint az 2035-re az összes álláshely 60%-a igényel középfokú szakképesítést</w:t>
            </w:r>
            <w:r>
              <w:rPr>
                <w:vertAlign w:val="superscript"/>
              </w:rPr>
              <w:t>4</w:t>
            </w:r>
            <w:r>
              <w:t>, ami a szakképzési pályákon keresztül leggyakrabban biztosított fokozat;</w:t>
            </w:r>
          </w:p>
        </w:tc>
        <w:tc>
          <w:tcPr>
            <w:tcW w:w="4876" w:type="dxa"/>
            <w:tcBorders>
              <w:top w:val="nil"/>
              <w:left w:val="nil"/>
              <w:bottom w:val="nil"/>
              <w:right w:val="nil"/>
            </w:tcBorders>
          </w:tcPr>
          <w:p>
            <w:pPr>
              <w:pStyle w:val="Normal6a"/>
            </w:pPr>
            <w:r>
              <w:t>B.</w:t>
            </w:r>
            <w:r>
              <w:tab/>
            </w:r>
            <w:r>
              <w:t xml:space="preserve">mivel az EU-ban a zöld és digitális átállás, az ipari visszatelepítés, az infrastrukturális beruházások és a demográfiai változások miatt egyre nagyobb a kereslet a szakképesítést igénylő szakmák iránt; mivel a munkaerőpiaci információk akut és tartós hiányt mutatnak a szakképzés-intenzív ágazatokban; mivel a </w:t>
            </w:r>
            <w:r>
              <w:rPr>
                <w:b/>
                <w:i/>
              </w:rPr>
              <w:t>készségek fejlesztése nem korlátozódhat kizárólag az azonnali munkaerőpiaci kereslet kielégítésére, hanem fel kell vérteznie az embereket a kritikus gondolkodáshoz, a változáshoz való alkalmazkodáshoz, a társadalomban való teljes körű részvételhez és az aktív polgári szerepvállalás gyakorlásához szükséges kompetenciákkal is;</w:t>
            </w:r>
            <w:r>
              <w:t xml:space="preserve"> </w:t>
            </w:r>
            <w:r>
              <w:rPr>
                <w:b/>
                <w:i/>
              </w:rPr>
              <w:t>mivel a</w:t>
            </w:r>
            <w:r>
              <w:t xml:space="preserve"> Cedefop készségigény-előrejelzése szerint az 2035-re az összes álláshely 60%-a igényel középfokú szakképesítést</w:t>
            </w:r>
            <w:r>
              <w:rPr>
                <w:vertAlign w:val="superscript"/>
              </w:rPr>
              <w:t>4</w:t>
            </w:r>
            <w:r>
              <w:t>, ami a szakképzési pályákon keresztül leggyakrabban biztosított fokozat;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Európai Szakképzésfejlesztési Központ (Cedefop), „Skills Forecast” (Készség-előrejelzés), https://www.cedefop.europa.eu/en/tools/skills-forecast.</w:t>
            </w:r>
          </w:p>
        </w:tc>
        <w:tc>
          <w:tcPr>
            <w:tcW w:w="4876" w:type="dxa"/>
            <w:tcBorders>
              <w:top w:val="nil"/>
              <w:left w:val="nil"/>
              <w:bottom w:val="nil"/>
              <w:right w:val="nil"/>
            </w:tcBorders>
          </w:tcPr>
          <w:p>
            <w:pPr>
              <w:pStyle w:val="Normal6a"/>
            </w:pPr>
            <w:r>
              <w:rPr>
                <w:vertAlign w:val="superscript"/>
              </w:rPr>
              <w:t>4</w:t>
            </w:r>
            <w:r>
              <w:t xml:space="preserve"> </w:t>
            </w:r>
            <w:r>
              <w:t>Európai Szakképzésfejlesztési Központ (Cedefop), „Skills Forecast” (Készség-előrejelzés), https://www.cedefop.europa.eu/en/tools/skills-forecast.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mivel az EU-ban a zöld és digitális átállás, az ipari visszatelepítés, az infrastrukturális beruházások és a demográfiai változások miatt egyre nagyobb a kereslet a szakképesítést igénylő szakmák iránt; mivel a munkaerőpiaci információk akut és tartós hiányt mutatnak a szakképzés-intenzív ágazatokban; mivel a Cedefop készségigény-előrejelzése szerint az 2035-re az összes álláshely 60%-a igényel középfokú szakképesítést</w:t>
            </w:r>
            <w:r>
              <w:rPr>
                <w:vertAlign w:val="superscript"/>
              </w:rPr>
              <w:t>4</w:t>
            </w:r>
            <w:r>
              <w:t>, ami a szakképzési pályákon keresztül leggyakrabban biztosított fokozat;</w:t>
            </w:r>
          </w:p>
        </w:tc>
        <w:tc>
          <w:tcPr>
            <w:tcW w:w="4876" w:type="dxa"/>
            <w:tcBorders>
              <w:top w:val="nil"/>
              <w:left w:val="nil"/>
              <w:bottom w:val="nil"/>
              <w:right w:val="nil"/>
            </w:tcBorders>
          </w:tcPr>
          <w:p>
            <w:pPr>
              <w:pStyle w:val="Normal6a"/>
            </w:pPr>
            <w:r>
              <w:t>B.</w:t>
            </w:r>
            <w:r>
              <w:tab/>
            </w:r>
            <w:r>
              <w:t>mivel az EU-ban a zöld és digitális átállás, az ipari visszatelepítés, az infrastrukturális beruházások és a demográfiai változások miatt egyre nagyobb a kereslet a szakképesítést igénylő szakmák iránt; mivel a munkaerőpiaci információk akut és tartós hiányt mutatnak a szakképzés-intenzív ágazatokban; mivel a Cedefop készségigény-előrejelzése szerint az 2035-re az összes álláshely 60%-a igényel középfokú szakképesítést</w:t>
            </w:r>
            <w:r>
              <w:rPr>
                <w:vertAlign w:val="superscript"/>
              </w:rPr>
              <w:t>4</w:t>
            </w:r>
            <w:r>
              <w:t xml:space="preserve">, ami a szakképzési pályákon keresztül leggyakrabban biztosított fokozat; </w:t>
            </w:r>
            <w:r>
              <w:rPr>
                <w:b/>
                <w:i/>
              </w:rPr>
              <w:t>mivel a Cedefop azt is kiemeli, hogy a mesterséges intelligencia oly módon alakítja át a munkaerő-keresletet, amely megerősíti és újjáéleszti a szakmai foglalkozásokat</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https://www.cedefop.europa.eu/en/news/reverse-gear-how-ai-bringing-vocational-occupations-back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Európai Szakképzésfejlesztési Központ (Cedefop), „Skills Forecast” (Készség-előrejelzés), https://www.cedefop.europa.eu/en/tools/skills-forecast.</w:t>
            </w:r>
          </w:p>
        </w:tc>
        <w:tc>
          <w:tcPr>
            <w:tcW w:w="4876" w:type="dxa"/>
            <w:tcBorders>
              <w:top w:val="nil"/>
              <w:left w:val="nil"/>
              <w:bottom w:val="nil"/>
              <w:right w:val="nil"/>
            </w:tcBorders>
          </w:tcPr>
          <w:p>
            <w:pPr>
              <w:pStyle w:val="Normal6a"/>
            </w:pPr>
            <w:r>
              <w:rPr>
                <w:vertAlign w:val="superscript"/>
              </w:rPr>
              <w:t>4</w:t>
            </w:r>
            <w:r>
              <w:t xml:space="preserve"> </w:t>
            </w:r>
            <w:r>
              <w:t>Európai Szakképzésfejlesztési Központ (Cedefop), „Skills Forecast” (Készség-előrejelzés), https://www.cedefop.europa.eu/en/tools/skills-forecast.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mivel az EU-ban a zöld és digitális átállás, az ipari visszatelepítés, az infrastrukturális beruházások és a demográfiai változások miatt egyre nagyobb a kereslet a szakképesítést igénylő szakmák iránt; mivel a munkaerőpiaci információk akut és tartós hiányt mutatnak a szakképzés-intenzív ágazatokban; mivel a Cedefop készségigény-előrejelzése szerint az 2035-re az összes álláshely 60%-a igényel középfokú szakképesítést</w:t>
            </w:r>
            <w:r>
              <w:rPr>
                <w:vertAlign w:val="superscript"/>
              </w:rPr>
              <w:t>4</w:t>
            </w:r>
            <w:r>
              <w:t>, ami a szakképzési pályákon keresztül leggyakrabban biztosított fokozat;</w:t>
            </w:r>
          </w:p>
        </w:tc>
        <w:tc>
          <w:tcPr>
            <w:tcW w:w="4876" w:type="dxa"/>
            <w:tcBorders>
              <w:top w:val="nil"/>
              <w:left w:val="nil"/>
              <w:bottom w:val="nil"/>
              <w:right w:val="nil"/>
            </w:tcBorders>
          </w:tcPr>
          <w:p>
            <w:pPr>
              <w:pStyle w:val="Normal6a"/>
            </w:pPr>
            <w:r>
              <w:t>B.</w:t>
            </w:r>
            <w:r>
              <w:tab/>
            </w:r>
            <w:r>
              <w:t>mivel az EU-ban a zöld és digitális átállás, az ipari visszatelepítés, az infrastrukturális beruházások és a demográfiai változások miatt egyre nagyobb a kereslet a szakképesítést igénylő szakmák iránt; mivel a munkaerőpiaci információk akut és tartós hiányt mutatnak a szakképzés-intenzív ágazatokban; mivel a Cedefop készségigény-előrejelzése szerint az 2035-re az összes álláshely 60%-a igényel középfokú szakképesítést</w:t>
            </w:r>
            <w:r>
              <w:rPr>
                <w:vertAlign w:val="superscript"/>
              </w:rPr>
              <w:t>4</w:t>
            </w:r>
            <w:r>
              <w:t xml:space="preserve">, ami a szakképzési pályákon keresztül leggyakrabban biztosított fokozat; </w:t>
            </w:r>
            <w:r>
              <w:rPr>
                <w:b/>
                <w:i/>
              </w:rPr>
              <w:t>mivel a szakképzés kulcsszerepet játszik a minőségi foglalkoztatáshoz és a karrierfejlesztési lehetőségekhez való hozzáférés támogatásában;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Európai Szakképzésfejlesztési Központ (Cedefop), „Skills Forecast” (Készség-előrejelzés), https://www.cedefop.europa.eu/en/tools/skills-forecast.</w:t>
            </w:r>
          </w:p>
        </w:tc>
        <w:tc>
          <w:tcPr>
            <w:tcW w:w="4876" w:type="dxa"/>
            <w:tcBorders>
              <w:top w:val="nil"/>
              <w:left w:val="nil"/>
              <w:bottom w:val="nil"/>
              <w:right w:val="nil"/>
            </w:tcBorders>
          </w:tcPr>
          <w:p>
            <w:pPr>
              <w:pStyle w:val="Normal6a"/>
            </w:pPr>
            <w:r>
              <w:rPr>
                <w:vertAlign w:val="superscript"/>
              </w:rPr>
              <w:t>4</w:t>
            </w:r>
            <w:r>
              <w:t xml:space="preserve"> </w:t>
            </w:r>
            <w:r>
              <w:t>Európai Szakképzésfejlesztési Központ (Cedefop), „Skills Forecast” (Készség-előrejelzés), https://www.cedefop.europa.eu/en/tools/skills-forecast.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hangsúlyozza, hogy a készségfejlesztési politikának a tagállamok iparpolitikáinak és versenyképességének központi elemét kell képeznie, nem pedig pusztán társadalmi többletet;</w:t>
            </w:r>
            <w:r>
              <w:t xml:space="preserve"> </w:t>
            </w:r>
            <w:r>
              <w:rPr>
                <w:b/>
                <w:i/>
              </w:rPr>
              <w:t>felszólít a szakképzés stratégiai, jövőorientált megközelítésére;</w:t>
            </w:r>
            <w:r>
              <w:t xml:space="preserve"> </w:t>
            </w:r>
            <w:r>
              <w:rPr>
                <w:b/>
                <w:i/>
              </w:rPr>
              <w:t>hangsúlyozza, hogy sürgősen felül kell vizsgálni a szakképzési tanterveket a készségekkel kapcsolatos részletes információgyűjtés alkalmazásával annak érdekében, hogy az oktatás jobban igazodjon a munkaerőpiac és a stratégiai ágazatok igényeihez;</w:t>
            </w:r>
            <w:r>
              <w:t xml:space="preserve"> </w:t>
            </w:r>
            <w:r>
              <w:rPr>
                <w:b/>
                <w:i/>
              </w:rPr>
              <w:t>sürgeti, hogy a tagállamok dolgozzanak ki összehangolt megközelítést a megszerzett készségek tanúsítási rendszerére vonatkozóan, amely rugalmas, részletes és kevésbé függ a formális iskolai végzettségtől, elismerve a különböző tanulási pályákat és a munkaalapú tanulást;</w:t>
            </w:r>
            <w:r>
              <w:t xml:space="preserve"> </w:t>
            </w:r>
            <w:r>
              <w:rPr>
                <w:b/>
                <w:i/>
              </w:rPr>
              <w:t>ösztönzi továbbá, hogy a Draghi-jelentéssel összhangban vezessenek be hatékony ösztönzőket a munkáltatók számára, például adókedvezményeket vagy képzési utalványokat a munkaerő továbbképzésének támogatása és a mesterséges intelligencia korában a képzés nyújtása terén fennálló kapacitáskorlátok kezelése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mivel a szakképzés nemcsak a munkaerőpiaci részvételhez és a készségfejlesztéshez járul hozzá, hanem a fiatalok társadalmi kohéziójához, demokratikus szerepvállalásához és rezilienciájához is;</w:t>
            </w:r>
            <w:r>
              <w:t xml:space="preserve"> </w:t>
            </w:r>
            <w:r>
              <w:rPr>
                <w:b/>
                <w:i/>
              </w:rPr>
              <w:t>mivel a szakképzési intézmények gyakran megbízható és inkluzív tanulási környezetként szolgálnak, különösen a városi és hátrányos helyzetű régiókban, ahol a fiatalok jobban ki lehetnek téve a társadalmi kirekesztés, a polgári életből való kivonulás, a radikalizálódás vagy a polarizáció kockázatának;</w:t>
            </w:r>
            <w:r>
              <w:t xml:space="preserve"> </w:t>
            </w:r>
            <w:r>
              <w:rPr>
                <w:b/>
                <w:i/>
              </w:rPr>
              <w:t>mivel a szakképzés megerősítése ezért Unió-szerte hozzájárulhat az aktív polgári szerepvállalás, a befogadás és a társadalmi reziliencia előmozdításához;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mivel a munkaerőhiány gyakran nemcsak a készséghiányhoz kapcsolódik, hanem az alacsony bérek, a bizonytalan munkakörülmények, a nem biztonságos vagy nem vonzó munkakörülmények, a korlátozott szakmai előmenetel és a kollektív tárgyalások általi lefedettség hiánya miatt is;</w:t>
            </w:r>
            <w:r>
              <w:t xml:space="preserve"> </w:t>
            </w:r>
            <w:r>
              <w:rPr>
                <w:b/>
                <w:i/>
              </w:rPr>
              <w:t>mivel ezért a munkahelyek minőségének, a munkavállalók jogainak és a tisztességes béreknek a javítása elengedhetetlen a szakképesítést igénylő szakmák vonzerejének növeléséhez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mivel az Eurofound 2024. évi európai munkakörülmény-felmérése szerint az európai munkavállalók csupán 44%-a érzi úgy, hogy elegendő lehetősége van már meglévő készségeinek munkahelyi felhasználására, és az alacsonyabb szakképesítést igénylő foglalkozásokban dolgozó munkavállalóknak csak 33%-a állítja, hogy elegendő lehetősége van készségeinek használatára, szemben a vezetők és a szakemberek 54%-ával;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mivel a közös agrárpolitika keretében hatékonyan össze kell hangolni a szakképzés terén tett erőfeszítéseket;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b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mivel a gyakorlati manipulációval járó munkahelyek – például ácsok, villanyszerelők, vízvezeték-szerelők stb. – hiánya és növekvő kereslete egyaránt tapasztalható;</w:t>
            </w:r>
            <w:r>
              <w:t xml:space="preserve"> </w:t>
            </w:r>
            <w:r>
              <w:rPr>
                <w:b/>
                <w:i/>
              </w:rPr>
              <w:t>mivel ezek a szakmák alapvető fontosságúak a társadalom és a gazdaság számára;</w:t>
            </w:r>
            <w:r>
              <w:t xml:space="preserve"> </w:t>
            </w:r>
            <w:r>
              <w:rPr>
                <w:b/>
                <w:i/>
              </w:rPr>
              <w:t>mivel hiányuk magasabb árat eredményez e szolgáltatásokért, ami elérhetetlenné teszi azokat, például az építőiparban, mind az új építkezések, mind a felújítások esetében;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b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mivel a szociális jogok európai pillére azt a célt tűzi ki, hogy 2030-ra az összes felnőtt legalább 60%-a évente vegyen részt képzésben, és mivel az Eurostat legfrissebb adatai szerint a felnőttek jelenlegi részvételi aránya csak 37%;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c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mivel támogatni kell az önfoglalkoztatást, mivel a szakképesítést igénylő szakmák többsége önfoglalkoztató;</w:t>
            </w:r>
            <w:r>
              <w:t xml:space="preserve"> </w:t>
            </w:r>
            <w:r>
              <w:rPr>
                <w:b/>
                <w:i/>
              </w:rPr>
              <w:t>mivel számos tagállamban az önálló vállalkozók munkakörülményei kevésbé biztonságosak és hátrányosak más foglalkoztatási formákhoz képest;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c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mivel a tanulók és a tanárok jólléte kulcsfontosságú tényező a szakképzés minősége, eredményei, inkluzivitása és vonzereje szempontjából;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d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mivel a szakképzésben dolgozó tanárok és oktatók növekvő hiánya veszélyezteti a szakképzés jövőbeli minőségét, inkluzivitását és vonzerejét Európában;</w:t>
            </w:r>
            <w:r>
              <w:t xml:space="preserve"> </w:t>
            </w:r>
            <w:r>
              <w:rPr>
                <w:b/>
                <w:i/>
              </w:rPr>
              <w:t>és mivel a szakoktatási és -képzési tanári szakma vonzereje, társadalmi elismerése, javadalmazása és munkakörülményei elengedhetetlenek a képzett tanárok és oktatók felvételéhez és megtartásához;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C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mivel az EU lisszaboni stratégia szerinti politikai orientációja aránytalanul nagy hangsúlyt fektetett az iskolai végzettségre, alábecsülve a szakképesítést igénylő szakmák stratégiai jelentőségét az EU ipari bázisa és rezilienciája szempontjából; mivel a közelmúltbeli geopolitikai fejlemények</w:t>
            </w:r>
            <w:r>
              <w:rPr>
                <w:b/>
                <w:i/>
              </w:rPr>
              <w:t>,</w:t>
            </w:r>
            <w:r>
              <w:t xml:space="preserve"> az ellátási lánc zavarai</w:t>
            </w:r>
            <w:r>
              <w:rPr>
                <w:b/>
                <w:i/>
              </w:rPr>
              <w:t>, valamint a zöld és digitális átállás</w:t>
            </w:r>
            <w:r>
              <w:t xml:space="preserve"> azt mutatják, hogy jelentős beruházásokra van szükség a szakképzésben;</w:t>
            </w:r>
          </w:p>
        </w:tc>
        <w:tc>
          <w:tcPr>
            <w:tcW w:w="4876" w:type="dxa"/>
            <w:tcBorders>
              <w:top w:val="nil"/>
              <w:left w:val="nil"/>
              <w:bottom w:val="nil"/>
              <w:right w:val="nil"/>
            </w:tcBorders>
          </w:tcPr>
          <w:p>
            <w:pPr>
              <w:pStyle w:val="Normal6a"/>
            </w:pPr>
            <w:r>
              <w:t>C.</w:t>
            </w:r>
            <w:r>
              <w:tab/>
            </w:r>
            <w:r>
              <w:t xml:space="preserve">mivel az EU lisszaboni stratégia szerinti politikai orientációja aránytalanul nagy hangsúlyt fektetett az iskolai végzettségre, alábecsülve a szakképesítést igénylő szakmák stratégiai jelentőségét az EU ipari bázisa és rezilienciája szempontjából; mivel a közelmúltbeli geopolitikai fejlemények </w:t>
            </w:r>
            <w:r>
              <w:rPr>
                <w:b/>
                <w:i/>
              </w:rPr>
              <w:t>és</w:t>
            </w:r>
            <w:r>
              <w:t xml:space="preserve"> az ellátási lánc zavarai azt mutatják, hogy jelentős beruházásokra van szükség a szakképzésben;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C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mivel az EU lisszaboni stratégia szerinti politikai orientációja aránytalanul nagy hangsúlyt fektetett az iskolai végzettségre, alábecsülve a szakképesítést igénylő szakmák stratégiai jelentőségét az EU ipari bázisa és rezilienciája szempontjából; mivel a közelmúltbeli geopolitikai fejlemények, az ellátási lánc zavarai, valamint </w:t>
            </w:r>
            <w:r>
              <w:rPr>
                <w:b/>
                <w:i/>
              </w:rPr>
              <w:t>a zöld és digitális átállás</w:t>
            </w:r>
            <w:r>
              <w:t xml:space="preserve"> azt mutatják, hogy jelentős beruházásokra van szükség a szakképzésben;</w:t>
            </w:r>
          </w:p>
        </w:tc>
        <w:tc>
          <w:tcPr>
            <w:tcW w:w="4876" w:type="dxa"/>
            <w:tcBorders>
              <w:top w:val="nil"/>
              <w:left w:val="nil"/>
              <w:bottom w:val="nil"/>
              <w:right w:val="nil"/>
            </w:tcBorders>
          </w:tcPr>
          <w:p>
            <w:pPr>
              <w:pStyle w:val="Normal6a"/>
            </w:pPr>
            <w:r>
              <w:t>C.</w:t>
            </w:r>
            <w:r>
              <w:tab/>
            </w:r>
            <w:r>
              <w:t xml:space="preserve">mivel az EU lisszaboni stratégia szerinti politikai orientációja aránytalanul nagy hangsúlyt fektetett az iskolai végzettségre, alábecsülve a szakképesítést igénylő szakmák stratégiai jelentőségét az EU ipari bázisa és rezilienciája szempontjából; mivel a közelmúltbeli geopolitikai fejlemények, az ellátási lánc zavarai, </w:t>
            </w:r>
            <w:r>
              <w:rPr>
                <w:b/>
                <w:i/>
              </w:rPr>
              <w:t>a kettős átállás,</w:t>
            </w:r>
            <w:r>
              <w:t xml:space="preserve"> valamint </w:t>
            </w:r>
            <w:r>
              <w:rPr>
                <w:b/>
                <w:i/>
              </w:rPr>
              <w:t>Európa termelési kapacitása és ipari versenyképessége megerősítésének szükségessége</w:t>
            </w:r>
            <w:r>
              <w:t xml:space="preserve"> azt mutatják, hogy jelentős beruházásokra van szükség a szakképzésben;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C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mivel az EU lisszaboni stratégia szerinti politikai orientációja aránytalanul nagy hangsúlyt fektetett az iskolai végzettségre, alábecsülve a szakképesítést igénylő szakmák stratégiai jelentőségét az EU ipari bázisa és rezilienciája szempontjából; mivel a közelmúltbeli geopolitikai fejlemények, az ellátási lánc zavarai, valamint a </w:t>
            </w:r>
            <w:r>
              <w:rPr>
                <w:b/>
                <w:i/>
              </w:rPr>
              <w:t>zöld és digitális</w:t>
            </w:r>
            <w:r>
              <w:t xml:space="preserve"> átállás azt mutatják, hogy jelentős beruházásokra van szükség a szakképzésben;</w:t>
            </w:r>
          </w:p>
        </w:tc>
        <w:tc>
          <w:tcPr>
            <w:tcW w:w="4876" w:type="dxa"/>
            <w:tcBorders>
              <w:top w:val="nil"/>
              <w:left w:val="nil"/>
              <w:bottom w:val="nil"/>
              <w:right w:val="nil"/>
            </w:tcBorders>
          </w:tcPr>
          <w:p>
            <w:pPr>
              <w:pStyle w:val="Normal6a"/>
            </w:pPr>
            <w:r>
              <w:t>C.</w:t>
            </w:r>
            <w:r>
              <w:tab/>
            </w:r>
            <w:r>
              <w:t xml:space="preserve">mivel az EU lisszaboni stratégia szerinti politikai orientációja aránytalanul nagy hangsúlyt fektetett az iskolai végzettségre, alábecsülve a szakképesítést igénylő szakmák stratégiai jelentőségét az EU ipari bázisa és rezilienciája szempontjából; mivel a közelmúltbeli geopolitikai fejlemények, az ellátási lánc zavarai, valamint a </w:t>
            </w:r>
            <w:r>
              <w:rPr>
                <w:b/>
                <w:i/>
              </w:rPr>
              <w:t>jelenleg zajló</w:t>
            </w:r>
            <w:r>
              <w:t xml:space="preserve"> átállás azt mutatják, hogy jelentős beruházásokra van szükség a szakképzésben;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C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mivel az EU lisszaboni stratégia szerinti politikai orientációja aránytalanul nagy hangsúlyt fektetett az iskolai végzettségre, alábecsülve a szakképesítést igénylő szakmák stratégiai jelentőségét az EU ipari bázisa </w:t>
            </w:r>
            <w:r>
              <w:rPr>
                <w:b/>
                <w:i/>
              </w:rPr>
              <w:t>és</w:t>
            </w:r>
            <w:r>
              <w:t xml:space="preserve"> rezilienciája szempontjából; mivel a közelmúltbeli geopolitikai fejlemények, az ellátási lánc zavarai, valamint a zöld és digitális átállás azt mutatják, hogy jelentős beruházásokra van szükség a szakképzésben;</w:t>
            </w:r>
          </w:p>
        </w:tc>
        <w:tc>
          <w:tcPr>
            <w:tcW w:w="4876" w:type="dxa"/>
            <w:tcBorders>
              <w:top w:val="nil"/>
              <w:left w:val="nil"/>
              <w:bottom w:val="nil"/>
              <w:right w:val="nil"/>
            </w:tcBorders>
          </w:tcPr>
          <w:p>
            <w:pPr>
              <w:pStyle w:val="Normal6a"/>
            </w:pPr>
            <w:r>
              <w:t>C.</w:t>
            </w:r>
            <w:r>
              <w:tab/>
            </w:r>
            <w:r>
              <w:t>mivel az EU lisszaboni stratégia szerinti politikai orientációja aránytalanul nagy hangsúlyt fektetett az iskolai végzettségre, alábecsülve a szakképesítést igénylő szakmák stratégiai jelentőségét az EU ipari bázisa</w:t>
            </w:r>
            <w:r>
              <w:rPr>
                <w:b/>
                <w:i/>
              </w:rPr>
              <w:t>,</w:t>
            </w:r>
            <w:r>
              <w:t xml:space="preserve"> rezilienciája</w:t>
            </w:r>
            <w:r>
              <w:rPr>
                <w:b/>
                <w:i/>
              </w:rPr>
              <w:t>, valamint társadalmi és területi kohéziója</w:t>
            </w:r>
            <w:r>
              <w:t xml:space="preserve"> szempontjából; mivel a közelmúltbeli geopolitikai fejlemények, az ellátási lánc zavarai, valamint a zöld és digitális átállás azt mutatják, hogy </w:t>
            </w:r>
            <w:r>
              <w:rPr>
                <w:b/>
                <w:i/>
              </w:rPr>
              <w:t>Unió-szerte</w:t>
            </w:r>
            <w:r>
              <w:t xml:space="preserve"> jelentős beruházásokra van szükség a szakképzésben</w:t>
            </w:r>
            <w:r>
              <w:rPr>
                <w:b/>
                <w:i/>
              </w:rPr>
              <w:t>, az egész életen át tartó tanulásban és a hozzáférhető állami képzési infrastruktúrában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C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mivel az EU </w:t>
            </w:r>
            <w:r>
              <w:rPr>
                <w:b/>
                <w:i/>
              </w:rPr>
              <w:t>lisszaboni stratégia szerinti</w:t>
            </w:r>
            <w:r>
              <w:t xml:space="preserve"> politikai orientációja aránytalanul nagy hangsúlyt fektetett az iskolai végzettségre, alábecsülve a szakképesítést igénylő szakmák stratégiai jelentőségét az EU ipari bázisa és rezilienciája szempontjából; mivel a közelmúltbeli geopolitikai fejlemények, az ellátási lánc zavarai, valamint a zöld és digitális átállás azt mutatják, hogy jelentős beruházásokra van szükség a szakképzésben;</w:t>
            </w:r>
          </w:p>
        </w:tc>
        <w:tc>
          <w:tcPr>
            <w:tcW w:w="4876" w:type="dxa"/>
            <w:tcBorders>
              <w:top w:val="nil"/>
              <w:left w:val="nil"/>
              <w:bottom w:val="nil"/>
              <w:right w:val="nil"/>
            </w:tcBorders>
          </w:tcPr>
          <w:p>
            <w:pPr>
              <w:pStyle w:val="Normal6a"/>
            </w:pPr>
            <w:r>
              <w:t>C.</w:t>
            </w:r>
            <w:r>
              <w:tab/>
            </w:r>
            <w:r>
              <w:t xml:space="preserve">mivel az EU politikai orientációja </w:t>
            </w:r>
            <w:r>
              <w:rPr>
                <w:b/>
                <w:i/>
              </w:rPr>
              <w:t>a lisszaboni stratégia óta</w:t>
            </w:r>
            <w:r>
              <w:t xml:space="preserve"> aránytalanul nagy hangsúlyt fektetett az iskolai végzettségre, alábecsülve a szakképesítést igénylő szakmák stratégiai jelentőségét az EU ipari bázisa és rezilienciája szempontjából; mivel a közelmúltbeli geopolitikai fejlemények, az ellátási lánc zavarai, valamint a zöld és digitális átállás azt mutatják, hogy jelentős beruházásokra van szükség a szakképzésben;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C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mivel rendkívül fontos, hogy minden munkavállaló és álláskereső egyenlően hozzáférjen a szakképzési, többek között a továbbképzési és átképzési lehetőségekhez;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C b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mivel a küszöbön álló szakképzési stratégiának a szakmai alap- és a folyamatos szakképzést egyenrangú pillérként kell kezelnie, egyértelmű célkitűzésekkel és célzott finanszírozással;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C c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mivel a képzett munkaerő hiányának többek között a munkahelyek silány minősége, a rossz munkakörülmények és az az oka, hogy vállalati szinten nem fektetnek a szakképzésbe;</w:t>
            </w:r>
            <w:r>
              <w:t xml:space="preserve"> </w:t>
            </w:r>
            <w:r>
              <w:rPr>
                <w:b/>
                <w:i/>
              </w:rPr>
              <w:t>mivel a tisztességes munkakörülmények, a társadalombiztosítási rendszerekhez való hozzáférés, a jó minőségű közszolgáltatások és a vonzó lakókörnyezet meghatározó szerepet fognak játszani a szakképzett munkaerő megtartásában és megszerzésében;</w:t>
            </w:r>
            <w:r>
              <w:t xml:space="preserve"> </w:t>
            </w:r>
            <w:r>
              <w:rPr>
                <w:b/>
                <w:i/>
              </w:rPr>
              <w:t>mivel a személyes fejlődés és a pályaorientáció fiatal kortól kezdődően történő megerősítése, valamint az információhoz való egyenlő hozzáférés támogatása segíthet az embereknek abban, hogy megfelelő, jó minőségű foglalkoztatási lehetőségekhez vezető tanulási pályákat válasszanak;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D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mivel az oktatási pályákat </w:t>
            </w:r>
            <w:r>
              <w:rPr>
                <w:b/>
                <w:i/>
              </w:rPr>
              <w:t>hierarchikusan meghatározó</w:t>
            </w:r>
            <w:r>
              <w:t xml:space="preserve"> tartós társadalmi és szakpolitikai elfogultság hozzájárul a szakképzési pályák vonzerejének hiányához és a felsőoktatás irányába való eltolódáshoz, ezáltal korlátozva a tehetségek egyenlő elismerését, aláásva a társadalmi kohéziót és súlyosbítva a kritikus szakemberhiányt a szakképesítést igénylő foglalkozásokban;</w:t>
            </w:r>
          </w:p>
        </w:tc>
        <w:tc>
          <w:tcPr>
            <w:tcW w:w="4876" w:type="dxa"/>
            <w:tcBorders>
              <w:top w:val="nil"/>
              <w:left w:val="nil"/>
              <w:bottom w:val="nil"/>
              <w:right w:val="nil"/>
            </w:tcBorders>
          </w:tcPr>
          <w:p>
            <w:pPr>
              <w:pStyle w:val="Normal6a"/>
            </w:pPr>
            <w:r>
              <w:t>D.</w:t>
            </w:r>
            <w:r>
              <w:tab/>
            </w:r>
            <w:r>
              <w:t>mivel az oktatási pályákat tartós társadalmi és szakpolitikai elfogultság hozzájárul a szakképzési pályák vonzerejének hiányához és a felsőoktatás irányába való eltolódáshoz, ezáltal korlátozva a tehetségek egyenlő elismerését, aláásva a társadalmi kohéziót és súlyosbítva a kritikus szakemberhiányt a szakképesítést igénylő foglalkozásokban;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D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mivel az oktatási pályákat hierarchikusan meghatározó tartós társadalmi és szakpolitikai elfogultság hozzájárul a szakképzési pályák vonzerejének hiányához és a felsőoktatás irányába való eltolódáshoz, ezáltal korlátozva a tehetségek egyenlő elismerését, aláásva a társadalmi kohéziót és súlyosbítva a kritikus szakemberhiányt a szakképesítést igénylő foglalkozásokban;</w:t>
            </w:r>
          </w:p>
        </w:tc>
        <w:tc>
          <w:tcPr>
            <w:tcW w:w="4876" w:type="dxa"/>
            <w:tcBorders>
              <w:top w:val="nil"/>
              <w:left w:val="nil"/>
              <w:bottom w:val="nil"/>
              <w:right w:val="nil"/>
            </w:tcBorders>
          </w:tcPr>
          <w:p>
            <w:pPr>
              <w:pStyle w:val="Normal6a"/>
            </w:pPr>
            <w:r>
              <w:t>D.</w:t>
            </w:r>
            <w:r>
              <w:tab/>
            </w:r>
            <w:r>
              <w:t xml:space="preserve">mivel az oktatási pályákat hierarchikusan meghatározó tartós társadalmi és szakpolitikai elfogultság hozzájárul a szakképzési pályák vonzerejének hiányához és a felsőoktatás irányába való eltolódáshoz, ezáltal korlátozva a tehetségek egyenlő elismerését, aláásva a társadalmi kohéziót és súlyosbítva a kritikus szakemberhiányt a szakképesítést igénylő foglalkozásokban; </w:t>
            </w:r>
            <w:r>
              <w:rPr>
                <w:b/>
                <w:i/>
              </w:rPr>
              <w:t>mivel ezek az elfogultságok a szakmai előmenetelt és a jövedelmi lehetőségeket érintő társadalmi egyenlőtlenségeket is erősítik;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D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mivel ösztönözni kell a gyakorlati manipulációval járó alapvető szakképesítést igénylő szakmák presztízsét azáltal, hogy támogatják a társadalmi elismerést, amint az a múltban az összetartozás és a közös szervezés saját kultúrájával történt;</w:t>
            </w:r>
            <w:r>
              <w:t xml:space="preserve"> </w:t>
            </w:r>
            <w:r>
              <w:rPr>
                <w:b/>
                <w:i/>
              </w:rPr>
              <w:t>mivel nemzeti stratégiára van szükség az ilyen alapvető szakképesítést igénylő szakmák és azon szervezetek meglétének biztosítása érdekében, amelyekben megtalálják az összetartozás kultúráját, valamint tudásuk és know-how-juk átadását;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D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mivel a nők továbbra is alulreprezentáltak számos szakképzési pályán, különösen a természettudományok, a technológia, a műszaki tudományok és a matematika területén, és a tartós nemi sztereotípiák továbbra is alakítják az oktatási és karrierválasztást;</w:t>
            </w:r>
            <w:r>
              <w:t xml:space="preserve"> </w:t>
            </w:r>
            <w:r>
              <w:rPr>
                <w:b/>
                <w:i/>
              </w:rPr>
              <w:t>mivel a szakképzésnek elő kell segítenie e hiányosságok megszüntetését azáltal, hogy előmozdítja az egyenlő hozzáférést, a tanácsadást és az előrelépést az erős munkaerő-kereslettel rendelkező ágazatok felé;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E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mivel a szükségtelen adminisztratív akadályok, a széttagolt elismerési eljárások és a nemzeti rendszerek közötti elégtelen interoperabilitás továbbra is akadályozzák a munkavállalók, különösen a szakképzési szakemberek szabad mozgását;</w:t>
            </w:r>
            <w:r>
              <w:t xml:space="preserve"> mivel a tagállamok és a regionális keretek közötti megerősített együttműködés hozzájárulhat a kölcsönös bizalom kiépítéséhez, az elismerési eljárások korszerűsítéséhez és a szakképzési szakemberek munkavállalói mobilitásának megkönnyítéséhez, a magas szintű normák fenntartása mellett;</w:t>
            </w:r>
          </w:p>
        </w:tc>
        <w:tc>
          <w:tcPr>
            <w:tcW w:w="4876" w:type="dxa"/>
            <w:tcBorders>
              <w:top w:val="nil"/>
              <w:left w:val="nil"/>
              <w:bottom w:val="nil"/>
              <w:right w:val="nil"/>
            </w:tcBorders>
          </w:tcPr>
          <w:p>
            <w:pPr>
              <w:pStyle w:val="Normal6a"/>
            </w:pPr>
            <w:r>
              <w:t>E.</w:t>
            </w:r>
            <w:r>
              <w:tab/>
            </w:r>
            <w:r>
              <w:t>mivel a tagállamok és a regionális keretek közötti megerősített együttműködés hozzájárulhat a kölcsönös bizalom kiépítéséhez, az elismerési eljárások korszerűsítéséhez és a szakképzési szakemberek munkavállalói mobilitásának megkönnyítéséhez, a magas szintű normák fenntartása mellett;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E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mivel a szükségtelen adminisztratív akadályok, a széttagolt elismerési eljárások </w:t>
            </w:r>
            <w:r>
              <w:rPr>
                <w:b/>
                <w:i/>
              </w:rPr>
              <w:t>és</w:t>
            </w:r>
            <w:r>
              <w:t xml:space="preserve"> a nemzeti rendszerek közötti elégtelen interoperabilitás továbbra is akadályozzák a munkavállalók, különösen a szakképzési szakemberek szabad mozgását; mivel a tagállamok és a regionális keretek közötti megerősített együttműködés hozzájárulhat a kölcsönös bizalom kiépítéséhez, az elismerési eljárások korszerűsítéséhez és a szakképzési szakemberek munkavállalói mobilitásának megkönnyítéséhez, a magas szintű normák fenntartása mellett;</w:t>
            </w:r>
          </w:p>
        </w:tc>
        <w:tc>
          <w:tcPr>
            <w:tcW w:w="4876" w:type="dxa"/>
            <w:tcBorders>
              <w:top w:val="nil"/>
              <w:left w:val="nil"/>
              <w:bottom w:val="nil"/>
              <w:right w:val="nil"/>
            </w:tcBorders>
          </w:tcPr>
          <w:p>
            <w:pPr>
              <w:pStyle w:val="Normal6a"/>
            </w:pPr>
            <w:r>
              <w:t>E.</w:t>
            </w:r>
            <w:r>
              <w:tab/>
            </w:r>
            <w:r>
              <w:t>mivel a szükségtelen adminisztratív akadályok, a széttagolt elismerési eljárások</w:t>
            </w:r>
            <w:r>
              <w:rPr>
                <w:b/>
                <w:i/>
              </w:rPr>
              <w:t>,</w:t>
            </w:r>
            <w:r>
              <w:t xml:space="preserve"> a nemzeti rendszerek közötti elégtelen interoperabilitás </w:t>
            </w:r>
            <w:r>
              <w:rPr>
                <w:b/>
                <w:i/>
              </w:rPr>
              <w:t>és az alulfinanszírozás</w:t>
            </w:r>
            <w:r>
              <w:t xml:space="preserve"> továbbra is akadályozzák a munkavállalók, különösen a szakképzési szakemberek szabad mozgását; mivel a tagállamok és a regionális keretek közötti megerősített együttműködés hozzájárulhat a kölcsönös bizalom kiépítéséhez, az elismerési eljárások korszerűsítéséhez és a szakképzési szakemberek munkavállalói mobilitásának megkönnyítéséhez, a magas szintű normák fenntartása mellett; </w:t>
            </w:r>
            <w:r>
              <w:rPr>
                <w:b/>
                <w:i/>
              </w:rPr>
              <w:t>mivel az elismerési rendszereknek támogatniuk kell a nem formális és informális tanulás – többek között az önkéntesség, az ifjúsági munka és a munkatapasztalat – során szerzett kompetenciák érvényesítését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E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mivel a szükségtelen adminisztratív akadályok, a széttagolt elismerési eljárások és a nemzeti rendszerek közötti elégtelen interoperabilitás továbbra is akadályozzák a munkavállalók, különösen a szakképzési szakemberek szabad mozgását; mivel a tagállamok és a regionális keretek közötti megerősített együttműködés hozzájárulhat a kölcsönös bizalom kiépítéséhez, az elismerési eljárások korszerűsítéséhez és a szakképzési szakemberek munkavállalói mobilitásának megkönnyítéséhez, a </w:t>
            </w:r>
            <w:r>
              <w:rPr>
                <w:b/>
                <w:i/>
              </w:rPr>
              <w:t>magas szintű</w:t>
            </w:r>
            <w:r>
              <w:t xml:space="preserve"> normák </w:t>
            </w:r>
            <w:r>
              <w:rPr>
                <w:b/>
                <w:i/>
              </w:rPr>
              <w:t>fenntartása</w:t>
            </w:r>
            <w:r>
              <w:t xml:space="preserve"> mellett;</w:t>
            </w:r>
          </w:p>
        </w:tc>
        <w:tc>
          <w:tcPr>
            <w:tcW w:w="4876" w:type="dxa"/>
            <w:tcBorders>
              <w:top w:val="nil"/>
              <w:left w:val="nil"/>
              <w:bottom w:val="nil"/>
              <w:right w:val="nil"/>
            </w:tcBorders>
          </w:tcPr>
          <w:p>
            <w:pPr>
              <w:pStyle w:val="Normal6a"/>
            </w:pPr>
            <w:r>
              <w:t>E.</w:t>
            </w:r>
            <w:r>
              <w:tab/>
            </w:r>
            <w:r>
              <w:t xml:space="preserve">mivel a szükségtelen adminisztratív akadályok, a széttagolt elismerési eljárások és a nemzeti rendszerek közötti elégtelen interoperabilitás továbbra is akadályozzák a munkavállalók, különösen a szakképzési szakemberek szabad mozgását; mivel a tagállamok és a regionális keretek közötti megerősített együttműködés hozzájárulhat a kölcsönös bizalom kiépítéséhez, az elismerési eljárások korszerűsítéséhez és a szakképzési szakemberek munkavállalói mobilitásának megkönnyítéséhez, a </w:t>
            </w:r>
            <w:r>
              <w:rPr>
                <w:b/>
                <w:i/>
              </w:rPr>
              <w:t>munkaügyi</w:t>
            </w:r>
            <w:r>
              <w:t xml:space="preserve"> normák</w:t>
            </w:r>
            <w:r>
              <w:rPr>
                <w:b/>
                <w:i/>
              </w:rPr>
              <w:t>, a kollektív szerződések, a társadalombiztosítási jogok és valamennyi munkavállaló egyenlő bánásmódjának védelme</w:t>
            </w:r>
            <w:r>
              <w:t xml:space="preserve"> mellett;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E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mivel a szükségtelen adminisztratív akadályok, a széttagolt elismerési eljárások és a nemzeti rendszerek közötti elégtelen interoperabilitás továbbra is akadályozzák a munkavállalók, különösen a szakképzési szakemberek szabad mozgását; mivel a tagállamok és a regionális keretek közötti megerősített együttműködés hozzájárulhat a kölcsönös bizalom kiépítéséhez, az elismerési eljárások korszerűsítéséhez és a szakképzési szakemberek munkavállalói mobilitásának megkönnyítéséhez, a magas szintű normák fenntartása mellett;</w:t>
            </w:r>
          </w:p>
        </w:tc>
        <w:tc>
          <w:tcPr>
            <w:tcW w:w="4876" w:type="dxa"/>
            <w:tcBorders>
              <w:top w:val="nil"/>
              <w:left w:val="nil"/>
              <w:bottom w:val="nil"/>
              <w:right w:val="nil"/>
            </w:tcBorders>
          </w:tcPr>
          <w:p>
            <w:pPr>
              <w:pStyle w:val="Normal6a"/>
            </w:pPr>
            <w:r>
              <w:t>E.</w:t>
            </w:r>
            <w:r>
              <w:tab/>
            </w:r>
            <w:r>
              <w:t xml:space="preserve">mivel a szükségtelen adminisztratív akadályok, a széttagolt elismerési eljárások és a nemzeti rendszerek közötti elégtelen interoperabilitás továbbra is akadályozzák a munkavállalók, különösen a </w:t>
            </w:r>
            <w:r>
              <w:rPr>
                <w:b/>
                <w:i/>
              </w:rPr>
              <w:t>képzett</w:t>
            </w:r>
            <w:r>
              <w:t xml:space="preserve"> szakképzési szakemberek szabad mozgását; mivel a tagállamok és a regionális keretek közötti megerősített együttműködés hozzájárulhat a kölcsönös bizalom kiépítéséhez, az elismerési eljárások korszerűsítéséhez és a szakképzési szakemberek munkavállalói mobilitásának megkönnyítéséhez, a magas szintű normák fenntartása mellett;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E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mivel az építőipar tartós munkaerő- és szakemberhiánnyal néz szembe, amit tovább súlyosbít a munkaerő elöregedése, a fiatalok számára alacsony vonzerő, valamint a zöld és digitális kompetenciák iránti növekvő kereslet;</w:t>
            </w:r>
            <w:r>
              <w:t xml:space="preserve"> </w:t>
            </w:r>
            <w:r>
              <w:rPr>
                <w:b/>
                <w:i/>
              </w:rPr>
              <w:t>mivel számos uniós szintű kezdeményezés – többek között az építőiparral foglalkozó nagyszabású készségfejlesztési partnerség, az építőipari készségfejlesztési terv, a készségfejlesztési paktum, az Új Európai Bauhaus Akadémia és az európai lakásépítési stratégia – törekedett e kihívások kezelésére, de továbbra is jelentős készséghiányok állnak fenn, amelyek korlátozzák az ágazat azon képességét, hogy megfizethető, fenntartható és magas színvonalú lakhatást biztosítson;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E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mivel a tanulószerződéses gyakorlati képzésen alapuló és a duális szakképzési rendszerek, amelyek ötvözik az iskolai alapú tanulást a vállalkozásoknál folyó érdemi munkaalapú képzéssel, hatékonynak bizonyultak az oktatásból a foglalkoztatásba való átmenet támogatásában;</w:t>
            </w:r>
            <w:r>
              <w:t xml:space="preserve"> </w:t>
            </w:r>
            <w:r>
              <w:rPr>
                <w:b/>
                <w:i/>
              </w:rPr>
              <w:t>mivel a jól bevált duális szakképzési rendszerekkel rendelkező tagállamok gyakran viszonylag kedvező ifjúsági munkaerőpiaci eredményeket regisztráltak, és értékes példákkal szolgálhatnak a készségek uniójának megerősítését célzó bevált gyakorlatokra;</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Cedefop (2021).</w:t>
            </w:r>
            <w:r>
              <w:t xml:space="preserve"> </w:t>
            </w:r>
            <w:r>
              <w:rPr>
                <w:b/>
                <w:i/>
              </w:rPr>
              <w:t>A munkaalapú tanulás szerepe a szakképzésben és a felsőoktatásban:</w:t>
            </w:r>
            <w:r>
              <w:t xml:space="preserve"> </w:t>
            </w:r>
            <w:r>
              <w:rPr>
                <w:b/>
                <w:i/>
              </w:rPr>
              <w:t>a 2016. évi uniós munkaerő-felmérésből származó adatok.</w:t>
            </w:r>
            <w:r>
              <w:t xml:space="preserve"> </w:t>
            </w:r>
            <w:r>
              <w:rPr>
                <w:b/>
                <w:i/>
              </w:rPr>
              <w:t>Luxemburg:</w:t>
            </w:r>
            <w:r>
              <w:t xml:space="preserve"> </w:t>
            </w:r>
            <w:r>
              <w:rPr>
                <w:b/>
                <w:i/>
              </w:rPr>
              <w:t>az Európai Unió Kiadóhivatala.</w:t>
            </w:r>
            <w:r>
              <w:t xml:space="preserve"> </w:t>
            </w:r>
            <w:r>
              <w:rPr>
                <w:b/>
                <w:i/>
              </w:rPr>
              <w:t>Cedefop-tanulmány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E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mivel a bolognai folyamat összehasonlíthatóvá tette a felsőoktatási képesítésekre vonatkozó normákat és átláthatósági mechanizmusokat;</w:t>
            </w:r>
            <w:r>
              <w:t xml:space="preserve"> </w:t>
            </w:r>
            <w:r>
              <w:rPr>
                <w:b/>
                <w:i/>
              </w:rPr>
              <w:t>mivel a koppenhágai folyamat célja az átláthatóság növelése, a minőségbiztosítás javítása, a mobilitás megkönnyítése és a szakképzésbe vetett kölcsönös bizalom előmozdítása volt a tagállamokban, de a nemzeti szakképzési rendszerek sokfélesége és a szakképzésnek a nemzeti munkaerőpiaci és ipari intézményekbe való erőteljes beágyazottsága miatt csak korlátozott konvergenciát ért 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E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mivel a szakképzés megszervezése, irányítása és finanszírozása továbbra is elsősorban a tagállamok hatáskörébe tartozik, és teljes mértékben tiszteletben kell tartania a szubszidiaritás elvét;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E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mivel a szakképzésről időnként negatív kép alakult ki a kedvezőtlen tanulási környezet érzékelése miatt, ami eltántoríthatja a diákokat és a családokat attól, hogy ezt válasszák;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E b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mivel az EU messze elmarad a tanulásban részt vevő felnőttekre vonatkozó 2030-as céljától, ami akadályozza az olyannyira szükséges továbbképzést és átképzést;</w:t>
            </w:r>
            <w:r>
              <w:t xml:space="preserve"> </w:t>
            </w:r>
            <w:r>
              <w:rPr>
                <w:b/>
                <w:i/>
              </w:rPr>
              <w:t>mivel a munkavállalók számára még mindig nehéz lehet a képzéshez való hozzáférés a munkavégzési kötelezettségek és a képzés költségei miatt;</w:t>
            </w:r>
            <w:r>
              <w:t xml:space="preserve"> </w:t>
            </w:r>
            <w:r>
              <w:rPr>
                <w:b/>
                <w:i/>
              </w:rPr>
              <w:t>mivel a képzésben való részvétel és a tanuláshoz való jogosultságok felhasználása továbbra is jelentősen alacsonyabb a szakképzésben részt vevő munkavállalók körében, mint a felsőfokú végzettséggel rendelkező munkavállalók körében, ezáltal erősítve a készségek terén meglévő egyenlőtlenségeket;</w:t>
            </w:r>
            <w:r>
              <w:t xml:space="preserve"> </w:t>
            </w:r>
            <w:r>
              <w:rPr>
                <w:b/>
                <w:i/>
              </w:rPr>
              <w:t>mivel a készségek iránti kereslet és a képzési kínálat nem mindig igazodik kellőképpen egymáshoz, és a tanulási lehetőségek még mindig túl gyakran elszakadnak a munkahelytől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E b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mivel a szakképzést még mindig nem ismerik el nemcsak oktatási pályaként, hanem kritikus gazdasági és társadalmi infrastruktúraként is, amely képes:</w:t>
            </w:r>
            <w:r>
              <w:t xml:space="preserve"> </w:t>
            </w:r>
            <w:r>
              <w:rPr>
                <w:b/>
                <w:i/>
              </w:rPr>
              <w:t>a technológiai változások végrehajtására és a humán fejlődés előmozdítására képes, képzett munkaerő megfelelő felkészítésére;</w:t>
            </w:r>
            <w:r>
              <w:t xml:space="preserve"> </w:t>
            </w:r>
            <w:r>
              <w:rPr>
                <w:b/>
                <w:i/>
              </w:rPr>
              <w:t>az innováció bevezetésére a társadalmi-gazdasági ágazatok széles körében;</w:t>
            </w:r>
            <w:r>
              <w:t xml:space="preserve"> </w:t>
            </w:r>
            <w:r>
              <w:rPr>
                <w:b/>
                <w:i/>
              </w:rPr>
              <w:t>a szakemberhiány enyhítésére modern, munkaalapú tanulás, felnőttoktatási pályák és egész életen át tartó tanulás révén;</w:t>
            </w:r>
            <w:r>
              <w:t xml:space="preserve"> </w:t>
            </w:r>
            <w:r>
              <w:rPr>
                <w:b/>
                <w:i/>
              </w:rPr>
              <w:t>szakemberek továbbképzésére és átképzésére;</w:t>
            </w:r>
            <w:r>
              <w:t xml:space="preserve"> </w:t>
            </w:r>
            <w:r>
              <w:rPr>
                <w:b/>
                <w:i/>
              </w:rPr>
              <w:t>a demokrácia, a polgárság és a befogadás előmozdítására;</w:t>
            </w:r>
            <w:r>
              <w:t xml:space="preserve"> </w:t>
            </w:r>
            <w:r>
              <w:rPr>
                <w:b/>
                <w:i/>
              </w:rPr>
              <w:t>a reziliens ipari ökoszisztémák előmozdítására Európa-szerte.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E b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mivel a kkv-k Unió-szerte központi szerepet játszanak a tanulószerződéses gyakorlati képzésen alapuló szakképzésben;</w:t>
            </w:r>
            <w:r>
              <w:t xml:space="preserve"> </w:t>
            </w:r>
            <w:r>
              <w:rPr>
                <w:b/>
                <w:i/>
              </w:rPr>
              <w:t>mivel a határokon átnyúló mobilitási programokban való részvételüket adminisztratív és szervezési kihívások korlátozhatják, különösen ott, ahol a tanulószerződéses tanulók ideiglenes hiánya további nyomást gyakorol a kisvállalkozásokra;</w:t>
            </w:r>
            <w:r>
              <w:t xml:space="preserve"> </w:t>
            </w:r>
            <w:r>
              <w:rPr>
                <w:b/>
                <w:i/>
              </w:rPr>
              <w:t>mivel a célzott támogatás és az egyszerűsített eljárások segíthetnek növelni a szakképzésben tanulók mobilitási lehetőségekben való részvételét;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E c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mivel az európai gazdasági jólét szempontjából létfontosságú, hogy virágzó, szakmailag képzett lakossággal rendelkezzünk;</w:t>
            </w:r>
            <w:r>
              <w:t xml:space="preserve"> </w:t>
            </w:r>
            <w:r>
              <w:rPr>
                <w:b/>
                <w:i/>
              </w:rPr>
              <w:t>mivel az egyéni mobilitás és a tanulószerződéses tanulók mobilitása a minőségi európai szakképzés, valamint a személyes fejlődés, a készségfejlesztés és az aktív polgári szerepvállalás előmozdításának kulcsfontosságú mozgatórugói;</w:t>
            </w:r>
            <w:r>
              <w:t xml:space="preserve"> </w:t>
            </w:r>
            <w:r>
              <w:rPr>
                <w:b/>
                <w:i/>
              </w:rPr>
              <w:t>mivel a mobilitásban való részvételi arány a szakképzésben részt vevő tanulók esetében továbbra is alacsonyabb, mint a felsőoktatási hallgatók esetében;</w:t>
            </w:r>
            <w:r>
              <w:t xml:space="preserve"> </w:t>
            </w:r>
            <w:r>
              <w:rPr>
                <w:b/>
                <w:i/>
              </w:rPr>
              <w:t>mivel az akadályok közé tartoznak a kezdeti költségek, az elégtelen pénzügyi támogatás, a nyelvi akadályok, a külföldön szerzett tanulási eredmények elismerésének nehézségei, valamint a tanulószerződéses tanulók mobilitásához nyújtott korlátozott munkáltatói támogatás;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E c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mivel a Draghi-jelentés és a versenyképességi iránytű hangsúlyozza a készségek, a termelékenység és az ipari versenyképesség fontosságát az európai gazdaság jövője szempontjából;</w:t>
            </w:r>
            <w:r>
              <w:t xml:space="preserve"> </w:t>
            </w:r>
            <w:r>
              <w:rPr>
                <w:b/>
                <w:i/>
              </w:rPr>
              <w:t>mivel a magas színvonalú szakképzési rendszerek kulcsszerepet játszanak az Európa ipari és technológiai átalakulásához szükséges szakképzett munkaerő rendelkezésre állásának biztosításában;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kiemeli a szakképzés fontosságát az EU gazdasági jóléte és versenyképessége szempontjából; hangsúlyozza a szakképzés előmozdításának és valorizálásának fontosságát annak érdekében, hogy az a foglalkoztatáshoz vezető minőségi útvonalként vonzóbbá váljon; felhívja a Bizottságot annak biztosítására, hogy a készülő szakképzési stratégia foglalkozzon a szakképzési tantervek minőségével és relevanciájával, valamint a szakképzési programoknak a tanulók, a munkáltatók és a szélesebb nyilvánosság körében történő jobb népszerűsítésével;</w:t>
            </w:r>
          </w:p>
        </w:tc>
        <w:tc>
          <w:tcPr>
            <w:tcW w:w="4876" w:type="dxa"/>
            <w:tcBorders>
              <w:top w:val="nil"/>
              <w:left w:val="nil"/>
              <w:bottom w:val="nil"/>
              <w:right w:val="nil"/>
            </w:tcBorders>
          </w:tcPr>
          <w:p>
            <w:pPr>
              <w:pStyle w:val="Normal6a"/>
            </w:pPr>
            <w:r>
              <w:t>1.</w:t>
            </w:r>
            <w:r>
              <w:tab/>
            </w:r>
            <w:r>
              <w:t xml:space="preserve">kiemeli a szakképzés fontosságát az EU gazdasági jóléte és versenyképessége szempontjából; hangsúlyozza a szakképzés előmozdításának és valorizálásának fontosságát annak érdekében, hogy az a foglalkoztatáshoz vezető minőségi útvonalként vonzóbbá váljon; felhívja a Bizottságot annak biztosítására, hogy a készülő szakképzési stratégia foglalkozzon a szakképzési tantervek minőségével és relevanciájával, valamint a szakképzési programoknak a tanulók, a munkáltatók és a szélesebb nyilvánosság körében történő jobb népszerűsítésével; </w:t>
            </w:r>
            <w:r>
              <w:rPr>
                <w:b/>
                <w:i/>
              </w:rPr>
              <w:t>hangsúlyozza, hogy a szakképzés megerősítése hozzájárul ahhoz a célkitűzéshez, hogy mindenki hozzáférjen a tehetségének, kompetenciáinak és erőfeszítéseinek megfelelő foglalkoztatáshoz, miközben Unió-szerte támogatja a társadalmi mobilitást, a munkaerőpiaci befogadást és a gazdasági rezilienciát;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kiemeli a szakképzés fontosságát az EU gazdasági jóléte és versenyképessége szempontjából; hangsúlyozza a szakképzés előmozdításának és valorizálásának fontosságát annak érdekében, hogy az a foglalkoztatáshoz vezető minőségi útvonalként vonzóbbá váljon; felhívja a Bizottságot annak biztosítására, hogy a készülő szakképzési stratégia foglalkozzon a szakképzési tantervek minőségével és relevanciájával, valamint a szakképzési programoknak a tanulók, a munkáltatók és a szélesebb nyilvánosság körében történő jobb népszerűsítésével;</w:t>
            </w:r>
          </w:p>
        </w:tc>
        <w:tc>
          <w:tcPr>
            <w:tcW w:w="4876" w:type="dxa"/>
            <w:tcBorders>
              <w:top w:val="nil"/>
              <w:left w:val="nil"/>
              <w:bottom w:val="nil"/>
              <w:right w:val="nil"/>
            </w:tcBorders>
          </w:tcPr>
          <w:p>
            <w:pPr>
              <w:pStyle w:val="Normal6a"/>
            </w:pPr>
            <w:r>
              <w:t>1.</w:t>
            </w:r>
            <w:r>
              <w:tab/>
            </w:r>
            <w:r>
              <w:t xml:space="preserve">kiemeli a szakképzés fontosságát az EU gazdasági jóléte és versenyképessége szempontjából; hangsúlyozza a szakképzés előmozdításának és valorizálásának fontosságát annak érdekében, hogy az a foglalkoztatáshoz vezető minőségi útvonalként vonzóbbá váljon; felhívja a Bizottságot annak biztosítására, hogy a készülő szakképzési stratégia foglalkozzon a szakképzési tantervek minőségével és relevanciájával, valamint a szakképzési programoknak a tanulók, a munkáltatók és a szélesebb nyilvánosság körében történő jobb népszerűsítésével; </w:t>
            </w:r>
            <w:r>
              <w:rPr>
                <w:b/>
                <w:i/>
              </w:rPr>
              <w:t>hangsúlyozza, hogy a szakképzés vonzerejének növeléséhez nemcsak figyelemfelkeltő kampányokra van szükség, hanem a minőségi foglalkoztatásba, a méltányos bérekbe, az erős munkavédelembe és a szakképesítést igénylő szakmákban való szakmai előmeneteli lehetőségekbe való beruházásra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kiemeli a szakképzés fontosságát az EU gazdasági jóléte és versenyképessége szempontjából; hangsúlyozza a szakképzés előmozdításának és valorizálásának fontosságát annak érdekében, hogy az a foglalkoztatáshoz vezető minőségi útvonalként vonzóbbá váljon; felhívja a Bizottságot annak biztosítására, hogy a készülő szakképzési stratégia foglalkozzon a szakképzési tantervek minőségével és relevanciájával, valamint a szakképzési programoknak a tanulók, a munkáltatók és a szélesebb nyilvánosság körében történő jobb népszerűsítésével;</w:t>
            </w:r>
          </w:p>
        </w:tc>
        <w:tc>
          <w:tcPr>
            <w:tcW w:w="4876" w:type="dxa"/>
            <w:tcBorders>
              <w:top w:val="nil"/>
              <w:left w:val="nil"/>
              <w:bottom w:val="nil"/>
              <w:right w:val="nil"/>
            </w:tcBorders>
          </w:tcPr>
          <w:p>
            <w:pPr>
              <w:pStyle w:val="Normal6a"/>
            </w:pPr>
            <w:r>
              <w:t>1.</w:t>
            </w:r>
            <w:r>
              <w:tab/>
            </w:r>
            <w:r>
              <w:t>kiemeli a szakképzés fontosságát az EU gazdasági jóléte és versenyképessége szempontjából; hangsúlyozza a szakképzés előmozdításának és valorizálásának fontosságát annak érdekében, hogy az a foglalkoztatáshoz vezető minőségi útvonalként vonzóbbá váljon; felhívja a Bizottságot annak biztosítására, hogy a készülő szakképzési stratégia foglalkozzon a szakképzési tantervek minőségével és relevanciájával, valamint a szakképzési programoknak a tanulók, a munkáltatók és a szélesebb nyilvánosság körében történő jobb népszerűsítésével</w:t>
            </w:r>
            <w:r>
              <w:rPr>
                <w:b/>
                <w:i/>
              </w:rPr>
              <w:t>, biztosítva ugyanakkor a kevesebb lehetőséggel rendelkező tanulók egyenlő hozzáférését, és kezelve a nemhez, a fogyatékossághoz, a migrációs háttérhez, a földrajzi helyzethez és a társadalmi-gazdasági státuszhoz kapcsolódó akadályokat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kiemeli a szakképzés fontosságát az EU gazdasági jóléte és versenyképessége szempontjából; hangsúlyozza a szakképzés előmozdításának és valorizálásának fontosságát annak érdekében, hogy az a foglalkoztatáshoz vezető minőségi útvonalként vonzóbbá váljon; felhívja a Bizottságot annak biztosítására, hogy a készülő szakképzési stratégia foglalkozzon a szakképzési tantervek minőségével és relevanciájával, valamint a szakképzési programoknak a tanulók, a munkáltatók és a szélesebb nyilvánosság körében történő jobb népszerűsítésével;</w:t>
            </w:r>
          </w:p>
        </w:tc>
        <w:tc>
          <w:tcPr>
            <w:tcW w:w="4876" w:type="dxa"/>
            <w:tcBorders>
              <w:top w:val="nil"/>
              <w:left w:val="nil"/>
              <w:bottom w:val="nil"/>
              <w:right w:val="nil"/>
            </w:tcBorders>
          </w:tcPr>
          <w:p>
            <w:pPr>
              <w:pStyle w:val="Normal6a"/>
            </w:pPr>
            <w:r>
              <w:t>1.</w:t>
            </w:r>
            <w:r>
              <w:tab/>
            </w:r>
            <w:r>
              <w:t>kiemeli a szakképzés fontosságát az EU gazdasági jóléte és versenyképessége szempontjából; hangsúlyozza a szakképzés előmozdításának és valorizálásának fontosságát annak érdekében, hogy az a foglalkoztatáshoz vezető minőségi útvonalként vonzóbbá váljon; felhívja a Bizottságot annak biztosítására, hogy a készülő szakképzési stratégia foglalkozzon a szakképzési tantervek minőségével és relevanciájával, valamint a szakképzési programoknak a tanulók, a munkáltatók és a szélesebb nyilvánosság körében történő jobb népszerűsítésével</w:t>
            </w:r>
            <w:r>
              <w:rPr>
                <w:b/>
                <w:i/>
              </w:rPr>
              <w:t>, többek között olyan magas színvonalú oktatási és pályaorientációs intézkedések révén, amelyek felhívják a figyelmet a szakképzési pályákra, valamint foglalkoztatási és előmeneteli lehetőségeikre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kiemeli a szakképzés fontosságát az EU gazdasági jóléte és versenyképessége szempontjából; hangsúlyozza a szakképzés előmozdításának és valorizálásának fontosságát annak érdekében, hogy az a foglalkoztatáshoz vezető minőségi útvonalként vonzóbbá váljon; felhívja a Bizottságot annak biztosítására, hogy a készülő szakképzési stratégia foglalkozzon a szakképzési tantervek minőségével és relevanciájával, valamint a szakképzési programoknak a tanulók, a munkáltatók és a szélesebb nyilvánosság körében történő jobb népszerűsítésével;</w:t>
            </w:r>
          </w:p>
        </w:tc>
        <w:tc>
          <w:tcPr>
            <w:tcW w:w="4876" w:type="dxa"/>
            <w:tcBorders>
              <w:top w:val="nil"/>
              <w:left w:val="nil"/>
              <w:bottom w:val="nil"/>
              <w:right w:val="nil"/>
            </w:tcBorders>
          </w:tcPr>
          <w:p>
            <w:pPr>
              <w:pStyle w:val="Normal6a"/>
            </w:pPr>
            <w:r>
              <w:t>1.</w:t>
            </w:r>
            <w:r>
              <w:tab/>
            </w:r>
            <w:r>
              <w:t>kiemeli a szakképzés fontosságát az EU gazdasági jóléte és versenyképessége</w:t>
            </w:r>
            <w:r>
              <w:rPr>
                <w:b/>
                <w:i/>
              </w:rPr>
              <w:t>, ipari szuverenitása, stratégiai rezilienciája és humán fejlődése</w:t>
            </w:r>
            <w:r>
              <w:t xml:space="preserve"> szempontjából; hangsúlyozza a szakképzés előmozdításának és valorizálásának fontosságát annak érdekében, hogy az a foglalkoztatáshoz vezető minőségi útvonalként vonzóbbá váljon; felhívja a Bizottságot annak biztosítására, hogy a készülő szakképzési stratégia foglalkozzon a szakképzési tantervek minőségével és relevanciájával, valamint a szakképzési programoknak a tanulók, a munkáltatók és a szélesebb nyilvánosság körében történő jobb népszerűsítésével;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kiemeli a szakképzés fontosságát az EU gazdasági jóléte és versenyképessége szempontjából; hangsúlyozza a szakképzés előmozdításának és valorizálásának fontosságát annak érdekében, hogy az a foglalkoztatáshoz vezető minőségi útvonalként vonzóbbá váljon; felhívja a Bizottságot annak biztosítására, hogy a készülő szakképzési stratégia foglalkozzon a szakképzési tantervek minőségével és relevanciájával, valamint a szakképzési programoknak a tanulók, a munkáltatók és a szélesebb nyilvánosság körében történő jobb népszerűsítésével;</w:t>
            </w:r>
          </w:p>
        </w:tc>
        <w:tc>
          <w:tcPr>
            <w:tcW w:w="4876" w:type="dxa"/>
            <w:tcBorders>
              <w:top w:val="nil"/>
              <w:left w:val="nil"/>
              <w:bottom w:val="nil"/>
              <w:right w:val="nil"/>
            </w:tcBorders>
          </w:tcPr>
          <w:p>
            <w:pPr>
              <w:pStyle w:val="Normal6a"/>
            </w:pPr>
            <w:r>
              <w:t>1.</w:t>
            </w:r>
            <w:r>
              <w:tab/>
            </w:r>
            <w:r>
              <w:t xml:space="preserve">kiemeli a szakképzés fontosságát az EU </w:t>
            </w:r>
            <w:r>
              <w:rPr>
                <w:b/>
                <w:i/>
              </w:rPr>
              <w:t>szociális és</w:t>
            </w:r>
            <w:r>
              <w:t xml:space="preserve"> gazdasági jóléte és versenyképessége szempontjából; hangsúlyozza a szakképzés előmozdításának és valorizálásának fontosságát annak érdekében, hogy az a foglalkoztatáshoz </w:t>
            </w:r>
            <w:r>
              <w:rPr>
                <w:b/>
                <w:i/>
              </w:rPr>
              <w:t>és a minőségi munkahelyekhez</w:t>
            </w:r>
            <w:r>
              <w:t xml:space="preserve"> vezető minőségi útvonalként vonzóbbá váljon; felhívja a Bizottságot annak biztosítására, hogy a készülő szakképzési stratégia foglalkozzon a szakképzési tantervek minőségével és relevanciájával, valamint a szakképzési programoknak a tanulók, a munkáltatók és a szélesebb nyilvánosság körében történő jobb népszerűsítésével;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kiemeli a szakképzés fontosságát az EU gazdasági jóléte és versenyképessége szempontjából; hangsúlyozza a szakképzés előmozdításának és valorizálásának fontosságát annak érdekében, hogy az a foglalkoztatáshoz vezető minőségi útvonalként vonzóbbá váljon; felhívja a Bizottságot annak biztosítására, hogy a készülő szakképzési stratégia foglalkozzon a szakképzési tantervek minőségével és relevanciájával, valamint a szakképzési programoknak a tanulók, a munkáltatók és a szélesebb nyilvánosság körében történő jobb népszerűsítésével;</w:t>
            </w:r>
          </w:p>
        </w:tc>
        <w:tc>
          <w:tcPr>
            <w:tcW w:w="4876" w:type="dxa"/>
            <w:tcBorders>
              <w:top w:val="nil"/>
              <w:left w:val="nil"/>
              <w:bottom w:val="nil"/>
              <w:right w:val="nil"/>
            </w:tcBorders>
          </w:tcPr>
          <w:p>
            <w:pPr>
              <w:pStyle w:val="Normal6a"/>
            </w:pPr>
            <w:r>
              <w:t>1.</w:t>
            </w:r>
            <w:r>
              <w:tab/>
            </w:r>
            <w:r>
              <w:t xml:space="preserve">kiemeli a szakképzés fontosságát az EU gazdasági jóléte és versenyképessége szempontjából; hangsúlyozza a szakképzés előmozdításának és valorizálásának fontosságát annak érdekében, hogy az </w:t>
            </w:r>
            <w:r>
              <w:rPr>
                <w:b/>
                <w:i/>
              </w:rPr>
              <w:t>az oktatáshoz és</w:t>
            </w:r>
            <w:r>
              <w:t xml:space="preserve"> a foglalkoztatáshoz vezető minőségi útvonalként vonzóbbá váljon; felhívja a Bizottságot annak biztosítására, hogy a készülő szakképzési stratégia foglalkozzon a szakképzési tantervek minőségével és relevanciájával, valamint a szakképzési programoknak a tanulók, a munkáltatók és a szélesebb nyilvánosság körében történő jobb népszerűsítésével;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kiemeli a szakképzés fontosságát az EU gazdasági jóléte és versenyképessége szempontjából; hangsúlyozza a szakképzés előmozdításának és valorizálásának fontosságát annak érdekében, hogy az a foglalkoztatáshoz vezető minőségi útvonalként vonzóbbá váljon; felhívja a Bizottságot annak biztosítására, hogy a készülő szakképzési stratégia foglalkozzon a szakképzési tantervek minőségével és relevanciájával, valamint a szakképzési programoknak a tanulók, a munkáltatók és a szélesebb nyilvánosság körében történő jobb népszerűsítésével;</w:t>
            </w:r>
          </w:p>
        </w:tc>
        <w:tc>
          <w:tcPr>
            <w:tcW w:w="4876" w:type="dxa"/>
            <w:tcBorders>
              <w:top w:val="nil"/>
              <w:left w:val="nil"/>
              <w:bottom w:val="nil"/>
              <w:right w:val="nil"/>
            </w:tcBorders>
          </w:tcPr>
          <w:p>
            <w:pPr>
              <w:pStyle w:val="Normal6a"/>
            </w:pPr>
            <w:r>
              <w:t>1.</w:t>
            </w:r>
            <w:r>
              <w:tab/>
            </w:r>
            <w:r>
              <w:t xml:space="preserve">kiemeli a szakképzés fontosságát az EU gazdasági jóléte és versenyképessége szempontjából; hangsúlyozza a szakképzés előmozdításának és valorizálásának fontosságát annak érdekében, hogy az a foglalkoztatáshoz vezető </w:t>
            </w:r>
            <w:r>
              <w:rPr>
                <w:b/>
                <w:i/>
              </w:rPr>
              <w:t>inkluzív</w:t>
            </w:r>
            <w:r>
              <w:t xml:space="preserve"> minőségi útvonalként vonzóbbá váljon; felhívja a Bizottságot annak biztosítására, hogy a készülő szakképzési stratégia foglalkozzon a szakképzési tantervek minőségével és relevanciájával, valamint a szakképzési programoknak a tanulók, a munkáltatók és a szélesebb nyilvánosság körében történő jobb népszerűsítésével;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üdvözli az Európai Parlament azon döntését, hogy számos Schuman gyakornoki helyet nyit meg a szakoktatási és szakképzési képesítéssel rendelkező jelöltek előtt, hozzájárulva ezáltal a szakképesítést igénylő pályák láthatóságához és elismeréséhez;</w:t>
            </w:r>
            <w:r>
              <w:t xml:space="preserve"> </w:t>
            </w:r>
            <w:r>
              <w:rPr>
                <w:b/>
                <w:i/>
              </w:rPr>
              <w:t>ösztönzi az uniós intézményeket, hogy gyakornoki és munkaerő-felvételi politikáikban továbbra is mozdítsák elő az esélyegyenlőséget a szakképzési és tudományos pályákról érkező jelöltek számára;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hangsúlyozza, hogy a formális szakképzési szolgáltatóknak és az alapkészségekre összpontosító, meglévő képesítéseknek továbbra is a szakképzési stratégiák és szolgáltatások alapját kell képezniük, míg a moduláris, feladatspecifikus és digitális tanulási programok és tanúsítványok fontos kiegészítő szerepet játszhatnak, feltéve, hogy megfelelnek a vonatkozó és átadható minőségbiztosítási kritériumoknak;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ösztönözze a tagállamokat, hogy biztosítsanak jó munkakörülményeket az önálló vállalkozók számára annak érdekében, hogy a szakképesítést igénylő szakmák biztonságos keretek között végezhessék tevékenységüket;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hangsúlyozza, hogy a szakképzést olyan eszköznek kell tekinteni, amely egyszerre képes támogatni a diákok és a munkavállalók személyes fejlődését és kezelni a munkaerőpiaci hiányokat, hozzájárulva ezáltal az EU versenyképességéhez és támogatva az innovációt </w:t>
            </w:r>
            <w:r>
              <w:rPr>
                <w:b/>
                <w:i/>
              </w:rPr>
              <w:t>a stratégiai ágazatokban</w:t>
            </w:r>
            <w:r>
              <w:t>;</w:t>
            </w:r>
          </w:p>
        </w:tc>
        <w:tc>
          <w:tcPr>
            <w:tcW w:w="4876" w:type="dxa"/>
            <w:tcBorders>
              <w:top w:val="nil"/>
              <w:left w:val="nil"/>
              <w:bottom w:val="nil"/>
              <w:right w:val="nil"/>
            </w:tcBorders>
          </w:tcPr>
          <w:p>
            <w:pPr>
              <w:pStyle w:val="Normal6a"/>
            </w:pPr>
            <w:r>
              <w:t>2.</w:t>
            </w:r>
            <w:r>
              <w:tab/>
            </w:r>
            <w:r>
              <w:t xml:space="preserve">hangsúlyozza, hogy a szakképzést olyan eszköznek kell tekinteni, amely egyszerre képes támogatni a diákok és a munkavállalók személyes fejlődését és kezelni a munkaerőpiaci hiányokat, hozzájárulva ezáltal az EU </w:t>
            </w:r>
            <w:r>
              <w:rPr>
                <w:b/>
                <w:i/>
              </w:rPr>
              <w:t>fenntartható</w:t>
            </w:r>
            <w:r>
              <w:t xml:space="preserve"> versenyképességéhez </w:t>
            </w:r>
            <w:r>
              <w:rPr>
                <w:b/>
                <w:i/>
              </w:rPr>
              <w:t>és jólétéhez,</w:t>
            </w:r>
            <w:r>
              <w:t xml:space="preserve"> és támogatva az innovációt;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hangsúlyozza, hogy a szakképzést olyan eszköznek kell tekinteni, amely egyszerre képes támogatni a diákok és a munkavállalók személyes fejlődését és kezelni a munkaerőpiaci hiányokat, hozzájárulva ezáltal az EU versenyképességéhez és támogatva az innovációt </w:t>
            </w:r>
            <w:r>
              <w:rPr>
                <w:b/>
                <w:i/>
              </w:rPr>
              <w:t>a stratégiai ágazatokban</w:t>
            </w:r>
            <w:r>
              <w:t>;</w:t>
            </w:r>
          </w:p>
        </w:tc>
        <w:tc>
          <w:tcPr>
            <w:tcW w:w="4876" w:type="dxa"/>
            <w:tcBorders>
              <w:top w:val="nil"/>
              <w:left w:val="nil"/>
              <w:bottom w:val="nil"/>
              <w:right w:val="nil"/>
            </w:tcBorders>
          </w:tcPr>
          <w:p>
            <w:pPr>
              <w:pStyle w:val="Normal6a"/>
            </w:pPr>
            <w:r>
              <w:t>2.</w:t>
            </w:r>
            <w:r>
              <w:tab/>
            </w:r>
            <w:r>
              <w:t xml:space="preserve">hangsúlyozza, hogy a szakképzést olyan eszköznek kell tekinteni, amely egyszerre képes támogatni a diákok és a munkavállalók személyes fejlődését és kezelni a munkaerőpiaci hiányokat, hozzájárulva ezáltal az EU versenyképességéhez és támogatva az innovációt </w:t>
            </w:r>
            <w:r>
              <w:rPr>
                <w:b/>
                <w:i/>
              </w:rPr>
              <w:t>valamennyi ágazatban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hangsúlyozza, hogy a szakképzést olyan eszköznek kell tekinteni, amely egyszerre képes támogatni a diákok és a munkavállalók személyes fejlődését és kezelni a munkaerőpiaci hiányokat, hozzájárulva ezáltal az EU versenyképességéhez </w:t>
            </w:r>
            <w:r>
              <w:rPr>
                <w:b/>
                <w:i/>
              </w:rPr>
              <w:t>és</w:t>
            </w:r>
            <w:r>
              <w:t xml:space="preserve"> támogatva az innovációt a stratégiai ágazatokban;</w:t>
            </w:r>
          </w:p>
        </w:tc>
        <w:tc>
          <w:tcPr>
            <w:tcW w:w="4876" w:type="dxa"/>
            <w:tcBorders>
              <w:top w:val="nil"/>
              <w:left w:val="nil"/>
              <w:bottom w:val="nil"/>
              <w:right w:val="nil"/>
            </w:tcBorders>
          </w:tcPr>
          <w:p>
            <w:pPr>
              <w:pStyle w:val="Normal6a"/>
            </w:pPr>
            <w:r>
              <w:t>2.</w:t>
            </w:r>
            <w:r>
              <w:tab/>
            </w:r>
            <w:r>
              <w:t>hangsúlyozza, hogy a szakképzést olyan eszköznek kell tekinteni, amely egyszerre képes támogatni a diákok és a munkavállalók személyes fejlődését és kezelni a munkaerőpiaci hiányokat, hozzájárulva ezáltal az EU versenyképességéhez</w:t>
            </w:r>
            <w:r>
              <w:rPr>
                <w:b/>
                <w:i/>
              </w:rPr>
              <w:t>,</w:t>
            </w:r>
            <w:r>
              <w:t xml:space="preserve"> támogatva az innovációt a stratégiai ágazatokban</w:t>
            </w:r>
            <w:r>
              <w:rPr>
                <w:b/>
                <w:i/>
              </w:rPr>
              <w:t>, és előmozdítva a minőségi foglalkoztatást és a karrierfejlesztési lehetőségeket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hangsúlyozza, hogy egy olyan időszakban, amikor az európai társadalmak a polarizációval, a dezinformációval, a félretájékoztatással és a megváltozott biztonsági környezettel kapcsolatos összetett kihívásokkal néznek szembe, alapvető fontosságú, hogy minden diák és tanuló rendelkezzen a társadalom aktív tagjaként való szerepvállaláshoz és az információk kritikus elemzéséhez szükséges készségekkel és ismeretekkel;</w:t>
            </w:r>
            <w:r>
              <w:t xml:space="preserve"> </w:t>
            </w:r>
            <w:r>
              <w:rPr>
                <w:b/>
                <w:i/>
              </w:rPr>
              <w:t>ezért hangsúlyozza, hogy biztosítani kell, hogy a szakképzésben részt vevő diákok egyenlő esélyekkel rendelkezzenek a polgári részvétellel, a médiaműveltséggel és a kritikus gondolkodással kapcsolatos készségek és ismeretek megszerzésére, ugyanakkor hangsúlyozza az úgynevezett humán készségek fontosságát a szakképzésben;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hangsúlyozza, hogy a szakképzés csak akkor válhat vonzó pályává, ha minőségi munkahelyeket eredményez;</w:t>
            </w:r>
            <w:r>
              <w:t xml:space="preserve"> </w:t>
            </w:r>
            <w:r>
              <w:rPr>
                <w:b/>
                <w:i/>
              </w:rPr>
              <w:t>hangsúlyozza, hogy a méltányos bérek, a tisztességes munkakörülmények, a munkahelyek biztonsága és a szakmai előmeneteli lehetőségek elengedhetetlenek a munkavállalók vonzásához és megtartásához;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hangsúlyozza, hogy a társadalmi kohézió és befogadás </w:t>
            </w:r>
            <w:r>
              <w:rPr>
                <w:b/>
                <w:i/>
              </w:rPr>
              <w:t>biztosítása</w:t>
            </w:r>
            <w:r>
              <w:t xml:space="preserve"> érdekében biztosítani kell, hogy a szakképzésben részt vevő diákok és a szakképesítést szerzettek úgy érezzék, hogy képesítéseiket és szakmáikat a felsőoktatással egyenlően értékelik;</w:t>
            </w:r>
          </w:p>
        </w:tc>
        <w:tc>
          <w:tcPr>
            <w:tcW w:w="4876" w:type="dxa"/>
            <w:tcBorders>
              <w:top w:val="nil"/>
              <w:left w:val="nil"/>
              <w:bottom w:val="nil"/>
              <w:right w:val="nil"/>
            </w:tcBorders>
          </w:tcPr>
          <w:p>
            <w:pPr>
              <w:pStyle w:val="Normal6a"/>
            </w:pPr>
            <w:r>
              <w:t>3.</w:t>
            </w:r>
            <w:r>
              <w:tab/>
            </w:r>
            <w:r>
              <w:t xml:space="preserve">hangsúlyozza, hogy a társadalmi kohézió és befogadás </w:t>
            </w:r>
            <w:r>
              <w:rPr>
                <w:b/>
                <w:i/>
              </w:rPr>
              <w:t>előmozdítása</w:t>
            </w:r>
            <w:r>
              <w:t xml:space="preserve"> érdekében biztosítani kell, hogy a szakképzésben részt vevő diákok és a szakképesítést szerzettek úgy érezzék, hogy képesítéseiket és szakmáikat a felsőoktatással egyenlően értékelik; </w:t>
            </w:r>
            <w:r>
              <w:rPr>
                <w:b/>
                <w:i/>
              </w:rPr>
              <w:t>kiemeli, hogy egyre nagyobb az igény egy olyan új típusú munkaerő iránt, amely nemcsak használni képes a mesterségesintelligencia-eszközöket, hanem szakmai iránymutatást, felügyeletet is tud azoknak biztosítani, és együttműködést is képes azokkal folytatni;</w:t>
            </w:r>
            <w:r>
              <w:t xml:space="preserve"> </w:t>
            </w:r>
            <w:r>
              <w:rPr>
                <w:b/>
                <w:i/>
              </w:rPr>
              <w:t>hangsúlyozza, hogy a szakképzési tanterveknek fel kell vértezniük a tanulókat a mesterséges intelligencia előnyeinek maximalizálásához szükséges gyakorlati, technikai és digitális készségekkel, miközben fenntartják az emberi felelősséget, a kreativitást és a munkahelyi döntéshozatalt;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hangsúlyozza, hogy a társadalmi kohézió és befogadás biztosítása érdekében biztosítani kell, hogy a szakképzésben részt vevő diákok és a szakképesítést szerzettek úgy érezzék, hogy képesítéseiket és szakmáikat a felsőoktatással egyenlően értékelik;</w:t>
            </w:r>
          </w:p>
        </w:tc>
        <w:tc>
          <w:tcPr>
            <w:tcW w:w="4876" w:type="dxa"/>
            <w:tcBorders>
              <w:top w:val="nil"/>
              <w:left w:val="nil"/>
              <w:bottom w:val="nil"/>
              <w:right w:val="nil"/>
            </w:tcBorders>
          </w:tcPr>
          <w:p>
            <w:pPr>
              <w:pStyle w:val="Normal6a"/>
            </w:pPr>
            <w:r>
              <w:t>3.</w:t>
            </w:r>
            <w:r>
              <w:tab/>
            </w:r>
            <w:r>
              <w:t xml:space="preserve">hangsúlyozza, hogy a társadalmi kohézió és befogadás biztosítása érdekében biztosítani kell, hogy a szakképzésben részt vevő diákok és a szakképesítést szerzettek úgy érezzék, hogy képesítéseiket és szakmáikat a felsőoktatással egyenlően értékelik; </w:t>
            </w:r>
            <w:r>
              <w:rPr>
                <w:b/>
                <w:i/>
              </w:rPr>
              <w:t>felhívja a Bizottságot és a tagállamokat, hogy kezeljék a szakképzés imázsát és értékét övező tartós negatív megítélést korai és folyamatos pályaorientáció, a szülőkkel és családokkal való célzott együttműködés, minőségi fizetett tanulószerződéses gyakorlati képzések, valamint a szakképzés láthatóságát és vonzerejét erősítő regionális készségökoszisztémákba történő hosszú távú beruházások révén;</w:t>
            </w:r>
            <w:r>
              <w:t xml:space="preserve"> </w:t>
            </w:r>
            <w:r>
              <w:rPr>
                <w:b/>
                <w:i/>
              </w:rPr>
              <w:t>felhívja a tagállamokat, hogy erőteljesen fektessenek be a pályaorientációs szolgáltatásokba és a konzultációs rendszerekbe, elismerve a tanárok és oktatók mellett a mentorok és tanácsadók kulcsfontosságú szerepét a tanulók támogatásában;</w:t>
            </w:r>
            <w:r>
              <w:t xml:space="preserve"> </w:t>
            </w:r>
            <w:r>
              <w:rPr>
                <w:b/>
                <w:i/>
              </w:rPr>
              <w:t>felhívja az Európai Bizottságot, hogy dolgozza ki az iránymutatás és tanácsadás uniós keretét;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hangsúlyozza, hogy a társadalmi kohézió és befogadás biztosítása érdekében biztosítani kell, hogy a szakképzésben részt vevő diákok és a szakképesítést szerzettek úgy érezzék, hogy képesítéseiket és szakmáikat a felsőoktatással egyenlően értékelik;</w:t>
            </w:r>
          </w:p>
        </w:tc>
        <w:tc>
          <w:tcPr>
            <w:tcW w:w="4876" w:type="dxa"/>
            <w:tcBorders>
              <w:top w:val="nil"/>
              <w:left w:val="nil"/>
              <w:bottom w:val="nil"/>
              <w:right w:val="nil"/>
            </w:tcBorders>
          </w:tcPr>
          <w:p>
            <w:pPr>
              <w:pStyle w:val="Normal6a"/>
            </w:pPr>
            <w:r>
              <w:t>3.</w:t>
            </w:r>
            <w:r>
              <w:tab/>
            </w:r>
            <w:r>
              <w:t>hangsúlyozza, hogy a társadalmi kohézió és befogadás</w:t>
            </w:r>
            <w:r>
              <w:rPr>
                <w:b/>
                <w:i/>
              </w:rPr>
              <w:t>, valamint a foglalkoztatáshoz, a mobilitáshoz, a további tanuláshoz és a szakmai előmenetelhez való hozzáférés terén az esélyegyenlőség</w:t>
            </w:r>
            <w:r>
              <w:t xml:space="preserve"> biztosítása érdekében biztosítani kell, hogy a szakképzésben részt vevő diákok és a szakképesítést szerzettek úgy érezzék, hogy képesítéseiket és szakmáikat a felsőoktatással egyenlően értékelik;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Pál Szekeres,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kiemeli, hogy a szakképzés közmegítélésének és vonzerejének javításához nemcsak szakpolitikai intézkedésekre van szükség, hanem egy megújított narratívára és terminológiára is, amely jobban tükrözi a szakképzési pályák értékét;</w:t>
            </w:r>
            <w:r>
              <w:t xml:space="preserve"> </w:t>
            </w:r>
            <w:r>
              <w:rPr>
                <w:b/>
                <w:i/>
              </w:rPr>
              <w:t>ösztönzi olyan kommunikációs keretek kidolgozását, amelyek a felsőoktatást és a szakképzést a tanulás inkább kiegészítő, mint hierarchikus formáiként mutatják be, és a felsőoktatás gyakran az alkotók, az innovátorok és a koncepcionális problémamegoldók fejlesztésére összpontosít, míg a szakképzés felvértezi az alkotókat, az építőket és a végrehajtókat, akik a tudást kézzelfogható gazdasági és társadalmi értékké alakítják át;</w:t>
            </w:r>
            <w:r>
              <w:t xml:space="preserve"> </w:t>
            </w:r>
            <w:r>
              <w:rPr>
                <w:b/>
                <w:i/>
              </w:rPr>
              <w:t>hangsúlyozza, hogy ez a különbségtétel nem vonhat maga után különbségeket a szellemi érdemek tekintetében, mivel mindkét út a tudományos ismereteken és a kritikus gondolkodáson alapul, hanem inkább a tudás, a készségek és a kreativitás különböző, de ugyanolyan értékes alkalmazásait kell tükröznie a társadalomban és a munkaerőpiacon;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felhívja a tagállamokat és a Bizottságot, hogy adott esetben biztosítsák, hogy a meglévő felsőoktatási támogatási eszközöket és állami támogatási rendszereket kiterjesszék a szakképzésben részt vevő tanulókra, ahelyett, hogy külön rendszereket hoznának létre;</w:t>
            </w:r>
            <w:r>
              <w:t xml:space="preserve"> </w:t>
            </w:r>
            <w:r>
              <w:rPr>
                <w:b/>
                <w:i/>
              </w:rPr>
              <w:t>hangsúlyozza, hogy a diákigazolványokra, a pénzügyi támogatási rendszerekre, az elismerési rendszerekre és a közszektorbeli lehetőségekhez való hozzáférésre vonatkozó támogathatósági szabályokat inkluzív módon kell kialakítani, amely nem tesz különbséget a szakképzésben és a tudományos oktatásban részt vevő tanulók között;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hangsúlyozza, hogy a szakoktatás és -képzés vonzerejének növelése, az egész életen át tartó tanulás támogatása és a szakemberhiány kezelése érdekében egyértelmű fejlődési pályákra van szükség a szakoktatáson és szakképzésen belül, beleértve a felsőfokú szakoktatást és szakképzést, valamint az EKKR 5. és annál magasabb szintű képesítéseket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felhívja a tagállamokat, hogy foglalkozzanak a nemi sztereotípiákkal az oktatási és karrierválasztások során, és ösztönözzék a nők és férfiak kiegyensúlyozottabb részvételét a szakképzési pályákon, ágazatokban és szakmákban;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hangsúlyozza, hogy az inkluzív szakképzés kulcsszerepet játszik a társadalomból és a munkaerőpiacról való kirekesztődés kockázatának kitett tanulók támogatásában, valamint a jóllét, az esélyegyenlőség és a társadalmi kohézió előmozdításában;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felhívja a tagállamokat, hogy javítsák a szakképzésben részt vevő tanulóknak nyújtott pénzügyi támogatás megfelelőségét, hozzáférhetőségét és méltányosságát;</w:t>
            </w:r>
            <w:r>
              <w:t xml:space="preserve"> </w:t>
            </w:r>
            <w:r>
              <w:rPr>
                <w:b/>
                <w:i/>
              </w:rPr>
              <w:t>aggodalommal veszi tudomásul azokat a tartós egyenlőtlenségeket, amelyek miatt a felső középfokú és a nem felsőfokú posztszekunder képzésben részt vevő tanulók alacsonyabb szintű állami pénzügyi támogatásban részesülnek, mint a felsőoktatásban részt vevők;</w:t>
            </w:r>
            <w:r>
              <w:t xml:space="preserve"> </w:t>
            </w:r>
            <w:r>
              <w:rPr>
                <w:b/>
                <w:i/>
              </w:rPr>
              <w:t>hangsúlyozza, hogy fel kell számolni a foglalkoztatási státuszhoz, az életkorhoz vagy a lakhatási körülményekhez kapcsolódó indokolatlan támogathatósági akadályokat, különösen a munkaszerződéssel rendelkező tanulószerződéses tanulók esetében;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hangsúlyozza, hogy minden szakképzési képesítésnek és tanúsítványnak egyértelmű utakat kell kínálnia a további tanulmányokhoz és előrelépéshez;</w:t>
            </w:r>
            <w:r>
              <w:t xml:space="preserve"> </w:t>
            </w:r>
            <w:r>
              <w:rPr>
                <w:b/>
                <w:i/>
              </w:rPr>
              <w:t>hangsúlyozza, hogy a felső középfokú szakképzés folytatása nem akadályozhatja meg az egyéneket abban, hogy felsőoktatási intézményekben folytassák tanulmányaikat, beleértve a magas szintű szakképzést és az egyetemeket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hangsúlyozza azoknak a szakmai pályáknak a fontosságát, amelyek az általános felső középfokú oktatás befejezését követően is hozzáférhetők maradnak, és amelyek ötvözik a magas iskolai végzettséget a munkaalapú tanulással, ezáltal kiszélesítve a karrierlehetőségeket és támogatva a magasan képzett munkavállalók fejlődését;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 c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hangsúlyozza a mikrotanúsítványokban és a moduláris tanulási lehetőségekben rejlő lehetőségeket a továbbképzés és az átképzés támogatására a munkával töltött életszakasz során, valamint rugalmas tanulási pályák biztosítására a munkavállalók és a munkáltatók számára a gyorsan változó munkaerőpiacon;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 d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3d.</w:t>
            </w:r>
            <w:r>
              <w:tab/>
            </w:r>
            <w:r>
              <w:rPr>
                <w:b/>
                <w:i/>
              </w:rPr>
              <w:t>kiemeli a generációk közötti készségtranszfer fontosságát a demográfiai változások és a munkaerőhiány kezelésében;</w:t>
            </w:r>
            <w:r>
              <w:t xml:space="preserve"> </w:t>
            </w:r>
            <w:r>
              <w:rPr>
                <w:b/>
                <w:i/>
              </w:rPr>
              <w:t>ösztönzi azokat a kezdeményezéseket, amelyek mentorálás, munkahelyi képzés és tanulószerződéses gyakorlati képzési rendszerek révén támogatják a tapasztalt munkavállalókat tudásuk és szakértelmük átadásában;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felhívja az uniós intézményeket és a tagállamokat, hogy az oktatási pályák kapcsán mozdítsanak elő tiszteletteljesebb terminológiát, </w:t>
            </w:r>
            <w:r>
              <w:rPr>
                <w:b/>
                <w:i/>
              </w:rPr>
              <w:t>és mellőzzék</w:t>
            </w:r>
            <w:r>
              <w:t xml:space="preserve"> az olyan </w:t>
            </w:r>
            <w:r>
              <w:rPr>
                <w:b/>
                <w:i/>
              </w:rPr>
              <w:t>minősítéseket</w:t>
            </w:r>
            <w:r>
              <w:t xml:space="preserve">, mint a „magasabb” és az „alacsonyabb” oktatás; felhívja a Bizottságot, hogy </w:t>
            </w:r>
            <w:r>
              <w:rPr>
                <w:b/>
                <w:i/>
              </w:rPr>
              <w:t>helyezze hatályon kívül</w:t>
            </w:r>
            <w:r>
              <w:t xml:space="preserve"> a felsőfokú végzettségre vonatkozó </w:t>
            </w:r>
            <w:r>
              <w:rPr>
                <w:b/>
                <w:i/>
              </w:rPr>
              <w:t>uniós szintű célértéket mint</w:t>
            </w:r>
            <w:r>
              <w:t xml:space="preserve"> referenciaértéket</w:t>
            </w:r>
            <w:r>
              <w:rPr>
                <w:b/>
                <w:i/>
              </w:rPr>
              <w:t>, mivel az nem felel meg a Bizottság azon szándékának, hogy egyenlően értékelje a szakképzést</w:t>
            </w:r>
            <w:r>
              <w:t>;</w:t>
            </w:r>
          </w:p>
        </w:tc>
        <w:tc>
          <w:tcPr>
            <w:tcW w:w="4876" w:type="dxa"/>
            <w:tcBorders>
              <w:top w:val="nil"/>
              <w:left w:val="nil"/>
              <w:bottom w:val="nil"/>
              <w:right w:val="nil"/>
            </w:tcBorders>
          </w:tcPr>
          <w:p>
            <w:pPr>
              <w:pStyle w:val="Normal6a"/>
            </w:pPr>
            <w:r>
              <w:t>4.</w:t>
            </w:r>
            <w:r>
              <w:tab/>
            </w:r>
            <w:r>
              <w:t xml:space="preserve">felhívja az uniós intézményeket és a tagállamokat, hogy az oktatási pályák kapcsán mozdítsanak elő tiszteletteljesebb terminológiát, </w:t>
            </w:r>
            <w:r>
              <w:rPr>
                <w:b/>
                <w:i/>
              </w:rPr>
              <w:t>az európai képesítési keretrendszer (EKKR) alapján,</w:t>
            </w:r>
            <w:r>
              <w:t xml:space="preserve"> az olyan </w:t>
            </w:r>
            <w:r>
              <w:rPr>
                <w:b/>
                <w:i/>
              </w:rPr>
              <w:t>minősítések helyett</w:t>
            </w:r>
            <w:r>
              <w:t xml:space="preserve">, mint a „magasabb” és az „alacsonyabb” oktatás; felhívja a Bizottságot, hogy a felsőfokú végzettségre vonatkozó referenciaértéket </w:t>
            </w:r>
            <w:r>
              <w:rPr>
                <w:b/>
                <w:i/>
              </w:rPr>
              <w:t>egészítse ki a szakképzésben való részvételre és annak befejezésére vonatkozó ambiciózus uniós szintű célkitűzéssel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felhívja az uniós intézményeket és a tagállamokat, hogy az oktatási pályák kapcsán mozdítsanak elő tiszteletteljesebb terminológiát, és mellőzzék az olyan minősítéseket, mint a „magasabb” és az „alacsonyabb” oktatás; felhívja a Bizottságot</w:t>
            </w:r>
            <w:r>
              <w:rPr>
                <w:b/>
                <w:i/>
              </w:rPr>
              <w:t>, hogy helyezze hatályon kívül a felsőfokú végzettségre vonatkozó uniós szintű célértéket mint referenciaértéket, mivel az nem felel meg a Bizottság azon szándékának, hogy egyenlően értékelje a szakképzést</w:t>
            </w:r>
            <w:r>
              <w:t>;</w:t>
            </w:r>
          </w:p>
        </w:tc>
        <w:tc>
          <w:tcPr>
            <w:tcW w:w="4876" w:type="dxa"/>
            <w:tcBorders>
              <w:top w:val="nil"/>
              <w:left w:val="nil"/>
              <w:bottom w:val="nil"/>
              <w:right w:val="nil"/>
            </w:tcBorders>
          </w:tcPr>
          <w:p>
            <w:pPr>
              <w:pStyle w:val="Normal6a"/>
            </w:pPr>
            <w:r>
              <w:t>4.</w:t>
            </w:r>
            <w:r>
              <w:tab/>
            </w:r>
            <w:r>
              <w:t xml:space="preserve">felhívja az uniós intézményeket és a tagállamokat, hogy az oktatási pályák kapcsán mozdítsanak elő tiszteletteljesebb terminológiát, és mellőzzék az olyan minősítéseket, mint a „magasabb” és az „alacsonyabb” oktatás; felhívja </w:t>
            </w:r>
            <w:r>
              <w:rPr>
                <w:b/>
                <w:i/>
              </w:rPr>
              <w:t>továbbá</w:t>
            </w:r>
            <w:r>
              <w:t xml:space="preserve"> a Bizottságot </w:t>
            </w:r>
            <w:r>
              <w:rPr>
                <w:b/>
                <w:i/>
              </w:rPr>
              <w:t>és a tagállamokat, hogy biztosítsák a szakképzési és egyetemi pályák egyenlő elismerését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felhívja az uniós intézményeket és a tagállamokat, hogy az oktatási pályák kapcsán mozdítsanak elő tiszteletteljesebb terminológiát, és mellőzzék az olyan minősítéseket, mint a „magasabb” és az „alacsonyabb” oktatás; felhívja a Bizottságot, hogy </w:t>
            </w:r>
            <w:r>
              <w:rPr>
                <w:b/>
                <w:i/>
              </w:rPr>
              <w:t>helyezze hatályon kívül a felsőfokú</w:t>
            </w:r>
            <w:r>
              <w:t xml:space="preserve"> végzettségre vonatkozó uniós szintű </w:t>
            </w:r>
            <w:r>
              <w:rPr>
                <w:b/>
                <w:i/>
              </w:rPr>
              <w:t>célértéket mint referenciaértéket, mivel az nem felel meg a Bizottság azon szándékának, hogy egyenlően értékelje</w:t>
            </w:r>
            <w:r>
              <w:t xml:space="preserve"> a szakképzést;</w:t>
            </w:r>
          </w:p>
        </w:tc>
        <w:tc>
          <w:tcPr>
            <w:tcW w:w="4876" w:type="dxa"/>
            <w:tcBorders>
              <w:top w:val="nil"/>
              <w:left w:val="nil"/>
              <w:bottom w:val="nil"/>
              <w:right w:val="nil"/>
            </w:tcBorders>
          </w:tcPr>
          <w:p>
            <w:pPr>
              <w:pStyle w:val="Normal6a"/>
            </w:pPr>
            <w:r>
              <w:t>4.</w:t>
            </w:r>
            <w:r>
              <w:tab/>
            </w:r>
            <w:r>
              <w:t xml:space="preserve">felhívja az uniós intézményeket és a tagállamokat, hogy az oktatási pályák kapcsán mozdítsanak elő tiszteletteljesebb terminológiát, és mellőzzék az olyan minősítéseket, mint a „magasabb” és az „alacsonyabb” oktatás; felhívja a Bizottságot </w:t>
            </w:r>
            <w:r>
              <w:rPr>
                <w:b/>
                <w:i/>
              </w:rPr>
              <w:t>annak biztosítására</w:t>
            </w:r>
            <w:r>
              <w:t xml:space="preserve">, hogy </w:t>
            </w:r>
            <w:r>
              <w:rPr>
                <w:b/>
                <w:i/>
              </w:rPr>
              <w:t>a készségekre és az iskolai</w:t>
            </w:r>
            <w:r>
              <w:t xml:space="preserve"> végzettségre vonatkozó uniós szintű </w:t>
            </w:r>
            <w:r>
              <w:rPr>
                <w:b/>
                <w:i/>
              </w:rPr>
              <w:t>célok és referenciaértékek ne részesítsék előnyben az egyik utat a másikkal szemben, és hogy</w:t>
            </w:r>
            <w:r>
              <w:t xml:space="preserve"> a szakképzést </w:t>
            </w:r>
            <w:r>
              <w:rPr>
                <w:b/>
                <w:i/>
              </w:rPr>
              <w:t>a felsőoktatással azonos módon értékeljék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felhívja az uniós intézményeket és a tagállamokat, hogy az oktatási pályák kapcsán mozdítsanak elő tiszteletteljesebb terminológiát, és mellőzzék az olyan minősítéseket, mint a „magasabb” és az „alacsonyabb” oktatás; felhívja a Bizottságot, hogy helyezze hatályon kívül a felsőfokú végzettségre vonatkozó uniós szintű célértéket mint referenciaértéket, mivel az nem felel meg a Bizottság azon szándékának, hogy egyenlően értékelje a szakképzést;</w:t>
            </w:r>
          </w:p>
        </w:tc>
        <w:tc>
          <w:tcPr>
            <w:tcW w:w="4876" w:type="dxa"/>
            <w:tcBorders>
              <w:top w:val="nil"/>
              <w:left w:val="nil"/>
              <w:bottom w:val="nil"/>
              <w:right w:val="nil"/>
            </w:tcBorders>
          </w:tcPr>
          <w:p>
            <w:pPr>
              <w:pStyle w:val="Normal6a"/>
            </w:pPr>
            <w:r>
              <w:t>4.</w:t>
            </w:r>
            <w:r>
              <w:tab/>
            </w:r>
            <w:r>
              <w:t xml:space="preserve">felhívja az uniós intézményeket és a tagállamokat, hogy az oktatási pályák kapcsán mozdítsanak elő tiszteletteljesebb terminológiát, és mellőzzék az olyan minősítéseket, mint a „magasabb” és az „alacsonyabb” oktatás; felhívja a Bizottságot, hogy helyezze hatályon kívül a felsőfokú végzettségre vonatkozó uniós szintű célértéket mint referenciaértéket, mivel az nem felel meg a Bizottság azon szándékának, hogy egyenlően értékelje a szakképzést; </w:t>
            </w:r>
            <w:r>
              <w:rPr>
                <w:b/>
                <w:i/>
              </w:rPr>
              <w:t>felhívja továbbá a Bizottságot és a tagállamokat annak biztosítására, hogy az ISCED 5. szintű felsőfokú szakképzést és az EKKR 5. és 6. szintjét kifejezetten ismerjék el és mozdítsák elő az uniós készségpolitikai keretekben, az egyetemi felsőoktatás mellett egyenlően értékelt pályaként;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felhívja az uniós intézményeket és a tagállamokat, hogy az oktatási pályák kapcsán mozdítsanak elő tiszteletteljesebb terminológiát, és mellőzzék az olyan minősítéseket, mint a „magasabb” és az „alacsonyabb” oktatás; felhívja a Bizottságot, hogy helyezze hatályon kívül a felsőfokú végzettségre vonatkozó uniós szintű célértéket mint referenciaértéket, mivel az nem felel meg a Bizottság azon szándékának, hogy egyenlően értékelje a szakképzést;</w:t>
            </w:r>
          </w:p>
        </w:tc>
        <w:tc>
          <w:tcPr>
            <w:tcW w:w="4876" w:type="dxa"/>
            <w:tcBorders>
              <w:top w:val="nil"/>
              <w:left w:val="nil"/>
              <w:bottom w:val="nil"/>
              <w:right w:val="nil"/>
            </w:tcBorders>
          </w:tcPr>
          <w:p>
            <w:pPr>
              <w:pStyle w:val="Normal6a"/>
            </w:pPr>
            <w:r>
              <w:t>4.</w:t>
            </w:r>
            <w:r>
              <w:tab/>
            </w:r>
            <w:r>
              <w:t xml:space="preserve">felhívja az uniós intézményeket és a tagállamokat, hogy az oktatási pályák kapcsán mozdítsanak elő tiszteletteljesebb terminológiát, és mellőzzék az olyan minősítéseket, mint a „magasabb” és az „alacsonyabb” oktatás; felhívja a Bizottságot </w:t>
            </w:r>
            <w:r>
              <w:rPr>
                <w:b/>
                <w:i/>
              </w:rPr>
              <w:t>annak biztosítására, hogy vonatkozó stratégiái, közleményei, iránymutatásai és finanszírozási eszközei tükrözzék és mozdítsák elő a szakképzési és tudományos pályák egyenlő elismerését és értékelését; felhívja a Bizottságot</w:t>
            </w:r>
            <w:r>
              <w:t>, hogy helyezze hatályon kívül a felsőfokú végzettségre vonatkozó uniós szintű célértéket mint referenciaértéket, mivel az nem felel meg a Bizottság azon szándékának, hogy egyenlően értékelje a szakképzést;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felhívja a tagállamokat és az uniós intézményeket, hogy </w:t>
            </w:r>
            <w:r>
              <w:rPr>
                <w:b/>
                <w:i/>
              </w:rPr>
              <w:t>az egyenlő részvétel biztosítása érdekében</w:t>
            </w:r>
            <w:r>
              <w:t xml:space="preserve"> a szakpolitikai döntéshozatal minden szintjébe vonják be a szakképzésben részt vevő diákokat </w:t>
            </w:r>
            <w:r>
              <w:rPr>
                <w:b/>
                <w:i/>
              </w:rPr>
              <w:t>és</w:t>
            </w:r>
            <w:r>
              <w:t xml:space="preserve"> a szakképesítést szerzetteket, </w:t>
            </w:r>
            <w:r>
              <w:rPr>
                <w:b/>
                <w:i/>
              </w:rPr>
              <w:t>és kínáljanak</w:t>
            </w:r>
            <w:r>
              <w:t xml:space="preserve"> szakképzési </w:t>
            </w:r>
            <w:r>
              <w:rPr>
                <w:b/>
                <w:i/>
              </w:rPr>
              <w:t>szakmai gyakorlatokat</w:t>
            </w:r>
            <w:r>
              <w:t>;</w:t>
            </w:r>
          </w:p>
        </w:tc>
        <w:tc>
          <w:tcPr>
            <w:tcW w:w="4876" w:type="dxa"/>
            <w:tcBorders>
              <w:top w:val="nil"/>
              <w:left w:val="nil"/>
              <w:bottom w:val="nil"/>
              <w:right w:val="nil"/>
            </w:tcBorders>
          </w:tcPr>
          <w:p>
            <w:pPr>
              <w:pStyle w:val="Normal6a"/>
            </w:pPr>
            <w:r>
              <w:t>5.</w:t>
            </w:r>
            <w:r>
              <w:tab/>
            </w:r>
            <w:r>
              <w:t>felhívja a tagállamokat és az uniós intézményeket, hogy a szakpolitikai döntéshozatal minden szintjébe vonják be a szakképzésben részt vevő diákokat</w:t>
            </w:r>
            <w:r>
              <w:rPr>
                <w:b/>
                <w:i/>
              </w:rPr>
              <w:t>, a tanulószerződéses tanulókat,</w:t>
            </w:r>
            <w:r>
              <w:t xml:space="preserve"> a szakképesítést szerzetteket, </w:t>
            </w:r>
            <w:r>
              <w:rPr>
                <w:b/>
                <w:i/>
              </w:rPr>
              <w:t>a tanárokat, az oktatókat és a szakszervezeteket a</w:t>
            </w:r>
            <w:r>
              <w:t xml:space="preserve"> szakképzési </w:t>
            </w:r>
            <w:r>
              <w:rPr>
                <w:b/>
                <w:i/>
              </w:rPr>
              <w:t>rendszerekben való érdemi részvétel és azok demokratikus irányításának biztosítása érdekében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felhívja a tagállamokat és az uniós intézményeket, hogy az egyenlő részvétel biztosítása érdekében a szakpolitikai döntéshozatal minden szintjébe vonják be a szakképzésben részt vevő diákokat </w:t>
            </w:r>
            <w:r>
              <w:rPr>
                <w:b/>
                <w:i/>
              </w:rPr>
              <w:t>és</w:t>
            </w:r>
            <w:r>
              <w:t xml:space="preserve"> a szakképesítést szerzetteket, és kínáljanak szakképzési </w:t>
            </w:r>
            <w:r>
              <w:rPr>
                <w:b/>
                <w:i/>
              </w:rPr>
              <w:t>szakmai gyakorlatokat</w:t>
            </w:r>
            <w:r>
              <w:t>;</w:t>
            </w:r>
          </w:p>
        </w:tc>
        <w:tc>
          <w:tcPr>
            <w:tcW w:w="4876" w:type="dxa"/>
            <w:tcBorders>
              <w:top w:val="nil"/>
              <w:left w:val="nil"/>
              <w:bottom w:val="nil"/>
              <w:right w:val="nil"/>
            </w:tcBorders>
          </w:tcPr>
          <w:p>
            <w:pPr>
              <w:pStyle w:val="Normal6a"/>
            </w:pPr>
            <w:r>
              <w:t>5.</w:t>
            </w:r>
            <w:r>
              <w:tab/>
            </w:r>
            <w:r>
              <w:t>felhívja a tagállamokat és az uniós intézményeket, hogy az egyenlő részvétel biztosítása érdekében a szakpolitikai döntéshozatal minden szintjébe vonják be a szakképzésben részt vevő diákokat</w:t>
            </w:r>
            <w:r>
              <w:rPr>
                <w:b/>
                <w:i/>
              </w:rPr>
              <w:t>, tanulószerződéses tanulókat,</w:t>
            </w:r>
            <w:r>
              <w:t xml:space="preserve"> a szakképesítést szerzetteket, </w:t>
            </w:r>
            <w:r>
              <w:rPr>
                <w:b/>
                <w:i/>
              </w:rPr>
              <w:t>a tanárokat, az oktatókat és képviselőiket, beleértve a szakszervezeteket és a diákszervezeteket is,</w:t>
            </w:r>
            <w:r>
              <w:t xml:space="preserve"> és kínáljanak szakképzési </w:t>
            </w:r>
            <w:r>
              <w:rPr>
                <w:b/>
                <w:i/>
              </w:rPr>
              <w:t>tanulószerződéses gyakorlati képzéseket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felhívja a tagállamokat és az uniós intézményeket, hogy az egyenlő részvétel biztosítása érdekében </w:t>
            </w:r>
            <w:r>
              <w:rPr>
                <w:b/>
                <w:i/>
              </w:rPr>
              <w:t>a szakpolitikai döntéshozatal minden szintjébe</w:t>
            </w:r>
            <w:r>
              <w:t xml:space="preserve"> vonják be a szakképzésben részt vevő diákokat és a szakképesítést szerzetteket, és kínáljanak szakképzési szakmai gyakorlatokat;</w:t>
            </w:r>
          </w:p>
        </w:tc>
        <w:tc>
          <w:tcPr>
            <w:tcW w:w="4876" w:type="dxa"/>
            <w:tcBorders>
              <w:top w:val="nil"/>
              <w:left w:val="nil"/>
              <w:bottom w:val="nil"/>
              <w:right w:val="nil"/>
            </w:tcBorders>
          </w:tcPr>
          <w:p>
            <w:pPr>
              <w:pStyle w:val="Normal6a"/>
            </w:pPr>
            <w:r>
              <w:t>5.</w:t>
            </w:r>
            <w:r>
              <w:tab/>
            </w:r>
            <w:r>
              <w:t xml:space="preserve">felhívja a tagállamokat és az uniós intézményeket, hogy az egyenlő részvétel biztosítása érdekében vonják be a szakképzésben részt vevő diákokat és a szakképesítést szerzetteket, </w:t>
            </w:r>
            <w:r>
              <w:rPr>
                <w:b/>
                <w:i/>
              </w:rPr>
              <w:t>a munkáltatókat, a kereskedelmi kamarákat, a kézműves szervezeteket és a szociális partnereket a szakpolitikai döntéshozatal minden szintjének kialakításába,</w:t>
            </w:r>
            <w:r>
              <w:t xml:space="preserve"> és kínáljanak szakképzési szakmai gyakorlatokat;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felhívja a tagállamokat és az uniós intézményeket, hogy az egyenlő részvétel biztosítása érdekében a szakpolitikai döntéshozatal minden szintjébe vonják be a szakképzésben részt vevő diákokat és a szakképesítést szerzetteket, és kínáljanak szakképzési szakmai gyakorlatokat;</w:t>
            </w:r>
          </w:p>
        </w:tc>
        <w:tc>
          <w:tcPr>
            <w:tcW w:w="4876" w:type="dxa"/>
            <w:tcBorders>
              <w:top w:val="nil"/>
              <w:left w:val="nil"/>
              <w:bottom w:val="nil"/>
              <w:right w:val="nil"/>
            </w:tcBorders>
          </w:tcPr>
          <w:p>
            <w:pPr>
              <w:pStyle w:val="Normal6a"/>
            </w:pPr>
            <w:r>
              <w:t>5.</w:t>
            </w:r>
            <w:r>
              <w:tab/>
            </w:r>
            <w:r>
              <w:t xml:space="preserve">felhívja a tagállamokat és az uniós intézményeket, hogy az egyenlő részvétel biztosítása érdekében a szakpolitikai döntéshozatal minden szintjébe vonják be a szakképzésben részt vevő diákokat és a szakképesítést szerzetteket, és kínáljanak </w:t>
            </w:r>
            <w:r>
              <w:rPr>
                <w:b/>
                <w:i/>
              </w:rPr>
              <w:t>minőségi és méltányos javadalmazással járó</w:t>
            </w:r>
            <w:r>
              <w:t xml:space="preserve"> szakképzési szakmai gyakorlatokat;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felhívja a tagállamokat és az uniós intézményeket, hogy az egyenlő részvétel biztosítása érdekében a szakpolitikai döntéshozatal </w:t>
            </w:r>
            <w:r>
              <w:rPr>
                <w:b/>
                <w:i/>
              </w:rPr>
              <w:t>minden szintjébe</w:t>
            </w:r>
            <w:r>
              <w:t xml:space="preserve"> vonják be a szakképzésben részt vevő diákokat és a szakképesítést szerzetteket, és kínáljanak szakképzési szakmai gyakorlatokat;</w:t>
            </w:r>
          </w:p>
        </w:tc>
        <w:tc>
          <w:tcPr>
            <w:tcW w:w="4876" w:type="dxa"/>
            <w:tcBorders>
              <w:top w:val="nil"/>
              <w:left w:val="nil"/>
              <w:bottom w:val="nil"/>
              <w:right w:val="nil"/>
            </w:tcBorders>
          </w:tcPr>
          <w:p>
            <w:pPr>
              <w:pStyle w:val="Normal6a"/>
            </w:pPr>
            <w:r>
              <w:t>5.</w:t>
            </w:r>
            <w:r>
              <w:tab/>
            </w:r>
            <w:r>
              <w:t xml:space="preserve">felhívja a tagállamokat és az uniós intézményeket, hogy az egyenlő részvétel biztosítása érdekében a szakpolitikai döntéshozatal </w:t>
            </w:r>
            <w:r>
              <w:rPr>
                <w:b/>
                <w:i/>
              </w:rPr>
              <w:t>releváns szintjeibe</w:t>
            </w:r>
            <w:r>
              <w:t xml:space="preserve"> vonják be a szakképzésben részt vevő diákokat és a szakképesítést szerzetteket, és kínáljanak szakképzési szakmai gyakorlatokat;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felhívja a tagállamokat és az uniós intézményeket, hogy az egyenlő részvétel biztosítása érdekében a szakpolitikai döntéshozatal minden szintjébe vonják be a szakképzésben részt vevő diákokat és a szakképesítést szerzetteket, és kínáljanak szakképzési szakmai gyakorlatokat;</w:t>
            </w:r>
          </w:p>
        </w:tc>
        <w:tc>
          <w:tcPr>
            <w:tcW w:w="4876" w:type="dxa"/>
            <w:tcBorders>
              <w:top w:val="nil"/>
              <w:left w:val="nil"/>
              <w:bottom w:val="nil"/>
              <w:right w:val="nil"/>
            </w:tcBorders>
          </w:tcPr>
          <w:p>
            <w:pPr>
              <w:pStyle w:val="Normal6a"/>
            </w:pPr>
            <w:r>
              <w:t>5.</w:t>
            </w:r>
            <w:r>
              <w:tab/>
            </w:r>
            <w:r>
              <w:rPr>
                <w:b/>
                <w:i/>
              </w:rPr>
              <w:t>kiemeli, hogy a tudományosan képzett személyek felülreprezentáltak a politikai és közigazgatási döntéshozatalban, ami korlátozza a szakképzésben részesítettek perspektíváinak sokféleségét a szakpolitikák kialakításában;</w:t>
            </w:r>
            <w:r>
              <w:t xml:space="preserve"> felhívja a tagállamokat és az uniós intézményeket, hogy az egyenlő részvétel biztosítása érdekében a szakpolitikai döntéshozatal minden szintjébe vonják be a szakképzésben részt vevő diákokat és a szakképesítést szerzetteket, és kínáljanak </w:t>
            </w:r>
            <w:r>
              <w:rPr>
                <w:b/>
                <w:i/>
              </w:rPr>
              <w:t>tanulószerződéses gyakorlati képzéseket, gyakornoki képzéseket,</w:t>
            </w:r>
            <w:r>
              <w:t xml:space="preserve"> szakképzési szakmai gyakorlatokat </w:t>
            </w:r>
            <w:r>
              <w:rPr>
                <w:b/>
                <w:i/>
              </w:rPr>
              <w:t>és munkahelyeket</w:t>
            </w:r>
            <w:r>
              <w:t xml:space="preserve">; </w:t>
            </w:r>
            <w:r>
              <w:rPr>
                <w:b/>
                <w:i/>
              </w:rPr>
              <w:t>felhívja a Bizottságot, hogy a tudományos tanácsadási mechanizmusa mellett hozzon létre gyakorlati tanácsadási mechanizmust;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5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sajnálatát fejezi ki az oktatáson alapuló megkülönböztetés miatt Európában;</w:t>
            </w:r>
            <w:r>
              <w:t xml:space="preserve"> </w:t>
            </w:r>
            <w:r>
              <w:rPr>
                <w:b/>
                <w:i/>
              </w:rPr>
              <w:t>üdvözli, hogy Bulgária, Horvátország, Portugália és Szlovénia nemzeti jogrendszerében már biztosít jogi védelmet az ilyen megkülönböztetéssel szemben;</w:t>
            </w:r>
            <w:r>
              <w:t xml:space="preserve"> </w:t>
            </w:r>
            <w:r>
              <w:rPr>
                <w:b/>
                <w:i/>
              </w:rPr>
              <w:t>kiemeli a Holland Emberi Jogi Intézet tanácsadó véleményét</w:t>
            </w:r>
            <w:r>
              <w:rPr>
                <w:b/>
                <w:i/>
                <w:vertAlign w:val="superscript"/>
              </w:rPr>
              <w:t>1a</w:t>
            </w:r>
            <w:r>
              <w:rPr>
                <w:b/>
                <w:i/>
              </w:rPr>
              <w:t>, amely szorgalmazza, hogy az iskolai végzettséget vegyék fel az áruk és szolgáltatások tekintetében a megkülönböztetés védett alapjaként;</w:t>
            </w:r>
            <w:r>
              <w:t xml:space="preserve"> </w:t>
            </w:r>
            <w:r>
              <w:rPr>
                <w:b/>
                <w:i/>
              </w:rPr>
              <w:t>felhívja az Európai Bizottságot, hogy értékelje és javasoljon megfelelő intézkedéseket annak biztosítása érdekében, hogy az oktatáson alapuló megkülönböztetéssel megfelelően foglalkozzanak az egyenlőség uniós keretén belül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https://www.mensenrechten.nl/actueel/nieuws/2024/09/04/advies-college-vul-wetgeving-aan-met-bescherming-tegen-discriminatie-vanwege-opleiding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5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kiemeli a fogyatékossággal élő egyének és személyek szakképzésének fontosságát, és hangsúlyozza, hogy stratégiákat kell kidolgozni annak érdekében, hogy több és jobb szakképzési lehetőséget lehessen biztosítani számukra, és meg lehessen könnyíteni munkaerőpiaci integrációjukat;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5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sajnálatát fejezi ki amiatt, hogy számos szakképesítést igénylő szakmában – különösen a közszférában – a javadalmazási szintek továbbra sem igazodnak megfelelően e szerepek összetettségéhez, felelősségéhez és társadalmi értékéhez, ami hozzájárul a tartós munkaerőhiányhoz és a szakképzési pályák vonzerejének csökkenéséhez;</w:t>
            </w:r>
            <w:r>
              <w:t xml:space="preserve"> </w:t>
            </w:r>
            <w:r>
              <w:rPr>
                <w:b/>
                <w:i/>
              </w:rPr>
              <w:t>felhívja a tagállamokat és ösztönzi a szociális partnereket, hogy vizsgálják felül javadalmazási kereteiket az alapvető szakmai szolgáltatások és szakmák felvételének, megtartásának és hosszú távú fenntarthatóságának megerősítése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elismeri a WorldSkills és az EuroSkills hozzájárulását a szakképzés kiválóságának, innovációjának és vonzerejének Európa-szerte történő előmozdításához; ösztönzi a Bizottság, a tagállamok és a szakképzéshez kapcsolódó szakismereti versenyszervezetek közötti szorosabb együttműködést a szakképzési kiválóság előmozdítása és a szakképzés láthatóságának támogatása érdekében; elismeri, hogy ezeknek a versenyeknek és a kapcsolódó kereteknek, például a WorldSkills foglalkozási normáinak inspirációként kell szolgálniuk a politikai döntéshozók számára, valamint a szakképzési politika kidolgozásához és a készségek elismeréséhez;</w:t>
            </w:r>
          </w:p>
        </w:tc>
        <w:tc>
          <w:tcPr>
            <w:tcW w:w="4876" w:type="dxa"/>
            <w:tcBorders>
              <w:top w:val="nil"/>
              <w:left w:val="nil"/>
              <w:bottom w:val="nil"/>
              <w:right w:val="nil"/>
            </w:tcBorders>
          </w:tcPr>
          <w:p>
            <w:pPr>
              <w:pStyle w:val="Normal6a"/>
            </w:pPr>
            <w:r>
              <w:t>6.</w:t>
            </w:r>
            <w:r>
              <w:tab/>
            </w:r>
            <w:r>
              <w:t xml:space="preserve">elismeri a WorldSkills és az EuroSkills hozzájárulását a szakképzés kiválóságának, innovációjának és vonzerejének Európa-szerte történő előmozdításához; ösztönzi a Bizottság, a tagállamok és a szakképzéshez kapcsolódó szakismereti versenyszervezetek közötti szorosabb együttműködést a szakképzési kiválóság előmozdítása és a szakképzés láthatóságának támogatása érdekében; elismeri, hogy ezeknek a versenyeknek és a kapcsolódó kereteknek, például a WorldSkills foglalkozási normáinak inspirációként kell szolgálniuk a politikai döntéshozók számára, valamint a szakképzési politika kidolgozásához és a készségek elismeréséhez; </w:t>
            </w:r>
            <w:r>
              <w:rPr>
                <w:b/>
                <w:i/>
              </w:rPr>
              <w:t>emlékeztet arra, hogy a szakképzés kiválóságának magában kell foglalnia a befogadást, a hozzáférhetőséget, a tanárok és oktatók minőségi munkakörülményeit, valamint az esélyegyenlőséget valamennyi tanuló számára;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elismeri a WorldSkills és az EuroSkills hozzájárulását a szakképzés kiválóságának, innovációjának és vonzerejének Európa-szerte történő előmozdításához; ösztönzi a Bizottság, a tagállamok és a szakképzéshez kapcsolódó szakismereti versenyszervezetek közötti szorosabb együttműködést a szakképzési kiválóság előmozdítása és a szakképzés láthatóságának támogatása érdekében; elismeri, hogy ezeknek a versenyeknek és a kapcsolódó kereteknek, például a WorldSkills foglalkozási normáinak inspirációként kell szolgálniuk a politikai döntéshozók számára, valamint a szakképzési politika kidolgozásához és a készségek elismeréséhez;</w:t>
            </w:r>
          </w:p>
        </w:tc>
        <w:tc>
          <w:tcPr>
            <w:tcW w:w="4876" w:type="dxa"/>
            <w:tcBorders>
              <w:top w:val="nil"/>
              <w:left w:val="nil"/>
              <w:bottom w:val="nil"/>
              <w:right w:val="nil"/>
            </w:tcBorders>
          </w:tcPr>
          <w:p>
            <w:pPr>
              <w:pStyle w:val="Normal6a"/>
            </w:pPr>
            <w:r>
              <w:t>6.</w:t>
            </w:r>
            <w:r>
              <w:tab/>
            </w:r>
            <w:r>
              <w:t>elismeri a WorldSkills és az EuroSkills hozzájárulását a szakképzés kiválóságának, innovációjának és vonzerejének Európa-szerte történő előmozdításához; ösztönzi a Bizottság, a tagállamok</w:t>
            </w:r>
            <w:r>
              <w:rPr>
                <w:b/>
                <w:i/>
              </w:rPr>
              <w:t>, a regionális és ágazati szervezetek</w:t>
            </w:r>
            <w:r>
              <w:t xml:space="preserve"> és a szakképzéshez kapcsolódó szakismereti versenyszervezetek közötti szorosabb együttműködést a szakképzési kiválóság előmozdítása és a szakképzés láthatóságának támogatása érdekében; elismeri, hogy ezeknek a versenyeknek és a kapcsolódó kereteknek, például a WorldSkills foglalkozási normáinak inspirációként kell szolgálniuk a politikai döntéshozók számára, valamint a szakképzési politika kidolgozásához és a készségek elismeréséhez;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emlékeztet arra, hogy bár „A készségek uniója” című bizottsági közlemény kimondja, hogy a szakképzésnek „a felsőoktatáshoz hasonlóan elismert tanulási pályává” kell válnia, a szakképzés továbbra is kisebb arányban részesül az Erasmus+ finanszírozásából, mint a felsőoktatás; ragaszkodik ahhoz, hogy költségvetési előirányzatait növelni kell e célkitűzés gyakorlati megvalósításának biztosítása, valamint az „Európa mozgásban” célkitűzés támogatása érdekében, amely szerint 2030-ra 12%-os tanulási célú mobilitást kell biztosítani a szakképzésben részt vevő tanulók számára,</w:t>
            </w:r>
          </w:p>
        </w:tc>
        <w:tc>
          <w:tcPr>
            <w:tcW w:w="4876" w:type="dxa"/>
            <w:tcBorders>
              <w:top w:val="nil"/>
              <w:left w:val="nil"/>
              <w:bottom w:val="nil"/>
              <w:right w:val="nil"/>
            </w:tcBorders>
          </w:tcPr>
          <w:p>
            <w:pPr>
              <w:pStyle w:val="Normal6a"/>
            </w:pPr>
            <w:r>
              <w:t>(7)</w:t>
            </w:r>
            <w:r>
              <w:tab/>
            </w:r>
            <w:r>
              <w:t xml:space="preserve">emlékeztet arra, hogy bár „A készségek uniója” című bizottsági közlemény kimondja, hogy a szakképzésnek „a felsőoktatáshoz hasonlóan elismert tanulási pályává” kell válnia, a szakképzés továbbra is kisebb arányban részesül az Erasmus+ finanszírozásából, mint a felsőoktatás; ragaszkodik ahhoz, hogy költségvetési előirányzatait növelni kell e célkitűzés gyakorlati megvalósításának biztosítása, valamint az „Európa mozgásban” célkitűzés támogatása érdekében, amely szerint 2030-ra 12%-os tanulási célú mobilitást kell biztosítani a szakképzésben részt vevő tanulók számára, </w:t>
            </w:r>
            <w:r>
              <w:rPr>
                <w:b/>
                <w:i/>
              </w:rPr>
              <w:t>amit többek között az Erasmus+ program révén kell elérni;</w:t>
            </w:r>
            <w:r>
              <w:t xml:space="preserve"> </w:t>
            </w:r>
            <w:r>
              <w:rPr>
                <w:b/>
                <w:i/>
              </w:rPr>
              <w:t>emlékeztet arra, hogy meg kell erősíteni a tanulószerződéses tanulók, a felnőtt tanulók és a kevesebb lehetőséggel rendelkező tanulók tanulási célú mobilitáshoz való hozzáférését, többek között előkészítő, nyelvi és kísérő támogatási intézkedések támogatása révén;</w:t>
            </w:r>
            <w:r>
              <w:t xml:space="preserve"> </w:t>
            </w:r>
            <w:r>
              <w:rPr>
                <w:b/>
                <w:i/>
              </w:rPr>
              <w:t>emlékeztet, hogy az ilyen tapasztalatszerzésekhez való hozzáféréskor figyelembe kell venni a nemek közötti egyensúlyt a szakképzési mobilitási programok nők körében történő hatékony népszerűsítése keretében;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emlékeztet arra, hogy bár „A készségek uniója” című bizottsági közlemény kimondja, hogy a szakképzésnek „a felsőoktatáshoz hasonlóan elismert tanulási pályává” kell válnia, a szakképzés továbbra is kisebb arányban részesül az Erasmus+ finanszírozásából, mint a felsőoktatás; ragaszkodik ahhoz, hogy költségvetési előirányzatait növelni kell e célkitűzés gyakorlati megvalósításának biztosítása, valamint az „Európa mozgásban” célkitűzés támogatása érdekében, amely szerint 2030-ra 12%-os tanulási célú mobilitást kell biztosítani a szakképzésben részt vevő tanulók számára;</w:t>
            </w:r>
          </w:p>
        </w:tc>
        <w:tc>
          <w:tcPr>
            <w:tcW w:w="4876" w:type="dxa"/>
            <w:tcBorders>
              <w:top w:val="nil"/>
              <w:left w:val="nil"/>
              <w:bottom w:val="nil"/>
              <w:right w:val="nil"/>
            </w:tcBorders>
          </w:tcPr>
          <w:p>
            <w:pPr>
              <w:pStyle w:val="Normal6a"/>
            </w:pPr>
            <w:r>
              <w:t>(7)</w:t>
            </w:r>
            <w:r>
              <w:tab/>
            </w:r>
            <w:r>
              <w:t xml:space="preserve">emlékeztet arra, hogy bár „A készségek uniója” című bizottsági közlemény kimondja, hogy a szakképzésnek „a felsőoktatáshoz hasonlóan elismert tanulási pályává” kell válnia, a szakképzés továbbra is kisebb arányban részesül az Erasmus+ finanszírozásából, mint a felsőoktatás; ragaszkodik ahhoz, hogy költségvetési előirányzatait növelni kell e célkitűzés gyakorlati megvalósításának biztosítása, valamint az „Európa mozgásban” célkitűzés támogatása érdekében, amely szerint 2030-ra 12%-os tanulási célú mobilitást kell biztosítani a szakképzésben részt vevő tanulók számára; </w:t>
            </w:r>
            <w:r>
              <w:rPr>
                <w:b/>
                <w:i/>
              </w:rPr>
              <w:t>kitart amellett, hogy az Erasmus+ programnak nemcsak a munkaerőpiaci eredményeket, hanem a személyes fejlődést, az interkulturális tanulást és az ifjúság tapasztalatszerzését is a szakképzési mobilitás fő célkitűzéseiként kell elismernie;</w:t>
            </w:r>
            <w:r>
              <w:t xml:space="preserve"> </w:t>
            </w:r>
            <w:r>
              <w:rPr>
                <w:b/>
                <w:i/>
              </w:rPr>
              <w:t>felhívja az Európai Bizottságot, hogy növelje a mobilitási programok hozzáférhetőségét, inkluzivitását és fenntarthatóságát azáltal, hogy az EU által irányított programokban külön forrásokat különít el a társadalmi-gazdasági szempontból hátrányos helyzetű tanulók inkluzív mobilitásának támogatására;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emlékeztet arra, hogy bár „A készségek uniója” című bizottsági közlemény kimondja, hogy a szakképzésnek „a felsőoktatáshoz hasonlóan elismert tanulási pályává” kell válnia, a szakképzés továbbra is kisebb arányban részesül az Erasmus+ finanszírozásából, mint a felsőoktatás; ragaszkodik ahhoz, hogy költségvetési előirányzatait növelni kell e célkitűzés gyakorlati megvalósításának biztosítása, valamint az „Európa mozgásban” célkitűzés támogatása érdekében, amely szerint 2030-ra 12%-os tanulási célú mobilitást kell biztosítani a szakképzésben részt vevő tanulók számára;</w:t>
            </w:r>
          </w:p>
        </w:tc>
        <w:tc>
          <w:tcPr>
            <w:tcW w:w="4876" w:type="dxa"/>
            <w:tcBorders>
              <w:top w:val="nil"/>
              <w:left w:val="nil"/>
              <w:bottom w:val="nil"/>
              <w:right w:val="nil"/>
            </w:tcBorders>
          </w:tcPr>
          <w:p>
            <w:pPr>
              <w:pStyle w:val="Normal6a"/>
            </w:pPr>
            <w:r>
              <w:t>(7)</w:t>
            </w:r>
            <w:r>
              <w:tab/>
            </w:r>
            <w:r>
              <w:t xml:space="preserve">emlékeztet arra, hogy bár „A készségek uniója” című bizottsági közlemény kimondja, hogy a szakképzésnek „a felsőoktatáshoz hasonlóan elismert tanulási pályává” kell válnia, a szakképzés továbbra is kisebb arányban részesül az Erasmus+ finanszírozásából, mint a felsőoktatás; ragaszkodik ahhoz, hogy költségvetési előirányzatait növelni kell e célkitűzés gyakorlati megvalósításának biztosítása, valamint az „Európa mozgásban” célkitűzés támogatása érdekében, amely szerint 2030-ra 12%-os tanulási célú mobilitást kell biztosítani a szakképzésben részt vevő tanulók számára; </w:t>
            </w:r>
            <w:r>
              <w:rPr>
                <w:b/>
                <w:i/>
              </w:rPr>
              <w:t>felszólít az Erasmus+ kapacitásépítési kezdeményezéseinek megerősítésére a szakképzés területén, elismerve azok hozzájárulását az intézményfejlesztéshez, az innovációhoz, valamint a szakképzési rendszerek hosszú távú minőségéhez és rezilienciájához;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emlékeztet arra, hogy bár „A készségek uniója” című bizottsági közlemény kimondja, hogy a szakképzésnek „a felsőoktatáshoz hasonlóan elismert tanulási pályává” kell válnia, a szakképzés továbbra is kisebb arányban részesül az Erasmus+ finanszírozásából, mint a felsőoktatás; ragaszkodik ahhoz, hogy költségvetési előirányzatait növelni kell e célkitűzés gyakorlati megvalósításának biztosítása, valamint az „Európa mozgásban” célkitűzés támogatása érdekében, amely szerint 2030-ra 12%-os tanulási célú mobilitást kell biztosítani a szakképzésben részt vevő tanulók számára;</w:t>
            </w:r>
          </w:p>
        </w:tc>
        <w:tc>
          <w:tcPr>
            <w:tcW w:w="4876" w:type="dxa"/>
            <w:tcBorders>
              <w:top w:val="nil"/>
              <w:left w:val="nil"/>
              <w:bottom w:val="nil"/>
              <w:right w:val="nil"/>
            </w:tcBorders>
          </w:tcPr>
          <w:p>
            <w:pPr>
              <w:pStyle w:val="Normal6a"/>
            </w:pPr>
            <w:r>
              <w:t>(7)</w:t>
            </w:r>
            <w:r>
              <w:tab/>
            </w:r>
            <w:r>
              <w:t>emlékeztet arra, hogy bár „A készségek uniója” című bizottsági közlemény kimondja, hogy a szakképzésnek „a felsőoktatáshoz hasonlóan elismert tanulási pályává” kell válnia, a szakképzés továbbra is kisebb arányban részesül az Erasmus+ finanszírozásából, mint a felsőoktatás</w:t>
            </w:r>
            <w:r>
              <w:rPr>
                <w:b/>
                <w:i/>
              </w:rPr>
              <w:t>;</w:t>
            </w:r>
            <w:r>
              <w:t xml:space="preserve"> </w:t>
            </w:r>
            <w:r>
              <w:rPr>
                <w:b/>
                <w:i/>
              </w:rPr>
              <w:t>kéri, hogy a következő többéves pénzügyi keretben jelentősen növeljék az Erasmus+ teljes költségvetését, külön támogatást nyújtva a hátrányos társadalmi-gazdasági háttérrel rendelkező tanulóknak, a vidéki régióknak és a legkülső régióknak</w:t>
            </w:r>
            <w:r>
              <w:t>; ragaszkodik ahhoz, hogy költségvetési előirányzatait növelni kell e célkitűzés gyakorlati megvalósításának biztosítása, valamint az „Európa mozgásban” célkitűzés támogatása érdekében, amely szerint 2030-ra 12%-os tanulási célú mobilitást kell biztosítani a szakképzésben részt vevő tanulók számára;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sajnálatát fejezi ki amiatt, hogy a tartósan fennálló strukturális és pénzügyi akadályok továbbra is korlátozzák a szakképzésben tanulók nemzetközi mobilitásban való részvételét;</w:t>
            </w:r>
            <w:r>
              <w:t xml:space="preserve"> </w:t>
            </w:r>
            <w:r>
              <w:rPr>
                <w:b/>
                <w:i/>
              </w:rPr>
              <w:t>felszólít egy erős közös európai keret létrehozására, amely biztosítja a külföldi mobilitási időszakok, szakmai gyakorlatok és tanulószerződéses gyakorlati képzések során szerzett képesítések és tanulási eredmények automatikus elismerését;</w:t>
            </w:r>
            <w:r>
              <w:t xml:space="preserve"> </w:t>
            </w:r>
            <w:r>
              <w:rPr>
                <w:b/>
                <w:i/>
              </w:rPr>
              <w:t>kéri továbbá, hogy az Erasmus+ mobilitási támogatások a fogadó országok tényleges megélhetési költségein alapuljanak, és vegyék figyelembe a szakképzésben részt vevő diákok sajátos többletköltségeit;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hangsúlyozza, hogy személyre szabott támogatási pályákat kell kidolgozni a nem foglalkoztatott, oktatásban és képzésben nem részesülő fiatalok (NEET-fiatalok) számára olyan iránymutatási, konzultációs és mentorálási eszközök révén, amelyek képesek kezelni az egyéni igényeket, és felszámolni az oktatási és szakképzési pályákhoz való hozzáférés akadályait;</w:t>
            </w:r>
            <w:r>
              <w:t xml:space="preserve"> </w:t>
            </w:r>
            <w:r>
              <w:rPr>
                <w:b/>
                <w:i/>
              </w:rPr>
              <w:t>felhívja a Bizottságot és a tagállamokat, hogy erősítsék meg a befogadást és a visszailleszkedést célzó intézkedéseket, előmozdítva a NEET-fiatalok részvételét a szakképzési programokban és az egész életen át tartó tanulási lehetőségekben;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felhívja a Bizottságot és a tagállamokat, hogy könnyítsék meg a kkv-k részvételét a tanulószerződéses tanulóknak és a szakképzésben részt vevő tanulóknak szóló Erasmus+ mobilitási programokban azáltal, hogy egyszerűsítik az adminisztratív eljárásokat, csökkentik a jelentéstételi követelményeket, célzott szervezeti támogatást nyújtanak, és figyelembe veszik azokat a sajátos kihívásokat, amelyekkel a kisvállalkozások szembesülnek, amikor a tanulószerződéses tanulók ideiglenesen távol vannak a munkahelyüktől;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sajnálatát fejezi ki az Európai Bizottság azon döntése miatt, hogy nem vonja be az európai szakképzési szövetségeket a készségekkel foglalkozó magas szintű európai testületbe, és felhívja a Bizottságot, hogy a képzés, az oktatás és a készségek terén szerzett tapasztalataik fényében teljes jogú tagként vonja be őket, ami összhangban van a testület alapvető küldetésével, és kiegészíti a Készségek Európai Megfigyelőközpontja által szolgáltatott bizonyítékokat;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felhívja a tagállamokat és a Bizottságot, hogy hozzanak célzott intézkedéseket a nemek közötti szakadék megszüntetésére a természettudományokkal, a technológiával, a műszaki tudományokkal és a matematikával kapcsolatos oktatásban és képzésben, többek között a szakképzésben, kezelve a sztereotípiákat, javítva a megtartást és az előrehaladást, valamint biztosítva a minőségi képzéshez, a tanulószerződéses gyakorlati képzéshez és a jövőbeli karrierekhez való egyenlő hozzáférést a stratégiai ágazatokban;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hangsúlyozza, hogy a jól működő szociális párbeszéd, a kollektív szerződések és a szociális partnerek érdemi bevonása elengedhetetlen a szakképzés vonzerejének és minőségének javításához, a készségigények előrejelzéséhez, valamint a munkavállalók zöld és digitális átállás során történő támogatásához;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olyan intézkedéseket szorgalmaz, amelyek további támogatást nyújtanak és egyszerűsítik az adminisztratív eljárásokat annak érdekében, hogy megkönnyítsék és vonzóbbá tegyék a vállalatok és a kkv-k számára a nemzetközi tanulószerződéses tanulók fogadását és kiküldését;</w:t>
            </w:r>
            <w:r>
              <w:t xml:space="preserve"> </w:t>
            </w:r>
            <w:r>
              <w:rPr>
                <w:b/>
                <w:i/>
              </w:rPr>
              <w:t>felszólít a papírmentes Erasmus és az Erasmus diákigazolvány mielőbbi bevezetésére a szakképzési ágazatban;</w:t>
            </w:r>
            <w:r>
              <w:t xml:space="preserve"> </w:t>
            </w:r>
            <w:r>
              <w:rPr>
                <w:b/>
                <w:i/>
              </w:rPr>
              <w:t>kéri, hogy különítsenek el költségvetést a szakképző intézmények számára, hogy több nemzetközi mobilitási koordinátort alkalmazzanak;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ösztönzi a vállalkozások, a szakképző intézmények és a közvetítő szervezetek közötti partnerségek és cserehálózatok kialakítását a tanulószerződéses gyakorlati képzési mobilitás megkönnyítése érdekében, különösen a korlátozott adminisztratív és szervezeti kapacitással rendelkező kkv-k esetében;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c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megjegyzi, hogy meg kell erősíteni a szakképzésben részt vevő és a felsőoktatásban tanuló diákok közötti együttműködést és kapcsolatot;</w:t>
            </w:r>
            <w:r>
              <w:t xml:space="preserve"> </w:t>
            </w:r>
            <w:r>
              <w:rPr>
                <w:b/>
                <w:i/>
              </w:rPr>
              <w:t>úgy véli, hogy a közös tanulási környezetek, a közös projektek és a két csoport közötti rendszeres eszmecserék elősegítése javíthatja a kölcsönös megértést, támogathatja a zökkenőmentesebb előrehaladási pályákat, és előmozdíthatja az innovatívabb és inkluzívabb tanulási ökoszisztémákat;</w:t>
            </w:r>
            <w:r>
              <w:t xml:space="preserve"> </w:t>
            </w:r>
            <w:r>
              <w:rPr>
                <w:b/>
                <w:i/>
              </w:rPr>
              <w:t>felhívja a Bizottságot, hogy vizsgálja meg egy Erasmus+ kísérleti projekt lehetőségét a szakképzésben részt vevő és az egyetemi hallgatók ágazatközi nemzetközi mobilitási projektjei számára;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c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felhívja a Bizottságot, hogy a készségek uniójának végrehajtása során építsen a meglévő európai és nemzeti struktúrákra, szakértelemre és partnerségekre, elkerülve a szükségtelen adminisztratív összetettséget és biztosítva az erőforrások hatékony felhasználását;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d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(7d)</w:t>
            </w:r>
            <w:r>
              <w:tab/>
            </w:r>
            <w:r>
              <w:rPr>
                <w:b/>
                <w:i/>
              </w:rPr>
              <w:t>úgy véli, hogy a diákok aktív részvétele és képviselete létfontosságú a hatékony kormányzáshoz valamennyi oktatási intézményben;</w:t>
            </w:r>
            <w:r>
              <w:t xml:space="preserve"> </w:t>
            </w:r>
            <w:r>
              <w:rPr>
                <w:b/>
                <w:i/>
              </w:rPr>
              <w:t>sajnálatát fejezi ki amiatt, hogy a szakképző intézmények gyakran nem vonják be megfelelően a diákokat döntéshozó szerveikbe, és hogy a szakképzésben részt vevő diákok gyakran gyenge jogi védelemben részesülnek a képviselethez való joguk tekintetében;</w:t>
            </w:r>
            <w:r>
              <w:t xml:space="preserve"> </w:t>
            </w:r>
            <w:r>
              <w:rPr>
                <w:b/>
                <w:i/>
              </w:rPr>
              <w:t>felhívja a tagállamokat, hogy biztosítsák a diákok részvételére vonatkozó jogi rendelkezéseket;</w:t>
            </w:r>
            <w:r>
              <w:t xml:space="preserve"> </w:t>
            </w:r>
            <w:r>
              <w:rPr>
                <w:b/>
                <w:i/>
              </w:rPr>
              <w:t>felhívja az Európai Bizottságot, hogy támogassa a szakképzésben részt vevő diákok európai képviseleti hálózatának kialakítását;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Angelika Winzig, Eleonora Meleti,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d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(7d)</w:t>
            </w:r>
            <w:r>
              <w:tab/>
            </w:r>
            <w:r>
              <w:rPr>
                <w:b/>
                <w:i/>
              </w:rPr>
              <w:t>üdvözli a Bizottság arra irányuló folyamatos erőfeszítéseit, hogy megkönnyítse a határokon átnyúló mobilitást és a készségek hordozhatóságát, többek között a készségek hordozhatóságára vonatkozó, küszöbön álló kezdeményezés, valamint az adminisztratív eljárások digitalizálása és egyszerűsítése révén, különösen olyan kezdeményezések révén, mint az európai társadalombiztosítási kártya (ESSPASS) és az e-nyilatkozatok rendszere, az adminisztratív terhek csökkentése, valamint a tanulók, a munkavállalók és a munkáltatók mobilitásának Unió-szerte történő megkönnyítése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e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(7e)</w:t>
            </w:r>
            <w:r>
              <w:tab/>
            </w:r>
            <w:r>
              <w:rPr>
                <w:b/>
                <w:i/>
              </w:rPr>
              <w:t>felhívja a Bizottságot és a tagállamokat, hogy koherens és elismert felsőfokú képesítési pályaként erősítsék meg az EKKR 5. szintjét;</w:t>
            </w:r>
            <w:r>
              <w:t xml:space="preserve"> </w:t>
            </w:r>
            <w:r>
              <w:rPr>
                <w:b/>
                <w:i/>
              </w:rPr>
              <w:t>hangsúlyozza, hogy szerepe és láthatósága tekintetében nagyobb következetességre van szükség a tagállamokban;</w:t>
            </w:r>
            <w:r>
              <w:t xml:space="preserve"> </w:t>
            </w:r>
            <w:r>
              <w:rPr>
                <w:b/>
                <w:i/>
              </w:rPr>
              <w:t>hangsúlyozza az egyértelmű progresszív útvonalak, a megerősített kreditátviteli megállapodások, valamint a szakképzési és felsőoktatási rendszerek közötti jobb átjárhatóság fontosságát, ugyanakkor hangsúlyozza, hogy az EKKR 3. és 4. szintjét értékes és teljes képesítési szintként kell elismerni a munkaerőpiacra belépni kívánó tanulók számára;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felhívja a Bizottságot, hogy az európai szemeszter </w:t>
            </w:r>
            <w:r>
              <w:rPr>
                <w:b/>
                <w:i/>
              </w:rPr>
              <w:t>országspecifikus ajánlásai és az</w:t>
            </w:r>
            <w:r>
              <w:t xml:space="preserve"> uniós </w:t>
            </w:r>
            <w:r>
              <w:rPr>
                <w:b/>
                <w:i/>
              </w:rPr>
              <w:t>finanszírozás elkülönítése</w:t>
            </w:r>
            <w:r>
              <w:t xml:space="preserve"> révén támogassa a tagállamokat </w:t>
            </w:r>
            <w:r>
              <w:rPr>
                <w:b/>
                <w:i/>
              </w:rPr>
              <w:t>abban, hogy kellő mértékben beruházzanak</w:t>
            </w:r>
            <w:r>
              <w:t xml:space="preserve"> a szakképzésbe; emlékeztet arra, hogy az Igazságos Átmenet Alap keretében a készségek és a kis- és középvállalkozások finanszírozásának ötvözése révén sikeres beruházásokat hajtottak végre a helyi gazdaságokban, és javasolja, hogy a szakképzés előmozdítása érdekében ezt a példát kövessék a tagállamok nemzeti és regionális partnerségi terveiben;</w:t>
            </w:r>
          </w:p>
        </w:tc>
        <w:tc>
          <w:tcPr>
            <w:tcW w:w="4876" w:type="dxa"/>
            <w:tcBorders>
              <w:top w:val="nil"/>
              <w:left w:val="nil"/>
              <w:bottom w:val="nil"/>
              <w:right w:val="nil"/>
            </w:tcBorders>
          </w:tcPr>
          <w:p>
            <w:pPr>
              <w:pStyle w:val="Normal6a"/>
            </w:pPr>
            <w:r>
              <w:t>(8)</w:t>
            </w:r>
            <w:r>
              <w:tab/>
            </w:r>
            <w:r>
              <w:t>felhívja a Bizottságot, hogy az európai szemeszter</w:t>
            </w:r>
            <w:r>
              <w:rPr>
                <w:b/>
                <w:i/>
              </w:rPr>
              <w:t>, a kohéziós politika és a célzott</w:t>
            </w:r>
            <w:r>
              <w:t xml:space="preserve"> uniós </w:t>
            </w:r>
            <w:r>
              <w:rPr>
                <w:b/>
                <w:i/>
              </w:rPr>
              <w:t>finanszírozási eszközök</w:t>
            </w:r>
            <w:r>
              <w:t xml:space="preserve"> révén támogassa a tagállamokat a szakképzésbe </w:t>
            </w:r>
            <w:r>
              <w:rPr>
                <w:b/>
                <w:i/>
              </w:rPr>
              <w:t>történő közberuházások jelentős növelésében;</w:t>
            </w:r>
            <w:r>
              <w:t xml:space="preserve"> </w:t>
            </w:r>
            <w:r>
              <w:rPr>
                <w:b/>
                <w:i/>
              </w:rPr>
              <w:t>hangsúlyozza, hogy a magas színvonalú szakképzéshez való hozzáférés nem függhet a regionális jóléttől vagy a helyi költségvetési kapacitástól</w:t>
            </w:r>
            <w:r>
              <w:t>; emlékeztet arra, hogy az Igazságos Átmenet Alap keretében a készségek és a kis- és középvállalkozások finanszírozásának ötvözése révén sikeres beruházásokat hajtottak végre a helyi gazdaságokban, és javasolja, hogy a szakképzés előmozdítása érdekében ezt a példát kövessék a tagállamok nemzeti és regionális partnerségi terveiben;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felhívja a Bizottságot, hogy az európai szemeszter országspecifikus ajánlásai és </w:t>
            </w:r>
            <w:r>
              <w:rPr>
                <w:b/>
                <w:i/>
              </w:rPr>
              <w:t>az</w:t>
            </w:r>
            <w:r>
              <w:t xml:space="preserve"> uniós </w:t>
            </w:r>
            <w:r>
              <w:rPr>
                <w:b/>
                <w:i/>
              </w:rPr>
              <w:t>finanszírozás elkülönítése</w:t>
            </w:r>
            <w:r>
              <w:t xml:space="preserve"> révén támogassa a tagállamokat abban, hogy kellő mértékben beruházzanak a szakképzésbe; emlékeztet arra, hogy az Igazságos Átmenet Alap keretében a készségek és a kis- és középvállalkozások finanszírozásának ötvözése révén sikeres beruházásokat hajtottak végre a helyi gazdaságokban, és javasolja, hogy a szakképzés előmozdítása érdekében ezt a példát kövessék a tagállamok nemzeti és regionális partnerségi terveiben;</w:t>
            </w:r>
          </w:p>
        </w:tc>
        <w:tc>
          <w:tcPr>
            <w:tcW w:w="4876" w:type="dxa"/>
            <w:tcBorders>
              <w:top w:val="nil"/>
              <w:left w:val="nil"/>
              <w:bottom w:val="nil"/>
              <w:right w:val="nil"/>
            </w:tcBorders>
          </w:tcPr>
          <w:p>
            <w:pPr>
              <w:pStyle w:val="Normal6a"/>
            </w:pPr>
            <w:r>
              <w:t>(8)</w:t>
            </w:r>
            <w:r>
              <w:tab/>
            </w:r>
            <w:r>
              <w:t xml:space="preserve">felhívja a Bizottságot, hogy az európai szemeszter országspecifikus ajánlásai és </w:t>
            </w:r>
            <w:r>
              <w:rPr>
                <w:b/>
                <w:i/>
              </w:rPr>
              <w:t>a rendelkezésre álló</w:t>
            </w:r>
            <w:r>
              <w:t xml:space="preserve"> uniós </w:t>
            </w:r>
            <w:r>
              <w:rPr>
                <w:b/>
                <w:i/>
              </w:rPr>
              <w:t>finanszírozási eszközök hatékony felhasználása</w:t>
            </w:r>
            <w:r>
              <w:t xml:space="preserve"> révén támogassa a tagállamokat abban, hogy kellő mértékben beruházzanak a szakképzésbe; emlékeztet arra, hogy az Igazságos Átmenet Alap keretében a készségek és a kis- és középvállalkozások finanszírozásának ötvözése révén sikeres beruházásokat hajtottak végre a helyi gazdaságokban, és javasolja, hogy a szakképzés előmozdítása érdekében ezt a példát kövessék a tagállamok nemzeti és regionális partnerségi terveiben;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felhívja a Bizottságot, hogy </w:t>
            </w:r>
            <w:r>
              <w:rPr>
                <w:b/>
                <w:i/>
              </w:rPr>
              <w:t>az európai szemeszter</w:t>
            </w:r>
            <w:r>
              <w:t xml:space="preserve"> országspecifikus </w:t>
            </w:r>
            <w:r>
              <w:rPr>
                <w:b/>
                <w:i/>
              </w:rPr>
              <w:t>ajánlásai</w:t>
            </w:r>
            <w:r>
              <w:t xml:space="preserve"> és az uniós finanszírozás elkülönítése révén támogassa a tagállamokat abban, hogy kellő mértékben beruházzanak a szakképzésbe; emlékeztet arra, hogy az Igazságos Átmenet Alap keretében a készségek és a kis- és középvállalkozások finanszírozásának ötvözése révén sikeres beruházásokat hajtottak végre a helyi gazdaságokban, és javasolja, hogy a szakképzés előmozdítása érdekében ezt a példát kövessék a tagállamok nemzeti és regionális partnerségi terveiben;</w:t>
            </w:r>
          </w:p>
        </w:tc>
        <w:tc>
          <w:tcPr>
            <w:tcW w:w="4876" w:type="dxa"/>
            <w:tcBorders>
              <w:top w:val="nil"/>
              <w:left w:val="nil"/>
              <w:bottom w:val="nil"/>
              <w:right w:val="nil"/>
            </w:tcBorders>
          </w:tcPr>
          <w:p>
            <w:pPr>
              <w:pStyle w:val="Normal6a"/>
            </w:pPr>
            <w:r>
              <w:t>(8)</w:t>
            </w:r>
            <w:r>
              <w:tab/>
            </w:r>
            <w:r>
              <w:t xml:space="preserve">felhívja a Bizottságot, hogy országspecifikus </w:t>
            </w:r>
            <w:r>
              <w:rPr>
                <w:b/>
                <w:i/>
              </w:rPr>
              <w:t>ajánlások</w:t>
            </w:r>
            <w:r>
              <w:t xml:space="preserve"> és az uniós finanszírozás elkülönítése révén támogassa a tagállamokat abban, hogy kellő mértékben beruházzanak a szakképzésbe; emlékeztet arra, hogy az Igazságos Átmenet Alap keretében a készségek és a kis- és középvállalkozások finanszírozásának ötvözése révén sikeres beruházásokat hajtottak végre a helyi gazdaságokban, és javasolja, hogy a szakképzés előmozdítása érdekében ezt a példát kövessék a tagállamok nemzeti és regionális partnerségi terveiben;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felhívja a Bizottságot, hogy az európai szemeszter országspecifikus ajánlásai és az uniós finanszírozás elkülönítése révén támogassa a tagállamokat abban, hogy kellő mértékben beruházzanak a szakképzésbe; emlékeztet arra, hogy az Igazságos Átmenet Alap keretében a készségek és a kis- és középvállalkozások finanszírozásának ötvözése révén sikeres beruházásokat hajtottak végre a helyi gazdaságokban, és javasolja, hogy a szakképzés előmozdítása érdekében ezt a példát kövessék a tagállamok nemzeti és regionális partnerségi terveiben;</w:t>
            </w:r>
          </w:p>
        </w:tc>
        <w:tc>
          <w:tcPr>
            <w:tcW w:w="4876" w:type="dxa"/>
            <w:tcBorders>
              <w:top w:val="nil"/>
              <w:left w:val="nil"/>
              <w:bottom w:val="nil"/>
              <w:right w:val="nil"/>
            </w:tcBorders>
          </w:tcPr>
          <w:p>
            <w:pPr>
              <w:pStyle w:val="Normal6a"/>
            </w:pPr>
            <w:r>
              <w:t>(8)</w:t>
            </w:r>
            <w:r>
              <w:tab/>
            </w:r>
            <w:r>
              <w:t xml:space="preserve">felhívja a Bizottságot, hogy az európai szemeszter országspecifikus ajánlásai és az uniós finanszírozás elkülönítése révén támogassa a tagállamokat abban, hogy kellő mértékben beruházzanak a szakképzésbe; emlékeztet arra, hogy az Igazságos Átmenet Alap keretében a készségek és a kis- és középvállalkozások </w:t>
            </w:r>
            <w:r>
              <w:rPr>
                <w:b/>
                <w:i/>
              </w:rPr>
              <w:t>és a szociális vállalkozások</w:t>
            </w:r>
            <w:r>
              <w:t xml:space="preserve"> finanszírozásának ötvözése révén sikeres beruházásokat hajtottak végre a helyi gazdaságokban, és javasolja, hogy a szakképzés előmozdítása érdekében ezt a példát kövessék a tagállamok nemzeti és regionális partnerségi terveiben; </w:t>
            </w:r>
            <w:r>
              <w:rPr>
                <w:b/>
                <w:i/>
              </w:rPr>
              <w:t>felhívja a Bizottságot és a tagállamokat annak biztosítására, hogy ezek az intézkedések beágyazódjanak az igazságos átmenet stratégiáiba, és azokat megfelelő közfinanszírozás, szociális párbeszéd és a munkával töltött életszakasz során a minőségi képzéshez való hozzáférés támogassa;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felhívja a Bizottságot, hogy az európai szemeszter országspecifikus ajánlásai és az uniós finanszírozás elkülönítése révén támogassa a tagállamokat abban, hogy kellő mértékben beruházzanak a szakképzésbe; emlékeztet arra, hogy az Igazságos Átmenet Alap keretében a készségek és a kis- és középvállalkozások finanszírozásának ötvözése révén sikeres beruházásokat hajtottak végre a helyi gazdaságokban, és javasolja, hogy a szakképzés előmozdítása érdekében ezt a példát kövessék a tagállamok nemzeti és regionális partnerségi terveiben;</w:t>
            </w:r>
          </w:p>
        </w:tc>
        <w:tc>
          <w:tcPr>
            <w:tcW w:w="4876" w:type="dxa"/>
            <w:tcBorders>
              <w:top w:val="nil"/>
              <w:left w:val="nil"/>
              <w:bottom w:val="nil"/>
              <w:right w:val="nil"/>
            </w:tcBorders>
          </w:tcPr>
          <w:p>
            <w:pPr>
              <w:pStyle w:val="Normal6a"/>
            </w:pPr>
            <w:r>
              <w:t>(8)</w:t>
            </w:r>
            <w:r>
              <w:tab/>
            </w:r>
            <w:r>
              <w:t xml:space="preserve">felhívja a Bizottságot, hogy az európai szemeszter országspecifikus ajánlásai és az uniós finanszírozás elkülönítése révén támogassa a tagállamokat abban, hogy kellő mértékben beruházzanak a szakképzésbe; emlékeztet arra, hogy az Igazságos Átmenet Alap keretében a készségek és a kis- és középvállalkozások finanszírozásának ötvözése révén sikeres beruházásokat hajtottak végre a helyi gazdaságokban, és javasolja, hogy a szakképzés előmozdítása érdekében ezt a példát kövessék a tagállamok nemzeti és regionális partnerségi terveiben; </w:t>
            </w:r>
            <w:r>
              <w:rPr>
                <w:b/>
                <w:i/>
              </w:rPr>
              <w:t>hangsúlyozza továbbá, hogy a beruházásoknak a tartós munkaerőhiánnyal küzdő és stratégiai ipari jelentőséggel bíró ágazatokra kell irányulniuk.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felhívja a Bizottságot, hogy az európai szemeszter országspecifikus ajánlásai és az uniós finanszírozás elkülönítése révén támogassa a tagállamokat abban, hogy kellő mértékben beruházzanak a szakképzésbe; emlékeztet arra, hogy az Igazságos Átmenet Alap keretében a készségek és a kis- és középvállalkozások finanszírozásának ötvözése révén sikeres beruházásokat hajtottak végre a helyi gazdaságokban, és javasolja, hogy a szakképzés előmozdítása érdekében ezt a példát </w:t>
            </w:r>
            <w:r>
              <w:rPr>
                <w:b/>
                <w:i/>
              </w:rPr>
              <w:t>kövessék</w:t>
            </w:r>
            <w:r>
              <w:t xml:space="preserve"> a tagállamok nemzeti és regionális partnerségi terveiben;</w:t>
            </w:r>
          </w:p>
        </w:tc>
        <w:tc>
          <w:tcPr>
            <w:tcW w:w="4876" w:type="dxa"/>
            <w:tcBorders>
              <w:top w:val="nil"/>
              <w:left w:val="nil"/>
              <w:bottom w:val="nil"/>
              <w:right w:val="nil"/>
            </w:tcBorders>
          </w:tcPr>
          <w:p>
            <w:pPr>
              <w:pStyle w:val="Normal6a"/>
            </w:pPr>
            <w:r>
              <w:t>(8)</w:t>
            </w:r>
            <w:r>
              <w:tab/>
            </w:r>
            <w:r>
              <w:t xml:space="preserve">felhívja a Bizottságot, hogy az európai szemeszter országspecifikus ajánlásai és az uniós finanszírozás elkülönítése révén támogassa a tagállamokat abban, hogy kellő mértékben beruházzanak a szakképzésbe; emlékeztet arra, hogy az Igazságos Átmenet Alap keretében a készségek és a kis- és középvállalkozások finanszírozásának ötvözése révén sikeres beruházásokat hajtottak végre a helyi gazdaságokban, és javasolja, hogy a szakképzés előmozdítása érdekében ezt a példát </w:t>
            </w:r>
            <w:r>
              <w:rPr>
                <w:b/>
                <w:i/>
              </w:rPr>
              <w:t>vegyék figyelembe</w:t>
            </w:r>
            <w:r>
              <w:t xml:space="preserve"> a tagállamok nemzeti és regionális partnerségi terveiben;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8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felhívja a Bizottságot, hogy terjesszen elő ambiciózus európai szakképzési stratégiát;</w:t>
            </w:r>
            <w:r>
              <w:t xml:space="preserve"> </w:t>
            </w:r>
            <w:r>
              <w:rPr>
                <w:b/>
                <w:i/>
              </w:rPr>
              <w:t>ösztönzi a Bizottságot, hogy szisztematikusan és már korai szakaszban vonja be a szociális partnereket és a szakképző intézményeket a szakképzési politikák kialakításába, végrehajtásába és irányításába;</w:t>
            </w:r>
            <w:r>
              <w:t xml:space="preserve"> </w:t>
            </w:r>
            <w:r>
              <w:rPr>
                <w:b/>
                <w:i/>
              </w:rPr>
              <w:t>felhívja a Bizottságot és a Tanácsot, hogy módosítsák a Cedefop létrehozásáról szóló rendeletet annak biztosítása érdekében, hogy a szakképző intézményeket szisztematikusan bevonják annak irányítási és tanácsadói struktúráiba;</w:t>
            </w:r>
            <w:r>
              <w:t xml:space="preserve"> </w:t>
            </w:r>
            <w:r>
              <w:rPr>
                <w:b/>
                <w:i/>
              </w:rPr>
              <w:t>ösztönzi a Bizottságot, hogy a szakképző intézmények képviseletei számára biztosítson tagi szerepet a Szakképzési Tanácsadó Bizottságban és a készségekkel foglalkozó magas szintű európai testületben;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8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felszólít továbbá a szakképzési rendszerekbe történő tartós közberuházásokra, különös tekintettel a strukturális munkaerőpiaci kihívásokkal, szakemberhiánnyal vagy a képzési lehetőségekhez való korlátozott hozzáféréssel szembesülő régiókra, beleértve a vidéki, távoli, legkülső, dezindusztrializált és gazdaságilag hátrányos helyzetű területeket is, a helyi készség-ökoszisztémák megerősítése, valamint a foglalkoztatásra, az innovációra és a területi kohézióra gyakorolt pozitív tovagyűrűző hatások támogatása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8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hangsúlyozza, hogy a stratégiai ágazatokba, valamint a zöld és digitális átállásba történő uniós beruházások csak akkor tudják teljes mértékben kifejteni hatásukat, ha a munkavállalók, a tanulók és a munkáltatók hozzáférnek az új technológiák bevezetéséhez, működtetéséhez és skálázásához szükséges készségekhez;</w:t>
            </w:r>
            <w:r>
              <w:t xml:space="preserve"> </w:t>
            </w:r>
            <w:r>
              <w:rPr>
                <w:b/>
                <w:i/>
              </w:rPr>
              <w:t>emlékeztet arra, hogy a tartós készséghiány a képzésbe való régóta fennálló alulfinanszírozottságot, a gyenge koordinációt és a minőségi tanulási lehetőségekhez való egyenlőtlen hozzáférést tükrözi, és lassíthatja az ipari bevezetést, korlátozhatja az innovációt és gyengítheti az Unió versenyképességét;</w:t>
            </w:r>
            <w:r>
              <w:t xml:space="preserve"> </w:t>
            </w:r>
            <w:r>
              <w:rPr>
                <w:b/>
                <w:i/>
              </w:rPr>
              <w:t>hangsúlyozza ezért, hogy a szakképzés, a továbbképzés és az átképzés támogatásának valamennyi releváns uniós beruházási és szakpolitikai eszköz szerves részét kell képeznie, többek között úgy, hogy minden egyes vonatkozó programban vagy politikai keretben a források jelentős és kiszámítható hányadát szánják a készségfejlesztésre, képzés biztosítására és a munkaerő alkalmazkodására;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támogatja a munkáltatók </w:t>
            </w:r>
            <w:r>
              <w:rPr>
                <w:b/>
                <w:i/>
              </w:rPr>
              <w:t>és a szakképzési szolgáltatók</w:t>
            </w:r>
            <w:r>
              <w:t xml:space="preserve"> közötti </w:t>
            </w:r>
            <w:r>
              <w:rPr>
                <w:b/>
                <w:i/>
              </w:rPr>
              <w:t>uniós és nemzeti szintű</w:t>
            </w:r>
            <w:r>
              <w:t xml:space="preserve"> partnerségeket a szakképzési tantervek relevanciájának és minőségének javítása érdekében; </w:t>
            </w:r>
            <w:r>
              <w:rPr>
                <w:b/>
                <w:i/>
              </w:rPr>
              <w:t>kéri</w:t>
            </w:r>
            <w:r>
              <w:t xml:space="preserve">, hogy a </w:t>
            </w:r>
            <w:r>
              <w:rPr>
                <w:b/>
                <w:i/>
              </w:rPr>
              <w:t>szakképzési szolgáltatókat kapcsolják össze a regionális ipari és technológiai klaszterekkel</w:t>
            </w:r>
            <w:r>
              <w:t>;</w:t>
            </w:r>
          </w:p>
        </w:tc>
        <w:tc>
          <w:tcPr>
            <w:tcW w:w="4876" w:type="dxa"/>
            <w:tcBorders>
              <w:top w:val="nil"/>
              <w:left w:val="nil"/>
              <w:bottom w:val="nil"/>
              <w:right w:val="nil"/>
            </w:tcBorders>
          </w:tcPr>
          <w:p>
            <w:pPr>
              <w:pStyle w:val="Normal6a"/>
            </w:pPr>
            <w:r>
              <w:t>(9)</w:t>
            </w:r>
            <w:r>
              <w:tab/>
            </w:r>
            <w:r>
              <w:t>támogatja a munkáltatók</w:t>
            </w:r>
            <w:r>
              <w:rPr>
                <w:b/>
                <w:i/>
              </w:rPr>
              <w:t>, a szakképző intézmények, a szakszervezetek és a hatóságok</w:t>
            </w:r>
            <w:r>
              <w:t xml:space="preserve"> közötti partnerségeket a szakképzési tantervek relevanciájának és minőségének javítása érdekében; </w:t>
            </w:r>
            <w:r>
              <w:rPr>
                <w:b/>
                <w:i/>
              </w:rPr>
              <w:t>hangsúlyozza</w:t>
            </w:r>
            <w:r>
              <w:t xml:space="preserve">, hogy a </w:t>
            </w:r>
            <w:r>
              <w:rPr>
                <w:b/>
                <w:i/>
              </w:rPr>
              <w:t>szociális partnereknek központi szerepet kell játszaniuk a tantervek kidolgozásában, a tanulószerződéses gyakorlati képzés normáiban kialakításában és a készségigények előrejelzésében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támogatja a munkáltatók és a </w:t>
            </w:r>
            <w:r>
              <w:rPr>
                <w:b/>
                <w:i/>
              </w:rPr>
              <w:t>szakképzési szolgáltatók</w:t>
            </w:r>
            <w:r>
              <w:t xml:space="preserve"> közötti uniós és nemzeti szintű partnerségeket a szakképzési tantervek relevanciájának és minőségének javítása érdekében; kéri, hogy a </w:t>
            </w:r>
            <w:r>
              <w:rPr>
                <w:b/>
                <w:i/>
              </w:rPr>
              <w:t>szakképzési szolgáltatókat</w:t>
            </w:r>
            <w:r>
              <w:t xml:space="preserve"> kapcsolják össze a regionális ipari és technológiai klaszterekkel;</w:t>
            </w:r>
          </w:p>
        </w:tc>
        <w:tc>
          <w:tcPr>
            <w:tcW w:w="4876" w:type="dxa"/>
            <w:tcBorders>
              <w:top w:val="nil"/>
              <w:left w:val="nil"/>
              <w:bottom w:val="nil"/>
              <w:right w:val="nil"/>
            </w:tcBorders>
          </w:tcPr>
          <w:p>
            <w:pPr>
              <w:pStyle w:val="Normal6a"/>
            </w:pPr>
            <w:r>
              <w:t>(9)</w:t>
            </w:r>
            <w:r>
              <w:tab/>
            </w:r>
            <w:r>
              <w:t xml:space="preserve">támogatja a munkáltatók és a </w:t>
            </w:r>
            <w:r>
              <w:rPr>
                <w:b/>
                <w:i/>
              </w:rPr>
              <w:t>szakképző intézmények</w:t>
            </w:r>
            <w:r>
              <w:t xml:space="preserve"> közötti uniós és nemzeti szintű partnerségeket a szakképzési tantervek relevanciájának és minőségének javítása érdekében; kéri, hogy a </w:t>
            </w:r>
            <w:r>
              <w:rPr>
                <w:b/>
                <w:i/>
              </w:rPr>
              <w:t>szakképző intézményeket</w:t>
            </w:r>
            <w:r>
              <w:t xml:space="preserve"> kapcsolják össze a regionális ipari és technológiai klaszterekkel; </w:t>
            </w:r>
            <w:r>
              <w:rPr>
                <w:b/>
                <w:i/>
              </w:rPr>
              <w:t>hangsúlyozza, hogy értékelni kell a helyi szakképző intézményeket, például az iskolákat, a műszaki intézeteket és az akkreditált képzési központokat, mivel ezek létfontosságú kapcsolatként szolgálnak a tanulók és a helyi munkaerőpiac között;</w:t>
            </w:r>
            <w:r>
              <w:t xml:space="preserve"> </w:t>
            </w:r>
            <w:r>
              <w:rPr>
                <w:b/>
                <w:i/>
              </w:rPr>
              <w:t>hangsúlyozza, hogy a sajátos helyi igények alapos ismeretének köszönhetően ezek jelentik a leghatékonyabb csatornákat az oktatási keresletnek a regionális termelési szerkezethez való igazítására, különös tekintettel a kkv-kra;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támogatja a munkáltatók és a </w:t>
            </w:r>
            <w:r>
              <w:rPr>
                <w:b/>
                <w:i/>
              </w:rPr>
              <w:t>szakképzési szolgáltatók</w:t>
            </w:r>
            <w:r>
              <w:t xml:space="preserve"> közötti uniós és nemzeti szintű partnerségeket a szakképzési tantervek relevanciájának és minőségének javítása érdekében; kéri, hogy a </w:t>
            </w:r>
            <w:r>
              <w:rPr>
                <w:b/>
                <w:i/>
              </w:rPr>
              <w:t>szakképzési szolgáltatókat</w:t>
            </w:r>
            <w:r>
              <w:t xml:space="preserve"> kapcsolják össze a regionális ipari és technológiai klaszterekkel;</w:t>
            </w:r>
          </w:p>
        </w:tc>
        <w:tc>
          <w:tcPr>
            <w:tcW w:w="4876" w:type="dxa"/>
            <w:tcBorders>
              <w:top w:val="nil"/>
              <w:left w:val="nil"/>
              <w:bottom w:val="nil"/>
              <w:right w:val="nil"/>
            </w:tcBorders>
          </w:tcPr>
          <w:p>
            <w:pPr>
              <w:pStyle w:val="Normal6a"/>
            </w:pPr>
            <w:r>
              <w:t>(9)</w:t>
            </w:r>
            <w:r>
              <w:tab/>
            </w:r>
            <w:r>
              <w:t xml:space="preserve">támogatja a munkáltatók és a </w:t>
            </w:r>
            <w:r>
              <w:rPr>
                <w:b/>
                <w:i/>
              </w:rPr>
              <w:t>szakképző intézmények, valamint a tanulók, a tanulószerződéses tanulók, a tanárok és az oktatásban érdekelt összes többi fél képviselői</w:t>
            </w:r>
            <w:r>
              <w:t xml:space="preserve"> közötti uniós és nemzeti szintű partnerségeket a szakképzési tantervek relevanciájának és minőségének javítása érdekében</w:t>
            </w:r>
            <w:r>
              <w:rPr>
                <w:b/>
                <w:i/>
              </w:rPr>
              <w:t>, többek között magas színvonalú tanulószerződéses gyakorlati képzési lehetőségek biztosítása révén</w:t>
            </w:r>
            <w:r>
              <w:t xml:space="preserve">; kéri, hogy a </w:t>
            </w:r>
            <w:r>
              <w:rPr>
                <w:b/>
                <w:i/>
              </w:rPr>
              <w:t>szakképző intézményeket</w:t>
            </w:r>
            <w:r>
              <w:t xml:space="preserve"> kapcsolják össze a regionális ipari és technológiai klaszterekkel; </w:t>
            </w:r>
            <w:r>
              <w:rPr>
                <w:b/>
                <w:i/>
              </w:rPr>
              <w:t>emlékeztet arra, hogy a szakma vonzerejének növelése érdekében megfelelő fizetést és munkakörülményeket kell biztosítani a szakképzésben részt vevő tanárok és oktatók számára;</w:t>
            </w:r>
            <w:r>
              <w:t xml:space="preserve"> </w:t>
            </w:r>
            <w:r>
              <w:rPr>
                <w:b/>
                <w:i/>
              </w:rPr>
              <w:t>felszólít a hibrid tanárok és oktatók lehetőségeinek bővítésére a szakképzésben;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támogatja a munkáltatók és a </w:t>
            </w:r>
            <w:r>
              <w:rPr>
                <w:b/>
                <w:i/>
              </w:rPr>
              <w:t>szakképzési szolgáltatók</w:t>
            </w:r>
            <w:r>
              <w:t xml:space="preserve"> közötti uniós és nemzeti szintű partnerségeket a szakképzési tantervek relevanciájának és minőségének javítása érdekében; </w:t>
            </w:r>
            <w:r>
              <w:rPr>
                <w:b/>
                <w:i/>
              </w:rPr>
              <w:t>kéri</w:t>
            </w:r>
            <w:r>
              <w:t xml:space="preserve">, hogy a szakképzési </w:t>
            </w:r>
            <w:r>
              <w:rPr>
                <w:b/>
                <w:i/>
              </w:rPr>
              <w:t>szolgáltatókat</w:t>
            </w:r>
            <w:r>
              <w:t xml:space="preserve"> kapcsolják össze a regionális ipari és technológiai klaszterekkel;</w:t>
            </w:r>
          </w:p>
        </w:tc>
        <w:tc>
          <w:tcPr>
            <w:tcW w:w="4876" w:type="dxa"/>
            <w:tcBorders>
              <w:top w:val="nil"/>
              <w:left w:val="nil"/>
              <w:bottom w:val="nil"/>
              <w:right w:val="nil"/>
            </w:tcBorders>
          </w:tcPr>
          <w:p>
            <w:pPr>
              <w:pStyle w:val="Normal6a"/>
            </w:pPr>
            <w:r>
              <w:t>(9)</w:t>
            </w:r>
            <w:r>
              <w:tab/>
            </w:r>
            <w:r>
              <w:t xml:space="preserve">támogatja a munkáltatók és a </w:t>
            </w:r>
            <w:r>
              <w:rPr>
                <w:b/>
                <w:i/>
              </w:rPr>
              <w:t>szakképző intézmények</w:t>
            </w:r>
            <w:r>
              <w:t xml:space="preserve"> közötti uniós és nemzeti szintű partnerségeket a szakképzési tantervek relevanciájának és minőségének javítása érdekében; </w:t>
            </w:r>
            <w:r>
              <w:rPr>
                <w:b/>
                <w:i/>
              </w:rPr>
              <w:t>felhívja a Bizottságot annak biztosítására</w:t>
            </w:r>
            <w:r>
              <w:t xml:space="preserve">, hogy a </w:t>
            </w:r>
            <w:r>
              <w:rPr>
                <w:b/>
                <w:i/>
              </w:rPr>
              <w:t>küszöbön álló</w:t>
            </w:r>
            <w:r>
              <w:t xml:space="preserve"> szakképzési </w:t>
            </w:r>
            <w:r>
              <w:rPr>
                <w:b/>
                <w:i/>
              </w:rPr>
              <w:t>stratégia támogassa a tagállamokat és a szakképző intézményeket annak biztosításában, hogy valamennyi szakképzési program és tanúsítvány – beleértve a moduláris, feladatspecifikus és digitális tanulási programokat is – megfeleljen a vonatkozó, jól elismert minőségbiztosítási rendszerekben meghatározott kritériumoknak és szabványoknak;</w:t>
            </w:r>
            <w:r>
              <w:t xml:space="preserve"> </w:t>
            </w:r>
            <w:r>
              <w:rPr>
                <w:b/>
                <w:i/>
              </w:rPr>
              <w:t>kéri, hogy a szakképző intézményeket</w:t>
            </w:r>
            <w:r>
              <w:t xml:space="preserve"> kapcsolják össze a regionális ipari és technológiai klaszterekkel;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támogatja a munkáltatók </w:t>
            </w:r>
            <w:r>
              <w:rPr>
                <w:b/>
                <w:i/>
              </w:rPr>
              <w:t>és a szakképzési szolgáltatók</w:t>
            </w:r>
            <w:r>
              <w:t xml:space="preserve"> közötti uniós és nemzeti szintű partnerségeket a szakképzési tantervek relevanciájának és minőségének javítása érdekében; kéri, hogy a </w:t>
            </w:r>
            <w:r>
              <w:rPr>
                <w:b/>
                <w:i/>
              </w:rPr>
              <w:t>szakképzési szolgáltatókat</w:t>
            </w:r>
            <w:r>
              <w:t xml:space="preserve"> kapcsolják össze a regionális ipari és technológiai klaszterekkel;</w:t>
            </w:r>
          </w:p>
        </w:tc>
        <w:tc>
          <w:tcPr>
            <w:tcW w:w="4876" w:type="dxa"/>
            <w:tcBorders>
              <w:top w:val="nil"/>
              <w:left w:val="nil"/>
              <w:bottom w:val="nil"/>
              <w:right w:val="nil"/>
            </w:tcBorders>
          </w:tcPr>
          <w:p>
            <w:pPr>
              <w:pStyle w:val="Normal6a"/>
            </w:pPr>
            <w:r>
              <w:t>(9)</w:t>
            </w:r>
            <w:r>
              <w:tab/>
            </w:r>
            <w:r>
              <w:rPr>
                <w:b/>
                <w:i/>
              </w:rPr>
              <w:t>felszólít a szakképzéssel és a tanulószerződéses gyakorlati képzéssel kapcsolatos szakpolitikákról folytatott szociális párbeszéd megerősítésére, valamint az oktatási szakszervezetekkel való hatékony együttműködésre a szakképzésben dolgozó tanári szakma vonzerejének növelése és a szakképzésben dolgozó tanárok és oktatók hiányának kezelése érdekében;</w:t>
            </w:r>
            <w:r>
              <w:t xml:space="preserve"> támogatja a munkáltatók</w:t>
            </w:r>
            <w:r>
              <w:rPr>
                <w:b/>
                <w:i/>
              </w:rPr>
              <w:t>, a szakképző intézmények és a szociális partnerek</w:t>
            </w:r>
            <w:r>
              <w:t xml:space="preserve"> közötti uniós és nemzeti szintű partnerségeket a szakképzési tantervek relevanciájának és minőségének javítása érdekében; kéri, hogy a </w:t>
            </w:r>
            <w:r>
              <w:rPr>
                <w:b/>
                <w:i/>
              </w:rPr>
              <w:t>szakképző intézményeket</w:t>
            </w:r>
            <w:r>
              <w:t xml:space="preserve"> kapcsolják össze a regionális ipari és technológiai klaszterekkel;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támogatja a munkáltatók és a </w:t>
            </w:r>
            <w:r>
              <w:rPr>
                <w:b/>
                <w:i/>
              </w:rPr>
              <w:t>szakképzési szolgáltatók</w:t>
            </w:r>
            <w:r>
              <w:t xml:space="preserve"> közötti uniós és nemzeti szintű partnerségeket a szakképzési tantervek relevanciájának és minőségének javítása érdekében; kéri, hogy a </w:t>
            </w:r>
            <w:r>
              <w:rPr>
                <w:b/>
                <w:i/>
              </w:rPr>
              <w:t>szakképzési szolgáltatókat</w:t>
            </w:r>
            <w:r>
              <w:t xml:space="preserve"> kapcsolják össze a regionális ipari és technológiai klaszterekkel;</w:t>
            </w:r>
          </w:p>
        </w:tc>
        <w:tc>
          <w:tcPr>
            <w:tcW w:w="4876" w:type="dxa"/>
            <w:tcBorders>
              <w:top w:val="nil"/>
              <w:left w:val="nil"/>
              <w:bottom w:val="nil"/>
              <w:right w:val="nil"/>
            </w:tcBorders>
          </w:tcPr>
          <w:p>
            <w:pPr>
              <w:pStyle w:val="Normal6a"/>
            </w:pPr>
            <w:r>
              <w:t>(9)</w:t>
            </w:r>
            <w:r>
              <w:tab/>
            </w:r>
            <w:r>
              <w:t xml:space="preserve">támogatja a munkáltatók és a </w:t>
            </w:r>
            <w:r>
              <w:rPr>
                <w:b/>
                <w:i/>
              </w:rPr>
              <w:t>szakképző intézmények, a szociális partnerek, a szakszervezetek, a foglalkoztatási szolgálatok, a helyi és regionális hatóságok, az ifjúsági szervezetek és a civil társadalmi szervezetek</w:t>
            </w:r>
            <w:r>
              <w:t xml:space="preserve"> közötti uniós és nemzeti szintű partnerségeket a szakképzési tantervek relevanciájának és minőségének javítása érdekében; kéri, hogy a </w:t>
            </w:r>
            <w:r>
              <w:rPr>
                <w:b/>
                <w:i/>
              </w:rPr>
              <w:t>szakképző intézményeket</w:t>
            </w:r>
            <w:r>
              <w:t xml:space="preserve"> kapcsolják össze a regionális ipari és technológiai klaszterekkel;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Angelika Winzig, Eleonora Meleti,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támogatja a munkáltatók </w:t>
            </w:r>
            <w:r>
              <w:rPr>
                <w:b/>
                <w:i/>
              </w:rPr>
              <w:t>és a szakképzési szolgáltatók</w:t>
            </w:r>
            <w:r>
              <w:t> közötti uniós és nemzeti szintű partnerségeket a szakképzési tantervek relevanciájának és minőségének javítása érdekében; kéri, hogy a </w:t>
            </w:r>
            <w:r>
              <w:rPr>
                <w:b/>
                <w:i/>
              </w:rPr>
              <w:t>szakképzési szolgáltatókat</w:t>
            </w:r>
            <w:r>
              <w:t> kapcsolják össze a regionális ipari és technológiai klaszterekkel;</w:t>
            </w:r>
          </w:p>
        </w:tc>
        <w:tc>
          <w:tcPr>
            <w:tcW w:w="4876" w:type="dxa"/>
            <w:tcBorders>
              <w:top w:val="nil"/>
              <w:left w:val="nil"/>
              <w:bottom w:val="nil"/>
              <w:right w:val="nil"/>
            </w:tcBorders>
          </w:tcPr>
          <w:p>
            <w:pPr>
              <w:pStyle w:val="Normal6a"/>
            </w:pPr>
            <w:r>
              <w:t>(9)</w:t>
            </w:r>
            <w:r>
              <w:tab/>
            </w:r>
            <w:r>
              <w:t>támogatja a munkáltatók</w:t>
            </w:r>
            <w:r>
              <w:rPr>
                <w:b/>
                <w:i/>
              </w:rPr>
              <w:t>, a szakképző intézmények és különösen a szociális partnerek</w:t>
            </w:r>
            <w:r>
              <w:t xml:space="preserve"> közötti uniós és nemzeti szintű partnerségeket a szakképzési tantervek relevanciájának és minőségének javítása érdekében; kéri, hogy a </w:t>
            </w:r>
            <w:r>
              <w:rPr>
                <w:b/>
                <w:i/>
              </w:rPr>
              <w:t>szakképző intézményeket</w:t>
            </w:r>
            <w:r>
              <w:t xml:space="preserve"> kapcsolják össze a regionális ipari és technológiai klaszterekkel;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9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hangsúlyozza, hogy a szakképzési kiválósági központokat az európai szakképzési rendszerek jövőbeli fejlesztésének középpontjába kell helyezni, mivel ezek a strukturális reformok, az innováció, az elismerés és a korszerűsítés fő mozgatórugói;</w:t>
            </w:r>
            <w:r>
              <w:t xml:space="preserve"> </w:t>
            </w:r>
            <w:r>
              <w:rPr>
                <w:b/>
                <w:i/>
              </w:rPr>
              <w:t>felhívja a Bizottságot, hogy erősítse meg a szakképzési kiválósági központok számára a hosszú távú befektetési lehetőségeket, és azokat az európai egyetemi szövetségekkel azonos módon finanszírozza;</w:t>
            </w:r>
            <w:r>
              <w:t xml:space="preserve"> </w:t>
            </w:r>
            <w:r>
              <w:rPr>
                <w:b/>
                <w:i/>
              </w:rPr>
              <w:t>hangsúlyozza, hogy a szakképzési kiválósági központok összefogják az oktatási szolgáltatókat, a vállalkozásokat, a regionális hatóságokat és a szociális partnereket a munkaerőpiaci igények kezelése, az innováció előmozdítása, a regionális versenyképesség megerősítése, valamint a zöld és digitális átállás támogatása érdekében;</w:t>
            </w:r>
            <w:r>
              <w:t xml:space="preserve"> </w:t>
            </w:r>
            <w:r>
              <w:rPr>
                <w:b/>
                <w:i/>
              </w:rPr>
              <w:t>felszólít a szakképzési kiválósági központok független értékelésére;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9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elismeri, hogy a vállalkozások központi szerepet játszanak a szakképzésben, különösen a duális képzési rendszerekben azáltal, hogy munkaalapú tanulási környezetet biztosítanak, naprakész készségeket és kompetenciákat közvetítenek, és támogatják az innovációt;</w:t>
            </w:r>
            <w:r>
              <w:t xml:space="preserve"> </w:t>
            </w:r>
            <w:r>
              <w:rPr>
                <w:b/>
                <w:i/>
              </w:rPr>
              <w:t>felhívja a Bizottságot és a tagállamokat, hogy erősítsék meg a vállalkozások mint kulcsfontosságú tanulási helyszínek szerepét és láthatóságát a szakképzési rendszerekben;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9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felhívja az EU-t és a tagállamokat, hogy kezeljék a strukturális munkaerőhiányt a szakképzési szolgáltatók és a munkáltatók közötti együttműködés megerősítése révén, többek között munkahelyi szintű készségellenőrzések és kompetenciaprofil-alkotás révén, a meglévő készségek és kompetenciák azonosítása, hivatalos elismerésük támogatása és annak meghatározása érdekében, hogy hol van szükség további képzésre;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9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hangsúlyozza, hogy a szakképzésben dolgozó tanárok és oktatók hiánya a magas színvonalú szakképzés egyik fő akadálya;</w:t>
            </w:r>
            <w:r>
              <w:t xml:space="preserve"> </w:t>
            </w:r>
            <w:r>
              <w:rPr>
                <w:b/>
                <w:i/>
              </w:rPr>
              <w:t>felhívja a tagállamokat, hogy fektessenek be munkaerő-felvételükbe, folyamatos szakmai fejlődésükbe, tisztességes fizetésükbe és munkakörülményeikbe;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9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ösztönzi a szakképzési kiválósági központok mint az oktatási szolgáltatók, a vállalkozások, a kutatóintézetek és a regionális innovációs ökoszisztémák közötti együttműködés platformjainak továbbfejlesztését a stratégiai ágazatokban a készségfejlesztés, az innovációs kapacitás és a versenyképesség megerősítése érdekében, támogatva ugyanakkor hatékonyságuk és a munkaerőpiaci igényekhez való hozzájárulásuk rendszeres értékelését;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9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üdvözli a tagállamok növekvő elkötelezettségét a szakképzési kiválósági központokra vonatkozó nemzeti kezdeményezések létrehozása és megerősítése iránt;</w:t>
            </w:r>
            <w:r>
              <w:t xml:space="preserve"> </w:t>
            </w:r>
            <w:r>
              <w:rPr>
                <w:b/>
                <w:i/>
              </w:rPr>
              <w:t>e tekintetben tudomásul veszi a Franciaország, Hollandia, Spanyolország, Olaszország, Dánia, Lengyelország és Szlovákia által indított kezdeményezéseket, amelyek a szakképzési kiválósági központok európai ökoszisztémájában való részvételük mellett a szakképzési kiválósági központokra vonatkozó nemzeti keretek kidolgozására vagy tesztelésére irányulnak;</w:t>
            </w:r>
            <w:r>
              <w:t xml:space="preserve"> </w:t>
            </w:r>
            <w:r>
              <w:rPr>
                <w:b/>
                <w:i/>
              </w:rPr>
              <w:t>felhívja a többi tagállamot, hogy kövessék ezt a példát;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9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hangsúlyozza, hogy a szakmai foglalkozások hosszú távú vonzereje olyan kollektív tárgyalási rendszerek meglététől függ, amelyek képesek tisztességes béreket, biztonságos munkakörülményeket, szakmai előmenetelt és egyenlő bánásmódot biztosítani a munkavállalók számára az ágazatokon átívelően;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kéri, hogy a szakképzést szélesebb körben építsék be a meglévő uniós szakpolitikákba és programokba; ösztönzi a szakképzési szervek jobb bevonását az innovációs politikák kidolgozásába az innovatív megoldások ágazatok közötti terjesztésének és elterjedésének fokozása érdekében; ragaszkodik ahhoz, hogy a javasolt Európai Versenyképességi Alap szakpolitikai keretei keretében támogatni kell a stratégiai ágazatokba történő készségfejlesztési beruházásokat;</w:t>
            </w:r>
          </w:p>
        </w:tc>
        <w:tc>
          <w:tcPr>
            <w:tcW w:w="4876" w:type="dxa"/>
            <w:tcBorders>
              <w:top w:val="nil"/>
              <w:left w:val="nil"/>
              <w:bottom w:val="nil"/>
              <w:right w:val="nil"/>
            </w:tcBorders>
          </w:tcPr>
          <w:p>
            <w:pPr>
              <w:pStyle w:val="Normal6a"/>
            </w:pPr>
            <w:r>
              <w:t>(10)</w:t>
            </w:r>
            <w:r>
              <w:tab/>
            </w:r>
            <w:r>
              <w:t xml:space="preserve">kéri, hogy a szakképzést szélesebb körben építsék be a meglévő uniós szakpolitikákba és programokba; ösztönzi a szakképzési szervek jobb bevonását az innovációs politikák kidolgozásába az innovatív megoldások ágazatok közötti terjesztésének és elterjedésének fokozása érdekében; ragaszkodik ahhoz, hogy a javasolt Európai Versenyképességi Alap szakpolitikai keretei keretében támogatni kell a stratégiai ágazatokba történő készségfejlesztési beruházásokat; </w:t>
            </w:r>
            <w:r>
              <w:rPr>
                <w:b/>
                <w:i/>
              </w:rPr>
              <w:t>felszólít továbbá olyan stratégiákra, amelyek megkönnyítik a szellemi tulajdon védelméhez való hozzáférést, beleértve a szabadalmak, védjegyek, formatervezési minták és egyéb szellemitulajdon-jogok bejegyzését, nemcsak az egyetemi végzettséggel rendelkezők és a tudományos kutatók, hanem a szakképzésben részt vevő hallgatók, diplomások és képzett szakemberek számára is, elismerve, hogy Unió-szerte jelentősen hozzájárulnak az alkalmazott innovációhoz, a technológiai fejlődéshez és az ipari versenyképességhez;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kéri, hogy a szakképzést szélesebb körben építsék be a meglévő uniós szakpolitikákba és programokba; ösztönzi a szakképzési szervek jobb bevonását az innovációs politikák kidolgozásába az innovatív megoldások ágazatok közötti terjesztésének és elterjedésének fokozása érdekében; ragaszkodik ahhoz, hogy a javasolt Európai Versenyképességi Alap szakpolitikai keretei keretében támogatni kell a stratégiai ágazatokba történő készségfejlesztési beruházásokat;</w:t>
            </w:r>
          </w:p>
        </w:tc>
        <w:tc>
          <w:tcPr>
            <w:tcW w:w="4876" w:type="dxa"/>
            <w:tcBorders>
              <w:top w:val="nil"/>
              <w:left w:val="nil"/>
              <w:bottom w:val="nil"/>
              <w:right w:val="nil"/>
            </w:tcBorders>
          </w:tcPr>
          <w:p>
            <w:pPr>
              <w:pStyle w:val="Normal6a"/>
            </w:pPr>
            <w:r>
              <w:t>(10)</w:t>
            </w:r>
            <w:r>
              <w:tab/>
            </w:r>
            <w:r>
              <w:t xml:space="preserve">kéri, hogy a szakképzést szélesebb körben építsék be a meglévő uniós szakpolitikákba és programokba; ösztönzi a szakképzési szervek jobb bevonását az innovációs politikák kidolgozásába az innovatív megoldások ágazatok közötti terjesztésének és elterjedésének fokozása érdekében; ragaszkodik ahhoz, hogy a javasolt Európai Versenyképességi Alap szakpolitikai keretei keretében támogatni kell a stratégiai ágazatokba történő készségfejlesztési beruházásokat; </w:t>
            </w:r>
            <w:r>
              <w:rPr>
                <w:b/>
                <w:i/>
              </w:rPr>
              <w:t>kifejezetten kéri, hogy az ISCED 5. szintű és az EKKR 5. és 6. szintű felsőfokú szakképzési intézményeket speciális technikai készségeket biztosító szolgáltatóként integrálják az európai kutatási és innovációs ökoszisztémákba;</w:t>
            </w:r>
            <w:r>
              <w:br/>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kéri továbbá, hogy a kkv-kat, a családi vállalkozásokat és a helyi termelési körzeteket fokozottabban vonják be a szakképzési programok kialakításába és végrehajtásába.</w:t>
            </w:r>
            <w:r>
              <w:br/>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kéri, hogy a szakképzést szélesebb körben építsék be a meglévő uniós szakpolitikákba és programokba; ösztönzi a szakképzési </w:t>
            </w:r>
            <w:r>
              <w:rPr>
                <w:b/>
                <w:i/>
              </w:rPr>
              <w:t>szervek jobb bevonását</w:t>
            </w:r>
            <w:r>
              <w:t xml:space="preserve"> az innovációs politikák </w:t>
            </w:r>
            <w:r>
              <w:rPr>
                <w:b/>
                <w:i/>
              </w:rPr>
              <w:t>kidolgozásába az innovatív megoldások ágazatok közötti terjesztésének és elterjedésének fokozása</w:t>
            </w:r>
            <w:r>
              <w:t xml:space="preserve"> érdekében; ragaszkodik ahhoz, hogy a javasolt Európai Versenyképességi Alap szakpolitikai keretei keretében támogatni kell a stratégiai </w:t>
            </w:r>
            <w:r>
              <w:rPr>
                <w:b/>
                <w:i/>
              </w:rPr>
              <w:t>ágazatokba történő</w:t>
            </w:r>
            <w:r>
              <w:t xml:space="preserve"> készségfejlesztési beruházásokat;</w:t>
            </w:r>
          </w:p>
        </w:tc>
        <w:tc>
          <w:tcPr>
            <w:tcW w:w="4876" w:type="dxa"/>
            <w:tcBorders>
              <w:top w:val="nil"/>
              <w:left w:val="nil"/>
              <w:bottom w:val="nil"/>
              <w:right w:val="nil"/>
            </w:tcBorders>
          </w:tcPr>
          <w:p>
            <w:pPr>
              <w:pStyle w:val="Normal6a"/>
            </w:pPr>
            <w:r>
              <w:t>(10)</w:t>
            </w:r>
            <w:r>
              <w:tab/>
            </w:r>
            <w:r>
              <w:t xml:space="preserve">kéri, hogy a szakképzést szélesebb körben építsék be a meglévő uniós szakpolitikákba és programokba; ösztönzi a szakképzési </w:t>
            </w:r>
            <w:r>
              <w:rPr>
                <w:b/>
                <w:i/>
              </w:rPr>
              <w:t>intézmények mélyebb integrációját</w:t>
            </w:r>
            <w:r>
              <w:t xml:space="preserve"> az innovációs politikák </w:t>
            </w:r>
            <w:r>
              <w:rPr>
                <w:b/>
                <w:i/>
              </w:rPr>
              <w:t>kialakításába és végrehajtásába annak</w:t>
            </w:r>
            <w:r>
              <w:t xml:space="preserve"> érdekében</w:t>
            </w:r>
            <w:r>
              <w:rPr>
                <w:b/>
                <w:i/>
              </w:rPr>
              <w:t>, hogy felgyorsítsák a munkahelyi innovációk adaptálását és bővítését;</w:t>
            </w:r>
            <w:r>
              <w:t xml:space="preserve"> </w:t>
            </w:r>
            <w:r>
              <w:rPr>
                <w:b/>
                <w:i/>
              </w:rPr>
              <w:t>felhívja a Bizottságot, hogy biztosítsa a szakképzési intézmények aktív részvételét a Horizont Európa pályázati felhívásaiban, különösen a magasabb technológiai készenléti szintű projektekben, ahol a szakképzésben képzett szakemberek általi, valós körülmények közötti végrehajtás, tesztelés és széles körben való megvalósítás kritikus fontosságú a hatás szempontjából</w:t>
            </w:r>
            <w:r>
              <w:t xml:space="preserve">; ragaszkodik ahhoz, hogy a javasolt Európai Versenyképességi Alap szakpolitikai keretei keretében támogatni kell a stratégiai </w:t>
            </w:r>
            <w:r>
              <w:rPr>
                <w:b/>
                <w:i/>
              </w:rPr>
              <w:t>ágazatokon belüli</w:t>
            </w:r>
            <w:r>
              <w:t xml:space="preserve"> készségfejlesztési beruházásokat;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kéri, hogy a szakképzést szélesebb körben építsék be a meglévő uniós szakpolitikákba és programokba; ösztönzi a szakképzési szervek jobb bevonását az innovációs politikák kidolgozásába az innovatív megoldások ágazatok közötti terjesztésének és elterjedésének fokozása érdekében; ragaszkodik ahhoz, hogy a javasolt Európai Versenyképességi Alap szakpolitikai keretei keretében támogatni kell a stratégiai ágazatokba történő készségfejlesztési beruházásokat;</w:t>
            </w:r>
          </w:p>
        </w:tc>
        <w:tc>
          <w:tcPr>
            <w:tcW w:w="4876" w:type="dxa"/>
            <w:tcBorders>
              <w:top w:val="nil"/>
              <w:left w:val="nil"/>
              <w:bottom w:val="nil"/>
              <w:right w:val="nil"/>
            </w:tcBorders>
          </w:tcPr>
          <w:p>
            <w:pPr>
              <w:pStyle w:val="Normal6a"/>
            </w:pPr>
            <w:r>
              <w:t>(10)</w:t>
            </w:r>
            <w:r>
              <w:tab/>
            </w:r>
            <w:r>
              <w:t xml:space="preserve">kéri, hogy a szakképzést szélesebb körben építsék be a meglévő uniós szakpolitikákba és programokba; ösztönzi a szakképzési szervek jobb bevonását az innovációs politikák kidolgozásába az innovatív megoldások ágazatok közötti terjesztésének és elterjedésének fokozása érdekében; ragaszkodik ahhoz, hogy a javasolt Európai Versenyképességi Alap szakpolitikai keretei keretében támogatni kell a stratégiai ágazatokba történő készségfejlesztési beruházásokat; </w:t>
            </w:r>
            <w:r>
              <w:rPr>
                <w:b/>
                <w:i/>
              </w:rPr>
              <w:t>hangsúlyozza, hogy az uniós alapokhoz és más eszközökhöz való hozzáférést attól kell függővé tenni, hogy a vállalatok betartják-e a szociális feltételeket, tiszteletben tartják-e a szakszervezeti jogokat, a tanulószerződéses gyakorlati képzés minőségi normáit, valamint bizonyíthatóan beruháznak-e a munkavállalók készségeibe és minőségi képzéseibe;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kéri, hogy a szakképzést szélesebb körben építsék be a meglévő uniós szakpolitikákba és programokba; ösztönzi a szakképzési szervek jobb bevonását az innovációs politikák kidolgozásába az innovatív megoldások ágazatok közötti terjesztésének és elterjedésének fokozása érdekében; ragaszkodik ahhoz, hogy a javasolt Európai Versenyképességi Alap szakpolitikai keretei keretében támogatni kell a stratégiai ágazatokba történő készségfejlesztési beruházásokat;</w:t>
            </w:r>
          </w:p>
        </w:tc>
        <w:tc>
          <w:tcPr>
            <w:tcW w:w="4876" w:type="dxa"/>
            <w:tcBorders>
              <w:top w:val="nil"/>
              <w:left w:val="nil"/>
              <w:bottom w:val="nil"/>
              <w:right w:val="nil"/>
            </w:tcBorders>
          </w:tcPr>
          <w:p>
            <w:pPr>
              <w:pStyle w:val="Normal6a"/>
            </w:pPr>
            <w:r>
              <w:t>(10)</w:t>
            </w:r>
            <w:r>
              <w:tab/>
            </w:r>
            <w:r>
              <w:t xml:space="preserve">kéri, hogy a szakképzést szélesebb körben építsék be a meglévő uniós szakpolitikákba és programokba; ösztönzi a szakképzési szervek jobb bevonását az innovációs politikák kidolgozásába az innovatív megoldások ágazatok közötti terjesztésének és elterjedésének fokozása érdekében; ragaszkodik ahhoz, hogy a javasolt Európai Versenyképességi Alap szakpolitikai keretei keretében támogatni kell a stratégiai ágazatokba történő készségfejlesztési beruházásokat; </w:t>
            </w:r>
            <w:r>
              <w:rPr>
                <w:b/>
                <w:i/>
              </w:rPr>
              <w:t>felhívja a tagállamokat, hogy a szakképzés-intenzív ágazatokban a közfinanszírozást és a közbeszerzést tegyék függővé az alkalmazandó kollektív szerződéseknek való megfeleléstől, valamint a minőségi tanulószerződéses gyakorlati képzések és képzési helyek biztosításától;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10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felhívja a Bizottságot és a tagállamokat, hogy erősítsék meg az együttműködést az ökológiai átalakulásból eredő igényeknek megfelelő szakképzési tanulási környezetek, tantervek és gyakorlatok kialakítása terén, biztosítva, hogy megfelelően foglalkozzanak az olyan témákkal, mint a körforgásos gazdaság, az energiahatékonyság és az energetikai átállás, és hogy a jövőbeli szakemberek rendelkezzenek az iparágak és vállalkozások közötti fenntartható átalakulás ösztönzéséhez szükséges ismeretekkel, készségekkel és kompetenciákkal;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10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felhívja a tagállamokat, hogy a szakképzést tekintsék a készségfejlesztés sarokkövének azáltal, hogy a következő többéves pénzügyi keretet a fiatalok továbbképzésének és átképzésének finanszírozására használják fel olyan stratégiailag fenntartható ágazatokban, mint a megújuló energiaforrások, a körforgásos gazdaság és az ökológiai helyreállítás;</w:t>
            </w:r>
            <w:r>
              <w:t xml:space="preserve"> </w:t>
            </w:r>
            <w:r>
              <w:rPr>
                <w:b/>
                <w:i/>
              </w:rPr>
              <w:t>kiemeli, hogy a szakképzés lehetőséget kínál a minőségi zöld munkahelyek és a szociális gazdasági lehetőségek teremtésére, többek között a szövetkezetek, a gondozási szolgáltatások és a kevesebb lehetőséggel rendelkező fiatalok számára biztosított közösségvezérelt átállási lehetőségek terén;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10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felhívja a tagállamokat, hogy kezeljék a szakképzésben dolgozó tanárok, oktatók és munkahelyi mentorok növekvő hiányát azáltal, hogy megfelelő javadalmazás, minőségi munkakörülmények, folyamatos szakmai fejlődés és egyértelmű karrierfejlesztési lehetőségek révén növelik a szakma vonzerejét;</w:t>
            </w:r>
            <w:r>
              <w:t xml:space="preserve"> </w:t>
            </w:r>
            <w:r>
              <w:rPr>
                <w:b/>
                <w:i/>
              </w:rPr>
              <w:t>hangsúlyozza a szakképzési intézmények és a munkaerőpiac közötti cserék támogatásának fontosságát annak biztosítása érdekében, hogy az oktatási tantervek lépést tartsanak a munkaerőpiaci fejleményekkel;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hangsúlyozza, hogy a mesterséges intelligencia és az automatizálás az átképzés iránti igény növekedéséhez vezetett; ezzel összefüggésben hangsúlyozza a valamennyi munkavállaló számára hozzáférhető képzés növekvő fontosságát jelenlegi vagy alternatív karrierjük szempontjából;</w:t>
            </w:r>
          </w:p>
        </w:tc>
        <w:tc>
          <w:tcPr>
            <w:tcW w:w="4876" w:type="dxa"/>
            <w:tcBorders>
              <w:top w:val="nil"/>
              <w:left w:val="nil"/>
              <w:bottom w:val="nil"/>
              <w:right w:val="nil"/>
            </w:tcBorders>
          </w:tcPr>
          <w:p>
            <w:pPr>
              <w:pStyle w:val="Normal6a"/>
            </w:pPr>
            <w:r>
              <w:t>(11)</w:t>
            </w:r>
            <w:r>
              <w:tab/>
            </w:r>
            <w:r>
              <w:t xml:space="preserve">hangsúlyozza, hogy a mesterséges intelligencia és az automatizálás az átképzés iránti igény növekedéséhez vezetett; ezzel összefüggésben hangsúlyozza a valamennyi munkavállaló számára hozzáférhető képzés növekvő fontosságát jelenlegi vagy alternatív karrierjük szempontjából; </w:t>
            </w:r>
            <w:r>
              <w:rPr>
                <w:b/>
                <w:i/>
              </w:rPr>
              <w:t>felhívja a Bizottságot és a tagállamokat annak biztosítására, hogy az ilyen képzés munkaidőben és a munkavállalók számára költségmentesen álljon rendelkezésre;</w:t>
            </w:r>
            <w:r>
              <w:t xml:space="preserve"> </w:t>
            </w:r>
            <w:r>
              <w:rPr>
                <w:b/>
                <w:i/>
              </w:rPr>
              <w:t>felszólít továbbá egy olyan uniós jogszabályra, amely minden munkavállaló számára egyetemes jogot biztosít a képzéshez, és amely szilárdan a szociális jogok európai pillérének 1. elvén alapul;</w:t>
            </w:r>
            <w:r>
              <w:t xml:space="preserve"> </w:t>
            </w:r>
            <w:r>
              <w:rPr>
                <w:b/>
                <w:i/>
              </w:rPr>
              <w:t>hangsúlyozza, hogy ennek a jogszabálynak garantálnia kell a minőségi és inkluzív munkavállalói képzéshez való hozzáférést minden munkavállaló számára, szerződéses helyzetüktől vagy azon vállalatok méretétől függetlenül, ahol dolgoznak;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hangsúlyozza, hogy a mesterséges intelligencia és az automatizálás az átképzés iránti igény növekedéséhez vezetett; ezzel összefüggésben hangsúlyozza a valamennyi munkavállaló számára hozzáférhető képzés növekvő fontosságát jelenlegi vagy alternatív karrierjük szempontjából;</w:t>
            </w:r>
          </w:p>
        </w:tc>
        <w:tc>
          <w:tcPr>
            <w:tcW w:w="4876" w:type="dxa"/>
            <w:tcBorders>
              <w:top w:val="nil"/>
              <w:left w:val="nil"/>
              <w:bottom w:val="nil"/>
              <w:right w:val="nil"/>
            </w:tcBorders>
          </w:tcPr>
          <w:p>
            <w:pPr>
              <w:pStyle w:val="Normal6a"/>
            </w:pPr>
            <w:r>
              <w:t>(11)</w:t>
            </w:r>
            <w:r>
              <w:tab/>
            </w:r>
            <w:r>
              <w:t xml:space="preserve">hangsúlyozza, hogy a mesterséges intelligencia és az automatizálás az átképzés iránti igény növekedéséhez vezetett; ezzel összefüggésben hangsúlyozza a valamennyi munkavállaló számára hozzáférhető képzés növekvő fontosságát jelenlegi vagy alternatív karrierjük szempontjából; </w:t>
            </w:r>
            <w:r>
              <w:rPr>
                <w:b/>
                <w:i/>
              </w:rPr>
              <w:t>felhívja a Bizottságot, hogy az európai versenyképességről szóló Draghi-jelentésben javasoltaknak megfelelően ismerje el és támogassa valamennyi európai munkavállaló egész életen át tartó tanuláshoz, továbbképzéshez és átképzéshez való egyéni szubjektív jogát;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hangsúlyozza, hogy a mesterséges intelligencia és az automatizálás az átképzés iránti igény növekedéséhez vezetett; ezzel összefüggésben hangsúlyozza a valamennyi munkavállaló számára hozzáférhető képzés növekvő fontosságát jelenlegi vagy alternatív karrierjük szempontjából;</w:t>
            </w:r>
          </w:p>
        </w:tc>
        <w:tc>
          <w:tcPr>
            <w:tcW w:w="4876" w:type="dxa"/>
            <w:tcBorders>
              <w:top w:val="nil"/>
              <w:left w:val="nil"/>
              <w:bottom w:val="nil"/>
              <w:right w:val="nil"/>
            </w:tcBorders>
          </w:tcPr>
          <w:p>
            <w:pPr>
              <w:pStyle w:val="Normal6a"/>
            </w:pPr>
            <w:r>
              <w:t>(11)</w:t>
            </w:r>
            <w:r>
              <w:tab/>
            </w:r>
            <w:r>
              <w:t xml:space="preserve">hangsúlyozza, hogy a mesterséges intelligencia és az automatizálás az átképzés iránti igény növekedéséhez vezetett; ezzel összefüggésben hangsúlyozza a valamennyi munkavállaló számára hozzáférhető képzés növekvő fontosságát jelenlegi vagy alternatív karrierjük szempontjából; </w:t>
            </w:r>
            <w:r>
              <w:rPr>
                <w:b/>
                <w:i/>
              </w:rPr>
              <w:t>hangsúlyozza, hogy minden munkavállalónak érvényesíthető jogot kell biztosítani a munkaidő alatti fizetett képzésre, amelyet a munkáltatók és a adott esetben a hatóságok támogatnak;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hangsúlyozza, hogy a mesterséges </w:t>
            </w:r>
            <w:r>
              <w:rPr>
                <w:b/>
                <w:i/>
              </w:rPr>
              <w:t>intelligencia</w:t>
            </w:r>
            <w:r>
              <w:t xml:space="preserve"> és az </w:t>
            </w:r>
            <w:r>
              <w:rPr>
                <w:b/>
                <w:i/>
              </w:rPr>
              <w:t>automatizálás az átképzés iránti igény növekedéséhez vezetett</w:t>
            </w:r>
            <w:r>
              <w:t>; ezzel összefüggésben hangsúlyozza a valamennyi munkavállaló számára hozzáférhető képzés növekvő fontosságát jelenlegi vagy alternatív karrierjük szempontjából;</w:t>
            </w:r>
          </w:p>
        </w:tc>
        <w:tc>
          <w:tcPr>
            <w:tcW w:w="4876" w:type="dxa"/>
            <w:tcBorders>
              <w:top w:val="nil"/>
              <w:left w:val="nil"/>
              <w:bottom w:val="nil"/>
              <w:right w:val="nil"/>
            </w:tcBorders>
          </w:tcPr>
          <w:p>
            <w:pPr>
              <w:pStyle w:val="Normal6a"/>
            </w:pPr>
            <w:r>
              <w:t>(11)</w:t>
            </w:r>
            <w:r>
              <w:tab/>
            </w:r>
            <w:r>
              <w:t xml:space="preserve">hangsúlyozza, hogy a </w:t>
            </w:r>
            <w:r>
              <w:rPr>
                <w:b/>
                <w:i/>
              </w:rPr>
              <w:t>technológiai innováció, beleértve a</w:t>
            </w:r>
            <w:r>
              <w:t xml:space="preserve"> mesterséges </w:t>
            </w:r>
            <w:r>
              <w:rPr>
                <w:b/>
                <w:i/>
              </w:rPr>
              <w:t>intelligenciát</w:t>
            </w:r>
            <w:r>
              <w:t xml:space="preserve"> és az </w:t>
            </w:r>
            <w:r>
              <w:rPr>
                <w:b/>
                <w:i/>
              </w:rPr>
              <w:t>automatizálást is, folyamatos továbbképzést és átképzést követel meg, biztosítva ugyanakkor, hogy a munkavállalók szakmai pályafutásuk során végig alkalmazkodóképesek maradjanak</w:t>
            </w:r>
            <w:r>
              <w:t>; ezzel összefüggésben hangsúlyozza a valamennyi munkavállaló számára hozzáférhető képzés növekvő fontosságát jelenlegi vagy alternatív karrierjük szempontjából;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hangsúlyozza, hogy a mesterséges intelligencia és az automatizálás az átképzés iránti igény növekedéséhez vezetett; ezzel összefüggésben hangsúlyozza a valamennyi munkavállaló számára hozzáférhető képzés növekvő fontosságát jelenlegi vagy alternatív karrierjük szempontjából;</w:t>
            </w:r>
          </w:p>
        </w:tc>
        <w:tc>
          <w:tcPr>
            <w:tcW w:w="4876" w:type="dxa"/>
            <w:tcBorders>
              <w:top w:val="nil"/>
              <w:left w:val="nil"/>
              <w:bottom w:val="nil"/>
              <w:right w:val="nil"/>
            </w:tcBorders>
          </w:tcPr>
          <w:p>
            <w:pPr>
              <w:pStyle w:val="Normal6a"/>
            </w:pPr>
            <w:r>
              <w:t>(11)</w:t>
            </w:r>
            <w:r>
              <w:tab/>
            </w:r>
            <w:r>
              <w:t>hangsúlyozza, hogy a mesterséges intelligencia</w:t>
            </w:r>
            <w:r>
              <w:rPr>
                <w:b/>
                <w:i/>
              </w:rPr>
              <w:t>, a zöld átállás, a digitalizáció</w:t>
            </w:r>
            <w:r>
              <w:t xml:space="preserve"> és az automatizálás az átképzés iránti igény növekedéséhez vezetett; ezzel összefüggésben hangsúlyozza a valamennyi munkavállaló számára hozzáférhető képzés</w:t>
            </w:r>
            <w:r>
              <w:rPr>
                <w:b/>
                <w:i/>
              </w:rPr>
              <w:t>, valamint az alapvető, fenntarthatósági és digitális készségek</w:t>
            </w:r>
            <w:r>
              <w:t xml:space="preserve"> növekvő fontosságát jelenlegi vagy alternatív karrierjük szempontjából;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hangsúlyozza, hogy a mesterséges intelligencia </w:t>
            </w:r>
            <w:r>
              <w:rPr>
                <w:b/>
                <w:i/>
              </w:rPr>
              <w:t>és</w:t>
            </w:r>
            <w:r>
              <w:t xml:space="preserve"> az automatizálás az átképzés iránti igény növekedéséhez vezetett; ezzel összefüggésben hangsúlyozza a valamennyi munkavállaló számára hozzáférhető képzés növekvő fontosságát jelenlegi vagy alternatív karrierjük szempontjából;</w:t>
            </w:r>
          </w:p>
        </w:tc>
        <w:tc>
          <w:tcPr>
            <w:tcW w:w="4876" w:type="dxa"/>
            <w:tcBorders>
              <w:top w:val="nil"/>
              <w:left w:val="nil"/>
              <w:bottom w:val="nil"/>
              <w:right w:val="nil"/>
            </w:tcBorders>
          </w:tcPr>
          <w:p>
            <w:pPr>
              <w:pStyle w:val="Normal6a"/>
            </w:pPr>
            <w:r>
              <w:t>(11)</w:t>
            </w:r>
            <w:r>
              <w:tab/>
            </w:r>
            <w:r>
              <w:t>hangsúlyozza, hogy a mesterséges intelligencia</w:t>
            </w:r>
            <w:r>
              <w:rPr>
                <w:b/>
                <w:i/>
              </w:rPr>
              <w:t>,</w:t>
            </w:r>
            <w:r>
              <w:t xml:space="preserve"> az automatizálás </w:t>
            </w:r>
            <w:r>
              <w:rPr>
                <w:b/>
                <w:i/>
              </w:rPr>
              <w:t>és a zöld átállás</w:t>
            </w:r>
            <w:r>
              <w:t xml:space="preserve"> az átképzés iránti igény növekedéséhez vezetett; ezzel összefüggésben hangsúlyozza a valamennyi munkavállaló számára </w:t>
            </w:r>
            <w:r>
              <w:rPr>
                <w:b/>
                <w:i/>
              </w:rPr>
              <w:t>költségmentesen és munkaidőben</w:t>
            </w:r>
            <w:r>
              <w:t xml:space="preserve"> hozzáférhető képzés növekvő fontosságát jelenlegi vagy alternatív karrierjük szempontjából;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hangsúlyozza, hogy a kkv-k központi szerepet játszanak az európai szakképzési rendszerekben, és a tanulószerződéses gyakorlati képzések, szakmai gyakorlatok és munkahelyi tanulási lehetőségek jelentős részét biztosítják;</w:t>
            </w:r>
            <w:r>
              <w:t xml:space="preserve"> </w:t>
            </w:r>
            <w:r>
              <w:rPr>
                <w:b/>
                <w:i/>
              </w:rPr>
              <w:t>elismeri azonban, hogy a kkv-k gyakran adminisztratív, pénzügyi és szervezeti korlátokkal szembesülnek, ezért kéri az európai szakképzési kezdeményezések kkv-barát végrehajtását, beleértve az adminisztratív terhek csökkentését és a gyakorlati segítségnyújtási mechanizmusokat, hogy megkönnyítsék folyamatos és kiterjesztett részvételüket a készségfejlesztési ökoszisztémákban, például a szakképzési kiválósági központokban.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11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felhívja az Európai Bizottságot annak biztosítására, hogy az állami támogatási szabályok támogassák, ne pedig korlátozzák a készségekbe, az egész életen át tartó tanulásba és a munkaerő-fejlesztésbe történő beruházásokat, különösen azáltal, hogy bővítik az általános csoportmentességi rendelet és a kapcsolódó keretek szerinti lehetőségeket a képzési tevékenységek és a készség-ökoszisztémák finanszírozására;</w:t>
            </w:r>
            <w:r>
              <w:t xml:space="preserve"> </w:t>
            </w:r>
            <w:r>
              <w:rPr>
                <w:b/>
                <w:i/>
              </w:rPr>
              <w:t>hangsúlyozza, hogy az állami támogatásokra vonatkozó rendelkezéseknek elő kell segíteniük az állami szakképzési szolgáltatók és a magánpartnerek – köztük a vállalatok, az ágazati szervezetek és a képzési szolgáltatók – közötti együttműködést, amennyiben ez az együttműködés egyértelmű oktatási, szociális vagy innovációs célkitűzést szolgál.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felhívja a Bizottságot, a tagállamokat és a munkáltatókat, hogy a munkaalapú tanulás vonzerejének, minőségének és inkluzivitásának javítása érdekében biztosítsanak méltányos díjazást és tisztességes munkakörülményeket a szakképzésben </w:t>
            </w:r>
            <w:r>
              <w:rPr>
                <w:b/>
                <w:i/>
              </w:rPr>
              <w:t>megvalósuló</w:t>
            </w:r>
            <w:r>
              <w:t xml:space="preserve"> tanulószerződéses gyakorlati </w:t>
            </w:r>
            <w:r>
              <w:rPr>
                <w:b/>
                <w:i/>
              </w:rPr>
              <w:t>képzések és szakmai gyakorlatok számára</w:t>
            </w:r>
            <w:r>
              <w:t>;</w:t>
            </w:r>
          </w:p>
        </w:tc>
        <w:tc>
          <w:tcPr>
            <w:tcW w:w="4876" w:type="dxa"/>
            <w:tcBorders>
              <w:top w:val="nil"/>
              <w:left w:val="nil"/>
              <w:bottom w:val="nil"/>
              <w:right w:val="nil"/>
            </w:tcBorders>
          </w:tcPr>
          <w:p>
            <w:pPr>
              <w:pStyle w:val="Normal6a"/>
            </w:pPr>
            <w:r>
              <w:t>(12)</w:t>
            </w:r>
            <w:r>
              <w:tab/>
            </w:r>
            <w:r>
              <w:t xml:space="preserve">felhívja a Bizottságot, a tagállamokat és a munkáltatókat, hogy a munkaalapú tanulás vonzerejének, minőségének és inkluzivitásának javítása érdekében biztosítsanak méltányos díjazást és tisztességes munkakörülményeket a szakképzésben </w:t>
            </w:r>
            <w:r>
              <w:rPr>
                <w:b/>
                <w:i/>
              </w:rPr>
              <w:t>részt vevő</w:t>
            </w:r>
            <w:r>
              <w:t xml:space="preserve"> tanulószerződéses </w:t>
            </w:r>
            <w:r>
              <w:rPr>
                <w:b/>
                <w:i/>
              </w:rPr>
              <w:t>tanulók és gyakornokok számára;</w:t>
            </w:r>
            <w:r>
              <w:t xml:space="preserve"> </w:t>
            </w:r>
            <w:r>
              <w:rPr>
                <w:b/>
                <w:i/>
              </w:rPr>
              <w:t>olyan kiegyensúlyozott szakképzési rendszerekre szólít fel, amelyek a munkahelyi tanulást strukturált oktatási környezetekkel ötvözik, biztosítva, hogy a tanulók mind a szakmai gyakorlat, mind a szélesebb körű oktatási képzés előnyeit élvezzék;</w:t>
            </w:r>
            <w:r>
              <w:t xml:space="preserve"> </w:t>
            </w:r>
            <w:r>
              <w:rPr>
                <w:b/>
                <w:i/>
              </w:rPr>
              <w:t>hangsúlyozza, hogy a</w:t>
            </w:r>
            <w:r>
              <w:t xml:space="preserve"> gyakorlati</w:t>
            </w:r>
            <w:r>
              <w:rPr>
                <w:b/>
                <w:i/>
              </w:rPr>
              <w:t>, munkaalapú tanulás nem korlátozódhat a szakképzésre, hanem az egyetemi oktatás érdemi elemét is kell képeznie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felhívja a Bizottságot, a tagállamokat és a munkáltatókat, hogy a </w:t>
            </w:r>
            <w:r>
              <w:rPr>
                <w:b/>
                <w:i/>
              </w:rPr>
              <w:t>munkaalapú tanulás vonzerejének, minőségének és inkluzivitásának javítása érdekében</w:t>
            </w:r>
            <w:r>
              <w:t xml:space="preserve"> biztosítsanak </w:t>
            </w:r>
            <w:r>
              <w:rPr>
                <w:b/>
                <w:i/>
              </w:rPr>
              <w:t>méltányos díjazást</w:t>
            </w:r>
            <w:r>
              <w:t xml:space="preserve"> és tisztességes munkakörülményeket a </w:t>
            </w:r>
            <w:r>
              <w:rPr>
                <w:b/>
                <w:i/>
              </w:rPr>
              <w:t>szakképzésben megvalósuló tanulószerződéses gyakorlati képzések és szakmai gyakorlatok</w:t>
            </w:r>
            <w:r>
              <w:t xml:space="preserve"> számára;</w:t>
            </w:r>
          </w:p>
        </w:tc>
        <w:tc>
          <w:tcPr>
            <w:tcW w:w="4876" w:type="dxa"/>
            <w:tcBorders>
              <w:top w:val="nil"/>
              <w:left w:val="nil"/>
              <w:bottom w:val="nil"/>
              <w:right w:val="nil"/>
            </w:tcBorders>
          </w:tcPr>
          <w:p>
            <w:pPr>
              <w:pStyle w:val="Normal6a"/>
            </w:pPr>
            <w:r>
              <w:t>(12)</w:t>
            </w:r>
            <w:r>
              <w:tab/>
            </w:r>
            <w:r>
              <w:t xml:space="preserve">felhívja a Bizottságot, a tagállamokat és a munkáltatókat, hogy a </w:t>
            </w:r>
            <w:r>
              <w:rPr>
                <w:b/>
                <w:i/>
              </w:rPr>
              <w:t>nemzeti vagy ágazati követelményekkel vagy adott esetben a kollektív szerződésekkel összhangban</w:t>
            </w:r>
            <w:r>
              <w:t xml:space="preserve"> biztosítsanak </w:t>
            </w:r>
            <w:r>
              <w:rPr>
                <w:b/>
                <w:i/>
              </w:rPr>
              <w:t>megfelelő ellentételezést</w:t>
            </w:r>
            <w:r>
              <w:t xml:space="preserve"> és tisztességes munkakörülményeket a </w:t>
            </w:r>
            <w:r>
              <w:rPr>
                <w:b/>
                <w:i/>
              </w:rPr>
              <w:t>szakképzési programok munkahelyi alapú komponense</w:t>
            </w:r>
            <w:r>
              <w:t xml:space="preserve"> számára </w:t>
            </w:r>
            <w:r>
              <w:rPr>
                <w:b/>
                <w:i/>
              </w:rPr>
              <w:t>annak érdekében, hogy javítsák a munkaalapú tanulás vonzerejét, minőségét és inkluzivitását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felhívja a Bizottságot, a tagállamokat és a munkáltatókat, hogy a munkaalapú tanulás vonzerejének, minőségének és inkluzivitásának javítása érdekében biztosítsanak </w:t>
            </w:r>
            <w:r>
              <w:rPr>
                <w:b/>
                <w:i/>
              </w:rPr>
              <w:t>méltányos</w:t>
            </w:r>
            <w:r>
              <w:t xml:space="preserve"> díjazást és </w:t>
            </w:r>
            <w:r>
              <w:rPr>
                <w:b/>
                <w:i/>
              </w:rPr>
              <w:t>tisztességes</w:t>
            </w:r>
            <w:r>
              <w:t xml:space="preserve"> munkakörülményeket a szakképzésben megvalósuló tanulószerződéses gyakorlati képzések és szakmai gyakorlatok számára;</w:t>
            </w:r>
          </w:p>
        </w:tc>
        <w:tc>
          <w:tcPr>
            <w:tcW w:w="4876" w:type="dxa"/>
            <w:tcBorders>
              <w:top w:val="nil"/>
              <w:left w:val="nil"/>
              <w:bottom w:val="nil"/>
              <w:right w:val="nil"/>
            </w:tcBorders>
          </w:tcPr>
          <w:p>
            <w:pPr>
              <w:pStyle w:val="Normal6a"/>
            </w:pPr>
            <w:r>
              <w:t>(12)</w:t>
            </w:r>
            <w:r>
              <w:tab/>
            </w:r>
            <w:r>
              <w:t xml:space="preserve">felhívja a Bizottságot, a tagállamokat és a munkáltatókat, hogy a munkaalapú tanulás vonzerejének, minőségének és inkluzivitásának javítása érdekében </w:t>
            </w:r>
            <w:r>
              <w:rPr>
                <w:b/>
                <w:i/>
              </w:rPr>
              <w:t>a nemzeti jogszabályokkal és a kollektív tárgyalási rendszerekkel összhangban</w:t>
            </w:r>
            <w:r>
              <w:t xml:space="preserve"> biztosítsanak </w:t>
            </w:r>
            <w:r>
              <w:rPr>
                <w:b/>
                <w:i/>
              </w:rPr>
              <w:t>megfelelő</w:t>
            </w:r>
            <w:r>
              <w:t xml:space="preserve"> díjazást és </w:t>
            </w:r>
            <w:r>
              <w:rPr>
                <w:b/>
                <w:i/>
              </w:rPr>
              <w:t>minőségi</w:t>
            </w:r>
            <w:r>
              <w:t xml:space="preserve"> munkakörülményeket a szakképzésben megvalósuló tanulószerződéses gyakorlati képzések és szakmai gyakorlatok számára;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felhívja a Bizottságot, a tagállamokat és a munkáltatókat, hogy a munkaalapú tanulás vonzerejének, minőségének és inkluzivitásának javítása érdekében biztosítsanak méltányos díjazást és tisztességes munkakörülményeket a szakképzésben </w:t>
            </w:r>
            <w:r>
              <w:rPr>
                <w:b/>
                <w:i/>
              </w:rPr>
              <w:t>megvalósuló</w:t>
            </w:r>
            <w:r>
              <w:t xml:space="preserve"> tanulószerződéses gyakorlati </w:t>
            </w:r>
            <w:r>
              <w:rPr>
                <w:b/>
                <w:i/>
              </w:rPr>
              <w:t>képzések és szakmai gyakorlatok számára</w:t>
            </w:r>
            <w:r>
              <w:t>;</w:t>
            </w:r>
          </w:p>
        </w:tc>
        <w:tc>
          <w:tcPr>
            <w:tcW w:w="4876" w:type="dxa"/>
            <w:tcBorders>
              <w:top w:val="nil"/>
              <w:left w:val="nil"/>
              <w:bottom w:val="nil"/>
              <w:right w:val="nil"/>
            </w:tcBorders>
          </w:tcPr>
          <w:p>
            <w:pPr>
              <w:pStyle w:val="Normal6a"/>
            </w:pPr>
            <w:r>
              <w:t>(12)</w:t>
            </w:r>
            <w:r>
              <w:tab/>
            </w:r>
            <w:r>
              <w:t xml:space="preserve">felhívja a Bizottságot, a tagállamokat és a munkáltatókat, hogy a munkaalapú tanulás vonzerejének, minőségének és inkluzivitásának javítása érdekében biztosítsanak méltányos díjazást és tisztességes munkakörülményeket a szakképzésben </w:t>
            </w:r>
            <w:r>
              <w:rPr>
                <w:b/>
                <w:i/>
              </w:rPr>
              <w:t>részt vevő tanulószerződéses tanulók számára;</w:t>
            </w:r>
            <w:r>
              <w:t xml:space="preserve"> </w:t>
            </w:r>
            <w:r>
              <w:rPr>
                <w:b/>
                <w:i/>
              </w:rPr>
              <w:t>hangsúlyozza annak fontosságát, hogy a szociális partnereket aktívan bevonják a</w:t>
            </w:r>
            <w:r>
              <w:t xml:space="preserve"> tanulószerződéses gyakorlati </w:t>
            </w:r>
            <w:r>
              <w:rPr>
                <w:b/>
                <w:i/>
              </w:rPr>
              <w:t>képzési rendszerek kialakításába, nyomon követésébe és értékelésébe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felhívja a Bizottságot, a tagállamokat és a munkáltatókat, hogy a munkaalapú tanulás vonzerejének, minőségének és inkluzivitásának javítása érdekében biztosítsanak méltányos díjazást és tisztességes munkakörülményeket a szakképzésben megvalósuló tanulószerződéses gyakorlati képzések és szakmai gyakorlatok </w:t>
            </w:r>
            <w:r>
              <w:rPr>
                <w:b/>
                <w:i/>
              </w:rPr>
              <w:t>számára</w:t>
            </w:r>
            <w:r>
              <w:t>;</w:t>
            </w:r>
          </w:p>
        </w:tc>
        <w:tc>
          <w:tcPr>
            <w:tcW w:w="4876" w:type="dxa"/>
            <w:tcBorders>
              <w:top w:val="nil"/>
              <w:left w:val="nil"/>
              <w:bottom w:val="nil"/>
              <w:right w:val="nil"/>
            </w:tcBorders>
          </w:tcPr>
          <w:p>
            <w:pPr>
              <w:pStyle w:val="Normal6a"/>
            </w:pPr>
            <w:r>
              <w:t>(12)</w:t>
            </w:r>
            <w:r>
              <w:tab/>
            </w:r>
            <w:r>
              <w:t>felhívja a Bizottságot, a tagállamokat és a munkáltatókat, hogy a munkaalapú tanulás vonzerejének, minőségének és inkluzivitásának javítása érdekében biztosítsanak méltányos díjazást és tisztességes munkakörülményeket</w:t>
            </w:r>
            <w:r>
              <w:rPr>
                <w:b/>
                <w:i/>
              </w:rPr>
              <w:t>, amelyekre kiterjednek a szociális védelmi rendszerek, és amelyek védelmet nyújtanak a visszaélésekkel és a kizsákmányolással szemben, és amelyekhez magas színvonalú tanulási eredmények, valamint</w:t>
            </w:r>
            <w:r>
              <w:t xml:space="preserve"> a szakképzésben megvalósuló tanulószerződéses gyakorlati képzések és szakmai gyakorlatok </w:t>
            </w:r>
            <w:r>
              <w:rPr>
                <w:b/>
                <w:i/>
              </w:rPr>
              <w:t>során nyújtott mentorálás társulnak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felhívja a Bizottságot, a tagállamokat és a munkáltatókat, hogy a munkaalapú tanulás vonzerejének, minőségének és inkluzivitásának javítása érdekében biztosítsanak méltányos díjazást és tisztességes munkakörülményeket a szakképzésben megvalósuló tanulószerződéses gyakorlati képzések és szakmai gyakorlatok számára;</w:t>
            </w:r>
          </w:p>
        </w:tc>
        <w:tc>
          <w:tcPr>
            <w:tcW w:w="4876" w:type="dxa"/>
            <w:tcBorders>
              <w:top w:val="nil"/>
              <w:left w:val="nil"/>
              <w:bottom w:val="nil"/>
              <w:right w:val="nil"/>
            </w:tcBorders>
          </w:tcPr>
          <w:p>
            <w:pPr>
              <w:pStyle w:val="Normal6a"/>
            </w:pPr>
            <w:r>
              <w:t>(12)</w:t>
            </w:r>
            <w:r>
              <w:tab/>
            </w:r>
            <w:r>
              <w:t xml:space="preserve">felhívja a Bizottságot, a tagállamokat és a munkáltatókat, hogy a munkaalapú tanulás vonzerejének, minőségének és inkluzivitásának javítása érdekében biztosítsanak méltányos díjazást és tisztességes munkakörülményeket a szakképzésben megvalósuló tanulószerződéses gyakorlati képzések és szakmai gyakorlatok számára; </w:t>
            </w:r>
            <w:r>
              <w:rPr>
                <w:b/>
                <w:i/>
              </w:rPr>
              <w:t>emlékeztet arra, hogy a minőségi munkahelyek elengedhetetlenek a szakképzési pályák vonzerejéhez és az Unió azon képességéhez, hogy megtartsa a szakképzett munkavállalókat;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hangsúlyozza, hogy a fenntartható, megfizethető és az éghajlatváltozás hatásaival szemben reziliens lakhatásra vonatkozó uniós célkitűzések eléréséhez jelentős beruházásokra van szükség az építőiparban dolgozó munkavállalók továbbképzésébe és átképzésébe, különösen a zöld és digitális kompetenciák terén;</w:t>
            </w:r>
            <w:r>
              <w:t xml:space="preserve"> </w:t>
            </w:r>
            <w:r>
              <w:rPr>
                <w:b/>
                <w:i/>
              </w:rPr>
              <w:t>felhívja a Bizottságot és a tagállamokat annak biztosítására, hogy ezeket a kompetenciákat integrálják a szakképzésbe, a tanulószerződéses gyakorlati képzésekbe és a továbbképzésbe, beleértve a felújítással kapcsolatos szakmákat is, az ágazat környezeti teljesítményének, erőforrás-hatékonyságának és innovációs kapacitásának javítása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felhívja a Bizottságot és a tagállamokat, hogy a szociális partnerekkel és a szakképzési szolgáltatókkal együttműködve dolgozzanak ki átfogó és megvalósítható stratégiákat a tanulók, a tanárok és az oktatók jóllétének megerősítésére a szakképzés tanulási környezetekben, többek között nyomonkövetési és jelentéstételi eszközök, tanácsadáshoz és iránymutatáshoz való hozzáférés, pénzügyi támogatás, szakmai fejlődés és figyelemfelhívás révén;</w:t>
            </w:r>
            <w:r>
              <w:t xml:space="preserve"> </w:t>
            </w:r>
            <w:r>
              <w:rPr>
                <w:b/>
                <w:i/>
              </w:rPr>
              <w:t>ezzel összefüggésben hangsúlyozza a speciális oktatási szakemberek, pszichológusok és asszisztensek fontosságát a szakképzésben részt vevő valamennyi tanuló egyéni igényeinek kezelésében;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felhívja a Bizottságot és a tagállamokat, hogy tiltsák meg a nem fizetett tanulószerződéses gyakorlati képzéseket, szakmai gyakorlatokat és munkaalapú tanulási célú szakmai gyakorlatokat a szakképzésben, és biztosítsák, hogy minden tanulószerződéses tanuló és gyakornok megfelelő díjazásban, teljes körű szociális védelemben, biztonságos munkafeltételekben, hatékony mentorálásban és a rendes foglalkoztatás kiváltásával szembeni védelemben részesüljön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elismeri a mesterséges intelligencia átalakító erejét, amely katalizátorként szolgál az európai szakképzési rendszerek modernizációjához;</w:t>
            </w:r>
            <w:r>
              <w:t xml:space="preserve"> </w:t>
            </w:r>
            <w:r>
              <w:rPr>
                <w:b/>
                <w:i/>
              </w:rPr>
              <w:t>felszólít a mesterségesintelligencia-eszközök stratégiai integrálására a tantervi innováció, a személyre szabott tanulás, a szakmai fejlődés és a készségértékelés támogatása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hangsúlyozza annak fontosságát, hogy a fiatalok körében előmozdítsák a szakmai pályákat erősebb pályaorientáció, a családokkal és a helyi munkáltatókkal való együttműködés, valamint a műszaki és a szakképesítést igénylő szakmák foglalkoztatási lehetőségeit kiemelő figyelemfelkeltő kampányok révén;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felhívja a Bizottságot és a tagállamokat, hogy kezeljék a szakképzésben dolgozó tanárok és oktatók növekvő hiányát a szakma vonzerejének, társadalmi elismerésének és javadalmazásának javítása, a jó munkakörülmények, a szakmai autonómia és a szakmai előmenetel biztosítása, valamint a mentorálás, a társaktól való tanulás és a szakmai fejlődési lehetőségek támogatása révén;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felhívja a Bizottságot, a tagállamokat és az érintett érdekelt feleket, hogy mozdítsák elő a készségeket előtérbe helyező megközelítéseket a munkaerő-felvétel, a szakmai előmenetel és a szolgáltatásokhoz való hozzáférés terén;</w:t>
            </w:r>
            <w:r>
              <w:t xml:space="preserve"> </w:t>
            </w:r>
            <w:r>
              <w:rPr>
                <w:b/>
                <w:i/>
              </w:rPr>
              <w:t>hangsúlyozza, hogy a szakképzésben végzettek strukturális hátrányokkal szembesülhetnek amiatt, hogy a szakmai képesítések jelzésértéke alacsonyabb, mint a felsőfokú okleveleké;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célzott intézkedésekre szólít fel a nők, a fogyatékossággal élő személyek, a migránsok, a faji alapon megkülönböztetett kisebbségek, az idősebb munkavállalók és a hátrányos társadalmi-gazdasági háttérrel rendelkező személyek szakképzésben való részvételének növelése érdekében, beleértve a pénzügyi támogatást, a pályaorientációs szolgáltatásokat és a megkülönböztetés elleni intézkedéseket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hangsúlyozza a szakképzés támogatásának fontosságát a vidéki, távoli és gazdaságilag hátrányos helyzetű régiókban az elnéptelenedés elleni küzdelem, a helyi munkaerőpiacok megerősítése, valamint a hagyományos készségek és kézművesség megőrzése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hangsúlyozza a diplomák és a készségek elismerésének fontosságát a szakképzésben részt vevő diákok és munkavállalók szabad mozgásának biztosítása, valamint e tekintetben a mobilitási lehetőségek alacsony számának kezelése szempontjából; kéri, hogy a készségek hordozhatóságára vonatkozóan készülő kezdeményezés hozzon létre koherens uniós ökoszisztémát a készségek elismerése és a mobilitás tekintetében, biztosítva az Europass, a készségek, kompetenciák és foglalkozások európai osztályozása, a nemzeti képesítési keretrendszerek, a mikrotanúsítványok és a digitális tanúsítványok közötti interoperabilitást; hangsúlyozza, hogy ennek a rendszernek átláthatónak, polgárbarátnak, digitálisnak és ingyenesnek kell lennie;</w:t>
            </w:r>
          </w:p>
        </w:tc>
        <w:tc>
          <w:tcPr>
            <w:tcW w:w="4876" w:type="dxa"/>
            <w:tcBorders>
              <w:top w:val="nil"/>
              <w:left w:val="nil"/>
              <w:bottom w:val="nil"/>
              <w:right w:val="nil"/>
            </w:tcBorders>
          </w:tcPr>
          <w:p>
            <w:pPr>
              <w:pStyle w:val="Normal6a"/>
            </w:pPr>
            <w:r>
              <w:t>(13)</w:t>
            </w:r>
            <w:r>
              <w:tab/>
            </w:r>
            <w:r>
              <w:t>hangsúlyozza a diplomák és a készségek elismerésének fontosságát a szakképzésben részt vevő diákok és munkavállalók szabad mozgásának biztosítása, valamint e tekintetben a mobilitási lehetőségek alacsony számának kezelése szempontjából</w:t>
            </w:r>
            <w:r>
              <w:rPr>
                <w:b/>
                <w:i/>
              </w:rPr>
              <w:t>;</w:t>
            </w:r>
            <w:r>
              <w:t xml:space="preserve"> </w:t>
            </w:r>
            <w:r>
              <w:rPr>
                <w:b/>
                <w:i/>
              </w:rPr>
              <w:t>felhívja az Európai Bizottságot, hogy a készségek uniójáról szóló közleménnyel összhangban hozzon létre szakképzési diplomát, alulról építkező kezdeményezésekkel a tantervek aktualizálásának, a nemzetközi jelentőségnek és a megnövekedett mobilitási lehetőségeknek az előmozdítása érdekében</w:t>
            </w:r>
            <w:r>
              <w:t xml:space="preserve">; kéri, hogy a készségek hordozhatóságára vonatkozóan készülő kezdeményezés hozzon létre koherens uniós ökoszisztémát a készségek elismerése és a mobilitás tekintetében, biztosítva az Europass, a készségek, kompetenciák és foglalkozások európai osztályozása, a nemzeti képesítési keretrendszerek, a mikrotanúsítványok és a digitális tanúsítványok közötti interoperabilitást; hangsúlyozza, hogy ennek a rendszernek átláthatónak, polgárbarátnak, digitálisnak és ingyenesnek kell lennie; </w:t>
            </w:r>
            <w:r>
              <w:rPr>
                <w:b/>
                <w:i/>
              </w:rPr>
              <w:t>teljes mértékben tiszteletben tartva a tagállamok szakmai képesítésekkel és szabályozott szakmákkal kapcsolatos hatáskörét;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hangsúlyozza a diplomák és a készségek elismerésének fontosságát a szakképzésben részt vevő diákok és munkavállalók szabad mozgásának biztosítása, valamint e tekintetben a mobilitási lehetőségek alacsony számának kezelése szempontjából; kéri, hogy a készségek hordozhatóságára vonatkozóan készülő kezdeményezés hozzon létre koherens uniós ökoszisztémát a készségek elismerése és a mobilitás tekintetében, biztosítva az Europass, a készségek, kompetenciák és foglalkozások európai osztályozása, a nemzeti képesítési keretrendszerek, a mikrotanúsítványok és a digitális tanúsítványok közötti interoperabilitást; hangsúlyozza, hogy ennek a rendszernek átláthatónak, polgárbarátnak, digitálisnak és ingyenesnek kell lennie;</w:t>
            </w:r>
          </w:p>
        </w:tc>
        <w:tc>
          <w:tcPr>
            <w:tcW w:w="4876" w:type="dxa"/>
            <w:tcBorders>
              <w:top w:val="nil"/>
              <w:left w:val="nil"/>
              <w:bottom w:val="nil"/>
              <w:right w:val="nil"/>
            </w:tcBorders>
          </w:tcPr>
          <w:p>
            <w:pPr>
              <w:pStyle w:val="Normal6a"/>
            </w:pPr>
            <w:r>
              <w:t>(13)</w:t>
            </w:r>
            <w:r>
              <w:tab/>
            </w:r>
            <w:r>
              <w:t xml:space="preserve">hangsúlyozza a diplomák és a készségek elismerésének fontosságát a szakképzésben részt vevő diákok és munkavállalók szabad mozgásának biztosítása, valamint e tekintetben a mobilitási lehetőségek alacsony számának kezelése szempontjából; kéri, hogy a készségek hordozhatóságára vonatkozóan készülő kezdeményezés hozzon létre koherens uniós ökoszisztémát a készségek elismerése és a mobilitás tekintetében, biztosítva az Europass, a készségek, kompetenciák és foglalkozások európai osztályozása, a nemzeti képesítési keretrendszerek, a mikrotanúsítványok és a digitális tanúsítványok közötti interoperabilitást; hangsúlyozza, hogy ennek a rendszernek átláthatónak, polgárbarátnak, digitálisnak és ingyenesnek kell lennie; </w:t>
            </w:r>
            <w:r>
              <w:rPr>
                <w:b/>
                <w:i/>
              </w:rPr>
              <w:t>hangsúlyozza továbbá, hogy a fokozott mobilitást és a készségek elismerését olyan intézkedéseknek kell kísérniük, amelyek célja az aránytalan agyelszívás és a munkaerőhiány súlyosbodásának megelőzése a kevésbé tehetős tagállamokban és régiókban, többek között célzott beruházások, készségmegtartási stratégiák és olyan ösztönzők révén, amelyek Unió-szerte támogatják a kiegyensúlyozott gazdasági konvergenciát és a helyi munkaerőpiacok fejlődését;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hangsúlyozza a diplomák és a készségek elismerésének fontosságát a szakképzésben részt vevő diákok és munkavállalók szabad mozgásának biztosítása, valamint e tekintetben a mobilitási lehetőségek alacsony számának kezelése szempontjából; kéri, hogy a készségek hordozhatóságára vonatkozóan készülő kezdeményezés hozzon létre koherens uniós ökoszisztémát a készségek elismerése és a mobilitás tekintetében, biztosítva az Europass, a készségek, kompetenciák és foglalkozások európai osztályozása, a nemzeti képesítési keretrendszerek, a mikrotanúsítványok és a digitális tanúsítványok közötti interoperabilitást; hangsúlyozza, hogy ennek a rendszernek átláthatónak, polgárbarátnak, digitálisnak és ingyenesnek kell lennie;</w:t>
            </w:r>
          </w:p>
        </w:tc>
        <w:tc>
          <w:tcPr>
            <w:tcW w:w="4876" w:type="dxa"/>
            <w:tcBorders>
              <w:top w:val="nil"/>
              <w:left w:val="nil"/>
              <w:bottom w:val="nil"/>
              <w:right w:val="nil"/>
            </w:tcBorders>
          </w:tcPr>
          <w:p>
            <w:pPr>
              <w:pStyle w:val="Normal6a"/>
            </w:pPr>
            <w:r>
              <w:t>(13)</w:t>
            </w:r>
            <w:r>
              <w:tab/>
            </w:r>
            <w:r>
              <w:t xml:space="preserve">hangsúlyozza a diplomák és a készségek elismerésének fontosságát a szakképzésben részt vevő diákok és munkavállalók szabad mozgásának biztosítása, valamint e tekintetben a mobilitási lehetőségek alacsony számának kezelése szempontjából; kéri, hogy a készségek hordozhatóságára vonatkozóan készülő kezdeményezés hozzon létre koherens uniós ökoszisztémát a készségek elismerése és a mobilitás tekintetében, biztosítva az Europass, a készségek, kompetenciák és foglalkozások európai osztályozása, a nemzeti képesítési keretrendszerek, a mikrotanúsítványok és a digitális tanúsítványok közötti interoperabilitást; hangsúlyozza, hogy ennek a rendszernek átláthatónak, polgárbarátnak, digitálisnak és ingyenesnek kell lennie; </w:t>
            </w:r>
            <w:r>
              <w:rPr>
                <w:b/>
                <w:i/>
              </w:rPr>
              <w:t>hangsúlyozza, hogy a fokozott mobilitás nem járulhat hozzá a szociális dömpinghez vagy a munkaügyi normák eróziójához, és azt a munkavállalói jogok Unió-szerte történő hatékony érvényesítésének kell kísérnie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hangsúlyozza a diplomák és a készségek elismerésének fontosságát a szakképzésben részt vevő diákok és munkavállalók szabad mozgásának biztosítása, valamint e tekintetben a mobilitási lehetőségek alacsony számának kezelése szempontjából; kéri, hogy a készségek hordozhatóságára vonatkozóan készülő kezdeményezés hozzon létre koherens uniós ökoszisztémát a készségek elismerése és a mobilitás tekintetében, biztosítva az Europass, a készségek, kompetenciák és foglalkozások európai osztályozása, a nemzeti képesítési keretrendszerek, a mikrotanúsítványok és a digitális tanúsítványok közötti interoperabilitást; hangsúlyozza, hogy ennek a rendszernek átláthatónak, polgárbarátnak, digitálisnak és ingyenesnek kell lennie;</w:t>
            </w:r>
          </w:p>
        </w:tc>
        <w:tc>
          <w:tcPr>
            <w:tcW w:w="4876" w:type="dxa"/>
            <w:tcBorders>
              <w:top w:val="nil"/>
              <w:left w:val="nil"/>
              <w:bottom w:val="nil"/>
              <w:right w:val="nil"/>
            </w:tcBorders>
          </w:tcPr>
          <w:p>
            <w:pPr>
              <w:pStyle w:val="Normal6a"/>
            </w:pPr>
            <w:r>
              <w:t>(13)</w:t>
            </w:r>
            <w:r>
              <w:tab/>
            </w:r>
            <w:r>
              <w:t>hangsúlyozza a diplomák és a készségek elismerésének fontosságát a szakképzésben részt vevő diákok és munkavállalók szabad mozgásának biztosítása, valamint e tekintetben a mobilitási lehetőségek alacsony számának kezelése szempontjából; kéri, hogy a készségek hordozhatóságára vonatkozóan készülő kezdeményezés hozzon létre koherens uniós ökoszisztémát a készségek elismerése és a mobilitás tekintetében, biztosítva az Europass, a készségek, kompetenciák és foglalkozások európai osztályozása, a nemzeti képesítési keretrendszerek, a mikrotanúsítványok és a digitális tanúsítványok közötti interoperabilitást; hangsúlyozza, hogy ennek a rendszernek átláthatónak, polgárbarátnak, digitálisnak és ingyenesnek kell lennie</w:t>
            </w:r>
            <w:r>
              <w:rPr>
                <w:b/>
                <w:i/>
              </w:rPr>
              <w:t>, és hogy a kezdeményezéseket megfelelő biztosítékokkal kell alátámasztani, amelyek az alkalmazandó nemzetközi munkaügyi normák szerinti egyenlőség elvén és a migráns munkavállalók alapvető jogain alapulnak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hangsúlyozza a </w:t>
            </w:r>
            <w:r>
              <w:rPr>
                <w:b/>
                <w:i/>
              </w:rPr>
              <w:t>diplomák és a készségek</w:t>
            </w:r>
            <w:r>
              <w:t xml:space="preserve"> elismerésének fontosságát a szakképzésben részt vevő </w:t>
            </w:r>
            <w:r>
              <w:rPr>
                <w:b/>
                <w:i/>
              </w:rPr>
              <w:t>diákok</w:t>
            </w:r>
            <w:r>
              <w:t xml:space="preserve"> és munkavállalók </w:t>
            </w:r>
            <w:r>
              <w:rPr>
                <w:b/>
                <w:i/>
              </w:rPr>
              <w:t>szabad mozgásának biztosítása</w:t>
            </w:r>
            <w:r>
              <w:t xml:space="preserve">, valamint e tekintetben a mobilitási lehetőségek alacsony számának kezelése </w:t>
            </w:r>
            <w:r>
              <w:rPr>
                <w:b/>
                <w:i/>
              </w:rPr>
              <w:t>szempontjából</w:t>
            </w:r>
            <w:r>
              <w:t>; kéri, hogy a készségek hordozhatóságára vonatkozóan készülő kezdeményezés hozzon létre koherens uniós ökoszisztémát a készségek elismerése és a mobilitás tekintetében, biztosítva az Europass, a készségek, kompetenciák és foglalkozások európai osztályozása, a nemzeti képesítési keretrendszerek, a mikrotanúsítványok és a digitális tanúsítványok közötti interoperabilitást; hangsúlyozza, hogy ennek a rendszernek átláthatónak, polgárbarátnak, digitálisnak és ingyenesnek kell lennie;</w:t>
            </w:r>
          </w:p>
        </w:tc>
        <w:tc>
          <w:tcPr>
            <w:tcW w:w="4876" w:type="dxa"/>
            <w:tcBorders>
              <w:top w:val="nil"/>
              <w:left w:val="nil"/>
              <w:bottom w:val="nil"/>
              <w:right w:val="nil"/>
            </w:tcBorders>
          </w:tcPr>
          <w:p>
            <w:pPr>
              <w:pStyle w:val="Normal6a"/>
            </w:pPr>
            <w:r>
              <w:t>(13)</w:t>
            </w:r>
            <w:r>
              <w:tab/>
            </w:r>
            <w:r>
              <w:t xml:space="preserve">hangsúlyozza a </w:t>
            </w:r>
            <w:r>
              <w:rPr>
                <w:b/>
                <w:i/>
              </w:rPr>
              <w:t>képesítések és oklevelek</w:t>
            </w:r>
            <w:r>
              <w:t xml:space="preserve"> elismerésének fontosságát a </w:t>
            </w:r>
            <w:r>
              <w:rPr>
                <w:b/>
                <w:i/>
              </w:rPr>
              <w:t>szabad mozgás biztosítása és a</w:t>
            </w:r>
            <w:r>
              <w:t xml:space="preserve"> szakképzésben részt vevő </w:t>
            </w:r>
            <w:r>
              <w:rPr>
                <w:b/>
                <w:i/>
              </w:rPr>
              <w:t>hallgatók, tanulószerződéses tanulók</w:t>
            </w:r>
            <w:r>
              <w:t xml:space="preserve"> és munkavállalók </w:t>
            </w:r>
            <w:r>
              <w:rPr>
                <w:b/>
                <w:i/>
              </w:rPr>
              <w:t>méltányos tanulmányi mobilitásának előmozdítása</w:t>
            </w:r>
            <w:r>
              <w:t xml:space="preserve">, valamint e tekintetben a mobilitási lehetőségek alacsony számának kezelése </w:t>
            </w:r>
            <w:r>
              <w:rPr>
                <w:b/>
                <w:i/>
              </w:rPr>
              <w:t>érdekében</w:t>
            </w:r>
            <w:r>
              <w:t>; kéri, hogy a készségek hordozhatóságára vonatkozóan készülő kezdeményezés hozzon létre koherens uniós ökoszisztémát a készségek elismerése és a mobilitás tekintetében, biztosítva az Europass, a készségek, kompetenciák és foglalkozások európai osztályozása, a nemzeti képesítési keretrendszerek, a mikrotanúsítványok és a digitális tanúsítványok közötti interoperabilitást; hangsúlyozza, hogy ennek a rendszernek átláthatónak, polgárbarátnak, digitálisnak és ingyenesnek kell lennie;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hangsúlyozza a diplomák és a készségek elismerésének fontosságát a szakképzésben részt vevő diákok és munkavállalók szabad mozgásának biztosítása, valamint e tekintetben a mobilitási lehetőségek alacsony számának kezelése szempontjából; kéri, hogy a készségek hordozhatóságára vonatkozóan készülő kezdeményezés hozzon létre koherens uniós ökoszisztémát a készségek elismerése és a mobilitás tekintetében, biztosítva az Europass, a készségek, kompetenciák és foglalkozások európai osztályozása, a nemzeti képesítési keretrendszerek, a mikrotanúsítványok és a digitális tanúsítványok közötti interoperabilitást; hangsúlyozza, hogy ennek a rendszernek átláthatónak, polgárbarátnak, digitálisnak és ingyenesnek kell lennie;</w:t>
            </w:r>
          </w:p>
        </w:tc>
        <w:tc>
          <w:tcPr>
            <w:tcW w:w="4876" w:type="dxa"/>
            <w:tcBorders>
              <w:top w:val="nil"/>
              <w:left w:val="nil"/>
              <w:bottom w:val="nil"/>
              <w:right w:val="nil"/>
            </w:tcBorders>
          </w:tcPr>
          <w:p>
            <w:pPr>
              <w:pStyle w:val="Normal6a"/>
            </w:pPr>
            <w:r>
              <w:t>(13)</w:t>
            </w:r>
            <w:r>
              <w:tab/>
            </w:r>
            <w:r>
              <w:t>hangsúlyozza a diplomák és a készségek elismerésének fontosságát a szakképzésben részt vevő diákok és munkavállalók szabad mozgásának biztosítása, valamint e tekintetben a mobilitási lehetőségek alacsony számának kezelése szempontjából</w:t>
            </w:r>
            <w:r>
              <w:rPr>
                <w:b/>
                <w:i/>
              </w:rPr>
              <w:t>, többek között az Erasmus+ program révén</w:t>
            </w:r>
            <w:r>
              <w:t>; kéri, hogy a készségek hordozhatóságára vonatkozóan készülő kezdeményezés hozzon létre koherens uniós ökoszisztémát a készségek elismerése és a mobilitás tekintetében, biztosítva az Europass, a készségek, kompetenciák és foglalkozások európai osztályozása, a nemzeti képesítési keretrendszerek, a mikrotanúsítványok és a digitális tanúsítványok közötti interoperabilitást; hangsúlyozza, hogy ennek a rendszernek átláthatónak, polgárbarátnak, digitálisnak és ingyenesnek kell lennie;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hangsúlyozza a </w:t>
            </w:r>
            <w:r>
              <w:rPr>
                <w:b/>
                <w:i/>
              </w:rPr>
              <w:t>diplomák</w:t>
            </w:r>
            <w:r>
              <w:t xml:space="preserve"> és a készségek elismerésének fontosságát a szakképzésben részt vevő diákok </w:t>
            </w:r>
            <w:r>
              <w:rPr>
                <w:b/>
                <w:i/>
              </w:rPr>
              <w:t>és munkavállalók szabad mozgásának biztosítása</w:t>
            </w:r>
            <w:r>
              <w:t xml:space="preserve">, valamint </w:t>
            </w:r>
            <w:r>
              <w:rPr>
                <w:b/>
                <w:i/>
              </w:rPr>
              <w:t>e tekintetben a mobilitási lehetőségek alacsony számának</w:t>
            </w:r>
            <w:r>
              <w:t xml:space="preserve"> kezelése </w:t>
            </w:r>
            <w:r>
              <w:rPr>
                <w:b/>
                <w:i/>
              </w:rPr>
              <w:t>szempontjából</w:t>
            </w:r>
            <w:r>
              <w:t>; kéri, hogy a készségek hordozhatóságára vonatkozóan készülő kezdeményezés hozzon létre koherens uniós ökoszisztémát a készségek elismerése és a mobilitás tekintetében, biztosítva az Europass, a készségek, kompetenciák és foglalkozások európai osztályozása, a nemzeti képesítési keretrendszerek, a mikrotanúsítványok és a digitális tanúsítványok közötti interoperabilitást; hangsúlyozza, hogy ennek a rendszernek átláthatónak, polgárbarátnak, digitálisnak és ingyenesnek kell lennie;</w:t>
            </w:r>
          </w:p>
        </w:tc>
        <w:tc>
          <w:tcPr>
            <w:tcW w:w="4876" w:type="dxa"/>
            <w:tcBorders>
              <w:top w:val="nil"/>
              <w:left w:val="nil"/>
              <w:bottom w:val="nil"/>
              <w:right w:val="nil"/>
            </w:tcBorders>
          </w:tcPr>
          <w:p>
            <w:pPr>
              <w:pStyle w:val="Normal6a"/>
            </w:pPr>
            <w:r>
              <w:t>(13)</w:t>
            </w:r>
            <w:r>
              <w:tab/>
            </w:r>
            <w:r>
              <w:t xml:space="preserve">hangsúlyozza a </w:t>
            </w:r>
            <w:r>
              <w:rPr>
                <w:b/>
                <w:i/>
              </w:rPr>
              <w:t>képesítések</w:t>
            </w:r>
            <w:r>
              <w:t xml:space="preserve"> és a készségek elismerésének fontosságát a </w:t>
            </w:r>
            <w:r>
              <w:rPr>
                <w:b/>
                <w:i/>
              </w:rPr>
              <w:t>szabad mozgás biztosítása és a</w:t>
            </w:r>
            <w:r>
              <w:t xml:space="preserve"> szakképzésben részt vevő diákok </w:t>
            </w:r>
            <w:r>
              <w:rPr>
                <w:b/>
                <w:i/>
              </w:rPr>
              <w:t>méltányos tanulmányi mobilitásának</w:t>
            </w:r>
            <w:r>
              <w:t xml:space="preserve">, valamint </w:t>
            </w:r>
            <w:r>
              <w:rPr>
                <w:b/>
                <w:i/>
              </w:rPr>
              <w:t>valamennyi tanulószerződéses tanuló és munkavállaló méltányos munkavállalói mobilitásának</w:t>
            </w:r>
            <w:r>
              <w:t xml:space="preserve"> kezelése </w:t>
            </w:r>
            <w:r>
              <w:rPr>
                <w:b/>
                <w:i/>
              </w:rPr>
              <w:t>érdekében</w:t>
            </w:r>
            <w:r>
              <w:t>; kéri, hogy a készségek hordozhatóságára vonatkozóan készülő kezdeményezés hozzon létre koherens uniós ökoszisztémát a készségek elismerése és a mobilitás tekintetében, biztosítva az Europass, a készségek, kompetenciák és foglalkozások európai osztályozása, a nemzeti képesítési keretrendszerek, a mikrotanúsítványok és a digitális tanúsítványok közötti interoperabilitást; hangsúlyozza, hogy ennek a rendszernek átláthatónak, polgárbarátnak, digitálisnak és ingyenesnek kell lennie;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13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rámutat arra, hogy a szakképzéshez kapcsolódó foglalkozásokat rugalmasság jellemzi, így azok bárhol gyakorolhatók, továbbá hogy ennek következtében a szakképzés keretében megvalósuló mobilitás a munkanélküliség elleni küzdelem egyik legfontosabb eszköze, mivel javítja a foglalkoztathatóságot, csökkenti a készségek hiányát és elősegíti az állások és a megfelelő jelöltek összehangolását, különösen a fiatalok esetében azáltal, hogy biztosítja számukra azokat a készségeket és egyedi tapasztalatokat, amelyekre szükségük lehet, hogy a mai uniós munkaerőpiacon versenyképesek legyenek;</w:t>
            </w:r>
            <w:r>
              <w:t xml:space="preserve"> </w:t>
            </w:r>
            <w:r>
              <w:rPr>
                <w:b/>
                <w:i/>
              </w:rPr>
              <w:t>ösztönzi a tagállamokat, hogy teljes mértékben mozdítsák elő az Erasmus+ program által kínált valamennyi lehetőséget, mivel ez a program nemcsak külföldi tanulási lehetőséget biztosít a fiataloknak, hanem külföldi tanulószerződéses gyakorlati képzési és szakmai gyakorlati lehetőségeket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13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felszólítja a Bizottságot és a tagállamokat, hogy hozzanak létre regionális kísérleti területeket a készségek és képesítések átvihetőségének elősegítésére, a meglévő határon átnyúló együttműködési keretekre – például a Benelux Unióra és annak szomszédos határvidékeire – építve, annak érdekében, hogy kipróbálják a képesítések, készségek és mikroképesítések határon átnyúló elismerésére, érvényesítésére és automatikus átvihetőségére irányuló innovatív megközelítéseket;</w:t>
            </w:r>
            <w:r>
              <w:t xml:space="preserve"> </w:t>
            </w:r>
            <w:r>
              <w:rPr>
                <w:b/>
                <w:i/>
              </w:rPr>
              <w:t>úgy véli, hogy a sikeres kísérleti projektek értékes bizonyítékokat teremthetnek, erősíthetik az illetékes hatóságok közötti kölcsönös bizalmat, és pozitív továbbgyűrűző hatásokat idézhetnek elő a szélesebb körű végrehajtás érdekében az egész Unióban;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13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hangsúlyozza, hogy a mobilitás akadályainak csökkentése, valamint az oktatás és a munka egységes piaca működésének megerősítése érdekében el kell mozdulni az egyetemi és szakmai képesítések tagállamok közötti automatikus elismerése felé az összehasonlítható oktatási szintek tekintetében, felhívja a Bizottságot és a tagállamokat annak biztosítására, hogy a szakoktatási és -képzési képesítéseket az egyetemi képesítésekkel azonos alapon értékeljék, a tanulási eredmények, ne pedig kizárólag a formális tanulmányi pályák alapján;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13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hangsúlyozza, hogy a szakképesítések jobb elismerésének és hordozhatóságának nemcsak a munkavállalói mobilitáshoz kell hozzájárulnia, hanem a készségek és a munkaerőpiaci igények jobb összehangolásához is az egész Unióban;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13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hangsúlyozza, hogy a nemzeti rendszerek közötti eltérések csökkentése és a határokon átnyúló elismerés megkönnyítése érdekében meg kell erősíteni az európai képesítési keretrendszert (EKKR), amely a képesítések összehasonlíthatóságának közös referenciakerete, kiemeli, hogy csökkenteni kell a képesítések elismerése terén a tagállamok között alkalmazott diszkrecionális gyakorlatokat a közös tanulási eredményeken alapuló közös kritériumok és szabványosított határidők előmozdítása révén;</w:t>
            </w:r>
            <w:r>
              <w:t xml:space="preserve"> </w:t>
            </w:r>
            <w:r>
              <w:rPr>
                <w:b/>
                <w:i/>
              </w:rPr>
              <w:t>támogatja a valódi európai oktatási térség célkitűzését, amelyben az egyetemi és szakmai képesítések elismerése fokozatosan automatikussá válik, megerősítve az oktatási rendszerek közötti kölcsönös bizalmat és megkönnyítve a szakképzett munkavállalók mobilitását.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13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felszólít az illetékes és elismert hatóságok által kiállított és határokon átnyúlóan könnyen megosztható, a képesítésekre és szakmai készségekre vonatkozó interoperábilis, biztonságos és ellenőrizhető digitális tanúsítványok kidolgozására, a meglévő uniós kezdeményezésekkel való összhang biztosítása és a szabványok fenntartása mellett;</w:t>
            </w:r>
            <w:r>
              <w:t xml:space="preserve"> </w:t>
            </w:r>
            <w:r>
              <w:rPr>
                <w:b/>
                <w:i/>
              </w:rPr>
              <w:t>figyelembe veszi a mesterséges intelligenciában rejlő lehetőségeket a képesítések és mikrotanúsítványok elismerése szempontjából;</w:t>
            </w:r>
            <w:r>
              <w:t xml:space="preserve"> </w:t>
            </w:r>
            <w:r>
              <w:rPr>
                <w:b/>
                <w:i/>
              </w:rPr>
              <w:t>ösztönzi a mesterséges intelligencián alapuló európai tanúsítási mechanizmusok kidolgozását a szakképzési képesítések átláthatóságának és tagállamok közötti átültethetőségének fokozása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13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felhívja a Bizottságot és a tagállamokat, hogy a munkavállalói mobilitás megkönnyítése és a szakemberhiány kezelése érdekében a nemzeti hatáskörök tiszteletben tartása mellett Unió-szerte egyszerűsítsék tovább és gyorsítsák fel a szakképesítések elismerését;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13 c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kiemeli a strukturált munkaalapú tanulási rendszerek – többek között a tanulószerződéses gyakorlati képzések és a duális oktatási és képzési rendszerek – értékét, amelyek alapvető eszközök az oktatásból a munkaerőpiacra való átmenet megkönnyítéséhez, valamint a gazdasági és társadalmi igényekhez igazodó készségek elsajátításának biztosításához;</w:t>
            </w:r>
            <w:r>
              <w:t xml:space="preserve"> </w:t>
            </w:r>
            <w:r>
              <w:rPr>
                <w:b/>
                <w:i/>
              </w:rPr>
              <w:t>felhívja a tagállamokat, hogy erősítsék meg, terjesszék ki és teljes mértékben integrálják az ilyen rendszereket a nemzeti oktatási és képzési rendszerekbe, magas színvonalú és jól felügyelt szakmai gyakorlatokat biztosítva nemcsak a magánszektorban és a vállalkozásokon belül, hanem a közigazgatásban, a kutatóközpontokban, az önkéntes szervezetekben és a tágabb értelemben vett harmadik szektorban is annak érdekében, hogy a diákok számára szélesebb körű, inkluzívabb és diverzifikáltabb tanulási lehetőségeket biztosítsanak;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13 c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üdvözli az Európai Számvevőszéknek a szakmai képesítések Unión belüli elismeréséről szóló különjelentését, és felhívja a Bizottságot és a tagállamokat, hogy hajtsák végre ajánlásait, különösen az ideiglenes és állandó mobilitást biztosító ágazati szakmákra vonatkozó automatikus rendszer révén csökkentsék az elismerési határidőket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Angelika Winzig, Eleonora Meleti, Andrea Wechsler, Romana Tomc, Andrzej Buła, Martine Kemp,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13 c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ösztönzi készségfejlesztési és képzési partnerségek kialakítását harmadik országokkal a tartós munkaerőhiánnyal küzdő ágazatokban, ötvözve a magas színvonalú képzési lehetőségeket átlátható elismerési útvonalakkal és kölcsönösen előnyös mobilitási megállapodásokkal;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Martine Kemp,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sajnálatát fejezi ki amiatt</w:t>
            </w:r>
            <w:r>
              <w:t>, hogy a 2005/36/EK</w:t>
            </w:r>
            <w:r>
              <w:rPr>
                <w:vertAlign w:val="superscript"/>
              </w:rPr>
              <w:t>5</w:t>
            </w:r>
            <w:r>
              <w:t xml:space="preserve"> irányelv szerinti közös képzési keretek alkalmazása mindeddig korlátozott volt, és felhívja a Bizottságot, </w:t>
            </w:r>
            <w:r>
              <w:rPr>
                <w:b/>
                <w:i/>
              </w:rPr>
              <w:t>a tagállamokat és az érintett szakmai szervezeteket, hogy aktívan mozdítsák elő azok fejlesztését és végrehajtását</w:t>
            </w:r>
            <w:r>
              <w:t xml:space="preserve"> a szakképzési ágazatokban, ahol a közös képzési követelmények támogathatják a szakmai mobilitást és </w:t>
            </w:r>
            <w:r>
              <w:rPr>
                <w:b/>
                <w:i/>
              </w:rPr>
              <w:t>kezelhetik a szakemberhiányt</w:t>
            </w:r>
            <w:r>
              <w:t>;</w:t>
            </w:r>
          </w:p>
        </w:tc>
        <w:tc>
          <w:tcPr>
            <w:tcW w:w="4876" w:type="dxa"/>
            <w:tcBorders>
              <w:top w:val="nil"/>
              <w:left w:val="nil"/>
              <w:bottom w:val="nil"/>
              <w:right w:val="nil"/>
            </w:tcBorders>
          </w:tcPr>
          <w:p>
            <w:pPr>
              <w:pStyle w:val="Normal6a"/>
            </w:pPr>
            <w:r>
              <w:t>(14)</w:t>
            </w:r>
            <w:r>
              <w:tab/>
            </w:r>
            <w:r>
              <w:rPr>
                <w:b/>
                <w:i/>
              </w:rPr>
              <w:t>megjegyzi</w:t>
            </w:r>
            <w:r>
              <w:t>, hogy a 2005/36/EK irányelv</w:t>
            </w:r>
            <w:r>
              <w:rPr>
                <w:vertAlign w:val="superscript"/>
              </w:rPr>
              <w:t>5</w:t>
            </w:r>
            <w:r>
              <w:t xml:space="preserve"> szerinti közös képzési keretek alkalmazása mindeddig korlátozott volt, és felhívja a Bizottságot, </w:t>
            </w:r>
            <w:r>
              <w:rPr>
                <w:b/>
                <w:i/>
              </w:rPr>
              <w:t>hogy értékelje e korlátozott elterjedés okait, azonosítsa a fejlődésük és használatuk előtt álló lehetséges akadályokat, és tárja fel, hogy miként lehetne előmozdítani azok elterjedését azokban</w:t>
            </w:r>
            <w:r>
              <w:t xml:space="preserve"> a szakképzési ágazatokban, ahol a közös képzési követelmények támogathatják a szakmai mobilitást és </w:t>
            </w:r>
            <w:r>
              <w:rPr>
                <w:b/>
                <w:i/>
              </w:rPr>
              <w:t>segíthetik a szakemberhiány kezelését</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Az Európai Parlament és a Tanács 2005/36/EK irányelve (2005. szeptember 7.) a szakmai képesítések elismeréséről (HL L 255., 2005.9.30., 22. o., ELI: http://data.europa.eu/eli/dir/2005/36/oj).</w:t>
            </w:r>
          </w:p>
        </w:tc>
        <w:tc>
          <w:tcPr>
            <w:tcW w:w="4876" w:type="dxa"/>
            <w:tcBorders>
              <w:top w:val="nil"/>
              <w:left w:val="nil"/>
              <w:bottom w:val="nil"/>
              <w:right w:val="nil"/>
            </w:tcBorders>
          </w:tcPr>
          <w:p>
            <w:pPr>
              <w:pStyle w:val="Normal6a"/>
            </w:pPr>
            <w:r>
              <w:rPr>
                <w:vertAlign w:val="superscript"/>
              </w:rPr>
              <w:t>5</w:t>
            </w:r>
            <w:r>
              <w:t xml:space="preserve"> </w:t>
            </w:r>
            <w:r>
              <w:t>Az Európai Parlament és a Tanács 2005/36/EK irányelve (2005. szeptember 7.) a szakmai képesítések elismeréséről (HL L 255., 2005.9.30., 22. o., ELI: http://data.europa.eu/eli/dir/2005/36/oj).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sajnálatát fejezi ki amiatt, hogy a 2005/36/EK</w:t>
            </w:r>
            <w:r>
              <w:rPr>
                <w:vertAlign w:val="superscript"/>
              </w:rPr>
              <w:t>5</w:t>
            </w:r>
            <w:r>
              <w:t xml:space="preserve"> irányelv szerinti közös képzési keretek alkalmazása mindeddig korlátozott volt, és felhívja a Bizottságot, a tagállamokat és az érintett szakmai szervezeteket, hogy aktívan mozdítsák elő azok fejlesztését és végrehajtását a szakképzési ágazatokban, ahol a közös képzési követelmények támogathatják a szakmai mobilitást </w:t>
            </w:r>
            <w:r>
              <w:rPr>
                <w:b/>
                <w:i/>
              </w:rPr>
              <w:t>és kezelhetik a szakemberhiányt;</w:t>
            </w:r>
          </w:p>
        </w:tc>
        <w:tc>
          <w:tcPr>
            <w:tcW w:w="4876" w:type="dxa"/>
            <w:tcBorders>
              <w:top w:val="nil"/>
              <w:left w:val="nil"/>
              <w:bottom w:val="nil"/>
              <w:right w:val="nil"/>
            </w:tcBorders>
          </w:tcPr>
          <w:p>
            <w:pPr>
              <w:pStyle w:val="Normal6a"/>
            </w:pPr>
            <w:r>
              <w:t>(14)</w:t>
            </w:r>
            <w:r>
              <w:tab/>
            </w:r>
            <w:r>
              <w:t>sajnálatát fejezi ki amiatt, hogy a 2005/36/EK</w:t>
            </w:r>
            <w:r>
              <w:rPr>
                <w:vertAlign w:val="superscript"/>
              </w:rPr>
              <w:t>5</w:t>
            </w:r>
            <w:r>
              <w:t xml:space="preserve"> irányelv szerinti közös képzési keretek alkalmazása mindeddig korlátozott volt, és felhívja a Bizottságot, a tagállamokat és az érintett szakmai szervezeteket, hogy aktívan mozdítsák elő azok fejlesztését és végrehajtását a szakképzési ágazatokban, ahol a közös képzési követelmények támogathatják a szakmai mobilitást</w:t>
            </w:r>
            <w:r>
              <w:rPr>
                <w:b/>
                <w:i/>
              </w:rPr>
              <w:t>;</w:t>
            </w:r>
            <w:r>
              <w:t xml:space="preserve"> </w:t>
            </w:r>
            <w:r>
              <w:rPr>
                <w:b/>
                <w:i/>
              </w:rPr>
              <w:t>ösztönzi az automatikus elismerési rendszerek kiterjesztését, különösen a munkaerőhiánnyal vagy nagyfokú határokon átnyúló mobilitással küzdő ágazatokban, a regionális együttműködési keretekben alkalmazott sikeres kísérleti megközelítésekre építve.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Az Európai Parlament és a Tanács 2005/36/EK irányelve (2005. szeptember 7.) a szakmai képesítések elismeréséről (HL L 255., 2005.9.30., 22. o., ELI: http://data.europa.eu/eli/dir/2005/36/oj).</w:t>
            </w:r>
          </w:p>
        </w:tc>
        <w:tc>
          <w:tcPr>
            <w:tcW w:w="4876" w:type="dxa"/>
            <w:tcBorders>
              <w:top w:val="nil"/>
              <w:left w:val="nil"/>
              <w:bottom w:val="nil"/>
              <w:right w:val="nil"/>
            </w:tcBorders>
          </w:tcPr>
          <w:p>
            <w:pPr>
              <w:pStyle w:val="Normal6a"/>
            </w:pPr>
            <w:r>
              <w:rPr>
                <w:vertAlign w:val="superscript"/>
              </w:rPr>
              <w:t>5</w:t>
            </w:r>
            <w:r>
              <w:t xml:space="preserve"> </w:t>
            </w:r>
            <w:r>
              <w:t>Az Európai Parlament és a Tanács 2005/36/EK irányelve (2005. szeptember 7.) a szakmai képesítések elismeréséről (HL L 255., 2005.9.30., 22. o., ELI: http://data.europa.eu/eli/dir/2005/36/oj).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sajnálatát fejezi ki amiatt, hogy a 2005/36/EK</w:t>
            </w:r>
            <w:r>
              <w:rPr>
                <w:vertAlign w:val="superscript"/>
              </w:rPr>
              <w:t>5</w:t>
            </w:r>
            <w:r>
              <w:t xml:space="preserve"> irányelv szerinti közös képzési keretek alkalmazása mindeddig korlátozott volt, és felhívja a Bizottságot, a tagállamokat és az érintett szakmai szervezeteket, hogy aktívan mozdítsák elő azok fejlesztését és végrehajtását a szakképzési ágazatokban, ahol a közös képzési követelmények támogathatják a szakmai mobilitást és kezelhetik a szakemberhiányt;</w:t>
            </w:r>
          </w:p>
        </w:tc>
        <w:tc>
          <w:tcPr>
            <w:tcW w:w="4876" w:type="dxa"/>
            <w:tcBorders>
              <w:top w:val="nil"/>
              <w:left w:val="nil"/>
              <w:bottom w:val="nil"/>
              <w:right w:val="nil"/>
            </w:tcBorders>
          </w:tcPr>
          <w:p>
            <w:pPr>
              <w:pStyle w:val="Normal6a"/>
            </w:pPr>
            <w:r>
              <w:t>(14)</w:t>
            </w:r>
            <w:r>
              <w:tab/>
            </w:r>
            <w:r>
              <w:t>sajnálatát fejezi ki amiatt, hogy a 2005/36/EK</w:t>
            </w:r>
            <w:r>
              <w:rPr>
                <w:vertAlign w:val="superscript"/>
              </w:rPr>
              <w:t>5</w:t>
            </w:r>
            <w:r>
              <w:t xml:space="preserve"> irányelv szerinti közös képzési keretek alkalmazása mindeddig korlátozott volt, és felhívja a Bizottságot, a tagállamokat és az érintett szakmai szervezeteket, hogy aktívan mozdítsák elő azok fejlesztését és végrehajtását a szakképzési ágazatokban, ahol a közös képzési követelmények támogathatják a szakmai mobilitást és kezelhetik a szakemberhiányt; </w:t>
            </w:r>
            <w:r>
              <w:rPr>
                <w:b/>
                <w:i/>
              </w:rPr>
              <w:t>felhívja a Bizottságot és a tagállamokat, hogy erősítsék meg a munkaügyi felügyelőségek és az illetékes hatóságok közötti, határokon átnyúló együttműködést a szakképzésben dolgozó utazó munkavállalókat érintő csalás, színlelt önfoglalkoztatás, kizsákmányolás és be nem jelentett munkavégzés elleni küzdelem érdekében;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Az Európai Parlament és a Tanács 2005/36/EK irányelve (2005. szeptember 7.) a szakmai képesítések elismeréséről (HL L 255., 2005.9.30., 22. o., ELI: http://data.europa.eu/eli/dir/2005/36/oj).</w:t>
            </w:r>
          </w:p>
        </w:tc>
        <w:tc>
          <w:tcPr>
            <w:tcW w:w="4876" w:type="dxa"/>
            <w:tcBorders>
              <w:top w:val="nil"/>
              <w:left w:val="nil"/>
              <w:bottom w:val="nil"/>
              <w:right w:val="nil"/>
            </w:tcBorders>
          </w:tcPr>
          <w:p>
            <w:pPr>
              <w:pStyle w:val="Normal6a"/>
            </w:pPr>
            <w:r>
              <w:rPr>
                <w:vertAlign w:val="superscript"/>
              </w:rPr>
              <w:t>5</w:t>
            </w:r>
            <w:r>
              <w:t xml:space="preserve"> </w:t>
            </w:r>
            <w:r>
              <w:t>Az Európai Parlament és a Tanács 2005/36/EK irányelve (2005. szeptember 7.) a szakmai képesítések elismeréséről (HL L 255., 2005.9.30., 22. o., ELI: http://data.europa.eu/eli/dir/2005/36/oj).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14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közös uniós eljárási elveket szorgalmaz a harmadik országbeli állampolgárok képesítéseinek elismerésére vonatkozóan, beleértve az átlátható határidőket, az egyértelmű kritériumokat és a készségalapú értékelések szisztematikus alkalmazását, például a gyakorlati teszteket és a hiányos dokumentáció esetén a korábbi tanulás érvényesítését;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14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felhívja a Bizottságot, hogy értékelje a túlzott szabályozási terheknek a szakképesítést igénylő szakmákra gyakorolt hatását, és azonosítsa azokat az egyszerűsítési lehetőségeket, amelyek megkönnyíthetik a szakképzésben végzettek foglalkoztatáshoz, vállalkozáshoz és önfoglalkoztatáshoz való hozzáférését.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14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felhívja a tagállamokat és a Bizottságot, hogy erősítsék meg az ESCO használatát a nem szabályozott szakmákban szerzett készségek közös referencianyelveként, lehetővé téve a munkáltatók, a foglalkoztatási szolgálatok és a platformok számára a készségek határokon és ágazatokon átnyúló jobb elismerését és összehasonlítását.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14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elismeri a szakképesítést igénylő szakmák alapvető szerepét Európa gyártási bázisának, energiabiztonságának, közlekedési rendszereinek, építőipari ágazatának és stratégiai infrastruktúrájának megőrzésében, és kéri, hogy a szakképzési politikák tükrözzék ezeket a prioritásokat.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14 c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(14c)</w:t>
            </w:r>
            <w:r>
              <w:tab/>
            </w:r>
            <w:r>
              <w:rPr>
                <w:b/>
                <w:i/>
              </w:rPr>
              <w:t>felhívja a Bizottságot, hogy vizsgálja meg a WorldSkills foglalkozási normákat mint kulcsfontosságú referenciakeretet a szakmai alapképzésben a készségek elismerésére, átláthatóságára és elismerésére irányuló európai kezdeményezések kidolgozása során;</w:t>
            </w:r>
            <w:r>
              <w:t xml:space="preserve"> </w:t>
            </w:r>
            <w:r>
              <w:rPr>
                <w:b/>
                <w:i/>
              </w:rPr>
              <w:t>úgy véli, hogy ezek a normák szilárd, gyakorlatalapú módszertant biztosítanak a pályakezdő szintű szakmai kompetenciák meghatározásához, és jelentősen javíthatják a határokon átnyúló összehasonlíthatóságot és a munkavállalói mobilitást.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14 d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(14d)</w:t>
            </w:r>
            <w:r>
              <w:tab/>
            </w:r>
            <w:r>
              <w:rPr>
                <w:b/>
                <w:i/>
              </w:rPr>
              <w:t>hangsúlyozza, hogy a meglévő eszközökön, például az EKKR-en és a tanulási eredményeken alapuló közös uniós referenciakeretet kell létrehozni a szakoktatási és szakképzési képesítések elismerésére;</w:t>
            </w:r>
            <w:r>
              <w:t xml:space="preserve"> </w:t>
            </w:r>
            <w:r>
              <w:rPr>
                <w:b/>
                <w:i/>
              </w:rPr>
              <w:t>úgy véli, hogy nagyobb koherenciára van szükség a koppenhágai és a bolognai folyamat között;</w:t>
            </w:r>
            <w:r>
              <w:t xml:space="preserve"> </w:t>
            </w:r>
            <w:r>
              <w:rPr>
                <w:b/>
                <w:i/>
              </w:rPr>
              <w:t>üdvözli a Bizottság azon szándékát, hogy az oktatási ágazatok közötti átjárhatóság megerősítésére irányuló erőfeszítések részeként megvizsgálja az európai kreditátviteli és -gyűjtési rendszer (ECTS) szakképzésre való kiterjesztésének lehetőségét;</w:t>
            </w:r>
            <w:r>
              <w:t xml:space="preserve"> </w:t>
            </w:r>
            <w:r>
              <w:rPr>
                <w:b/>
                <w:i/>
              </w:rPr>
              <w:t>hangsúlyozza azonban, hogy ezt a kiterjesztést szilárd, bizalmon alapuló minőségbiztosítási mechanizmusoknak kell kísérniük;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14 e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(14e)</w:t>
            </w:r>
            <w:r>
              <w:tab/>
            </w:r>
            <w:r>
              <w:rPr>
                <w:b/>
                <w:i/>
              </w:rPr>
              <w:t>felszólít egy európai hálózat létrehozására a szakképzési minőségbiztosítási ügynökségek között, a felsőoktatási EQAR-hoz hasonlóan, a minőségbiztosítási rendszerek közötti szisztematikus, társaktól való tanulás, koordináció és bizalomépítés lehetővé tétele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14 f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(14f)</w:t>
            </w:r>
            <w:r>
              <w:tab/>
            </w:r>
            <w:r>
              <w:rPr>
                <w:b/>
                <w:i/>
              </w:rPr>
              <w:t>támogatja a transznacionális közös szakképzési programok kidolgozását;</w:t>
            </w:r>
            <w:r>
              <w:t xml:space="preserve"> </w:t>
            </w:r>
            <w:r>
              <w:rPr>
                <w:b/>
                <w:i/>
              </w:rPr>
              <w:t>kéri, hogy vizsgálják meg egy önkéntes európai szakképzési oklevél mint a közösen kidolgozott programok átláthatóságának és minőségi jelzésének lehetőségét, amely Európa-szerte hozzájárul az elismerés, a mobilitás és a foglalkoztathatóság megerősítéséhez;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14 g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(14g)</w:t>
            </w:r>
            <w:r>
              <w:tab/>
            </w:r>
            <w:r>
              <w:rPr>
                <w:b/>
                <w:i/>
              </w:rPr>
              <w:t>felhívja a Bizottságot és a tagállamokat, hogy erősítsék meg a rugalmas és átjárható oktatási és képzési rendszereket a modularitás előmozdítása, valamint a korábbi tanulás – többek között a nem formális és informális tanulás – elismerésének és érvényesítésének kiterjesztése révén, az oktatásba és képzésbe való visszatérés megkönnyítése érdekében;</w:t>
            </w:r>
            <w:r>
              <w:t xml:space="preserve"> </w:t>
            </w:r>
            <w:r>
              <w:rPr>
                <w:b/>
                <w:i/>
              </w:rPr>
              <w:t>ösztönzi a rugalmas megvalósítási módok – többek között a részidős, a vegyes és az online tanulás – rendelkezésre állását annak érdekében, hogy a gondozási kötelezettségekkel, foglalkoztatási kötelezettségekkel vagy megszakított oktatási pályákkal rendelkező tanulókat be lehessen fogadni;</w:t>
            </w:r>
            <w:r>
              <w:t xml:space="preserve"> </w:t>
            </w:r>
            <w:r>
              <w:rPr>
                <w:b/>
                <w:i/>
              </w:rPr>
              <w:t>felhívja az Európai Bizottságot, hogy aktualizálja a fenntartható versenyképességet, a társadalmi méltányosságot és a rezilienciát célzó szakképzésről szóló 2020. évi tanácsi ajánlást azáltal, hogy mennyiségi célokat vezet be a tantervek rugalmasságára és modularitására vonatkozóan a szakképzésben;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790.034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116</w:t>
    </w:r>
    <w:r>
      <w:fldChar w:fldCharType="end"/>
    </w:r>
    <w:r>
      <w:t>/</w:t>
    </w:r>
    <w:r>
      <w:fldChar w:fldCharType="begin"/>
    </w:r>
    <w:r>
      <w:instrText xml:space="preserve"> NUMPAGES </w:instrText>
    </w:r>
    <w:r>
      <w:fldChar w:fldCharType="separate"/>
    </w:r>
    <w:r>
      <w:t>116</w:t>
    </w:r>
    <w:r>
      <w:fldChar w:fldCharType="end"/>
    </w:r>
    <w:r>
      <w:tab/>
    </w:r>
    <w:r>
      <w:rPr>
        <w:rStyle w:val="HideTWBExt"/>
      </w:rPr>
      <w:t>&lt;PathFdR&gt;</w:t>
    </w:r>
    <w:r>
      <w:t>AM\1346123HU.docx</w:t>
    </w:r>
    <w:r>
      <w:rPr>
        <w:rStyle w:val="HideTWBExt"/>
      </w:rPr>
      <w:t>&lt;/PathFdR&gt;</w:t>
    </w:r>
  </w:p>
  <w:p>
    <w:pPr>
      <w:pStyle w:val="EPFooter2"/>
    </w:pPr>
    <w:r>
      <w:t>HU</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AM\1346123HU.docx</w:t>
    </w:r>
    <w:r>
      <w:rPr>
        <w:rStyle w:val="HideTWBExt"/>
      </w:rPr>
      <w:t>&lt;/PathFdR&gt;</w:t>
    </w:r>
    <w:r>
      <w:tab/>
    </w:r>
    <w:r>
      <w:fldChar w:fldCharType="begin"/>
    </w:r>
    <w:r>
      <w:instrText xml:space="preserve"> PAGE </w:instrText>
    </w:r>
    <w:r>
      <w:fldChar w:fldCharType="separate"/>
    </w:r>
    <w:r>
      <w:t>115</w:t>
    </w:r>
    <w:r>
      <w:fldChar w:fldCharType="end"/>
    </w:r>
    <w:r>
      <w:t>/</w:t>
    </w:r>
    <w:r>
      <w:fldChar w:fldCharType="begin"/>
    </w:r>
    <w:r>
      <w:instrText xml:space="preserve"> NUMPAGES </w:instrText>
    </w:r>
    <w:r>
      <w:fldChar w:fldCharType="separate"/>
    </w:r>
    <w:r>
      <w:t>116</w:t>
    </w:r>
    <w:r>
      <w:fldChar w:fldCharType="end"/>
    </w:r>
    <w:r>
      <w:tab/>
    </w:r>
    <w:r>
      <w:t>PE</w:t>
    </w:r>
    <w:r>
      <w:rPr>
        <w:rStyle w:val="HideTWBExt"/>
      </w:rPr>
      <w:t>&lt;NoPE&gt;</w:t>
    </w:r>
    <w:r>
      <w:t>790.034</w:t>
    </w:r>
    <w:r>
      <w:rPr>
        <w:rStyle w:val="HideTWBExt"/>
      </w:rPr>
      <w:t>&lt;/NoPE&gt;</w:t>
    </w:r>
    <w:r>
      <w:rPr>
        <w:rStyle w:val="HideTWBExt"/>
      </w:rPr>
      <w:t>&lt;Version&gt;</w:t>
    </w:r>
    <w:r>
      <w:t>v01-00</w:t>
    </w:r>
    <w:r>
      <w:rPr>
        <w:rStyle w:val="HideTWBExt"/>
      </w:rPr>
      <w:t>&lt;/Version&gt;</w:t>
    </w:r>
  </w:p>
  <w:p>
    <w:pPr>
      <w:pStyle w:val="EPFooter2"/>
    </w:pPr>
    <w:r>
      <w:tab/>
    </w:r>
    <w:r>
      <w:tab/>
    </w:r>
    <w:r>
      <w:t>HU</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AM\1346123HU.docx</w:t>
    </w:r>
    <w:r>
      <w:rPr>
        <w:rStyle w:val="HideTWBExt"/>
      </w:rPr>
      <w:t>&lt;/PathFdR&gt;</w:t>
    </w:r>
    <w:r>
      <w:tab/>
    </w:r>
    <w:r>
      <w:tab/>
    </w:r>
    <w:r>
      <w:t>PE</w:t>
    </w:r>
    <w:r>
      <w:rPr>
        <w:rStyle w:val="HideTWBExt"/>
      </w:rPr>
      <w:t>&lt;NoPE&gt;</w:t>
    </w:r>
    <w:r>
      <w:t>790.034</w:t>
    </w:r>
    <w:r>
      <w:rPr>
        <w:rStyle w:val="HideTWBExt"/>
      </w:rPr>
      <w:t>&lt;/NoPE&gt;</w:t>
    </w:r>
    <w:r>
      <w:rPr>
        <w:rStyle w:val="HideTWBExt"/>
      </w:rPr>
      <w:t>&lt;Version&gt;</w:t>
    </w:r>
    <w:r>
      <w:t>v01-00</w:t>
    </w:r>
    <w:r>
      <w:rPr>
        <w:rStyle w:val="HideTWBExt"/>
      </w:rPr>
      <w:t>&lt;/Version&gt;</w:t>
    </w:r>
  </w:p>
  <w:p>
    <w:pPr>
      <w:pStyle w:val="EPFooter2"/>
    </w:pPr>
    <w:r>
      <w:t>HU</w:t>
    </w:r>
    <w:r>
      <w:tab/>
    </w:r>
    <w:r>
      <w:rPr>
        <w:rStyle w:val="EPFooter2Motto"/>
      </w:rPr>
      <w:t>Egyesülve a sokféleségben</w:t>
    </w:r>
    <w:r>
      <w:tab/>
    </w:r>
    <w:r>
      <w:t>HU</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116</Pages>
  <Words>21717</Words>
  <Characters>159428</Characters>
  <Application>Microsoft Office Word</Application>
  <DocSecurity>0</DocSecurity>
  <Lines>1</Lines>
  <Paragraphs>1759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1346123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574225</vt:lpwstr>
  </property>
  <property fmtid="{D5CDD505-2E9C-101B-9397-08002B2CF9AE}" pid="7" name="dmxml.render.traceId">
    <vt:lpwstr>6a5607f1df7e31cb8a64622c17771013</vt:lpwstr>
  </property>
  <property fmtid="{D5CDD505-2E9C-101B-9397-08002B2CF9AE}" pid="8" name="FooterPath">
    <vt:lpwstr>AM\1346123HU.docx</vt:lpwstr>
  </property>
  <property fmtid="{D5CDD505-2E9C-101B-9397-08002B2CF9AE}" pid="9" name="PE Number">
    <vt:lpwstr>790.034</vt:lpwstr>
  </property>
  <property fmtid="{D5CDD505-2E9C-101B-9397-08002B2CF9AE}" pid="10" name="UID">
    <vt:lpwstr>eu.europa.europarl-DIN1-2026-0000186884_02.00-hu-01.00_text-xml</vt:lpwstr>
  </property>
</Properties>
</file>