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European Parliament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{ENVI}</w:t>
      </w:r>
      <w:r>
        <w:t>Committee on the Environment, Climate and Food Safety</w:t>
      </w:r>
      <w:r>
        <w:rPr>
          <w:rStyle w:val="HideTWBExt"/>
        </w:rPr>
        <w:t>&lt;/Commission&gt;</w:t>
      </w:r>
    </w:p>
    <w:p>
      <w:pPr>
        <w:pStyle w:val="LineBottom"/>
      </w:pPr>
      <w:r>
        <w:t xml:space="preserve"> </w:t>
      </w:r>
    </w:p>
    <w:p>
      <w:pPr>
        <w:pStyle w:val="CoverReference"/>
      </w:pPr>
      <w:r>
        <w:rPr>
          <w:rStyle w:val="HideTWBExt"/>
        </w:rPr>
        <w:t>&lt;RefProc&gt;</w:t>
      </w:r>
      <w:r>
        <w:t>2025/0172</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{13/10/2025}</w:t>
      </w:r>
      <w:r>
        <w:t>13.10.2025</w:t>
      </w:r>
      <w:r>
        <w:rPr>
          <w:rStyle w:val="HideTWBExt"/>
        </w:rPr>
        <w:t>&lt;/Date&gt;</w:t>
      </w:r>
    </w:p>
    <w:p>
      <w:pPr>
        <w:pStyle w:val="CoverDocType"/>
      </w:pPr>
      <w:r>
        <w:rPr>
          <w:rStyle w:val="HideTWBExt"/>
        </w:rPr>
        <w:t>&lt;TypeAM&gt;</w:t>
      </w:r>
      <w:r>
        <w:t>AMENDMENTS</w:t>
      </w:r>
      <w:r>
        <w:rPr>
          <w:rStyle w:val="HideTWBExt"/>
        </w:rPr>
        <w:t>&lt;/TypeAM&gt;</w:t>
      </w:r>
    </w:p>
    <w:p>
      <w:pPr>
        <w:pStyle w:val="CoverDocType24a"/>
      </w:pPr>
      <w:r>
        <w:rPr>
          <w:rStyle w:val="HideTWBExt"/>
        </w:rPr>
        <w:t>&lt;RangeAM&gt;</w:t>
      </w:r>
      <w:r>
        <w:t>1</w:t>
      </w:r>
      <w:r>
        <w:t xml:space="preserve"> - </w:t>
      </w:r>
      <w:r>
        <w:t>121</w:t>
      </w:r>
      <w:r>
        <w:rPr>
          <w:rStyle w:val="HideTWBExt"/>
        </w:rPr>
        <w:t>&lt;/RangeAM&gt;</w:t>
      </w:r>
    </w:p>
    <w:p>
      <w:pPr>
        <w:pStyle w:val="CoverBold"/>
      </w:pPr>
      <w:r>
        <w:rPr>
          <w:rStyle w:val="HideTWBExt"/>
        </w:rPr>
        <w:t>&lt;TitreType&gt;</w:t>
      </w:r>
      <w:r>
        <w:t>Draft opinion</w:t>
      </w:r>
      <w:r>
        <w:rPr>
          <w:rStyle w:val="HideTWBExt"/>
        </w:rPr>
        <w:t>&lt;/TitreType&gt;</w:t>
      </w:r>
    </w:p>
    <w:p>
      <w:pPr>
        <w:pStyle w:val="CoverBold"/>
      </w:pPr>
      <w:r>
        <w:rPr>
          <w:rStyle w:val="HideTWBExt"/>
        </w:rPr>
        <w:t>&lt;Rapporteur&gt;</w:t>
      </w:r>
      <w:r>
        <w:t>Antonio Decaro</w:t>
      </w:r>
      <w:r>
        <w:rPr>
          <w:rStyle w:val="HideTWBExt"/>
        </w:rPr>
        <w:t>&lt;/Rapporteur&gt;</w:t>
      </w:r>
    </w:p>
    <w:p>
      <w:pPr>
        <w:pStyle w:val="CoverNormal24a"/>
      </w:pPr>
      <w:r>
        <w:rPr>
          <w:rStyle w:val="HideTWBExt"/>
        </w:rPr>
        <w:t>&lt;Titre&gt;</w:t>
      </w:r>
      <w:r>
        <w:t>Acceleration of permit-granting for defence readiness projects</w:t>
      </w:r>
      <w:r>
        <w:rPr>
          <w:rStyle w:val="HideTWBExt"/>
        </w:rPr>
        <w:t>&lt;/Titre&gt;</w:t>
      </w:r>
    </w:p>
    <w:p>
      <w:pPr>
        <w:pStyle w:val="CoverNormal"/>
      </w:pPr>
      <w:r>
        <w:rPr>
          <w:rStyle w:val="HideTWBExt"/>
        </w:rPr>
        <w:t>&lt;DocAmend&gt;</w:t>
      </w:r>
      <w:r>
        <w:t>Proposal for a regulation</w:t>
      </w:r>
      <w:r>
        <w:rPr>
          <w:rStyle w:val="HideTWBExt"/>
        </w:rPr>
        <w:t>&lt;/DocAmend&gt;</w:t>
      </w:r>
    </w:p>
    <w:p>
      <w:pPr>
        <w:pStyle w:val="CoverNormal24a"/>
      </w:pPr>
      <w:r>
        <w:rPr>
          <w:rStyle w:val="HideTWBExt"/>
        </w:rPr>
        <w:t>&lt;DocRef&gt;</w:t>
      </w:r>
      <w:r>
        <w:t>(COM(2025)0821 – 2025/0172(COD))</w:t>
      </w:r>
      <w:r>
        <w:rPr>
          <w:rStyle w:val="HideTWBExt"/>
        </w:rPr>
        <w:t>&lt;/DocRef&gt;</w:t>
      </w:r>
    </w:p>
    <w:p>
      <w:r>
        <w:br w:type="page"/>
      </w:r>
      <w:r>
        <w:t>AM_Com_LegOpinion</w:t>
      </w:r>
    </w:p>
    <w:p>
      <w:pPr>
        <w:pStyle w:val="AmNumberTabs"/>
      </w:pPr>
      <w:r>
        <w:br w:type="page"/>
      </w:r>
      <w:r>
        <w:rPr>
          <w:rStyle w:val="HideTWBExt"/>
        </w:rPr>
        <w:t>&lt;RepeatBlock-Amend&gt;</w:t>
      </w:r>
      <w:r>
        <w:rPr>
          <w:rStyle w:val="HideTWBExt"/>
        </w:rPr>
        <w:t>&lt;Amend&gt;</w:t>
      </w:r>
      <w:r>
        <w:t>Amendment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Martin Günther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Proposal for rejection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The European Parliament rejects the Commission proposal for a regulation on the acceleration of permit-granting for defence readiness projects.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EU should pursue policies of arms control and disarmament, as well as diplomacy, to work towards peace, re-directing spending towards public services and climate mitigation and adaptation and environmental protection instead of pursuing its current policy of militarisation, which will have profoundly negative effects for people and the planet. Future massive military spending will not increase security for citizens. The EU already has a massive military industry. Therefore, the need for any new permit-granting process is questionable. The Commission has not provided evidence of what it claims are existing excessive lengths of national permit-granting processes. In many cases, the excessive length of permit-granting processes is caused by lack of staff and digitalisation of administration, which is not addressed in the Commission’s proposal. Article 5(8) as proposed would grant permit approval by default. In this way, the proposed regulation would totally undermine environmental protections and the goals of the Habitats Directive and Nature Restoration Law. Military and military-related activities are already responsible for approximately 5.5% of global GHG emissions. According to a recent peer-reviewed study by Scientists for Global Responsibility, the current proposed increase in military spending by NATO countries could result in an additional 1,320 million tons of CO2 emissions equivalent over the next decade, which is close to half of the EU’s total emissions of 3,133 Mt CO2 equivalent in 2022.</w:t>
      </w:r>
    </w:p>
    <w:p>
      <w:r>
        <w:rPr>
          <w:rStyle w:val="HideTWBExt"/>
        </w:rPr>
        <w:t>&lt;/Amend&gt;</w:t>
      </w:r>
    </w:p>
    <w:p>
      <w:pPr>
        <w:pStyle w:val="AmNumberTabs"/>
      </w:pPr>
      <w:r>
        <w:rPr>
          <w:rStyle w:val="HideTWBExt"/>
        </w:rPr>
        <w:t>&lt;Amend&gt;</w:t>
      </w:r>
      <w:r>
        <w:t>Amendment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Citation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Having regard to the Treaty on the Functioning of the European Union, and in particular Article 114 thereof,</w:t>
            </w:r>
          </w:p>
        </w:tc>
        <w:tc>
          <w:tcPr>
            <w:tcW w:w="4876" w:type="dxa"/>
            <w:tcBorders>
              <w:top w:val="nil"/>
              <w:left w:val="nil"/>
              <w:bottom w:val="nil"/>
              <w:right w:val="nil"/>
            </w:tcBorders>
          </w:tcPr>
          <w:p>
            <w:pPr>
              <w:pStyle w:val="Normal6a"/>
            </w:pPr>
            <w:r>
              <w:t xml:space="preserve">Having regard to the Treaty on the Functioning of the European Union, and in particular Article 114 </w:t>
            </w:r>
            <w:r>
              <w:rPr>
                <w:b/>
                <w:i/>
              </w:rPr>
              <w:t>or 346</w:t>
            </w:r>
            <w:r>
              <w:t xml:space="preserve"> thereof,</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Article 346 TFEU provides that ‘any Member State may take such measures as it considers necessary for the protection of the essential interests of its security which are connected with the production of or trade in arms, munitions and war material; such measures shall not adversely affect the conditions of competition in the internal market regarding products which are not intended for specifically military purposes’.</w:t>
      </w:r>
    </w:p>
    <w:p>
      <w:r>
        <w:rPr>
          <w:rStyle w:val="HideTWBExt"/>
        </w:rPr>
        <w:t>&lt;/Amend&gt;</w:t>
      </w:r>
    </w:p>
    <w:p>
      <w:pPr>
        <w:pStyle w:val="AmNumberTabs"/>
      </w:pPr>
      <w:r>
        <w:rPr>
          <w:rStyle w:val="HideTWBExt"/>
        </w:rPr>
        <w:t>&lt;Amend&gt;</w:t>
      </w:r>
      <w:r>
        <w:t>Amendment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Union is facing an acute and growing threat, as underscored in the Joint White Paper on European Defence Readiness 2030</w:t>
            </w:r>
            <w:r>
              <w:rPr>
                <w:vertAlign w:val="superscript"/>
              </w:rPr>
              <w:t>2</w:t>
            </w:r>
            <w:r>
              <w:t xml:space="preserve"> , linked to the return of full-scale conflict in Europe. In response to this escalating challenge, it is imperative that the Union takes decisive action to bolster its defence readiness. There is urgency to ramp up European defence readiness to ensure that Europe has a strong and sufficient European defence posture by 2030 at the latest. Based on projections of gradual take-up of the instruments proposed under the ReArm Europe Plan/Readiness 2030, defence investment could reach at least EUR 800bn over the next four years. A crucial aspect of this effort is the need to ramp up the Union's defence production capacity, enabling it to respond effectively to emerging security threats. In order to achieve that goal, regulatory simplification and harmonisation are essential. By streamlining and aligning regulatory frameworks, the Union can create a more conducive environment for defence industries to operate, innovate, and produce the necessary capabilities to ensure European security and defence readiness.</w:t>
            </w:r>
          </w:p>
        </w:tc>
        <w:tc>
          <w:tcPr>
            <w:tcW w:w="4876" w:type="dxa"/>
            <w:tcBorders>
              <w:top w:val="nil"/>
              <w:left w:val="nil"/>
              <w:bottom w:val="nil"/>
              <w:right w:val="nil"/>
            </w:tcBorders>
          </w:tcPr>
          <w:p>
            <w:pPr>
              <w:pStyle w:val="Normal6a"/>
            </w:pPr>
            <w:r>
              <w:t>(1)</w:t>
            </w:r>
            <w:r>
              <w:tab/>
            </w:r>
            <w:r>
              <w:t>The Union is facing an acute and growing threat, as underscored in the Joint White Paper on European Defence Readiness 2030</w:t>
            </w:r>
            <w:r>
              <w:rPr>
                <w:vertAlign w:val="superscript"/>
              </w:rPr>
              <w:t>2</w:t>
            </w:r>
            <w:r>
              <w:t xml:space="preserve"> , linked to the return of full-scale conflict in Europe. In response to this escalating challenge, it is imperative that the Union takes decisive action to bolster its defence readiness. </w:t>
            </w:r>
            <w:r>
              <w:rPr>
                <w:b/>
                <w:i/>
              </w:rPr>
              <w:t>As a priority, the Union should engage in and leverage all diplomatic avenues to promote and advance a peace agenda be consistent in observing and seeking to apply international law, and supporting international institutions and in utilising financial measures and sanctions as a response to external aggressors or those breaching international law.</w:t>
            </w:r>
            <w:r>
              <w:t xml:space="preserve"> There is urgency to ramp up European defence readiness to ensure that Europe has a strong and sufficient European defence posture by 2030 at the latest</w:t>
            </w:r>
            <w:r>
              <w:rPr>
                <w:b/>
                <w:i/>
              </w:rPr>
              <w:t>, while ensuring that such a focus and associated financial drive does not serve to add to escalation of tensions and narrow the broad focus of our multi-dimensional response in promoting peace in the first instance, and defence and security as necessary contingency</w:t>
            </w:r>
            <w:r>
              <w:t>. Based on projections of gradual take-up of the instruments proposed under the ReArm Europe Plan/Readiness 2030, defence investment could reach at least EUR 800bn over the next four years. A crucial aspect of this effort is the need to ramp up the Union's defence production capacity, enabling it to respond effectively to emerging security threats. In order to achieve that goal, regulatory simplification and harmonisation are essential. By streamlining and aligning regulatory frameworks, the Union can create a more conducive environment for defence industries to operate, innovate, and produce the necessary capabilities to ensure European security and defence readiness.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Joint White Paper for European Defence Readiness 2030, JOIN(2025) 120 final, 19 March 2025.</w:t>
            </w:r>
          </w:p>
        </w:tc>
        <w:tc>
          <w:tcPr>
            <w:tcW w:w="4876" w:type="dxa"/>
            <w:tcBorders>
              <w:top w:val="nil"/>
              <w:left w:val="nil"/>
              <w:bottom w:val="nil"/>
              <w:right w:val="nil"/>
            </w:tcBorders>
          </w:tcPr>
          <w:p>
            <w:pPr>
              <w:pStyle w:val="Normal6a"/>
            </w:pPr>
            <w:r>
              <w:rPr>
                <w:vertAlign w:val="superscript"/>
              </w:rPr>
              <w:t>2</w:t>
            </w:r>
            <w:r>
              <w:t xml:space="preserve"> </w:t>
            </w:r>
            <w:r>
              <w:t>Joint White Paper for European Defence Readiness 2030, JOIN(2025) 120 final, 19 March 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Union is facing an acute and growing threat, as underscored in the Joint White Paper on European Defence Readiness 2030</w:t>
            </w:r>
            <w:r>
              <w:rPr>
                <w:vertAlign w:val="superscript"/>
              </w:rPr>
              <w:t>2</w:t>
            </w:r>
            <w:r>
              <w:t xml:space="preserve">, linked to the return of full-scale conflict in Europe. In response to this escalating challenge, it is imperative that the Union takes decisive action to bolster its defence readiness. There is urgency to ramp up European defence readiness to ensure that </w:t>
            </w:r>
            <w:r>
              <w:rPr>
                <w:b/>
                <w:i/>
              </w:rPr>
              <w:t>Europe has a strong and sufficient</w:t>
            </w:r>
            <w:r>
              <w:t xml:space="preserve"> European </w:t>
            </w:r>
            <w:r>
              <w:rPr>
                <w:b/>
                <w:i/>
              </w:rPr>
              <w:t>defence posture</w:t>
            </w:r>
            <w:r>
              <w:t xml:space="preserve"> by 2030 at the latest. Based on projections of gradual take-up of the instruments proposed under the ReArm Europe Plan/Readiness 2030, defence investment could reach at least EUR 800bn over the next four years. A crucial aspect of this effort is the need to ramp up the Union's defence production capacity, enabling it to respond effectively to emerging security threats. In order to achieve that goal, regulatory simplification and harmonisation are essential. By streamlining and aligning regulatory frameworks, the Union can create a more conducive environment for defence industries to operate, innovate, and produce the necessary capabilities to ensure European security and defence readiness.</w:t>
            </w:r>
          </w:p>
        </w:tc>
        <w:tc>
          <w:tcPr>
            <w:tcW w:w="4876" w:type="dxa"/>
            <w:tcBorders>
              <w:top w:val="nil"/>
              <w:left w:val="nil"/>
              <w:bottom w:val="nil"/>
              <w:right w:val="nil"/>
            </w:tcBorders>
          </w:tcPr>
          <w:p>
            <w:pPr>
              <w:pStyle w:val="Normal6a"/>
            </w:pPr>
            <w:r>
              <w:t>(1)</w:t>
            </w:r>
            <w:r>
              <w:tab/>
            </w:r>
            <w:r>
              <w:t>The Union is facing an acute and growing threat, as underscored in the Joint White Paper on European Defence Readiness 2030</w:t>
            </w:r>
            <w:r>
              <w:rPr>
                <w:vertAlign w:val="superscript"/>
              </w:rPr>
              <w:t>2</w:t>
            </w:r>
            <w:r>
              <w:t xml:space="preserve">, linked to the return of full-scale conflict in Europe. In response to this escalating challenge, it is imperative that the Union takes decisive action to bolster its defence readiness. There is urgency to ramp up European defence readiness to ensure that </w:t>
            </w:r>
            <w:r>
              <w:rPr>
                <w:b/>
                <w:i/>
              </w:rPr>
              <w:t>every Member State has the necessary means to defend itself, supported by</w:t>
            </w:r>
            <w:r>
              <w:t xml:space="preserve"> European </w:t>
            </w:r>
            <w:r>
              <w:rPr>
                <w:b/>
                <w:i/>
              </w:rPr>
              <w:t>cooperation, which should not however supplant the sovereignty of the Member States,</w:t>
            </w:r>
            <w:r>
              <w:t xml:space="preserve"> by 2030 at the latest. Based on projections of gradual take-up of the instruments proposed under the ReArm Europe Plan/Readiness 2030, defence investment could reach at least EUR 800bn over the next four years. A crucial aspect of this effort is the need to ramp up the Union's defence production capacity, enabling it to respond effectively to emerging security threats. In order to achieve that goal, regulatory simplification and harmonisation are essential. By streamlining and aligning regulatory frameworks, the Union can create a more conducive environment for defence industries to operate, innovate, and produce the necessary capabilities to ensure European security and defence readiness. </w:t>
            </w:r>
            <w:r>
              <w:rPr>
                <w:b/>
                <w:i/>
              </w:rPr>
              <w:t>No Union action should lead to powers being ceded in the area of defence, which remains the exclusive responsibility of the Member States under Article 4(2) TEU.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Joint White Paper for European Defence Readiness 2030, JOIN(2025) 120 final, 19 March 2025.</w:t>
            </w:r>
          </w:p>
        </w:tc>
        <w:tc>
          <w:tcPr>
            <w:tcW w:w="4876" w:type="dxa"/>
            <w:tcBorders>
              <w:top w:val="nil"/>
              <w:left w:val="nil"/>
              <w:bottom w:val="nil"/>
              <w:right w:val="nil"/>
            </w:tcBorders>
          </w:tcPr>
          <w:p>
            <w:pPr>
              <w:pStyle w:val="Normal6a"/>
            </w:pPr>
            <w:r>
              <w:rPr>
                <w:vertAlign w:val="superscript"/>
              </w:rPr>
              <w:t>2</w:t>
            </w:r>
            <w:r>
              <w:t xml:space="preserve"> </w:t>
            </w:r>
            <w:r>
              <w:t>Joint White Paper for European Defence Readiness 2030, JOIN(2025) 120 final, 19 March 2025.</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Union is facing an acute and growing threat, as underscored in the Joint White Paper on European Defence Readiness 2030</w:t>
            </w:r>
            <w:r>
              <w:rPr>
                <w:vertAlign w:val="superscript"/>
              </w:rPr>
              <w:t>2</w:t>
            </w:r>
            <w:r>
              <w:t>, linked to the return of full-scale conflict in Europe. In response to this escalating challenge, it is imperative that the Union takes decisive action to bolster its defence readiness. There is urgency to ramp up European defence readiness to ensure that Europe has a strong and sufficient European defence posture by 2030 at the latest. Based on projections of gradual take-up of the instruments proposed under the ReArm Europe Plan/Readiness 2030, defence investment could reach at least EUR 800bn over the next four years. A crucial aspect of this effort is the need to ramp up the Union's defence production capacity, enabling it to respond effectively to emerging security threats. In order to achieve that goal, regulatory simplification and harmonisation are essential. By streamlining and aligning regulatory frameworks, the Union can create a more conducive environment for defence industries to operate, innovate, and produce the necessary capabilities to ensure European security and defence readiness.</w:t>
            </w:r>
          </w:p>
        </w:tc>
        <w:tc>
          <w:tcPr>
            <w:tcW w:w="4876" w:type="dxa"/>
            <w:tcBorders>
              <w:top w:val="nil"/>
              <w:left w:val="nil"/>
              <w:bottom w:val="nil"/>
              <w:right w:val="nil"/>
            </w:tcBorders>
          </w:tcPr>
          <w:p>
            <w:pPr>
              <w:pStyle w:val="Normal6a"/>
            </w:pPr>
            <w:r>
              <w:t>(1)</w:t>
            </w:r>
            <w:r>
              <w:tab/>
            </w:r>
            <w:r>
              <w:t>The Union is facing an acute and growing threat, as underscored in the Joint White Paper on European Defence Readiness 2030</w:t>
            </w:r>
            <w:r>
              <w:rPr>
                <w:vertAlign w:val="superscript"/>
              </w:rPr>
              <w:t>2</w:t>
            </w:r>
            <w:r>
              <w:t xml:space="preserve"> </w:t>
            </w:r>
            <w:r>
              <w:rPr>
                <w:b/>
                <w:i/>
              </w:rPr>
              <w:t>and the European Parliament resolution of 12 March 2025 on the White Paper on the Future of European Defence (2025/2565(RSP))</w:t>
            </w:r>
            <w:r>
              <w:t xml:space="preserve">, linked to the return of full-scale conflict in Europe </w:t>
            </w:r>
            <w:r>
              <w:rPr>
                <w:b/>
                <w:i/>
              </w:rPr>
              <w:t>and the continued occupation of 37 % of the territory of the Republic of Cyprus</w:t>
            </w:r>
            <w:r>
              <w:t>. In response to this escalating challenge, it is imperative that the Union takes decisive action to bolster its defence readiness. There is urgency to ramp up European defence readiness to ensure that Europe has a strong and sufficient European defence posture by 2030 at the latest. Based on projections of gradual take-up of the instruments proposed under the ReArm Europe Plan/Readiness 2030, defence investment could reach at least EUR 800bn over the next four years. A crucial aspect of this effort is the need to ramp up the Union's defence production capacity, enabling it to respond effectively to emerging security threats. In order to achieve that goal, regulatory simplification and harmonisation are essential. By streamlining and aligning regulatory frameworks, the Union can create a more conducive environment for defence industries to operate, innovate, and produce the necessary capabilities to ensure European security and defence readiness.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Joint White Paper for European Defence Readiness 2030, JOIN(2025) 120 final, 19 March 2025.</w:t>
            </w:r>
          </w:p>
        </w:tc>
        <w:tc>
          <w:tcPr>
            <w:tcW w:w="4876" w:type="dxa"/>
            <w:tcBorders>
              <w:top w:val="nil"/>
              <w:left w:val="nil"/>
              <w:bottom w:val="nil"/>
              <w:right w:val="nil"/>
            </w:tcBorders>
          </w:tcPr>
          <w:p>
            <w:pPr>
              <w:pStyle w:val="Normal6a"/>
            </w:pPr>
            <w:r>
              <w:rPr>
                <w:vertAlign w:val="superscript"/>
              </w:rPr>
              <w:t>2</w:t>
            </w:r>
            <w:r>
              <w:t xml:space="preserve"> </w:t>
            </w:r>
            <w:r>
              <w:t>Joint White Paper for European Defence Readiness 2030, JOIN(2025) 120 final, 19 March 2025.</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Due to the geography of the Union, in particular in island and border areas on the external eastern borders, the timely deployment and operation of unmanned aircraft systems (UAS) bases is crucial for defence readiness, border surveillance and situational awareness.</w:t>
            </w:r>
            <w:r>
              <w:t xml:space="preserve"> </w:t>
            </w:r>
            <w:r>
              <w:rPr>
                <w:b/>
                <w:i/>
              </w:rPr>
              <w:t>The rapid granting of permits for such bases, in full compliance with the EU environmental acquis, enhances operational interoperability and reduces response times.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Procedures should be expedited in such a way as to deliver economic benefits locally and nationally, including jobs, training and subcontracting for European SMEs.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Greater investment in defence should primarily benefit European value chains and Union industry in order to guarantee a high standard of environmental protection and safeguard the strategic autonomy of the Member States and the Union.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In this context, defence readiness should be understood as the ability of Member States to </w:t>
            </w:r>
            <w:r>
              <w:rPr>
                <w:b/>
                <w:i/>
              </w:rPr>
              <w:t>anticipate, prevent, and respond to defence related crises, as referred to in Directive 2009/81/EC of the European Parliament and of the Council</w:t>
            </w:r>
            <w:r>
              <w:rPr>
                <w:b/>
                <w:i/>
                <w:vertAlign w:val="superscript"/>
              </w:rPr>
              <w:t>3</w:t>
            </w:r>
            <w:r>
              <w:t xml:space="preserve"> </w:t>
            </w:r>
            <w:r>
              <w:rPr>
                <w:b/>
                <w:i/>
              </w:rPr>
              <w:t>through a proactive and coordinated approach</w:t>
            </w:r>
            <w:r>
              <w:t>. This includes ensuring the availability of defence industrial capacity required to acquire and maintain the necessary resources, capabilities, and infrastructure with the aim of responding effectively to such crises.</w:t>
            </w:r>
          </w:p>
        </w:tc>
        <w:tc>
          <w:tcPr>
            <w:tcW w:w="4876" w:type="dxa"/>
            <w:tcBorders>
              <w:top w:val="nil"/>
              <w:left w:val="nil"/>
              <w:bottom w:val="nil"/>
              <w:right w:val="nil"/>
            </w:tcBorders>
          </w:tcPr>
          <w:p>
            <w:pPr>
              <w:pStyle w:val="Normal6a"/>
            </w:pPr>
            <w:r>
              <w:t>(2)</w:t>
            </w:r>
            <w:r>
              <w:tab/>
            </w:r>
            <w:r>
              <w:t xml:space="preserve">In this context, defence readiness should be understood as the ability of Member States to </w:t>
            </w:r>
            <w:r>
              <w:rPr>
                <w:b/>
                <w:i/>
              </w:rPr>
              <w:t>implement measures to ensure national self-defence</w:t>
            </w:r>
            <w:r>
              <w:t>. This includes ensuring the availability of defence industrial capacity required to acquire and maintain the necessary resources, capabilities, and infrastructure with the aim of responding effectively to such crises.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3</w:t>
            </w:r>
            <w:r>
              <w:t xml:space="preserve"> </w:t>
            </w:r>
            <w:r>
              <w:rPr>
                <w:b/>
                <w:i/>
              </w:rPr>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http://data.europa.eu/eli/dir/2009/81/oj).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a)</w:t>
            </w:r>
            <w:r>
              <w:tab/>
            </w:r>
            <w:r>
              <w:rPr>
                <w:b/>
                <w:i/>
              </w:rPr>
              <w:t>The defence sector is inherently energy-intensive and operates under conditions that differ substantially from those of civilian industries. Existing Union environmental and energy legislation, largely designed during peacetime, does not sufficiently reflect the exceptional urgency and operational requirements involved in maintaining and strengthening Europe’s defence readiness. As a result, defence manufacturers within the Union face considerable regulatory and economic burdens, limiting their capacity to respond swiftly to security challenges and placing them at a competitive disadvantage compared to international counterparts not subject to equivalent restrictions.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national permit-granting process </w:t>
            </w:r>
            <w:r>
              <w:rPr>
                <w:b/>
                <w:i/>
              </w:rPr>
              <w:t>ensures</w:t>
            </w:r>
            <w:r>
              <w:t xml:space="preserve"> that defence readiness projects are </w:t>
            </w:r>
            <w:r>
              <w:rPr>
                <w:b/>
                <w:i/>
              </w:rPr>
              <w:t>safe, secure and comply with</w:t>
            </w:r>
            <w:r>
              <w:t xml:space="preserve"> environmental, social and </w:t>
            </w:r>
            <w:r>
              <w:rPr>
                <w:b/>
                <w:i/>
              </w:rPr>
              <w:t>other</w:t>
            </w:r>
            <w:r>
              <w:t xml:space="preserve"> safety requirements. Union environmental </w:t>
            </w:r>
            <w:r>
              <w:rPr>
                <w:b/>
                <w:i/>
              </w:rPr>
              <w:t>law sets</w:t>
            </w:r>
            <w:r>
              <w:t xml:space="preserve"> common </w:t>
            </w:r>
            <w:r>
              <w:rPr>
                <w:b/>
                <w:i/>
              </w:rPr>
              <w:t>conditions for the content of the national permit-granting process, thereby ensuring</w:t>
            </w:r>
            <w:r>
              <w:t xml:space="preserve"> a high level of environmental protection </w:t>
            </w:r>
            <w:r>
              <w:rPr>
                <w:b/>
                <w:i/>
              </w:rPr>
              <w:t>and</w:t>
            </w:r>
            <w:r>
              <w:t xml:space="preserve"> allowing </w:t>
            </w:r>
            <w:r>
              <w:rPr>
                <w:b/>
                <w:i/>
              </w:rPr>
              <w:t>for</w:t>
            </w:r>
            <w:r>
              <w:t xml:space="preserve"> the sustainable </w:t>
            </w:r>
            <w:r>
              <w:rPr>
                <w:b/>
                <w:i/>
              </w:rPr>
              <w:t>exploitation of the Union’s potential along the</w:t>
            </w:r>
            <w:r>
              <w:t xml:space="preserve"> raw materials </w:t>
            </w:r>
            <w:r>
              <w:rPr>
                <w:b/>
                <w:i/>
              </w:rPr>
              <w:t>value chain</w:t>
            </w:r>
            <w:r>
              <w:t>.</w:t>
            </w:r>
          </w:p>
        </w:tc>
        <w:tc>
          <w:tcPr>
            <w:tcW w:w="4876" w:type="dxa"/>
            <w:tcBorders>
              <w:top w:val="nil"/>
              <w:left w:val="nil"/>
              <w:bottom w:val="nil"/>
              <w:right w:val="nil"/>
            </w:tcBorders>
          </w:tcPr>
          <w:p>
            <w:pPr>
              <w:pStyle w:val="Normal6a"/>
            </w:pPr>
            <w:r>
              <w:t>(4)</w:t>
            </w:r>
            <w:r>
              <w:tab/>
            </w:r>
            <w:r>
              <w:t xml:space="preserve">The national permit-granting process </w:t>
            </w:r>
            <w:r>
              <w:rPr>
                <w:b/>
                <w:i/>
              </w:rPr>
              <w:t>plays a key role in ensuring</w:t>
            </w:r>
            <w:r>
              <w:t xml:space="preserve"> that defence readiness projects are </w:t>
            </w:r>
            <w:r>
              <w:rPr>
                <w:b/>
                <w:i/>
              </w:rPr>
              <w:t>carried out safely, securely and in full compliance with relevant</w:t>
            </w:r>
            <w:r>
              <w:t xml:space="preserve"> environmental, social and safety requirements. Union environmental </w:t>
            </w:r>
            <w:r>
              <w:rPr>
                <w:b/>
                <w:i/>
              </w:rPr>
              <w:t>legislation provides a</w:t>
            </w:r>
            <w:r>
              <w:t xml:space="preserve"> common </w:t>
            </w:r>
            <w:r>
              <w:rPr>
                <w:b/>
                <w:i/>
              </w:rPr>
              <w:t>framework that contributes to maintaining</w:t>
            </w:r>
            <w:r>
              <w:t xml:space="preserve"> a high level of environmental protection </w:t>
            </w:r>
            <w:r>
              <w:rPr>
                <w:b/>
                <w:i/>
              </w:rPr>
              <w:t>across the Member States. However, its implementation should remain proportionate and flexible,</w:t>
            </w:r>
            <w:r>
              <w:t xml:space="preserve"> allowing </w:t>
            </w:r>
            <w:r>
              <w:rPr>
                <w:b/>
                <w:i/>
              </w:rPr>
              <w:t>Member States to adapt procedures to the specific characteristics and urgency of defence-related activities. This approach would enable</w:t>
            </w:r>
            <w:r>
              <w:t xml:space="preserve"> the sustainable </w:t>
            </w:r>
            <w:r>
              <w:rPr>
                <w:b/>
                <w:i/>
              </w:rPr>
              <w:t>and responsible development of Europe’s defence industrial and</w:t>
            </w:r>
            <w:r>
              <w:t xml:space="preserve"> raw materials </w:t>
            </w:r>
            <w:r>
              <w:rPr>
                <w:b/>
                <w:i/>
              </w:rPr>
              <w:t>capacities, while avoiding unnecessary administrative delays that could hinder security preparedness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The national permit-granting process ensures that defence readiness projects are safe, secure and comply with environmental, social and other safety requirements. Union environmental law sets common conditions for the content of the national permit-granting process, thereby ensuring a high level of environmental protection and allowing for the sustainable exploitation of the Union’s potential along the raw materials value chain.</w:t>
            </w:r>
          </w:p>
        </w:tc>
        <w:tc>
          <w:tcPr>
            <w:tcW w:w="4876" w:type="dxa"/>
            <w:tcBorders>
              <w:top w:val="nil"/>
              <w:left w:val="nil"/>
              <w:bottom w:val="nil"/>
              <w:right w:val="nil"/>
            </w:tcBorders>
          </w:tcPr>
          <w:p>
            <w:pPr>
              <w:pStyle w:val="Normal6a"/>
            </w:pPr>
            <w:r>
              <w:t>(4)</w:t>
            </w:r>
            <w:r>
              <w:tab/>
            </w:r>
            <w:r>
              <w:t>The national permit-granting process ensures that defence readiness projects are safe, secure and comply with environmental, social and other safety requirements. Union environmental law sets common conditions for the content of the national permit-granting process, thereby ensuring a high level of environmental protection and allowing for the sustainable exploitation of the Union’s potential along the raw materials value chain</w:t>
            </w:r>
            <w:r>
              <w:rPr>
                <w:b/>
                <w:i/>
              </w:rPr>
              <w:t>, including critical metals such as copper, antimony and lead which, in the absence of viable alternatives, are needed to produce certain types of munitions</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The national permit-granting process </w:t>
            </w:r>
            <w:r>
              <w:rPr>
                <w:b/>
                <w:i/>
              </w:rPr>
              <w:t>ensures</w:t>
            </w:r>
            <w:r>
              <w:t xml:space="preserve"> that defence readiness projects are safe, secure and comply with environmental, social and other safety requirements. Union environmental law sets common conditions for the content of the national permit-granting process, thereby ensuring a high level of environmental protection and allowing for the sustainable exploitation of the Union’s potential along the raw materials value chain.</w:t>
            </w:r>
          </w:p>
        </w:tc>
        <w:tc>
          <w:tcPr>
            <w:tcW w:w="4876" w:type="dxa"/>
            <w:tcBorders>
              <w:top w:val="nil"/>
              <w:left w:val="nil"/>
              <w:bottom w:val="nil"/>
              <w:right w:val="nil"/>
            </w:tcBorders>
          </w:tcPr>
          <w:p>
            <w:pPr>
              <w:pStyle w:val="Normal6a"/>
            </w:pPr>
            <w:r>
              <w:t>(4)</w:t>
            </w:r>
            <w:r>
              <w:tab/>
            </w:r>
            <w:r>
              <w:t xml:space="preserve">The national permit-granting process </w:t>
            </w:r>
            <w:r>
              <w:rPr>
                <w:b/>
                <w:i/>
              </w:rPr>
              <w:t>should ensure</w:t>
            </w:r>
            <w:r>
              <w:t xml:space="preserve"> that defence readiness projects are safe, secure and comply with environmental, social and other safety requirements. Union environmental law sets common conditions for the content of the national permit-granting process, thereby ensuring a high level of environmental protection and allowing for the sustainable exploitation of the Union’s potential along the raw materials value chain.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In order to ensure that Europe defence industry remains competitive, resilient and capable of meeting urgent security needs, the Commission should consider proposing targeted adjustments to the relevant Union framework. Such adjustments could include proportionate exemptions, flexible implementation mechanisms, and energy policies specifically adapted to the defence sector, while maintaining the Union’s overall environmental and climate objectives. These measures should aim to strike a fair balance between strategic defence imperatives and the Union’s commitment to sustainability, ensuring that regulatory requirements do not hinder Europe’s capacity to safeguard its security.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w:t>
            </w:r>
            <w:r>
              <w:tab/>
            </w:r>
            <w:r>
              <w:rPr>
                <w:b/>
                <w:i/>
              </w:rPr>
              <w:t>The military industry is a fossil-fuel intensive sector and there are significant gaps with regard to requirements for carbon reporting and emissions reduction in the defence sector. According to the UNFCCC, the world’s militaries are responsible for 5.5% of global greenhouse gas emissions, not including the emissions from warfighting itself.</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Simplified procedures should not give rise to the circumvention of essential requirements regarding civil protection and the prevention of industrial and health risks.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(4b)</w:t>
            </w:r>
            <w:r>
              <w:tab/>
            </w:r>
            <w:r>
              <w:rPr>
                <w:b/>
                <w:i/>
              </w:rPr>
              <w:t>In order to ensure that environmental requirements of an administrative or procedural nature do not bring about delays to the permit-granting processes for projects of vital interest to European security, provision should be made to adjust the implementation of certain Union climate and energy regulations to activities that pertain directly and exclusively to defence readiness, without diminishing the overall standard of environmental protection.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w:t>
            </w:r>
            <w:r>
              <w:tab/>
            </w:r>
            <w:r>
              <w:rPr>
                <w:b/>
                <w:i/>
              </w:rPr>
              <w:t>The climate and biodiversity crises represent the largest threat to human and planetary security and efforts should be focused on the role of disarmament and peacebuilding in decarbonisation rather than increased militarisation and therefore carbon emissions.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4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Lead remains an essential component of certain types of munitions, equipment and defence systems, not least because of its ballistic performance, reliability and suitability for long-term storage.</w:t>
            </w:r>
            <w:r>
              <w:t xml:space="preserve"> </w:t>
            </w:r>
            <w:r>
              <w:rPr>
                <w:b/>
                <w:i/>
              </w:rPr>
              <w:t>For many systems of strategic interest, it is neither technically feasible nor economically viable to entirely replace lead with other materials.</w:t>
            </w:r>
            <w:r>
              <w:t xml:space="preserve"> </w:t>
            </w:r>
            <w:r>
              <w:rPr>
                <w:b/>
                <w:i/>
              </w:rPr>
              <w:t>Pending the emergence of scientifically validated alternatives, targeted exemptions should be granted for defence readiness projects.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At the same time, the unpredictability, complexity and, </w:t>
            </w:r>
            <w:r>
              <w:rPr>
                <w:b/>
                <w:i/>
              </w:rPr>
              <w:t>often</w:t>
            </w:r>
            <w:r>
              <w:t xml:space="preserve">, excessive length of national permit-granting </w:t>
            </w:r>
            <w:r>
              <w:rPr>
                <w:b/>
                <w:i/>
              </w:rPr>
              <w:t>processes</w:t>
            </w:r>
            <w:r>
              <w:t xml:space="preserve"> undermine the investment security </w:t>
            </w:r>
            <w:r>
              <w:rPr>
                <w:b/>
                <w:i/>
              </w:rPr>
              <w:t>needed for the effective</w:t>
            </w:r>
            <w:r>
              <w:t xml:space="preserve"> strengthening </w:t>
            </w:r>
            <w:r>
              <w:rPr>
                <w:b/>
                <w:i/>
              </w:rPr>
              <w:t>of</w:t>
            </w:r>
            <w:r>
              <w:t xml:space="preserve"> Member States defence readiness. The structure and </w:t>
            </w:r>
            <w:r>
              <w:rPr>
                <w:b/>
                <w:i/>
              </w:rPr>
              <w:t>length of a permit-granting process for relevant projects can also differ greatly between Member States</w:t>
            </w:r>
            <w:r>
              <w:t xml:space="preserve">. Therefore, to </w:t>
            </w:r>
            <w:r>
              <w:rPr>
                <w:b/>
                <w:i/>
              </w:rPr>
              <w:t>ensure and speed up their effective implementation</w:t>
            </w:r>
            <w:r>
              <w:t xml:space="preserve">, Member States should </w:t>
            </w:r>
            <w:r>
              <w:rPr>
                <w:b/>
                <w:i/>
              </w:rPr>
              <w:t>apply streamlined and predictable permit-granting processes to defence readiness</w:t>
            </w:r>
            <w:r>
              <w:t xml:space="preserve"> projects.</w:t>
            </w:r>
          </w:p>
        </w:tc>
        <w:tc>
          <w:tcPr>
            <w:tcW w:w="4876" w:type="dxa"/>
            <w:tcBorders>
              <w:top w:val="nil"/>
              <w:left w:val="nil"/>
              <w:bottom w:val="nil"/>
              <w:right w:val="nil"/>
            </w:tcBorders>
          </w:tcPr>
          <w:p>
            <w:pPr>
              <w:pStyle w:val="Normal6a"/>
            </w:pPr>
            <w:r>
              <w:t>(5)</w:t>
            </w:r>
            <w:r>
              <w:tab/>
            </w:r>
            <w:r>
              <w:t xml:space="preserve">At the same time, the unpredictability, complexity and, </w:t>
            </w:r>
            <w:r>
              <w:rPr>
                <w:b/>
                <w:i/>
              </w:rPr>
              <w:t>in many cases</w:t>
            </w:r>
            <w:r>
              <w:t xml:space="preserve">, excessive length of national permit-granting </w:t>
            </w:r>
            <w:r>
              <w:rPr>
                <w:b/>
                <w:i/>
              </w:rPr>
              <w:t>procedures</w:t>
            </w:r>
            <w:r>
              <w:t xml:space="preserve"> undermine the investment </w:t>
            </w:r>
            <w:r>
              <w:rPr>
                <w:b/>
                <w:i/>
              </w:rPr>
              <w:t>certainty and planning</w:t>
            </w:r>
            <w:r>
              <w:t xml:space="preserve"> security </w:t>
            </w:r>
            <w:r>
              <w:rPr>
                <w:b/>
                <w:i/>
              </w:rPr>
              <w:t>required for effectively</w:t>
            </w:r>
            <w:r>
              <w:t xml:space="preserve"> strengthening Member States</w:t>
            </w:r>
            <w:r>
              <w:rPr>
                <w:b/>
                <w:i/>
              </w:rPr>
              <w:t>’</w:t>
            </w:r>
            <w:r>
              <w:t xml:space="preserve"> defence readiness. The structure and </w:t>
            </w:r>
            <w:r>
              <w:rPr>
                <w:b/>
                <w:i/>
              </w:rPr>
              <w:t>duration of such procedures may vary considerably across the Union, leading to uneven implementation and competitive disadvantages</w:t>
            </w:r>
            <w:r>
              <w:t xml:space="preserve">. Therefore, to </w:t>
            </w:r>
            <w:r>
              <w:rPr>
                <w:b/>
                <w:i/>
              </w:rPr>
              <w:t>accelerate the deployment of strategic defence industrial projects</w:t>
            </w:r>
            <w:r>
              <w:t xml:space="preserve">, Member States should </w:t>
            </w:r>
            <w:r>
              <w:rPr>
                <w:b/>
                <w:i/>
              </w:rPr>
              <w:t>treat the granting of construction and environmental permits for such</w:t>
            </w:r>
            <w:r>
              <w:t xml:space="preserve"> projects </w:t>
            </w:r>
            <w:r>
              <w:rPr>
                <w:b/>
                <w:i/>
              </w:rPr>
              <w:t>as a matter of overriding public interest and national security priority, ensuring that authorisations are issued rapidly, transparently and without unnecessary administrative delays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At the same time, the unpredictability, complexity and, often, excessive length of national permit-granting processes undermine the investment security needed for the effective strengthening of Member States defence readiness. The structure and length of a permit-granting process for relevant projects can also differ greatly between Member States. Therefore, to ensure and speed up their effective implementation, Member States should apply streamlined and predictable permit-granting processes to defence readiness projects.</w:t>
            </w:r>
          </w:p>
        </w:tc>
        <w:tc>
          <w:tcPr>
            <w:tcW w:w="4876" w:type="dxa"/>
            <w:tcBorders>
              <w:top w:val="nil"/>
              <w:left w:val="nil"/>
              <w:bottom w:val="nil"/>
              <w:right w:val="nil"/>
            </w:tcBorders>
          </w:tcPr>
          <w:p>
            <w:pPr>
              <w:pStyle w:val="Normal6a"/>
            </w:pPr>
            <w:r>
              <w:t>(5)</w:t>
            </w:r>
            <w:r>
              <w:tab/>
            </w:r>
            <w:r>
              <w:t xml:space="preserve">At the same time, the unpredictability, complexity and, often, excessive length of national permit-granting processes undermine the investment security needed for the effective strengthening of Member States defence readiness. The structure and length of a permit-granting process for relevant projects can also differ greatly between Member States. Therefore, to ensure and speed up their effective implementation, Member States should apply streamlined and predictable permit-granting processes to defence readiness projects. </w:t>
            </w:r>
            <w:r>
              <w:rPr>
                <w:b/>
                <w:i/>
              </w:rPr>
              <w:t>For projects undertaken near protected areas, the Member States may tailor such processes in order to mitigate the impact on biodiversity, without compromising their national security.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At the same time, the unpredictability, complexity and, often, excessive length of national permit-granting processes undermine the investment security needed for the effective strengthening of Member States defence readiness. The structure and length of a permit-granting process for relevant projects can also differ greatly between Member States. Therefore, to ensure and speed up their effective implementation, Member States should </w:t>
            </w:r>
            <w:r>
              <w:rPr>
                <w:b/>
                <w:i/>
              </w:rPr>
              <w:t>apply</w:t>
            </w:r>
            <w:r>
              <w:t xml:space="preserve"> streamlined and predictable permit-granting processes to defence readiness projects.</w:t>
            </w:r>
          </w:p>
        </w:tc>
        <w:tc>
          <w:tcPr>
            <w:tcW w:w="4876" w:type="dxa"/>
            <w:tcBorders>
              <w:top w:val="nil"/>
              <w:left w:val="nil"/>
              <w:bottom w:val="nil"/>
              <w:right w:val="nil"/>
            </w:tcBorders>
          </w:tcPr>
          <w:p>
            <w:pPr>
              <w:pStyle w:val="Normal6a"/>
            </w:pPr>
            <w:r>
              <w:t>(5)</w:t>
            </w:r>
            <w:r>
              <w:tab/>
            </w:r>
            <w:r>
              <w:t xml:space="preserve">At the same time, the unpredictability, complexity and, often, excessive length of national permit-granting processes </w:t>
            </w:r>
            <w:r>
              <w:rPr>
                <w:b/>
                <w:i/>
              </w:rPr>
              <w:t>may</w:t>
            </w:r>
            <w:r>
              <w:t xml:space="preserve"> undermine the investment security needed for the effective strengthening of Member States defence readiness. The structure and length of a permit-granting process for relevant projects can also differ greatly between Member States. Therefore, to ensure and speed up their effective implementation, Member States should </w:t>
            </w:r>
            <w:r>
              <w:rPr>
                <w:b/>
                <w:i/>
              </w:rPr>
              <w:t>consider applying</w:t>
            </w:r>
            <w:r>
              <w:t xml:space="preserve"> streamlined and predictable permit-granting processes to defence readiness projects</w:t>
            </w:r>
            <w:r>
              <w:rPr>
                <w:b/>
                <w:i/>
              </w:rPr>
              <w:t> , and assess the potential improvements and risks which could result from such an approach in determining whether to advance such an approach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While certain Member States have taken or are likely to take measures to accelerate the permission-granting processes for the defence industry, this may be done in diverging ways which would result in barriers to the functioning of the internal market in the defence sector. Divergent national legislation, regarding the planning permit-granting process of defence projects have proven to become bottlenecks for European relevant defence products supply chains. To ensure the functioning of the internal market, it is necessary to establish harmonised rules for the acceleration of the permit-granting processes.</w:t>
            </w:r>
          </w:p>
        </w:tc>
        <w:tc>
          <w:tcPr>
            <w:tcW w:w="4876" w:type="dxa"/>
            <w:tcBorders>
              <w:top w:val="nil"/>
              <w:left w:val="nil"/>
              <w:bottom w:val="nil"/>
              <w:right w:val="nil"/>
            </w:tcBorders>
          </w:tcPr>
          <w:p>
            <w:pPr>
              <w:pStyle w:val="Normal6a"/>
            </w:pPr>
            <w:r>
              <w:t>(6)</w:t>
            </w:r>
            <w:r>
              <w:tab/>
            </w:r>
            <w:r>
              <w:t xml:space="preserve">While certain Member States have taken or are likely to take measures to accelerate the permission-granting processes for the defence industry, this may be done in diverging ways which would result in barriers to the functioning of the internal market in the defence sector. Divergent national legislation, regarding the planning permit-granting process of defence projects have proven to become bottlenecks for European relevant defence products supply chains. To ensure the functioning of the internal market, it is necessary to establish harmonised rules </w:t>
            </w:r>
            <w:r>
              <w:rPr>
                <w:b/>
                <w:i/>
              </w:rPr>
              <w:t>and timelines</w:t>
            </w:r>
            <w:r>
              <w:t xml:space="preserve"> for the acceleration of the permit-granting processes. </w:t>
            </w:r>
            <w:r>
              <w:rPr>
                <w:b/>
                <w:i/>
              </w:rPr>
              <w:t>Directive 2011/92/EC allows Member States to exclude from the scope of that Directive projects or parts of projects having defence as their sole purpose, on a case-by-case basis, if so provided by national law, and if they deem that the application of that Directive would have an adverse effect on that purpose. This Regulation clarifies that, when a project is subject to an environmental impact assessment pursuant to a Member State decision to apply Directive 2011/92/EC to such project, the environmental impact assessment timeline should not be included in the duration of the permit-granting process established by this Regulation. This Regulation also requires single points of contact to provide information to project promoters about the requirement to carry out an environmental impact assessment, as well as the scope and level of detail of such assessment.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While certain Member States have taken or are likely to take measures to accelerate the permission-granting processes for the defence industry, this may be done in diverging ways which would result in barriers to the functioning of the internal market in the defence sector. Divergent national legislation, regarding the planning permit-granting process of defence projects have proven to become bottlenecks for European relevant defence products supply chains. To ensure the functioning of the internal market, it is necessary to establish harmonised rules for the acceleration of the permit-granting processes.</w:t>
            </w:r>
          </w:p>
        </w:tc>
        <w:tc>
          <w:tcPr>
            <w:tcW w:w="4876" w:type="dxa"/>
            <w:tcBorders>
              <w:top w:val="nil"/>
              <w:left w:val="nil"/>
              <w:bottom w:val="nil"/>
              <w:right w:val="nil"/>
            </w:tcBorders>
          </w:tcPr>
          <w:p>
            <w:pPr>
              <w:pStyle w:val="Normal6a"/>
            </w:pPr>
            <w:r>
              <w:t>(6)</w:t>
            </w:r>
            <w:r>
              <w:tab/>
            </w:r>
            <w:r>
              <w:t>While certain Member States have taken or are likely to take measures to accelerate the permission-granting processes for the defence industry, this may be done in diverging ways which would result in barriers to the functioning of the internal market in the defence sector. Divergent national legislation, regarding the planning permit-granting process of defence projects have proven to become bottlenecks for European relevant defence products supply chains. To ensure the functioning of the internal market, it is necessary to establish harmonised rules for the acceleration of the permit-granting processes</w:t>
            </w:r>
            <w:r>
              <w:rPr>
                <w:b/>
                <w:i/>
              </w:rPr>
              <w:t>, the specifications of which should comply with the social and environmental requirements of the Member States, in accordance with Article 346(1) of the Treaty on the Functioning of the European Union</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Article 346(1) TFEU provides that ‘any Member State may take such measures as it considers necessary for the protection of the essential interests of its security which are connected with the production of or trade in arms, munitions and war material; such measures shall not adversely affect the conditions of competition in the internal market regarding products which are not intended for specifically military purposes’.</w:t>
      </w:r>
    </w:p>
    <w:p>
      <w:r>
        <w:rPr>
          <w:rStyle w:val="HideTWBExt"/>
        </w:rPr>
        <w:t>&lt;/Amend&gt;</w:t>
      </w:r>
    </w:p>
    <w:p>
      <w:pPr>
        <w:pStyle w:val="AmNumberTabs"/>
      </w:pPr>
      <w:r>
        <w:rPr>
          <w:rStyle w:val="HideTWBExt"/>
        </w:rPr>
        <w:t>&lt;Amend&gt;</w:t>
      </w:r>
      <w:r>
        <w:t>Amendment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Disputes over projects that involve the use of critical raw materials such as lead or copper should be treated as a matter of priority on account of their immediate strategic importance.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There is a pressing need to reduce the complexity </w:t>
            </w:r>
            <w:r>
              <w:rPr>
                <w:b/>
                <w:i/>
              </w:rPr>
              <w:t>and duration of</w:t>
            </w:r>
            <w:r>
              <w:t xml:space="preserve"> permitting processes for defence readiness </w:t>
            </w:r>
            <w:r>
              <w:rPr>
                <w:b/>
                <w:i/>
              </w:rPr>
              <w:t>projects</w:t>
            </w:r>
            <w:r>
              <w:t xml:space="preserve">. By establishing national </w:t>
            </w:r>
            <w:r>
              <w:rPr>
                <w:b/>
                <w:i/>
              </w:rPr>
              <w:t>permitting</w:t>
            </w:r>
            <w:r>
              <w:t xml:space="preserve"> frameworks </w:t>
            </w:r>
            <w:r>
              <w:rPr>
                <w:b/>
                <w:i/>
              </w:rPr>
              <w:t>that</w:t>
            </w:r>
            <w:r>
              <w:t xml:space="preserve"> prioritise these projects </w:t>
            </w:r>
            <w:r>
              <w:rPr>
                <w:b/>
                <w:i/>
              </w:rPr>
              <w:t>and ensure</w:t>
            </w:r>
            <w:r>
              <w:t xml:space="preserve"> their rapid processing, the Union </w:t>
            </w:r>
            <w:r>
              <w:rPr>
                <w:b/>
                <w:i/>
              </w:rPr>
              <w:t>aims to enhance its</w:t>
            </w:r>
            <w:r>
              <w:t xml:space="preserve"> defence production </w:t>
            </w:r>
            <w:r>
              <w:rPr>
                <w:b/>
                <w:i/>
              </w:rPr>
              <w:t>capacity</w:t>
            </w:r>
            <w:r>
              <w:t xml:space="preserve"> and readiness by 2030 at the latest.</w:t>
            </w:r>
          </w:p>
        </w:tc>
        <w:tc>
          <w:tcPr>
            <w:tcW w:w="4876" w:type="dxa"/>
            <w:tcBorders>
              <w:top w:val="nil"/>
              <w:left w:val="nil"/>
              <w:bottom w:val="nil"/>
              <w:right w:val="nil"/>
            </w:tcBorders>
          </w:tcPr>
          <w:p>
            <w:pPr>
              <w:pStyle w:val="Normal6a"/>
            </w:pPr>
            <w:r>
              <w:t>(8)</w:t>
            </w:r>
            <w:r>
              <w:tab/>
            </w:r>
            <w:r>
              <w:t xml:space="preserve">There is a pressing need to reduce the complexity </w:t>
            </w:r>
            <w:r>
              <w:rPr>
                <w:b/>
                <w:i/>
              </w:rPr>
              <w:t>of and to expedite</w:t>
            </w:r>
            <w:r>
              <w:t xml:space="preserve"> permitting processes for </w:t>
            </w:r>
            <w:r>
              <w:rPr>
                <w:b/>
                <w:i/>
              </w:rPr>
              <w:t>projects relating to</w:t>
            </w:r>
            <w:r>
              <w:t xml:space="preserve"> defence readiness. By establishing national frameworks </w:t>
            </w:r>
            <w:r>
              <w:rPr>
                <w:b/>
                <w:i/>
              </w:rPr>
              <w:t>to</w:t>
            </w:r>
            <w:r>
              <w:t xml:space="preserve"> prioritise these projects </w:t>
            </w:r>
            <w:r>
              <w:rPr>
                <w:b/>
                <w:i/>
              </w:rPr>
              <w:t>while ensuring</w:t>
            </w:r>
            <w:r>
              <w:t xml:space="preserve"> their rapid processing, the Union </w:t>
            </w:r>
            <w:r>
              <w:rPr>
                <w:b/>
                <w:i/>
              </w:rPr>
              <w:t>and the Member States resolve to bolster their</w:t>
            </w:r>
            <w:r>
              <w:t xml:space="preserve"> defence production </w:t>
            </w:r>
            <w:r>
              <w:rPr>
                <w:b/>
                <w:i/>
              </w:rPr>
              <w:t>capacities</w:t>
            </w:r>
            <w:r>
              <w:t xml:space="preserve"> and readiness by 2030 at the latest.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Complying with Union law, including for instance in relation to water, waste management, air, ecosystems, habitats, archaeological, biodiversity and birds’ protection, are integral part of the permit granting procedure, also for the defence sector. Such rules are an essential safeguard to ensure negative impacts are prevented or minimised. However, to ensure that permit granting procedures for defence readiness projects are predictable and timely, any potential to streamline the required assessments and authorisations while not lowering the level of, for instance, environmental protection, should be realised. In that regard, it should be ensured that the necessary assessments are bundled to prevent unnecessary overlap.</w:t>
            </w:r>
          </w:p>
        </w:tc>
        <w:tc>
          <w:tcPr>
            <w:tcW w:w="4876" w:type="dxa"/>
            <w:tcBorders>
              <w:top w:val="nil"/>
              <w:left w:val="nil"/>
              <w:bottom w:val="nil"/>
              <w:right w:val="nil"/>
            </w:tcBorders>
          </w:tcPr>
          <w:p>
            <w:pPr>
              <w:pStyle w:val="Normal6a"/>
            </w:pPr>
            <w:r>
              <w:t>(10)</w:t>
            </w:r>
            <w:r>
              <w:tab/>
            </w:r>
            <w:r>
              <w:t>Complying with Union law, including for instance in relation to water, waste management, air, ecosystems, habitats, archaeological, biodiversity and birds’ protection, are integral part of the permit granting procedure, also for the defence sector. Such rules are an essential safeguard to ensure negative impacts are prevented or minimised. However, to ensure that permit granting procedures for defence readiness projects are predictable and timely, any potential to streamline the required assessments and authorisations while not lowering the level of, for instance, environmental protection, should be realised. In that regard, it should be ensured that the necessary assessments are bundled to prevent unnecessary overlap</w:t>
            </w:r>
            <w:r>
              <w:rPr>
                <w:b/>
                <w:i/>
              </w:rPr>
              <w:t>, while ensuring that any such an approach is consistent with any sequencing requirements identified by the Court of Justice of the European Union, and does not compromise the quality of assessments required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Complying with Union law, including for instance in relation to water, waste management, air, ecosystems, habitats, archaeological, biodiversity and birds’ protection, </w:t>
            </w:r>
            <w:r>
              <w:rPr>
                <w:b/>
                <w:i/>
              </w:rPr>
              <w:t>are</w:t>
            </w:r>
            <w:r>
              <w:t xml:space="preserve"> integral part of the permit granting procedure, also for the defence sector. Such rules are an essential safeguard to ensure negative impacts are prevented or minimised. </w:t>
            </w:r>
            <w:r>
              <w:rPr>
                <w:b/>
                <w:i/>
              </w:rPr>
              <w:t>However, to ensure that permit granting procedures for defence readiness projects are predictable and timely, any potential to streamline the required assessments and authorisations while not lowering the level of, for instance,</w:t>
            </w:r>
            <w:r>
              <w:t xml:space="preserve"> environmental </w:t>
            </w:r>
            <w:r>
              <w:rPr>
                <w:b/>
                <w:i/>
              </w:rPr>
              <w:t>protection, should be realised. In that regard</w:t>
            </w:r>
            <w:r>
              <w:t xml:space="preserve">, </w:t>
            </w:r>
            <w:r>
              <w:rPr>
                <w:b/>
                <w:i/>
              </w:rPr>
              <w:t>it should be ensured that the necessary assessments are bundled to prevent unnecessary overlap</w:t>
            </w:r>
            <w:r>
              <w:t>.</w:t>
            </w:r>
          </w:p>
        </w:tc>
        <w:tc>
          <w:tcPr>
            <w:tcW w:w="4876" w:type="dxa"/>
            <w:tcBorders>
              <w:top w:val="nil"/>
              <w:left w:val="nil"/>
              <w:bottom w:val="nil"/>
              <w:right w:val="nil"/>
            </w:tcBorders>
          </w:tcPr>
          <w:p>
            <w:pPr>
              <w:pStyle w:val="Normal6a"/>
            </w:pPr>
            <w:r>
              <w:t>(10)</w:t>
            </w:r>
            <w:r>
              <w:tab/>
            </w:r>
            <w:r>
              <w:t xml:space="preserve">Complying with Union law, including for instance in relation to water, waste management, air, ecosystems, habitats, archaeological, biodiversity and birds’ protection, </w:t>
            </w:r>
            <w:r>
              <w:rPr>
                <w:b/>
                <w:i/>
              </w:rPr>
              <w:t>is</w:t>
            </w:r>
            <w:r>
              <w:t xml:space="preserve"> integral part of the permit granting procedure, also for the defence sector. Such rules are an essential safeguard to ensure negative impacts are prevented or minimised. </w:t>
            </w:r>
            <w:r>
              <w:rPr>
                <w:b/>
                <w:i/>
              </w:rPr>
              <w:t>Union</w:t>
            </w:r>
            <w:r>
              <w:t xml:space="preserve"> environmental </w:t>
            </w:r>
            <w:r>
              <w:rPr>
                <w:b/>
                <w:i/>
              </w:rPr>
              <w:t>law offers certain derogations, notably for projects of overriding public interest</w:t>
            </w:r>
            <w:r>
              <w:t xml:space="preserve">, </w:t>
            </w:r>
            <w:r>
              <w:rPr>
                <w:b/>
                <w:i/>
              </w:rPr>
              <w:t>but it requires that alternative solutions be first properly assessed and that compensatory measures be taken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Complying</w:t>
            </w:r>
            <w:r>
              <w:t xml:space="preserve"> with Union law, including </w:t>
            </w:r>
            <w:r>
              <w:rPr>
                <w:b/>
                <w:i/>
              </w:rPr>
              <w:t>for instance in relation to</w:t>
            </w:r>
            <w:r>
              <w:t xml:space="preserve"> water, waste management, air, ecosystems, habitats, archaeological</w:t>
            </w:r>
            <w:r>
              <w:rPr>
                <w:b/>
                <w:i/>
              </w:rPr>
              <w:t>,</w:t>
            </w:r>
            <w:r>
              <w:t xml:space="preserve"> biodiversity </w:t>
            </w:r>
            <w:r>
              <w:rPr>
                <w:b/>
                <w:i/>
              </w:rPr>
              <w:t>and birds’ protection, are</w:t>
            </w:r>
            <w:r>
              <w:t xml:space="preserve"> integral part of the </w:t>
            </w:r>
            <w:r>
              <w:rPr>
                <w:b/>
                <w:i/>
              </w:rPr>
              <w:t>permit granting</w:t>
            </w:r>
            <w:r>
              <w:t xml:space="preserve"> procedure, also for the defence sector. </w:t>
            </w:r>
            <w:r>
              <w:rPr>
                <w:b/>
                <w:i/>
              </w:rPr>
              <w:t>Such</w:t>
            </w:r>
            <w:r>
              <w:t xml:space="preserve"> rules </w:t>
            </w:r>
            <w:r>
              <w:rPr>
                <w:b/>
                <w:i/>
              </w:rPr>
              <w:t>are an essential safeguard to ensure negative</w:t>
            </w:r>
            <w:r>
              <w:t xml:space="preserve"> impacts </w:t>
            </w:r>
            <w:r>
              <w:rPr>
                <w:b/>
                <w:i/>
              </w:rPr>
              <w:t>are prevented or minimised</w:t>
            </w:r>
            <w:r>
              <w:t xml:space="preserve">. However, </w:t>
            </w:r>
            <w:r>
              <w:rPr>
                <w:b/>
                <w:i/>
              </w:rPr>
              <w:t>to ensure that permit granting procedures for</w:t>
            </w:r>
            <w:r>
              <w:t xml:space="preserve"> defence readiness projects </w:t>
            </w:r>
            <w:r>
              <w:rPr>
                <w:b/>
                <w:i/>
              </w:rPr>
              <w:t>are</w:t>
            </w:r>
            <w:r>
              <w:t xml:space="preserve"> predictable and timely, </w:t>
            </w:r>
            <w:r>
              <w:rPr>
                <w:b/>
                <w:i/>
              </w:rPr>
              <w:t>any potential to streamline the required assessments and authorisations while not lowering the level of, for instance, environmental protection, should be realised. In that regard, it should be ensured that</w:t>
            </w:r>
            <w:r>
              <w:t xml:space="preserve"> the necessary assessments </w:t>
            </w:r>
            <w:r>
              <w:rPr>
                <w:b/>
                <w:i/>
              </w:rPr>
              <w:t>are</w:t>
            </w:r>
            <w:r>
              <w:t xml:space="preserve"> bundled </w:t>
            </w:r>
            <w:r>
              <w:rPr>
                <w:b/>
                <w:i/>
              </w:rPr>
              <w:t>to prevent</w:t>
            </w:r>
            <w:r>
              <w:t xml:space="preserve"> unnecessary </w:t>
            </w:r>
            <w:r>
              <w:rPr>
                <w:b/>
                <w:i/>
              </w:rPr>
              <w:t>overlap</w:t>
            </w:r>
            <w:r>
              <w:t>.</w:t>
            </w:r>
          </w:p>
        </w:tc>
        <w:tc>
          <w:tcPr>
            <w:tcW w:w="4876" w:type="dxa"/>
            <w:tcBorders>
              <w:top w:val="nil"/>
              <w:left w:val="nil"/>
              <w:bottom w:val="nil"/>
              <w:right w:val="nil"/>
            </w:tcBorders>
          </w:tcPr>
          <w:p>
            <w:pPr>
              <w:pStyle w:val="Normal6a"/>
            </w:pPr>
            <w:r>
              <w:t>(10)</w:t>
            </w:r>
            <w:r>
              <w:tab/>
            </w:r>
            <w:r>
              <w:rPr>
                <w:b/>
                <w:i/>
              </w:rPr>
              <w:t>Compliance</w:t>
            </w:r>
            <w:r>
              <w:t xml:space="preserve"> with Union law, including </w:t>
            </w:r>
            <w:r>
              <w:rPr>
                <w:b/>
                <w:i/>
              </w:rPr>
              <w:t>in areas such as</w:t>
            </w:r>
            <w:r>
              <w:t xml:space="preserve"> water, waste management, air </w:t>
            </w:r>
            <w:r>
              <w:rPr>
                <w:b/>
                <w:i/>
              </w:rPr>
              <w:t>quality</w:t>
            </w:r>
            <w:r>
              <w:t xml:space="preserve">, ecosystems, habitats, archaeological </w:t>
            </w:r>
            <w:r>
              <w:rPr>
                <w:b/>
                <w:i/>
              </w:rPr>
              <w:t>and</w:t>
            </w:r>
            <w:r>
              <w:t xml:space="preserve"> biodiversity </w:t>
            </w:r>
            <w:r>
              <w:rPr>
                <w:b/>
                <w:i/>
              </w:rPr>
              <w:t>remains an</w:t>
            </w:r>
            <w:r>
              <w:t xml:space="preserve"> integral part of the </w:t>
            </w:r>
            <w:r>
              <w:rPr>
                <w:b/>
                <w:i/>
              </w:rPr>
              <w:t>permit-granting</w:t>
            </w:r>
            <w:r>
              <w:t xml:space="preserve"> procedure, also for the defence sector. </w:t>
            </w:r>
            <w:r>
              <w:rPr>
                <w:b/>
                <w:i/>
              </w:rPr>
              <w:t>These</w:t>
            </w:r>
            <w:r>
              <w:t xml:space="preserve"> rules </w:t>
            </w:r>
            <w:r>
              <w:rPr>
                <w:b/>
                <w:i/>
              </w:rPr>
              <w:t>constitute important safeguards to prevent or minimise adverse</w:t>
            </w:r>
            <w:r>
              <w:t xml:space="preserve"> impacts. However, </w:t>
            </w:r>
            <w:r>
              <w:rPr>
                <w:b/>
                <w:i/>
              </w:rPr>
              <w:t>in view of the urgent need to strengthen Europe’s</w:t>
            </w:r>
            <w:r>
              <w:t xml:space="preserve"> defence readiness</w:t>
            </w:r>
            <w:r>
              <w:rPr>
                <w:b/>
                <w:i/>
              </w:rPr>
              <w:t>, the implementation of such requirements should be proportionate and adapted to the specific nature of defence</w:t>
            </w:r>
            <w:r>
              <w:t xml:space="preserve"> projects</w:t>
            </w:r>
            <w:r>
              <w:rPr>
                <w:b/>
                <w:i/>
              </w:rPr>
              <w:t>. To ensure that procedures remain</w:t>
            </w:r>
            <w:r>
              <w:t xml:space="preserve"> predictable</w:t>
            </w:r>
            <w:r>
              <w:rPr>
                <w:b/>
                <w:i/>
              </w:rPr>
              <w:t>, efficient</w:t>
            </w:r>
            <w:r>
              <w:t xml:space="preserve"> and timely, the necessary assessments </w:t>
            </w:r>
            <w:r>
              <w:rPr>
                <w:b/>
                <w:i/>
              </w:rPr>
              <w:t>should be streamlined and, where appropriate,</w:t>
            </w:r>
            <w:r>
              <w:t xml:space="preserve"> bundled</w:t>
            </w:r>
            <w:r>
              <w:rPr>
                <w:b/>
                <w:i/>
              </w:rPr>
              <w:t>, so as to avoid duplication and</w:t>
            </w:r>
            <w:r>
              <w:t xml:space="preserve"> unnecessary </w:t>
            </w:r>
            <w:r>
              <w:rPr>
                <w:b/>
                <w:i/>
              </w:rPr>
              <w:t>administrative burdens, while maintaining a high level of environmental protection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Anna Stürgkh, Stine Bosse,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Complying with Union law, including for instance in relation to water, waste management, air, ecosystems, habitats, archaeological, biodiversity and birds’ protection, are integral part of the permit granting procedure, also for the defence sector. Such rules are an essential safeguard to ensure negative impacts are prevented </w:t>
            </w:r>
            <w:r>
              <w:rPr>
                <w:b/>
                <w:i/>
              </w:rPr>
              <w:t>or minimised</w:t>
            </w:r>
            <w:r>
              <w:t>. However, to ensure that permit granting procedures for defence readiness projects are predictable and timely, any potential to streamline the required assessments and authorisations while not lowering the level of, for instance, environmental protection, should be realised. In that regard, it should be ensured that the necessary assessments are bundled to prevent unnecessary overlap.</w:t>
            </w:r>
          </w:p>
        </w:tc>
        <w:tc>
          <w:tcPr>
            <w:tcW w:w="4876" w:type="dxa"/>
            <w:tcBorders>
              <w:top w:val="nil"/>
              <w:left w:val="nil"/>
              <w:bottom w:val="nil"/>
              <w:right w:val="nil"/>
            </w:tcBorders>
          </w:tcPr>
          <w:p>
            <w:pPr>
              <w:pStyle w:val="Normal6a"/>
            </w:pPr>
            <w:r>
              <w:t>(10)</w:t>
            </w:r>
            <w:r>
              <w:tab/>
            </w:r>
            <w:r>
              <w:t xml:space="preserve">Complying with Union law, including for instance in relation to water, waste management, air, ecosystems, habitats, archaeological, biodiversity and birds’ protection, are integral part of the permit granting procedure, also for the defence sector. Such rules are an essential safeguard to ensure negative impacts are prevented. However, to ensure that permit granting procedures for defence readiness projects are predictable and timely, any potential to streamline the required assessments and authorisations while not lowering the level </w:t>
            </w:r>
            <w:r>
              <w:rPr>
                <w:b/>
                <w:i/>
              </w:rPr>
              <w:t>and standard</w:t>
            </w:r>
            <w:r>
              <w:t xml:space="preserve"> of, for instance, environmental protection, should be realised. In that regard, it should be ensured that the necessary assessments are bundled to prevent unnecessary overlap.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a)</w:t>
            </w:r>
            <w:r>
              <w:tab/>
            </w:r>
            <w:r>
              <w:rPr>
                <w:b/>
                <w:i/>
              </w:rPr>
              <w:t>To ensure that permit granting procedures for defence readiness projects are predictable and timely, any potential to streamline the required assessments and authorisations while not lowering the level of, for instance, environmental protection, should be realised. In that regard, Member States may provide for coordinated and/or joint procedures to streamline the assessments of the environmental impact of projects required by the relevant Union law, and they should combine the assessments of the environmental impacts of their zoning, spatial plans and land use plans, required by relevant Union law to prevent unnecessary overlaps.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Given that defence readiness projects are inherently of strategic interest and often urgent in nature, the construction or expansion of industrial defence facilities of vital importance to the security of the Union and its Member States should not be unduly hindered by requirements such as the need to reduce greenhouse gas emissions or improve energy efficiency.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Collaboration with non-EU countries must include clear controls that ensure the proven compliance of the companies involved with EU standards in the fields of the environment and public health, regardless of whether they operate inside or outside the Union, and ensure that they do not go against the interests of the Union’s Member States.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Any restrictions on the use of lead should take account of the security and defence needs of the Union and its Member States.</w:t>
            </w:r>
            <w:r>
              <w:t xml:space="preserve"> </w:t>
            </w:r>
            <w:r>
              <w:rPr>
                <w:b/>
                <w:i/>
              </w:rPr>
              <w:t>To that end, where lead is not used and performance, security or operational sovereignty are liable to be jeopardised accordingly, specific exemptions are needed to ensure the availability and continuity of supply of munitions and defence equipment.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10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(10c)</w:t>
            </w:r>
            <w:r>
              <w:tab/>
            </w:r>
            <w:r>
              <w:rPr>
                <w:b/>
                <w:i/>
              </w:rPr>
              <w:t>Reusing, remanufacturing and recycling the components of near-defunct defence equipment helps to alleviate the pressure on natural resources, cut down on hazardous waste and strengthen the Union’s strategic autonomy.</w:t>
            </w:r>
            <w:r>
              <w:t xml:space="preserve"> </w:t>
            </w:r>
            <w:r>
              <w:rPr>
                <w:b/>
                <w:i/>
              </w:rPr>
              <w:t>It is therefore necessary to facilitate the certification and authorisation processes for industrial facilities that handle such operations, without diminishing the level of environmental protection.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To facilitate the efficient and timely processing of administrative permitting applications related to defence readiness activities and the scaling up of defence production, Member States need to ensure that the competent national authorities implement fast-track procedures</w:t>
            </w:r>
            <w:r>
              <w:rPr>
                <w:b/>
                <w:i/>
              </w:rPr>
              <w:t>.</w:t>
            </w:r>
            <w:r>
              <w:t xml:space="preserve"> </w:t>
            </w:r>
            <w:r>
              <w:rPr>
                <w:b/>
                <w:i/>
              </w:rPr>
              <w:t>Those authorities should provide the most rapid legal treatment possible for such applications, thereby enabling timely responses to defence readiness needs</w:t>
            </w:r>
            <w:r>
              <w:t>.</w:t>
            </w:r>
          </w:p>
        </w:tc>
        <w:tc>
          <w:tcPr>
            <w:tcW w:w="4876" w:type="dxa"/>
            <w:tcBorders>
              <w:top w:val="nil"/>
              <w:left w:val="nil"/>
              <w:bottom w:val="nil"/>
              <w:right w:val="nil"/>
            </w:tcBorders>
          </w:tcPr>
          <w:p>
            <w:pPr>
              <w:pStyle w:val="Normal6a"/>
            </w:pPr>
            <w:r>
              <w:t>(11)</w:t>
            </w:r>
            <w:r>
              <w:tab/>
            </w:r>
            <w:r>
              <w:t>To facilitate the efficient and timely processing of administrative permitting applications related to defence readiness activities and the scaling up of defence production, Member States need to ensure that the competent national authorities implement fast-track procedures</w:t>
            </w:r>
            <w:r>
              <w:rPr>
                <w:b/>
                <w:i/>
              </w:rPr>
              <w:t>, including for projects that require critical substances such as lead, where there is no technically and economically viable alternative that affords the same standards of security and performance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The development of defence facilities is contingent on secure, stable and reliable access to electricity and gas.</w:t>
            </w:r>
            <w:r>
              <w:t xml:space="preserve"> </w:t>
            </w:r>
            <w:r>
              <w:rPr>
                <w:b/>
                <w:i/>
              </w:rPr>
              <w:t>Projects of strategic interest should be able to avail themselves of existing energy infrastructure and the corresponding authorisation processes as a matter of priority, with a view to ensuring that they are not delayed by problems with connections or energy availability.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13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To accelerate reaching full operational capacity, Member States should provide for specific arrangements for defence readiness projects involving UAS bases in island and border areas at the external borders, including through the use of pre-cleared sites, combining of relevant assessments and enhanced coordination through the single point of contact.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14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In order to reconcile the need to expedite defence projects on the one hand and ensure a high standard of environmental protection on the other, the Member States should be able to designate industrial areas of strategic defence interest within their land-planning tools.</w:t>
            </w:r>
            <w:r>
              <w:t xml:space="preserve"> </w:t>
            </w:r>
            <w:r>
              <w:rPr>
                <w:b/>
                <w:i/>
              </w:rPr>
              <w:t>Simplified and coordinated processes may be used for those areas, subject to more robust environmental monitoring.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The Commission, through the relevant services of DG ENV and DG SANTE, should systematically ensure that the competent national authorities effectively implement compliance checks on private companies, including those cooperating with entities established in non-EU countries, in the defence sector, in accordance with all Union standards, which all European companies must comply with, preventing unfair competition.</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a)</w:t>
            </w:r>
            <w:r>
              <w:tab/>
            </w:r>
            <w:r>
              <w:rPr>
                <w:b/>
                <w:i/>
              </w:rPr>
              <w:t>Given the specific and sensitive nature of defence-readiness projects, the application of Union acts implementing or giving effect to the Aarhus Convention — including Directives 2003/4/EC, 2003/35/EC, 2011/92/EU and 2021/1765/EU — may be limited or adapted where their full application would prejudice the protection of national-defence or security interests within the meaning of Article 346 TFEU. </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Aarhus Convention allows Parties to set criteria for standing and access to environmental enforcement proceedings under paragraph 3, but any such criteria should be consistent with the objectives of the Convention regarding ensuring access to justice. Since the limitations are limited to defence-readiness projects, they cannot be construed as a general restriction on access to justice under Article 9(3) of the Convention, but rather as a narrowly tailored measure justified by the need to protect essential national-security interests pursuant to Article 346 TFEU. Directly affected persons retain effective judicial remedies. Please also refer to UNITED NATIONS ECONOMIC COMMISSION FOR EUROPE The Aarhus Convention An Implementation Guide (as if p.196)</w:t>
      </w:r>
    </w:p>
    <w:p>
      <w:r>
        <w:rPr>
          <w:rStyle w:val="HideTWBExt"/>
        </w:rPr>
        <w:t>&lt;/Amend&gt;</w:t>
      </w:r>
    </w:p>
    <w:p>
      <w:pPr>
        <w:pStyle w:val="AmNumberTabs"/>
      </w:pPr>
      <w:r>
        <w:rPr>
          <w:rStyle w:val="HideTWBExt"/>
        </w:rPr>
        <w:t>&lt;Amend&gt;</w:t>
      </w:r>
      <w:r>
        <w:t>Amendment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In order to ensure clarity about the permitting status of defence readiness projects and to limit the effectiveness of potential abusive litigation, while not undermining effective judicial review, Member States should ensure that any dispute concerning the permit-granting process for defence readiness projects is resolved in a timely manner. To that end, Member States should ensure that project promoters have access to simple dispute settlement procedures and that defence readiness projects are subject to urgent handling in all administrative, judicial and dispute resolution procedures relating to the projects to the extent that national law provides for such urgency procedures.</w:t>
            </w:r>
          </w:p>
        </w:tc>
        <w:tc>
          <w:tcPr>
            <w:tcW w:w="4876" w:type="dxa"/>
            <w:tcBorders>
              <w:top w:val="nil"/>
              <w:left w:val="nil"/>
              <w:bottom w:val="nil"/>
              <w:right w:val="nil"/>
            </w:tcBorders>
          </w:tcPr>
          <w:p>
            <w:pPr>
              <w:pStyle w:val="Normal6a"/>
            </w:pPr>
            <w:r>
              <w:t>(16)</w:t>
            </w:r>
            <w:r>
              <w:tab/>
            </w:r>
            <w:r>
              <w:t xml:space="preserve">In order to ensure clarity about the permitting status of defence readiness projects and to limit the effectiveness of potential abusive litigation, while not undermining effective judicial review, Member States should ensure that any dispute concerning the permit-granting process for defence readiness projects is resolved in a timely manner. To that end, Member States should ensure that project promoters have access to simple dispute settlement procedures </w:t>
            </w:r>
            <w:r>
              <w:rPr>
                <w:b/>
                <w:i/>
              </w:rPr>
              <w:t>which accord fully with the requirements and characteristics of Article 9(4) of the United Nations Economic Commission for Europe (UNECE) Convention on Access to Information, Public Participation in Decision-making and Access to Justice in Environmental Matters, signed at Aarhus on 25 June 1998,</w:t>
            </w:r>
            <w:r>
              <w:t xml:space="preserve"> and that defence readiness projects are subject to urgent handling in all administrative, judicial and dispute resolution procedures relating to the projects to the extent that national law provides for such urgency procedures </w:t>
            </w:r>
            <w:r>
              <w:rPr>
                <w:b/>
                <w:i/>
              </w:rPr>
              <w:t>and without impacting on the independence and judicial discretion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In order to provide project promoters and other investors with the security and clarity needed to increase development of defence readiness projects, Member States should ensure that the permit-granting process related to such projects does not exceed set time limits.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This Regulation is without prejudice to the obligations deriving from international law</w:t>
            </w:r>
            <w:r>
              <w:rPr>
                <w:b/>
                <w:i/>
              </w:rPr>
              <w:t>, where</w:t>
            </w:r>
            <w:r>
              <w:t xml:space="preserve"> relevant.</w:t>
            </w:r>
          </w:p>
        </w:tc>
        <w:tc>
          <w:tcPr>
            <w:tcW w:w="4876" w:type="dxa"/>
            <w:tcBorders>
              <w:top w:val="nil"/>
              <w:left w:val="nil"/>
              <w:bottom w:val="nil"/>
              <w:right w:val="nil"/>
            </w:tcBorders>
          </w:tcPr>
          <w:p>
            <w:pPr>
              <w:pStyle w:val="Normal6a"/>
            </w:pPr>
            <w:r>
              <w:t>(18)</w:t>
            </w:r>
            <w:r>
              <w:tab/>
            </w:r>
            <w:r>
              <w:t xml:space="preserve">This Regulation is without prejudice to the obligations deriving from international law </w:t>
            </w:r>
            <w:r>
              <w:rPr>
                <w:b/>
                <w:i/>
              </w:rPr>
              <w:t>- including</w:t>
            </w:r>
            <w:r>
              <w:t xml:space="preserve"> relevant </w:t>
            </w:r>
            <w:r>
              <w:rPr>
                <w:b/>
                <w:i/>
              </w:rPr>
              <w:t>treaties concerning arms control, climate change, biodiversity and human rights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Recital 18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 a)</w:t>
            </w:r>
            <w:r>
              <w:tab/>
            </w:r>
            <w:r>
              <w:rPr>
                <w:b/>
                <w:i/>
              </w:rPr>
              <w:t>This Regulation shall not be construed as prejudicing the security and defence policies of individual Member States, including policies of military neutrality, and the Commission may not induce a Member State to pursue a course of action which would violate such neutrality.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‘defence readiness project’ means set of activities, investments and measures </w:t>
            </w:r>
            <w:r>
              <w:rPr>
                <w:b/>
                <w:i/>
              </w:rPr>
              <w:t>aimed at</w:t>
            </w:r>
            <w:r>
              <w:t xml:space="preserve"> enhancing the defence readiness of a Member State or several Member States</w:t>
            </w:r>
            <w:r>
              <w:rPr>
                <w:b/>
                <w:i/>
              </w:rPr>
              <w:t>, including through the development of the defence industry</w:t>
            </w:r>
            <w:r>
              <w:t>;</w:t>
            </w:r>
          </w:p>
        </w:tc>
        <w:tc>
          <w:tcPr>
            <w:tcW w:w="4876" w:type="dxa"/>
            <w:tcBorders>
              <w:top w:val="nil"/>
              <w:left w:val="nil"/>
              <w:bottom w:val="nil"/>
              <w:right w:val="nil"/>
            </w:tcBorders>
          </w:tcPr>
          <w:p>
            <w:pPr>
              <w:pStyle w:val="Normal6a"/>
            </w:pPr>
            <w:r>
              <w:t>(1)</w:t>
            </w:r>
            <w:r>
              <w:tab/>
            </w:r>
            <w:r>
              <w:t xml:space="preserve">‘defence readiness project’ means set of activities, investments and measures </w:t>
            </w:r>
            <w:r>
              <w:rPr>
                <w:b/>
                <w:i/>
              </w:rPr>
              <w:t>for which the sole purpose is</w:t>
            </w:r>
            <w:r>
              <w:t xml:space="preserve"> enhancing the defence readiness of a Member State or several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‘defence industry’ means all undertakings engaged in the development, production, and manufacture of defence-related products as defined in Article 3(1) of Directive 2009/43/EC of the European Parliament and of the Council</w:t>
            </w:r>
            <w:r>
              <w:rPr>
                <w:b/>
                <w:i/>
                <w:vertAlign w:val="superscript"/>
              </w:rPr>
              <w:t>6</w:t>
            </w:r>
            <w:r>
              <w:rPr>
                <w:b/>
                <w:i/>
              </w:rPr>
              <w:t xml:space="preserve"> ;</w:t>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Directive 2009/43/EC of the European Parliament and of the Council of 6 May 2009 simplifying terms and conditions of transfers of defence-related products within the Community (OJ L 146, 10.6.2009, p. 1, ELI: http://data.europa.eu/eli/dir/2009/43/oj).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premier – paragraph 1 – point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‘defence industry’ means all undertakings engaged in the development, production, and manufacture of defence-related products as defined in Article 3(1) of Directive 2009/43/EC of the European Parliament and of the Council</w:t>
            </w:r>
            <w:r>
              <w:rPr>
                <w:vertAlign w:val="superscript"/>
              </w:rPr>
              <w:t>6</w:t>
            </w:r>
            <w:r>
              <w:t>;</w:t>
            </w:r>
          </w:p>
        </w:tc>
        <w:tc>
          <w:tcPr>
            <w:tcW w:w="4876" w:type="dxa"/>
            <w:tcBorders>
              <w:top w:val="nil"/>
              <w:left w:val="nil"/>
              <w:bottom w:val="nil"/>
              <w:right w:val="nil"/>
            </w:tcBorders>
          </w:tcPr>
          <w:p>
            <w:pPr>
              <w:pStyle w:val="Normal6a"/>
            </w:pPr>
            <w:r>
              <w:t>(2)</w:t>
            </w:r>
            <w:r>
              <w:tab/>
            </w:r>
            <w:r>
              <w:t>‘defence industry’ means all undertakings engaged in the development, production, and manufacture of defence-related products as defined in Article 3(1) of Directive 2009/43/EC of the European Parliament and of the Council</w:t>
            </w:r>
            <w:r>
              <w:rPr>
                <w:vertAlign w:val="superscript"/>
              </w:rPr>
              <w:t>6</w:t>
            </w:r>
            <w:r>
              <w:rPr>
                <w:b/>
                <w:i/>
              </w:rPr>
              <w:t>.</w:t>
            </w:r>
            <w:r>
              <w:t xml:space="preserve"> </w:t>
            </w:r>
            <w:r>
              <w:rPr>
                <w:b/>
                <w:i/>
              </w:rPr>
              <w:t>This includes, subject to the adoption of risk management and recovery plans, the production of munitions and light weapons in which lead is still used in the absence of a technically and economically viable alternative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Directive 2009/43/EC of the European Parliament and of the Council of 6 May 2009 simplifying terms and conditions of transfers of defence-related products within the Community (OJ L 146, 10.6.2009, p. 1, ELI: http://data.europa.eu/eli/dir/2009/43/oj).</w:t>
            </w:r>
          </w:p>
        </w:tc>
        <w:tc>
          <w:tcPr>
            <w:tcW w:w="4876" w:type="dxa"/>
            <w:tcBorders>
              <w:top w:val="nil"/>
              <w:left w:val="nil"/>
              <w:bottom w:val="nil"/>
              <w:right w:val="nil"/>
            </w:tcBorders>
          </w:tcPr>
          <w:p>
            <w:pPr>
              <w:pStyle w:val="Normal6a"/>
            </w:pPr>
            <w:r>
              <w:rPr>
                <w:vertAlign w:val="superscript"/>
              </w:rPr>
              <w:t>6</w:t>
            </w:r>
            <w:r>
              <w:t xml:space="preserve"> </w:t>
            </w:r>
            <w:r>
              <w:t>Directive 2009/43/EC of the European Parliament and of the Council of 6 May 2009 simplifying terms and conditions of transfers of defence-related products within the Community (OJ L 146, 10.6.2009, p. 1, ELI: http://data.europa.eu/eli/dir/2009/43/oj).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premier – paragraph 1 – point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‘Environmental exemption measures’</w:t>
            </w:r>
            <w:r>
              <w:t xml:space="preserve"> </w:t>
            </w:r>
            <w:r>
              <w:rPr>
                <w:b/>
                <w:i/>
              </w:rPr>
              <w:t>means any procedural or technical measure which, for reasons of national security and defence, seeks to make adjustments to the implementation of the Union’s climate and energy legislation, without prejudice to environmental protection goals or essential health and safety standards;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‘defence readiness’ means the state of preparedness of a Member State or several Member States to </w:t>
            </w:r>
            <w:r>
              <w:rPr>
                <w:b/>
                <w:i/>
              </w:rPr>
              <w:t>respond to a crisis defined in Article 1, point (10) of Directive 2009/81/EC of the European Parliament and of the Council</w:t>
            </w:r>
            <w:r>
              <w:rPr>
                <w:b/>
                <w:i/>
                <w:vertAlign w:val="superscript"/>
              </w:rPr>
              <w:t>7</w:t>
            </w:r>
            <w:r>
              <w:t xml:space="preserve"> </w:t>
            </w:r>
            <w:r>
              <w:rPr>
                <w:b/>
                <w:i/>
              </w:rPr>
              <w:t>, which relates to defence</w:t>
            </w:r>
            <w:r>
              <w:t>;</w:t>
            </w:r>
          </w:p>
        </w:tc>
        <w:tc>
          <w:tcPr>
            <w:tcW w:w="4876" w:type="dxa"/>
            <w:tcBorders>
              <w:top w:val="nil"/>
              <w:left w:val="nil"/>
              <w:bottom w:val="nil"/>
              <w:right w:val="nil"/>
            </w:tcBorders>
          </w:tcPr>
          <w:p>
            <w:pPr>
              <w:pStyle w:val="Normal6a"/>
            </w:pPr>
            <w:r>
              <w:t>(3)</w:t>
            </w:r>
            <w:r>
              <w:tab/>
            </w:r>
            <w:r>
              <w:t xml:space="preserve">‘defence readiness’ means the state of preparedness of a Member State or several Member States to </w:t>
            </w:r>
            <w:r>
              <w:rPr>
                <w:b/>
                <w:i/>
              </w:rPr>
              <w:t>engage in measures to ensure national self-defence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http://data.europa.eu/eli/dir/2009/81/oj).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‘defence readiness’ means the state of preparedness of a Member State or several Member States to respond to a crisis defined in Article 1, point (10) of Directive 2009/81/EC of the European Parliament and of the Council</w:t>
            </w:r>
            <w:r>
              <w:rPr>
                <w:b/>
                <w:i/>
                <w:vertAlign w:val="superscript"/>
              </w:rPr>
              <w:t>7</w:t>
            </w:r>
            <w:r>
              <w:t xml:space="preserve"> , which relates to defence;</w:t>
            </w:r>
          </w:p>
        </w:tc>
        <w:tc>
          <w:tcPr>
            <w:tcW w:w="4876" w:type="dxa"/>
            <w:tcBorders>
              <w:top w:val="nil"/>
              <w:left w:val="nil"/>
              <w:bottom w:val="nil"/>
              <w:right w:val="nil"/>
            </w:tcBorders>
          </w:tcPr>
          <w:p>
            <w:pPr>
              <w:pStyle w:val="Normal6a"/>
            </w:pPr>
            <w:r>
              <w:t>(3)</w:t>
            </w:r>
            <w:r>
              <w:tab/>
            </w:r>
            <w:r>
              <w:t xml:space="preserve">'defence readiness' means the state of preparedness of a Member State or several Member States to </w:t>
            </w:r>
            <w:r>
              <w:rPr>
                <w:b/>
                <w:i/>
              </w:rPr>
              <w:t>anticipate, prevent or</w:t>
            </w:r>
            <w:r>
              <w:t xml:space="preserve"> respond to a crisis </w:t>
            </w:r>
            <w:r>
              <w:rPr>
                <w:b/>
                <w:i/>
              </w:rPr>
              <w:t>as</w:t>
            </w:r>
            <w:r>
              <w:t xml:space="preserve"> defined in Article 1, point (10) of Directive 2009/81/EC of the European Parliament and of the Council, which relates to defence;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Directive 2009/81/EC of the European Parliament and of the Council of 13 July 2009 on the coordination of procedures for the award of certain works contracts, supply contracts and service contracts by contracting authorities or entities in the fields of defence and security, and amending Directives 2004/17/EC and 2004/18/EC (OJ L 216, 20.8.2009, p. 76, ELI: http://data.europa.eu/eli/dir/2009/81/oj).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1 – paragraph 1 – point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‘critical-infrastructure or resilience project’ means a set of activities, investments or measures necessary to protect or strengthen the resilience of critical infrastructure and crucial supply-chain sectors, the disruption of which would seriously affect national defence, security or essential public services, such as energy, transport, communications, and cold-storage or logistics facilities essential for food or medicine distribution; by ministerial decision, a Member State may designate additional sectors, subsectors or facilities as falling within this category where their disturbance would endanger national security, defence readiness or public order. Such decisions shall be duly reasoned, notified to the Commission and subject to periodic review for consistency with Union law.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Anna Stürgkh, Stine Bosse, Sigrid Friis, 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By …[3 months after the date of entry into force of this Regulation], each Member State shall establish or designate one authority as single point of contact at the relevant administrative level.</w:t>
            </w:r>
          </w:p>
        </w:tc>
        <w:tc>
          <w:tcPr>
            <w:tcW w:w="4876" w:type="dxa"/>
            <w:tcBorders>
              <w:top w:val="nil"/>
              <w:left w:val="nil"/>
              <w:bottom w:val="nil"/>
              <w:right w:val="nil"/>
            </w:tcBorders>
          </w:tcPr>
          <w:p>
            <w:pPr>
              <w:pStyle w:val="Normal6a"/>
            </w:pPr>
            <w:r>
              <w:t>1.</w:t>
            </w:r>
            <w:r>
              <w:tab/>
            </w:r>
            <w:r>
              <w:t xml:space="preserve">By …[3 months after the date of entry into force of this Regulation], each Member State shall establish or designate one authority as single point of contact at the relevant administrative level. </w:t>
            </w:r>
            <w:r>
              <w:rPr>
                <w:b/>
                <w:i/>
              </w:rPr>
              <w:t>The designation of the single point of contact shall not result in duplication of institutional structures or overlapping competences.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Each single point of contact shall have an independent expert on public health and toxicology, who shall review projects involving the use of substances of concern.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Anna Stürgkh, Stine Bosse, Sigrid Friis, 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Project promoters shall </w:t>
            </w:r>
            <w:r>
              <w:rPr>
                <w:b/>
                <w:i/>
              </w:rPr>
              <w:t>be allowed to</w:t>
            </w:r>
            <w:r>
              <w:t xml:space="preserve"> submit any documents relevant to the permit-granting process in electronic form.</w:t>
            </w:r>
          </w:p>
        </w:tc>
        <w:tc>
          <w:tcPr>
            <w:tcW w:w="4876" w:type="dxa"/>
            <w:tcBorders>
              <w:top w:val="nil"/>
              <w:left w:val="nil"/>
              <w:bottom w:val="nil"/>
              <w:right w:val="nil"/>
            </w:tcBorders>
          </w:tcPr>
          <w:p>
            <w:pPr>
              <w:pStyle w:val="Normal6a"/>
            </w:pPr>
            <w:r>
              <w:t>4.</w:t>
            </w:r>
            <w:r>
              <w:tab/>
            </w:r>
            <w:r>
              <w:t>Project promoters shall submit any documents relevant to the permit-granting process in electronic form.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Anna Stürgkh, Stine Bosse,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Member States shall ensure that the single point of contact and all competent authorities responsible for any step along the permit-granting processes, including all procedural steps, have enough qualified staff and sufficient financial, technical and technological resources necessary, including, where appropriate, for up- skilling and re-skilling, for the effective performance of their tasks under this Regulation.</w:t>
            </w:r>
          </w:p>
        </w:tc>
        <w:tc>
          <w:tcPr>
            <w:tcW w:w="4876" w:type="dxa"/>
            <w:tcBorders>
              <w:top w:val="nil"/>
              <w:left w:val="nil"/>
              <w:bottom w:val="nil"/>
              <w:right w:val="nil"/>
            </w:tcBorders>
          </w:tcPr>
          <w:p>
            <w:pPr>
              <w:pStyle w:val="Normal6a"/>
            </w:pPr>
            <w:r>
              <w:t>6.</w:t>
            </w:r>
            <w:r>
              <w:tab/>
            </w:r>
            <w:r>
              <w:t xml:space="preserve">Member States shall ensure that the single point of contact and all competent authorities responsible for any step along the permit-granting processes, including all procedural steps, have enough qualified staff and sufficient financial, technical and technological resources necessary, including, where appropriate, for up- skilling and re-skilling, </w:t>
            </w:r>
            <w:r>
              <w:rPr>
                <w:b/>
                <w:i/>
              </w:rPr>
              <w:t>and shall process all steps related to the permit granting digitally to the extent possible,</w:t>
            </w:r>
            <w:r>
              <w:t xml:space="preserve"> for the effective performance of their tasks under this Regulation.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The authorities involved in the permit-granting process and other authorities concerned shall specify and make available to the single point of contact concerned, the requirements and all information requested of a project promoter before the permit-granting process commences.</w:t>
            </w:r>
          </w:p>
        </w:tc>
        <w:tc>
          <w:tcPr>
            <w:tcW w:w="4876" w:type="dxa"/>
            <w:tcBorders>
              <w:top w:val="nil"/>
              <w:left w:val="nil"/>
              <w:bottom w:val="nil"/>
              <w:right w:val="nil"/>
            </w:tcBorders>
          </w:tcPr>
          <w:p>
            <w:pPr>
              <w:pStyle w:val="Normal6a"/>
            </w:pPr>
            <w:r>
              <w:t>7.</w:t>
            </w:r>
            <w:r>
              <w:tab/>
            </w:r>
            <w:r>
              <w:t xml:space="preserve">The authorities involved in the permit-granting process and other authorities concerned shall specify and make available to the single point of contact concerned, the requirements and all information requested of a project promoter before the permit-granting process commences </w:t>
            </w:r>
            <w:r>
              <w:rPr>
                <w:b/>
                <w:i/>
              </w:rPr>
              <w:t>without prejudice to the right to request further information where necessary to comply with the information requirements to align with the requirements of the underlying Directives and national requirements in respect of the consent and permitting procedure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Upon request by a Member State, the Commission may assist the authorities of that Member State with capacity building in support of implementation of this Regulation, notably in establishing or operating a single point of contact.</w:t>
            </w:r>
          </w:p>
        </w:tc>
        <w:tc>
          <w:tcPr>
            <w:tcW w:w="4876" w:type="dxa"/>
            <w:tcBorders>
              <w:top w:val="nil"/>
              <w:left w:val="nil"/>
              <w:bottom w:val="nil"/>
              <w:right w:val="nil"/>
            </w:tcBorders>
          </w:tcPr>
          <w:p>
            <w:pPr>
              <w:pStyle w:val="Normal6a"/>
            </w:pPr>
            <w:r>
              <w:t>8.</w:t>
            </w:r>
            <w:r>
              <w:tab/>
            </w:r>
            <w:r>
              <w:t xml:space="preserve">Upon request by a Member State, the Commission may assist the authorities of that Member State with capacity building in support of implementation of this Regulation, notably in establishing or operating a single point of contact </w:t>
            </w:r>
            <w:r>
              <w:rPr>
                <w:b/>
                <w:i/>
              </w:rPr>
              <w:t>and in addressing implementation gaps for environmental decision-making and environmental assessments, in order to ensure the robustness and environmental sustainability of the decision-making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Upon request by a Member State, the Commission may assist the authorities of that Member State with capacity building in support of implementation of this Regulation, notably in establishing or operating a single point of contact.</w:t>
            </w:r>
          </w:p>
        </w:tc>
        <w:tc>
          <w:tcPr>
            <w:tcW w:w="4876" w:type="dxa"/>
            <w:tcBorders>
              <w:top w:val="nil"/>
              <w:left w:val="nil"/>
              <w:bottom w:val="nil"/>
              <w:right w:val="nil"/>
            </w:tcBorders>
          </w:tcPr>
          <w:p>
            <w:pPr>
              <w:pStyle w:val="Normal6a"/>
            </w:pPr>
            <w:r>
              <w:t>8.</w:t>
            </w:r>
            <w:r>
              <w:tab/>
            </w:r>
            <w:r>
              <w:t xml:space="preserve">Upon request by a Member State, the Commission may assist the authorities of that Member State with capacity building in support of implementation of this Regulation, notably in establishing or operating a single point of contact. </w:t>
            </w:r>
            <w:r>
              <w:rPr>
                <w:b/>
                <w:i/>
              </w:rPr>
              <w:t>Particularly with regard to cases falling under Article 5a, the single point of contact shall appoint a coordinator of island projects specialising in permit-granting for aviation and port infrastructure.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For those procedures coordinated by the single point of contact, the competent authorities may, on duly justified grounds of security and defence, propose temporary exemptions from Union legal requirements in the areas of climate, energy or energy efficiency, provided that such derogations are strictly limited in time and scope for the purposes of completing the defence project</w:t>
            </w:r>
            <w:r>
              <w:t xml:space="preserve"> </w:t>
            </w:r>
            <w:r>
              <w:rPr>
                <w:b/>
                <w:i/>
              </w:rPr>
              <w:t>and do not impinge upon human health or the protection of natural habitats, or –</w:t>
            </w:r>
            <w:r>
              <w:t xml:space="preserve"> </w:t>
            </w:r>
            <w:r>
              <w:rPr>
                <w:b/>
                <w:i/>
              </w:rPr>
              <w:t>in the event that they do – that commensurate action be taken to rectify this.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2 – 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In the case of defence readiness projects that involve the remanufacturing, recycling or reconditioning of military equipment or material, the single point of contact shall coordinate all the requisite authorisations and apply simplified procedures in order to prevent duplication and reduce delays, subject to compliance with the applicable environmental standards.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 introductory part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Member States shall provide public access to the following information on permit-granting processes relevant to defence readiness projects, online and in a centralised and easily accessible manner:</w:t>
            </w:r>
          </w:p>
        </w:tc>
        <w:tc>
          <w:tcPr>
            <w:tcW w:w="4876" w:type="dxa"/>
            <w:tcBorders>
              <w:top w:val="nil"/>
              <w:left w:val="nil"/>
              <w:bottom w:val="nil"/>
              <w:right w:val="nil"/>
            </w:tcBorders>
          </w:tcPr>
          <w:p>
            <w:pPr>
              <w:pStyle w:val="Normal6a"/>
            </w:pPr>
            <w:r>
              <w:t>Member States shall provide public access to the following information</w:t>
            </w:r>
            <w:r>
              <w:rPr>
                <w:b/>
                <w:i/>
              </w:rPr>
              <w:t>, as a minimum,</w:t>
            </w:r>
            <w:r>
              <w:t xml:space="preserve"> on permit-granting processes relevant to defence readiness projects, online and in a centralised</w:t>
            </w:r>
            <w:r>
              <w:rPr>
                <w:b/>
                <w:i/>
              </w:rPr>
              <w:t>, transparent</w:t>
            </w:r>
            <w:r>
              <w:t xml:space="preserve"> and easily accessible manner: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 point α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a thematic register of ‘island/border UAS areas’ with indicative installation zones, spatial restrictions, flight safety requirements and environmental commitments.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 point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the permit-granting process, including information on dispute settlement concerning the permit-granting process including, where applicable, alternative dispute resolution mechanisms, if such procedures are provided for by national law;</w:t>
            </w:r>
          </w:p>
        </w:tc>
        <w:tc>
          <w:tcPr>
            <w:tcW w:w="4876" w:type="dxa"/>
            <w:tcBorders>
              <w:top w:val="nil"/>
              <w:left w:val="nil"/>
              <w:bottom w:val="nil"/>
              <w:right w:val="nil"/>
            </w:tcBorders>
          </w:tcPr>
          <w:p>
            <w:pPr>
              <w:pStyle w:val="Normal6a"/>
            </w:pPr>
            <w:r>
              <w:t>(b)</w:t>
            </w:r>
            <w:r>
              <w:tab/>
            </w:r>
            <w:r>
              <w:t xml:space="preserve">the permit-granting process, including information on dispute settlement concerning the permit-granting process including, where applicable, alternative dispute resolution mechanisms, if such procedures are provided for by national law </w:t>
            </w:r>
            <w:r>
              <w:rPr>
                <w:b/>
                <w:i/>
              </w:rPr>
              <w:t>and without prejudice to the right to judicial remedies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 point b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a)</w:t>
            </w:r>
            <w:r>
              <w:tab/>
            </w:r>
            <w:r>
              <w:rPr>
                <w:b/>
                <w:i/>
              </w:rPr>
              <w:t>judicial review;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financing and investment services;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This information could through the external influence lead to the obstruction or undue complication of the project.</w:t>
      </w:r>
    </w:p>
    <w:p>
      <w:r>
        <w:rPr>
          <w:rStyle w:val="HideTWBExt"/>
        </w:rPr>
        <w:t>&lt;/Amend&gt;</w:t>
      </w:r>
    </w:p>
    <w:p>
      <w:pPr>
        <w:pStyle w:val="AmNumberTabs"/>
      </w:pPr>
      <w:r>
        <w:rPr>
          <w:rStyle w:val="HideTWBExt"/>
        </w:rPr>
        <w:t>&lt;Amend&gt;</w:t>
      </w:r>
      <w:r>
        <w:t>Amendment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3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‘Unmanned Aircraft Systems (UAS) base’:</w:t>
            </w:r>
            <w:r>
              <w:t xml:space="preserve"> </w:t>
            </w:r>
            <w:r>
              <w:rPr>
                <w:b/>
                <w:i/>
              </w:rPr>
              <w:t>a set of permanent or semi-permanent facilities, ground support infrastructure, take-off/landing areas, safety areas, communications/control systems and associated storage facilities, required for the stationing, maintenance, operational use and training of UAS crews for defence readiness purposes.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 – point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assistance to project promoters along the permit-granting process, in particular for SMEs and small mid-cap enterprises.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 – point c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priority access for the procedures involved in connecting to electricity, gas and hydrogen networks where applicable, as required for the purposes of establishing and running defence readiness projects.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Together with the Member States, the Commission shall assess the extent to which the REACH Regulation is compatible with defence requirements and, where necessary, shall propose temporary exemptions for substances for which no viable alternatives exist, while safeguarding public health and the environment.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4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Member States shall provide assistance to the public to understand and navigate the permitting procedure, and on any dispute resolution procedures applicable and on access to justice.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permit-granting process for defence readiness projects, including the granting of the relevant permit, shall not exceed [</w:t>
            </w:r>
            <w:r>
              <w:rPr>
                <w:b/>
                <w:i/>
              </w:rPr>
              <w:t>60</w:t>
            </w:r>
            <w:r>
              <w:t>] days.</w:t>
            </w:r>
          </w:p>
        </w:tc>
        <w:tc>
          <w:tcPr>
            <w:tcW w:w="4876" w:type="dxa"/>
            <w:tcBorders>
              <w:top w:val="nil"/>
              <w:left w:val="nil"/>
              <w:bottom w:val="nil"/>
              <w:right w:val="nil"/>
            </w:tcBorders>
          </w:tcPr>
          <w:p>
            <w:pPr>
              <w:pStyle w:val="Normal6a"/>
            </w:pPr>
            <w:r>
              <w:t>1.</w:t>
            </w:r>
            <w:r>
              <w:tab/>
            </w:r>
            <w:r>
              <w:t>The permit-granting process for defence readiness projects, including the granting of the relevant permit, shall not exceed [</w:t>
            </w:r>
            <w:r>
              <w:rPr>
                <w:b/>
                <w:i/>
              </w:rPr>
              <w:t>180</w:t>
            </w:r>
            <w:r>
              <w:t xml:space="preserve">] days </w:t>
            </w:r>
            <w:r>
              <w:rPr>
                <w:b/>
                <w:i/>
              </w:rPr>
              <w:t>or any greater limit set by the Member State in order to ensure the time limit allows for compliance with environmental assessments and public participation obligations given the national context and constraints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Anna Stürgkh, Stine Bosse, Sigrid Friis, 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permit-granting process for defence readiness projects, including the granting of the relevant permit, shall not exceed [60] days.</w:t>
            </w:r>
          </w:p>
        </w:tc>
        <w:tc>
          <w:tcPr>
            <w:tcW w:w="4876" w:type="dxa"/>
            <w:tcBorders>
              <w:top w:val="nil"/>
              <w:left w:val="nil"/>
              <w:bottom w:val="nil"/>
              <w:right w:val="nil"/>
            </w:tcBorders>
          </w:tcPr>
          <w:p>
            <w:pPr>
              <w:pStyle w:val="Normal6a"/>
            </w:pPr>
            <w:r>
              <w:t>1.</w:t>
            </w:r>
            <w:r>
              <w:tab/>
            </w:r>
            <w:r>
              <w:t xml:space="preserve">The permit-granting process for defence readiness projects, including the granting of the relevant permit, shall not exceed [60] days </w:t>
            </w:r>
            <w:r>
              <w:rPr>
                <w:b/>
                <w:i/>
              </w:rPr>
              <w:t>from the date when the environmental impact assessment has been formally approved and the permit application has been officially submitted to the designated system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The permit-granting process for defence readiness projects, including the granting of the relevant permit, shall not exceed [</w:t>
            </w:r>
            <w:r>
              <w:rPr>
                <w:b/>
                <w:i/>
              </w:rPr>
              <w:t>60</w:t>
            </w:r>
            <w:r>
              <w:t>] days.</w:t>
            </w:r>
          </w:p>
        </w:tc>
        <w:tc>
          <w:tcPr>
            <w:tcW w:w="4876" w:type="dxa"/>
            <w:tcBorders>
              <w:top w:val="nil"/>
              <w:left w:val="nil"/>
              <w:bottom w:val="nil"/>
              <w:right w:val="nil"/>
            </w:tcBorders>
          </w:tcPr>
          <w:p>
            <w:pPr>
              <w:pStyle w:val="Normal6a"/>
            </w:pPr>
            <w:r>
              <w:t>1.</w:t>
            </w:r>
            <w:r>
              <w:tab/>
            </w:r>
            <w:r>
              <w:t>The permit-granting process for defence readiness projects, including the granting of the relevant permit, shall not exceed [</w:t>
            </w:r>
            <w:r>
              <w:rPr>
                <w:b/>
                <w:i/>
              </w:rPr>
              <w:t>180</w:t>
            </w:r>
            <w:r>
              <w:t>] days</w:t>
            </w:r>
            <w:r>
              <w:rPr>
                <w:b/>
                <w:i/>
              </w:rPr>
              <w:t>, while maintaining compliance with applicable Union and national law, including environmental and safety requirements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The judicial review of appeals concerning the permit-granting process for defence readiness projects shall not exceed a maximum duration of six months per instance of judicial proceedings.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permitting of projects is also slowed down by lengthy court processes.</w:t>
      </w:r>
    </w:p>
    <w:p>
      <w:r>
        <w:rPr>
          <w:rStyle w:val="HideTWBExt"/>
        </w:rPr>
        <w:t>&lt;/Amend&gt;</w:t>
      </w:r>
    </w:p>
    <w:p>
      <w:pPr>
        <w:pStyle w:val="AmNumberTabs"/>
      </w:pPr>
      <w:r>
        <w:rPr>
          <w:rStyle w:val="HideTWBExt"/>
        </w:rPr>
        <w:t>&lt;Amend&gt;</w:t>
      </w:r>
      <w:r>
        <w:t>Amendment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Where a defence readiness project requires the construction of several facilities or units in one site, the project promoter and the single point of contact may agree on splitting the project into several smaller projects for the purposes of complying with the applicable time limits.</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It should not be allowed to artificially split projects into smaller projects, as this would hamper the cumulative assessment of the impacts of projects on the environment and on health and safety.</w:t>
      </w:r>
    </w:p>
    <w:p>
      <w:r>
        <w:rPr>
          <w:rStyle w:val="HideTWBExt"/>
        </w:rPr>
        <w:t>&lt;/Amend&gt;</w:t>
      </w:r>
    </w:p>
    <w:p>
      <w:pPr>
        <w:pStyle w:val="AmNumberTabs"/>
      </w:pPr>
      <w:r>
        <w:rPr>
          <w:rStyle w:val="HideTWBExt"/>
        </w:rPr>
        <w:t>&lt;Amend&gt;</w:t>
      </w:r>
      <w:r>
        <w:t>Amendment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Where a defence readiness project requires the construction of several facilities or units in one site, the project promoter and the single point of contact may agree on splitting the project into several smaller projects </w:t>
            </w:r>
            <w:r>
              <w:rPr>
                <w:b/>
                <w:i/>
              </w:rPr>
              <w:t>for the purposes of complying</w:t>
            </w:r>
            <w:r>
              <w:t xml:space="preserve"> with the applicable time limits.</w:t>
            </w:r>
          </w:p>
        </w:tc>
        <w:tc>
          <w:tcPr>
            <w:tcW w:w="4876" w:type="dxa"/>
            <w:tcBorders>
              <w:top w:val="nil"/>
              <w:left w:val="nil"/>
              <w:bottom w:val="nil"/>
              <w:right w:val="nil"/>
            </w:tcBorders>
          </w:tcPr>
          <w:p>
            <w:pPr>
              <w:pStyle w:val="Normal6a"/>
            </w:pPr>
            <w:r>
              <w:t>2.</w:t>
            </w:r>
            <w:r>
              <w:tab/>
            </w:r>
            <w:r>
              <w:t xml:space="preserve">Where a defence readiness project requires the construction of several facilities or units in one site, the project promoter and the single point of contact may agree on splitting the project into several smaller projects </w:t>
            </w:r>
            <w:r>
              <w:rPr>
                <w:b/>
                <w:i/>
              </w:rPr>
              <w:t>in order to comply</w:t>
            </w:r>
            <w:r>
              <w:t xml:space="preserve"> with the applicable time limits. </w:t>
            </w:r>
            <w:r>
              <w:rPr>
                <w:b/>
                <w:i/>
              </w:rPr>
              <w:t>To the extent possible, these projects shall be undertaken on brownfield sites in order to regenerate spaces that are not being used.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w:t>
            </w:r>
            <w:r>
              <w:tab/>
            </w:r>
            <w:r>
              <w:rPr>
                <w:b/>
                <w:i/>
              </w:rPr>
              <w:t>The provisions of paragraph 2 shall not apply where the overall project requires environmental assessment and/or decision-making including under Directives 2001/42/EC, 2011/92/EU as amended by Directive 2014/52/EU, 92/43/EEC, 2009/147/EC and 2000/60/EC, and project-splitting shall not be permitted where it compromises consideration of the overall effects on the environment.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In exceptional cases, where the nature, complexity, location or size of the proposed defence readiness project so requires, a Member State may </w:t>
            </w:r>
            <w:r>
              <w:rPr>
                <w:b/>
                <w:i/>
              </w:rPr>
              <w:t>once</w:t>
            </w:r>
            <w:r>
              <w:t xml:space="preserve"> extend the time limits referred to in paragraph 1 by a maximum of </w:t>
            </w:r>
            <w:r>
              <w:rPr>
                <w:b/>
                <w:i/>
              </w:rPr>
              <w:t>30</w:t>
            </w:r>
            <w:r>
              <w:t xml:space="preserve"> days before their expiry and on a case-by-case basis.</w:t>
            </w:r>
          </w:p>
        </w:tc>
        <w:tc>
          <w:tcPr>
            <w:tcW w:w="4876" w:type="dxa"/>
            <w:tcBorders>
              <w:top w:val="nil"/>
              <w:left w:val="nil"/>
              <w:bottom w:val="nil"/>
              <w:right w:val="nil"/>
            </w:tcBorders>
          </w:tcPr>
          <w:p>
            <w:pPr>
              <w:pStyle w:val="Normal6a"/>
            </w:pPr>
            <w:r>
              <w:t>3.</w:t>
            </w:r>
            <w:r>
              <w:tab/>
            </w:r>
            <w:r>
              <w:t xml:space="preserve">In exceptional cases, where the nature, complexity, location or size of the proposed defence readiness project so requires, a Member State may extend the time limits referred to in paragraph 1 by a maximum of </w:t>
            </w:r>
            <w:r>
              <w:rPr>
                <w:b/>
                <w:i/>
              </w:rPr>
              <w:t>60</w:t>
            </w:r>
            <w:r>
              <w:t xml:space="preserve"> days before their expiry and on a case-by-case basis.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Anna Stürgkh, Stine Bosse,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Where a Member State considers that the defence readiness project raises exceptional risks for the health and safety of workers or of the general population, and where additional time is necessary to establish that measures to address identifiable risks have been put in place, it may extend the time limits referred to in paragraph 1 by 60 days, within 30 days of the start of the permit-granting process.</w:t>
            </w:r>
          </w:p>
        </w:tc>
        <w:tc>
          <w:tcPr>
            <w:tcW w:w="4876" w:type="dxa"/>
            <w:tcBorders>
              <w:top w:val="nil"/>
              <w:left w:val="nil"/>
              <w:bottom w:val="nil"/>
              <w:right w:val="nil"/>
            </w:tcBorders>
          </w:tcPr>
          <w:p>
            <w:pPr>
              <w:pStyle w:val="Normal6a"/>
            </w:pPr>
            <w:r>
              <w:t>4.</w:t>
            </w:r>
            <w:r>
              <w:tab/>
            </w:r>
            <w:r>
              <w:t>Where a Member State considers that the defence readiness project raises exceptional risks for the health and safety of workers or of the general population</w:t>
            </w:r>
            <w:r>
              <w:rPr>
                <w:b/>
                <w:i/>
              </w:rPr>
              <w:t>, biodiversity, pollution, climate, or material assets</w:t>
            </w:r>
            <w:r>
              <w:t>, and where additional time is necessary to establish that measures to address identifiable risks have been put in place, it may extend the time limits referred to in paragraph 1 by 60 days, within 30 days of the start of the permit-granting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Where a Member State considers that the defence readiness project raises exceptional risks for the health and safety of workers or of the general population, and where additional time is necessary to establish that measures to address identifiable risks have been put in place, it may extend the time limits referred to in paragraph 1 by 60 days, within 30 days of the start of the permit-granting process.</w:t>
            </w:r>
          </w:p>
        </w:tc>
        <w:tc>
          <w:tcPr>
            <w:tcW w:w="4876" w:type="dxa"/>
            <w:tcBorders>
              <w:top w:val="nil"/>
              <w:left w:val="nil"/>
              <w:bottom w:val="nil"/>
              <w:right w:val="nil"/>
            </w:tcBorders>
          </w:tcPr>
          <w:p>
            <w:pPr>
              <w:pStyle w:val="Normal6a"/>
            </w:pPr>
            <w:r>
              <w:t>4.</w:t>
            </w:r>
            <w:r>
              <w:tab/>
            </w:r>
            <w:r>
              <w:t>Where a Member State considers that the defence readiness project raises exceptional risks for the health and safety of workers or of the general population</w:t>
            </w:r>
            <w:r>
              <w:rPr>
                <w:b/>
                <w:i/>
              </w:rPr>
              <w:t>, or is likely to have significant effects on the environment</w:t>
            </w:r>
            <w:r>
              <w:t>, and where additional time is necessary to establish that measures to address identifiable risks have been put in place, it may extend the time limits referred to in paragraph 1 by 60 days, within 30 days of the start of the permit-granting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Where a Member State considers that the defence readiness project raises exceptional risks for the health and safety of workers or of the general population, and where additional time is necessary to establish that measures to address identifiable risks have been put in place, it may extend the time limits referred to in paragraph 1 by </w:t>
            </w:r>
            <w:r>
              <w:rPr>
                <w:b/>
                <w:i/>
              </w:rPr>
              <w:t>60</w:t>
            </w:r>
            <w:r>
              <w:t xml:space="preserve"> days, within </w:t>
            </w:r>
            <w:r>
              <w:rPr>
                <w:b/>
                <w:i/>
              </w:rPr>
              <w:t>30</w:t>
            </w:r>
            <w:r>
              <w:t xml:space="preserve"> days of the start of the permit-granting process.</w:t>
            </w:r>
          </w:p>
        </w:tc>
        <w:tc>
          <w:tcPr>
            <w:tcW w:w="4876" w:type="dxa"/>
            <w:tcBorders>
              <w:top w:val="nil"/>
              <w:left w:val="nil"/>
              <w:bottom w:val="nil"/>
              <w:right w:val="nil"/>
            </w:tcBorders>
          </w:tcPr>
          <w:p>
            <w:pPr>
              <w:pStyle w:val="Normal6a"/>
            </w:pPr>
            <w:r>
              <w:t>4.</w:t>
            </w:r>
            <w:r>
              <w:tab/>
            </w:r>
            <w:r>
              <w:t xml:space="preserve">Where a Member State considers that the defence readiness project raises exceptional risks for the health and safety of workers or of the general population </w:t>
            </w:r>
            <w:r>
              <w:rPr>
                <w:b/>
                <w:i/>
              </w:rPr>
              <w:t>or exceptional risks to the environment</w:t>
            </w:r>
            <w:r>
              <w:t xml:space="preserve">, and where additional time is necessary to establish that measures to address identifiable risks have been put in place, it may extend the time limits referred to in paragraph 1 by </w:t>
            </w:r>
            <w:r>
              <w:rPr>
                <w:b/>
                <w:i/>
              </w:rPr>
              <w:t>90</w:t>
            </w:r>
            <w:r>
              <w:t xml:space="preserve"> days, within </w:t>
            </w:r>
            <w:r>
              <w:rPr>
                <w:b/>
                <w:i/>
              </w:rPr>
              <w:t>60</w:t>
            </w:r>
            <w:r>
              <w:t xml:space="preserve"> days of the start of the permit-granting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Where a Member State considers that the defence readiness project raises exceptional risks for the health and safety of workers or of the general population, and where additional time is necessary to establish that measures to address identifiable risks have been put in place, it may extend the time limits referred to in paragraph 1 by 60 days, within 30 days of the start of the permit-granting process.</w:t>
            </w:r>
          </w:p>
        </w:tc>
        <w:tc>
          <w:tcPr>
            <w:tcW w:w="4876" w:type="dxa"/>
            <w:tcBorders>
              <w:top w:val="nil"/>
              <w:left w:val="nil"/>
              <w:bottom w:val="nil"/>
              <w:right w:val="nil"/>
            </w:tcBorders>
          </w:tcPr>
          <w:p>
            <w:pPr>
              <w:pStyle w:val="Normal6a"/>
            </w:pPr>
            <w:r>
              <w:t>4.</w:t>
            </w:r>
            <w:r>
              <w:tab/>
            </w:r>
            <w:r>
              <w:t xml:space="preserve">Where a Member State considers that the defence readiness project raises exceptional risks </w:t>
            </w:r>
            <w:r>
              <w:rPr>
                <w:b/>
                <w:i/>
              </w:rPr>
              <w:t>for the environment, or</w:t>
            </w:r>
            <w:r>
              <w:t xml:space="preserve"> for the health and safety of workers or of the general population, and where additional time is necessary to establish that measures to address identifiable risks have been put in place, it may extend the time limits referred to in paragraph 1 by 60 days, within 30 days of the start of the permit-granting process.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In the application of paragraph 3 or 4, the single point of contact shall inform the project promoter in writing of the reasons for the extension and of the date when the final decision is expected.</w:t>
            </w:r>
          </w:p>
        </w:tc>
        <w:tc>
          <w:tcPr>
            <w:tcW w:w="4876" w:type="dxa"/>
            <w:tcBorders>
              <w:top w:val="nil"/>
              <w:left w:val="nil"/>
              <w:bottom w:val="nil"/>
              <w:right w:val="nil"/>
            </w:tcBorders>
          </w:tcPr>
          <w:p>
            <w:pPr>
              <w:pStyle w:val="Normal6a"/>
            </w:pPr>
            <w:r>
              <w:t>5.</w:t>
            </w:r>
            <w:r>
              <w:tab/>
            </w:r>
            <w:r>
              <w:t xml:space="preserve">In the application of paragraph 3 or 4, the single point of contact shall inform the project promoter in writing of the reasons for the extension and of the date when the final decision is expected </w:t>
            </w:r>
            <w:r>
              <w:rPr>
                <w:b/>
                <w:i/>
              </w:rPr>
              <w:t>and shall ensure the public is effectively informed at the same time of the reasons for the extension and of the date when the final decision is expected, and of further opportunities for public participation on the decision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No later than </w:t>
            </w:r>
            <w:r>
              <w:rPr>
                <w:b/>
                <w:i/>
              </w:rPr>
              <w:t>15</w:t>
            </w:r>
            <w:r>
              <w:t xml:space="preserve"> days from the receipt of the permit-granting application, the single point of contact concerned shall acknowledge that the application is complete and whether this Regulation applies or, if the project promoter has not sent all the information required to process the application, request the project promoter to submit a complete application without undue delay, specifying which information is missing. If the submitted application is deemed to be incomplete for a second time, the single point of contact may, within [</w:t>
            </w:r>
            <w:r>
              <w:rPr>
                <w:b/>
                <w:i/>
              </w:rPr>
              <w:t>15</w:t>
            </w:r>
            <w:r>
              <w:t>] days of the second submission, make a second request for information. The single point of contact shall not request information in areas not covered in the first request for information and shall be entitled only to request further evidence to complete the identified missing information. The date of the acknowledgement of the completeness of the application from the single point of contact shall serve as the start of the permit-granting process for that application.</w:t>
            </w:r>
          </w:p>
        </w:tc>
        <w:tc>
          <w:tcPr>
            <w:tcW w:w="4876" w:type="dxa"/>
            <w:tcBorders>
              <w:top w:val="nil"/>
              <w:left w:val="nil"/>
              <w:bottom w:val="nil"/>
              <w:right w:val="nil"/>
            </w:tcBorders>
          </w:tcPr>
          <w:p>
            <w:pPr>
              <w:pStyle w:val="Normal6a"/>
            </w:pPr>
            <w:r>
              <w:t>6.</w:t>
            </w:r>
            <w:r>
              <w:tab/>
            </w:r>
            <w:r>
              <w:t xml:space="preserve">No later than </w:t>
            </w:r>
            <w:r>
              <w:rPr>
                <w:b/>
                <w:i/>
              </w:rPr>
              <w:t>30</w:t>
            </w:r>
            <w:r>
              <w:t xml:space="preserve"> days from the receipt of the permit-granting application, the single point of contact concerned shall acknowledge that the application is complete and whether this Regulation applies or, if the project promoter has not sent all the information required to process the application, request the project promoter to submit a complete application without undue delay, specifying which information is missing. If the submitted application is deemed to be incomplete for a second time, the single point of contact may, within [</w:t>
            </w:r>
            <w:r>
              <w:rPr>
                <w:b/>
                <w:i/>
              </w:rPr>
              <w:t>20</w:t>
            </w:r>
            <w:r>
              <w:t xml:space="preserve">] days of the second submission, make a second request for information </w:t>
            </w:r>
            <w:r>
              <w:rPr>
                <w:b/>
                <w:i/>
              </w:rPr>
              <w:t>without prejudice to the right of the single point of contact to request further information throughout the decision-making process</w:t>
            </w:r>
            <w:r>
              <w:t>. The single point of contact shall not request information in areas not covered in the first request for information and shall be entitled only to request further evidence to complete the identified missing information. The date of the acknowledgement of the completeness of the application from the single point of contact</w:t>
            </w:r>
            <w:r>
              <w:rPr>
                <w:b/>
                <w:i/>
              </w:rPr>
              <w:t>, and the notification to the public thereof,</w:t>
            </w:r>
            <w:r>
              <w:t xml:space="preserve"> shall serve as the start of the permit-granting process for that application.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a.</w:t>
            </w:r>
            <w:r>
              <w:tab/>
            </w:r>
            <w:r>
              <w:rPr>
                <w:b/>
                <w:i/>
              </w:rPr>
              <w:t>The time limits set in this Article shall be without prejudice to obligations arising from Union and international law, and without prejudice to administrative appeal procedures and judicial remedies before a court or tribunal.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Addition of language included also in Critical Raw Materials Act and in Net Zero Industry Act.</w:t>
      </w:r>
    </w:p>
    <w:p>
      <w:r>
        <w:rPr>
          <w:rStyle w:val="HideTWBExt"/>
        </w:rPr>
        <w:t>&lt;/Amend&gt;</w:t>
      </w:r>
    </w:p>
    <w:p>
      <w:pPr>
        <w:pStyle w:val="AmNumberTabs"/>
      </w:pPr>
      <w:r>
        <w:rPr>
          <w:rStyle w:val="HideTWBExt"/>
        </w:rPr>
        <w:t>&lt;Amend&gt;</w:t>
      </w:r>
      <w:r>
        <w:t>Amendment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The time limits set in this Article for any of the permit-granting processes shall be without prejudice to any shorter time limits set by Member States</w:t>
            </w:r>
          </w:p>
        </w:tc>
        <w:tc>
          <w:tcPr>
            <w:tcW w:w="4876" w:type="dxa"/>
            <w:tcBorders>
              <w:top w:val="nil"/>
              <w:left w:val="nil"/>
              <w:bottom w:val="nil"/>
              <w:right w:val="nil"/>
            </w:tcBorders>
          </w:tcPr>
          <w:p>
            <w:pPr>
              <w:pStyle w:val="Normal6a"/>
            </w:pPr>
            <w:r>
              <w:t>7.</w:t>
            </w:r>
            <w:r>
              <w:tab/>
            </w:r>
            <w:r>
              <w:t xml:space="preserve">The time limits set in this Article for any of the permit-granting processes shall be without prejudice to any shorter </w:t>
            </w:r>
            <w:r>
              <w:rPr>
                <w:b/>
                <w:i/>
              </w:rPr>
              <w:t>or longer</w:t>
            </w:r>
            <w:r>
              <w:t xml:space="preserve"> time limits set by Member States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7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w:t>
            </w:r>
            <w:r>
              <w:tab/>
            </w:r>
            <w:r>
              <w:rPr>
                <w:b/>
                <w:i/>
              </w:rPr>
              <w:t>In view of their strategic importance, Member States may consider the granting of construction and environmental permits for defence readiness projects as a matter of overriding public interest and national security priority. Such procedures shall be carried out in full compliance with applicable Union and national law, including environmental, social and safety requirements.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Where the single point of contact does not inform the project promoter of the outcome of the permit-granting process within the time limit set out in paragraph 1 and extended, where applicable, in accordance with paragraphs 3 and 4, the permits covered by the application shall be deemed to be granted. The single point of contact shall promptly deliver written confirmation to the project promoter, indicating that the permits have been implicitly granted based on the application submitted.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Tacit consent is in contradiction with the principle enshrined in EU environmental legislation that projects likely to have significant effects on the environment require development consent by Member States. Tacit consent is neither the Critical Raw Materials Act nor the Net-Zero Industry Act. It also creates legal uncertainty.</w:t>
      </w:r>
    </w:p>
    <w:p>
      <w:r>
        <w:rPr>
          <w:rStyle w:val="HideTWBExt"/>
        </w:rPr>
        <w:t>&lt;/Amend&gt;</w:t>
      </w:r>
    </w:p>
    <w:p>
      <w:pPr>
        <w:pStyle w:val="AmNumberTabs"/>
      </w:pPr>
      <w:r>
        <w:rPr>
          <w:rStyle w:val="HideTWBExt"/>
        </w:rPr>
        <w:t>&lt;Amend&gt;</w:t>
      </w:r>
      <w:r>
        <w:t>Amendment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Where the single point of contact does not inform the project promoter of the outcome of the permit-granting process within the time limit set out in paragraph 1 and extended, where applicable, in accordance with paragraphs 3 and 4, the permits covered by the application shall be deemed to be granted. The single point of contact shall promptly deliver written confirmation to the project promoter, indicating that the permits have been implicitly granted based on the application submitted.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Where the single point of contact does not inform the project promoter of the outcome of the permit-granting process within the time limit set out in paragraph 1 and extended, where applicable, in accordance with paragraphs 3 and 4, the permits covered by the application shall be deemed to be granted. The single point of contact shall promptly deliver written confirmation to the project promoter, indicating that the permits have been implicitly granted based on the application submitted.</w:t>
            </w:r>
          </w:p>
        </w:tc>
        <w:tc>
          <w:tcPr>
            <w:tcW w:w="4876" w:type="dxa"/>
            <w:tcBorders>
              <w:top w:val="nil"/>
              <w:left w:val="nil"/>
              <w:bottom w:val="nil"/>
              <w:right w:val="nil"/>
            </w:tcBorders>
          </w:tcPr>
          <w:p>
            <w:pPr>
              <w:pStyle w:val="Normal6a"/>
            </w:pPr>
            <w:r>
              <w:rPr>
                <w:b/>
                <w:i/>
              </w:rPr>
              <w:t>deleted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Where</w:t>
            </w:r>
            <w:r>
              <w:t xml:space="preserve"> the single point of contact </w:t>
            </w:r>
            <w:r>
              <w:rPr>
                <w:b/>
                <w:i/>
              </w:rPr>
              <w:t>does not</w:t>
            </w:r>
            <w:r>
              <w:t xml:space="preserve"> inform the project promoter of the outcome of the permit-granting process within the time limit set out in paragraph 1 and extended, where applicable, in accordance with paragraphs 3 and 4, the permits covered by the application shall be deemed to be granted. </w:t>
            </w:r>
            <w:r>
              <w:rPr>
                <w:b/>
                <w:i/>
              </w:rPr>
              <w:t>The single point of contact shall promptly deliver written confirmation to the project promoter, indicating that the permits have been implicitly granted based on the application submitted.</w:t>
            </w:r>
          </w:p>
        </w:tc>
        <w:tc>
          <w:tcPr>
            <w:tcW w:w="4876" w:type="dxa"/>
            <w:tcBorders>
              <w:top w:val="nil"/>
              <w:left w:val="nil"/>
              <w:bottom w:val="nil"/>
              <w:right w:val="nil"/>
            </w:tcBorders>
          </w:tcPr>
          <w:p>
            <w:pPr>
              <w:pStyle w:val="Normal6a"/>
            </w:pPr>
            <w:r>
              <w:t>8.</w:t>
            </w:r>
            <w:r>
              <w:tab/>
            </w:r>
            <w:r>
              <w:t xml:space="preserve">The single point of contact </w:t>
            </w:r>
            <w:r>
              <w:rPr>
                <w:b/>
                <w:i/>
              </w:rPr>
              <w:t>shall, by means of a written confirmation,</w:t>
            </w:r>
            <w:r>
              <w:t xml:space="preserve"> inform the project promoter of the outcome of the permit-granting process </w:t>
            </w:r>
            <w:r>
              <w:rPr>
                <w:b/>
                <w:i/>
              </w:rPr>
              <w:t>and publish it online</w:t>
            </w:r>
            <w:r>
              <w:t xml:space="preserve"> within the time limit set out in paragraph 1 and extended, where applicable, in accordance with paragraphs 3 and 4, the permits covered by the application shall be deemed to be granted.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Anna Stürgkh, Stine Bosse, 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Where the single point of contact does not inform the project promoter of the outcome of the permit-granting process within the time limit set out in paragraph 1 and extended, where applicable, in accordance with paragraphs 3 and 4, the permits covered by the application shall be deemed to be granted. The single point of contact shall promptly deliver written confirmation to the project promoter, indicating that the permits have been implicitly granted based on the application submitted.</w:t>
            </w:r>
          </w:p>
        </w:tc>
        <w:tc>
          <w:tcPr>
            <w:tcW w:w="4876" w:type="dxa"/>
            <w:tcBorders>
              <w:top w:val="nil"/>
              <w:left w:val="nil"/>
              <w:bottom w:val="nil"/>
              <w:right w:val="nil"/>
            </w:tcBorders>
          </w:tcPr>
          <w:p>
            <w:pPr>
              <w:pStyle w:val="Normal6a"/>
            </w:pPr>
            <w:r>
              <w:t>8.</w:t>
            </w:r>
            <w:r>
              <w:tab/>
            </w:r>
            <w:r>
              <w:t xml:space="preserve">Where the single point of contact does not inform the project promoter of the outcome of the permit-granting process within the time limit set out in paragraph 1 and extended, where applicable </w:t>
            </w:r>
            <w:r>
              <w:rPr>
                <w:b/>
                <w:i/>
              </w:rPr>
              <w:t>and where provided for by national law</w:t>
            </w:r>
            <w:r>
              <w:t>, in accordance with paragraphs 3 and 4, the permits covered by the application shall be deemed to be granted. The single point of contact shall promptly deliver written confirmation to the project promoter, indicating that the permits have been implicitly granted based on the application submitted.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Where the implementation of Union environmental legislation on the reduction of greenhouse gas emissions, on energy efficiency or on emissions allowances is liable to jeopardise the feasibility or timeframe of a defence readiness project, the time limit referred to in paragraph 1 may be suspended in order to enable the competent authorities to grant a permit and commensurate exemption, thereby ensuring that the project may be carried out without undue delay.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a.</w:t>
            </w:r>
            <w:r>
              <w:tab/>
            </w:r>
            <w:r>
              <w:rPr>
                <w:b/>
                <w:i/>
              </w:rPr>
              <w:t>Where a Member State decides to apply Directive 2011/92/EU to a defence readiness project, the environmental impact assessment referred to in Article 1(2)(g) of that Directive shall not be included in the duration for permit-granting process referred to in paragraphs 1, 3, and 4 of this Article.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Article 1(3) of Directive 2011/92/EC allows Member States to decide not to apply that Directive to defence projects, on a case-by-case basis, if so provided by national law, when the project has defence as a sole purpose, and if the application of the Directive would have an adverse effect on such purpose. Clarity needs to be provided to investors regarding the timelines applying to their project permitting in case an EIA is required for their project.</w:t>
      </w:r>
    </w:p>
    <w:p>
      <w:r>
        <w:rPr>
          <w:rStyle w:val="HideTWBExt"/>
        </w:rPr>
        <w:t>&lt;/Amend&gt;</w:t>
      </w:r>
    </w:p>
    <w:p>
      <w:pPr>
        <w:pStyle w:val="AmNumberTabs"/>
      </w:pPr>
      <w:r>
        <w:rPr>
          <w:rStyle w:val="HideTWBExt"/>
        </w:rPr>
        <w:t>&lt;Amend&gt;</w:t>
      </w:r>
      <w:r>
        <w:t>Amendment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Defence readiness projects that require the use of lead for strategic purposes shall be treated as a priority in order to prevent delays arising from environmental authorisations or sector-specific restrictions, providing that the project promoter can demonstrate that there is no technically and economically viable alternative and has taken lead prevention, management and recovery measures in line with the best available practice.</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w:t>
            </w:r>
            <w:r>
              <w:tab/>
            </w:r>
            <w:r>
              <w:rPr>
                <w:b/>
                <w:i/>
              </w:rPr>
              <w:t>The single point of contact concerned shall notify the project promoter when the environmental impact assessment referred to in Article 1(2), point (g), of Directive 2011/92/EU applies and shall provide information on the scope and level of detail of the information to be included in the environmental impact assessment report under Article 5(1) of that Directive.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c.</w:t>
            </w:r>
            <w:r>
              <w:tab/>
            </w:r>
            <w:r>
              <w:rPr>
                <w:b/>
                <w:i/>
              </w:rPr>
              <w:t>Where the obligation to assess the effects on the environment arises simultaneously from any two or more of Directives 2000/60/EC, 2001/42/EC, 2008/98/EC, 2009/147/EC, 2010/75/EU, 2011/92/EU, 2012/18/EU, 2014/89/EC, or 92/43/EEC, Member States may provide for coordinated and/or joint procedures.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 paragraph 8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Permit requests for energy infrastructure needed to carry out a defence readiness project shall have the same maximum time limit as that stipulated in paragraph 1, and shall be treated as a matter of priority.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5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5a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Accelerated permit-granting for UAS bases in island areas on the external eastern borders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By way of derogation from Article 5(1), the permit-granting process for defence readiness projects concerning the establishment, upgrading or expansion of UAS bases on islands and in other border areas at the external eastern borders of the Union shall not exceed 45 days from the date of confirmation of the completeness of the application. 2.</w:t>
            </w:r>
            <w:r>
              <w:t xml:space="preserve"> </w:t>
            </w:r>
            <w:r>
              <w:rPr>
                <w:b/>
                <w:i/>
              </w:rPr>
              <w:t>In duly justified exceptional cases, due to the nature, complexity or location of the project, the time limit in paragraph 1 may be extended once by up to 15 days in accordance with Article 5(3). 3.</w:t>
            </w:r>
            <w:r>
              <w:t xml:space="preserve"> </w:t>
            </w:r>
            <w:r>
              <w:rPr>
                <w:b/>
                <w:i/>
              </w:rPr>
              <w:t>The single point of contact shall: (a) implement a single permit-granting process covering all required administrative steps; (b) ensure the combining of the required assessments in accordance with Article 6(2), avoiding duplication without reducing the level of protection; (c) use, where available, pre-designated areas based on existing plans/mapping published in accordance with Article 3. 4.</w:t>
            </w:r>
            <w:r>
              <w:t xml:space="preserve"> </w:t>
            </w:r>
            <w:r>
              <w:rPr>
                <w:b/>
                <w:i/>
              </w:rPr>
              <w:t>In order to protect sensitive security information, Member States may restrict the public availability of technical details of UAS bases, in accordance with Union and national law, without prejudice to the rights of access and participation arising from the UNECE conventions referred to in Article 8. 5.</w:t>
            </w:r>
            <w:r>
              <w:t xml:space="preserve"> </w:t>
            </w:r>
            <w:r>
              <w:rPr>
                <w:b/>
                <w:i/>
              </w:rPr>
              <w:t>Dispute resolution procedures, appeals and judicial remedies concerning the projects referred to in paragraph 1 shall be treated as urgent, in accordance with Article 7 and without prejudice to rights of defence. 6.</w:t>
            </w:r>
            <w:r>
              <w:t xml:space="preserve"> </w:t>
            </w:r>
            <w:r>
              <w:rPr>
                <w:b/>
                <w:i/>
              </w:rPr>
              <w:t>Member States shall take specific administrative support measures in accordance with Article 4, with priority given to SMEs and mid-caps in the UAS ecosystem (sensor subsystems, data links, ground terminals, maintenance services).</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National, regional and local authorities responsible for preparing plans, including zoning, spatial plans and land use plans, shall include in such plans, where appropriate, provisions for the development of defence readiness activities, projects as well as the necessary infrastructure. To facilitate the development of defence readiness projects, Member States shall ensure that all relevant spatial planning data is available online in accordance with Article 3.</w:t>
            </w:r>
          </w:p>
        </w:tc>
        <w:tc>
          <w:tcPr>
            <w:tcW w:w="4876" w:type="dxa"/>
            <w:tcBorders>
              <w:top w:val="nil"/>
              <w:left w:val="nil"/>
              <w:bottom w:val="nil"/>
              <w:right w:val="nil"/>
            </w:tcBorders>
          </w:tcPr>
          <w:p>
            <w:pPr>
              <w:pStyle w:val="Normal6a"/>
            </w:pPr>
            <w:r>
              <w:t>1.</w:t>
            </w:r>
            <w:r>
              <w:tab/>
            </w:r>
            <w:r>
              <w:t xml:space="preserve">National, regional and local authorities responsible for preparing plans, including zoning, spatial plans and land use plans, shall include in such plans, where appropriate, provisions for the development of defence readiness activities, projects as well as the necessary infrastructure. </w:t>
            </w:r>
            <w:r>
              <w:rPr>
                <w:b/>
                <w:i/>
              </w:rPr>
              <w:t>Where considering to include such provisions, priority shall be given to artificial and built surfaces, industrial sites and brownfield sites.</w:t>
            </w:r>
            <w:r>
              <w:t xml:space="preserve"> To facilitate the development of defence readiness projects, Member States shall ensure that all relevant spatial planning data is available online in accordance with Article 3.</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Addition of language included also in Critical Raw Materials Act and in Net Zero Industry Act.</w:t>
      </w:r>
    </w:p>
    <w:p>
      <w:r>
        <w:rPr>
          <w:rStyle w:val="HideTWBExt"/>
        </w:rPr>
        <w:t>&lt;/Amend&gt;</w:t>
      </w:r>
    </w:p>
    <w:p>
      <w:pPr>
        <w:pStyle w:val="AmNumberTabs"/>
      </w:pPr>
      <w:r>
        <w:rPr>
          <w:rStyle w:val="HideTWBExt"/>
        </w:rPr>
        <w:t>&lt;Amend&gt;</w:t>
      </w:r>
      <w:r>
        <w:t>Amendment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National, regional and local authorities responsible for preparing plans, including zoning, spatial plans and land use plans, </w:t>
            </w:r>
            <w:r>
              <w:rPr>
                <w:b/>
                <w:i/>
              </w:rPr>
              <w:t>shall</w:t>
            </w:r>
            <w:r>
              <w:t xml:space="preserve"> include in such plans, where appropriate, provisions for the development of defence readiness activities, projects as well as the necessary infrastructure. To facilitate the development of defence readiness projects, Member States shall ensure that all relevant spatial planning data is available online in accordance with Article 3.</w:t>
            </w:r>
          </w:p>
        </w:tc>
        <w:tc>
          <w:tcPr>
            <w:tcW w:w="4876" w:type="dxa"/>
            <w:tcBorders>
              <w:top w:val="nil"/>
              <w:left w:val="nil"/>
              <w:bottom w:val="nil"/>
              <w:right w:val="nil"/>
            </w:tcBorders>
          </w:tcPr>
          <w:p>
            <w:pPr>
              <w:pStyle w:val="Normal6a"/>
            </w:pPr>
            <w:r>
              <w:t>1.</w:t>
            </w:r>
            <w:r>
              <w:tab/>
            </w:r>
            <w:r>
              <w:t xml:space="preserve">National, regional and local authorities responsible for preparing plans, including zoning, spatial plans and land use plans, </w:t>
            </w:r>
            <w:r>
              <w:rPr>
                <w:b/>
                <w:i/>
              </w:rPr>
              <w:t>may</w:t>
            </w:r>
            <w:r>
              <w:t xml:space="preserve"> include in such plans, where appropriate, provisions for the development of defence readiness activities, projects as well as the necessary infrastructure. To facilitate the development of defence readiness projects, Member States shall ensure that all relevant spatial planning data is available online in accordance with Article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Aurelijus Veryga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National, regional and local authorities responsible for preparing plans, including zoning, spatial plans and land use plans, shall include in such plans, where appropriate, provisions for the development of defence readiness activities, projects </w:t>
            </w:r>
            <w:r>
              <w:rPr>
                <w:b/>
                <w:i/>
              </w:rPr>
              <w:t>as well as the necessary</w:t>
            </w:r>
            <w:r>
              <w:t xml:space="preserve"> infrastructure. To facilitate the development of defence readiness projects, Member States shall ensure that all relevant spatial planning data is available online in accordance with Article 3.</w:t>
            </w:r>
          </w:p>
        </w:tc>
        <w:tc>
          <w:tcPr>
            <w:tcW w:w="4876" w:type="dxa"/>
            <w:tcBorders>
              <w:top w:val="nil"/>
              <w:left w:val="nil"/>
              <w:bottom w:val="nil"/>
              <w:right w:val="nil"/>
            </w:tcBorders>
          </w:tcPr>
          <w:p>
            <w:pPr>
              <w:pStyle w:val="Normal6a"/>
            </w:pPr>
            <w:r>
              <w:t>1.</w:t>
            </w:r>
            <w:r>
              <w:tab/>
            </w:r>
            <w:r>
              <w:t xml:space="preserve">National, regional and local authorities responsible for preparing plans, including zoning, spatial plans and land use plans, shall include in such plans, where appropriate, provisions for the development of defence readiness activities, projects </w:t>
            </w:r>
            <w:r>
              <w:rPr>
                <w:b/>
                <w:i/>
              </w:rPr>
              <w:t>and their required</w:t>
            </w:r>
            <w:r>
              <w:t> infrastructure. To facilitate the development of defence readiness projects, Member States shall ensure that all relevant spatial planning data is available online in accordance with Article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a.</w:t>
            </w:r>
            <w:r>
              <w:tab/>
            </w:r>
            <w:r>
              <w:rPr>
                <w:b/>
                <w:i/>
              </w:rPr>
              <w:t>Paragraph 1 applies without prejudice to the primary functions and responsibilities of national, regional or local planning authorities particularly with regard to their functions pertaining to the delivery of public services and the building of sustainable communities.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Where plans include provisions for the development of defence readiness projects, and their required infrastructure, and are subject to an assessment pursuant to Directive 2001/42/EC of the European Parliament and of the Council</w:t>
            </w:r>
            <w:r>
              <w:rPr>
                <w:vertAlign w:val="superscript"/>
              </w:rPr>
              <w:t>11</w:t>
            </w:r>
            <w:r>
              <w:t>and pursuant to Article 6 of Council Directive 92/43/EEC</w:t>
            </w:r>
            <w:r>
              <w:rPr>
                <w:vertAlign w:val="superscript"/>
              </w:rPr>
              <w:t>12</w:t>
            </w:r>
            <w:r>
              <w:t>, those assessments shall be combined. Where applicable, the combined assessment shall also address the impact on potentially affected water bodies referred to in Directive 2000/60/EC of the European Parliament and of the Council</w:t>
            </w:r>
            <w:r>
              <w:rPr>
                <w:vertAlign w:val="superscript"/>
              </w:rPr>
              <w:t>13</w:t>
            </w:r>
            <w:r>
              <w:t>. Where relevant, the Member States are required to assess the impacts of existing and future activities on the marine environment, including land-sea interactions, as referred to in Article 4 of Directive 2014/89/EU of the European Parliament and of the Council</w:t>
            </w:r>
            <w:r>
              <w:rPr>
                <w:vertAlign w:val="superscript"/>
              </w:rPr>
              <w:t>14</w:t>
            </w:r>
            <w:r>
              <w:t>those impacts shall also be covered in the combined assessment. The fact that assessments are combined pursuant to this paragraph shall not affect their content or quality. The combined assessment shall be carried out within the time limits set out in this Regulation.</w:t>
            </w:r>
          </w:p>
        </w:tc>
        <w:tc>
          <w:tcPr>
            <w:tcW w:w="4876" w:type="dxa"/>
            <w:tcBorders>
              <w:top w:val="nil"/>
              <w:left w:val="nil"/>
              <w:bottom w:val="nil"/>
              <w:right w:val="nil"/>
            </w:tcBorders>
          </w:tcPr>
          <w:p>
            <w:pPr>
              <w:pStyle w:val="Normal6a"/>
            </w:pPr>
            <w:r>
              <w:t>2.</w:t>
            </w:r>
            <w:r>
              <w:tab/>
            </w:r>
            <w:r>
              <w:t>Where plans include provisions for the development of defence readiness projects, and their required infrastructure, and are subject to an assessment pursuant to Directive 2001/42/EC of the European Parliament and of the Council</w:t>
            </w:r>
            <w:r>
              <w:rPr>
                <w:vertAlign w:val="superscript"/>
              </w:rPr>
              <w:t>11</w:t>
            </w:r>
            <w:r>
              <w:t xml:space="preserve"> and pursuant to Article 6 of Council Directive 92/43/EEC</w:t>
            </w:r>
            <w:r>
              <w:rPr>
                <w:vertAlign w:val="superscript"/>
              </w:rPr>
              <w:t>12</w:t>
            </w:r>
            <w:r>
              <w:t>, those assessments shall be combined. Where applicable, the combined assessment shall also address the impact on potentially affected water bodies referred to in Directive 2000/60/EC of the European Parliament and of the Council</w:t>
            </w:r>
            <w:r>
              <w:rPr>
                <w:vertAlign w:val="superscript"/>
              </w:rPr>
              <w:t>13</w:t>
            </w:r>
            <w:r>
              <w:rPr>
                <w:b/>
                <w:i/>
              </w:rPr>
              <w:t>, and shall apply, unless a specific risk is identified by the competent authority, to all other environmental assessments required by Union or national law, including those pertaining to noise, air quality and the protection of natural habitats</w:t>
            </w:r>
            <w:r>
              <w:t>. Where relevant, the Member States are required to assess the impacts of existing and future activities on the marine environment, including land-sea interactions, as referred to in Article 4 of Directive 2014/89/EU of the European Parliament and of the Council</w:t>
            </w:r>
            <w:r>
              <w:rPr>
                <w:vertAlign w:val="superscript"/>
              </w:rPr>
              <w:t>14</w:t>
            </w:r>
            <w:r>
              <w:rPr>
                <w:b/>
                <w:i/>
              </w:rPr>
              <w:t> </w:t>
            </w:r>
            <w:r>
              <w:t>those impacts shall also be covered in the combined assessment. The fact that assessments are combined pursuant to this paragraph shall not affect their content or quality. The combined assessment shall be carried out within the time limits set out in this Regulation.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Directive 2001/42/EC of the European Parliament and of the Council of 27 June 2001 on the assessment of the effects of certain plans and programmes on the environment (OJ L 197, 21.7.2001, p. 30, ELI: http://data.europa.eu/eli/dir/2001/42/oj).</w:t>
            </w:r>
          </w:p>
        </w:tc>
        <w:tc>
          <w:tcPr>
            <w:tcW w:w="4876" w:type="dxa"/>
            <w:tcBorders>
              <w:top w:val="nil"/>
              <w:left w:val="nil"/>
              <w:bottom w:val="nil"/>
              <w:right w:val="nil"/>
            </w:tcBorders>
          </w:tcPr>
          <w:p>
            <w:pPr>
              <w:pStyle w:val="Normal6a"/>
            </w:pPr>
            <w:r>
              <w:rPr>
                <w:vertAlign w:val="superscript"/>
              </w:rPr>
              <w:t>11</w:t>
            </w:r>
            <w:r>
              <w:t xml:space="preserve"> </w:t>
            </w:r>
            <w:r>
              <w:t>Directive 2001/42/EC of the European Parliament and of the Council of 27 June 2001 on the assessment of the effects of certain plans and programmes on the environment (OJ L 197, 21.7.2001, p. 30, ELI: http://data.europa.eu/eli/dir/2001/42/oj).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Council Directive 92/43/EEC of 21 May 1992 on the conservation of natural habitats and of wild fauna and flora (OJ L 206, 22.7.1992, p. 7, ELI: http://data.europa.eu/eli/dir/1992/43/oj).</w:t>
            </w:r>
          </w:p>
        </w:tc>
        <w:tc>
          <w:tcPr>
            <w:tcW w:w="4876" w:type="dxa"/>
            <w:tcBorders>
              <w:top w:val="nil"/>
              <w:left w:val="nil"/>
              <w:bottom w:val="nil"/>
              <w:right w:val="nil"/>
            </w:tcBorders>
          </w:tcPr>
          <w:p>
            <w:pPr>
              <w:pStyle w:val="Normal6a"/>
            </w:pPr>
            <w:r>
              <w:rPr>
                <w:vertAlign w:val="superscript"/>
              </w:rPr>
              <w:t>12</w:t>
            </w:r>
            <w:r>
              <w:t xml:space="preserve"> </w:t>
            </w:r>
            <w:r>
              <w:t>Council Directive 92/43/EEC of 21 May 1992 on the conservation of natural habitats and of wild fauna and flora (OJ L 206, 22.7.1992, p. 7, ELI: http://data.europa.eu/eli/dir/1992/43/oj).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Directive 2000/60/EC of the European Parliament and of the Council of 23 October 2000 establishing a framework for Community action in the field of water policy (OJ L 327, 22.12.2000, p. 1, ELI: http://data.europa.eu/eli/dir/2000/60/oj).</w:t>
            </w:r>
          </w:p>
        </w:tc>
        <w:tc>
          <w:tcPr>
            <w:tcW w:w="4876" w:type="dxa"/>
            <w:tcBorders>
              <w:top w:val="nil"/>
              <w:left w:val="nil"/>
              <w:bottom w:val="nil"/>
              <w:right w:val="nil"/>
            </w:tcBorders>
          </w:tcPr>
          <w:p>
            <w:pPr>
              <w:pStyle w:val="Normal6a"/>
            </w:pPr>
            <w:r>
              <w:rPr>
                <w:vertAlign w:val="superscript"/>
              </w:rPr>
              <w:t>13</w:t>
            </w:r>
            <w:r>
              <w:t xml:space="preserve"> </w:t>
            </w:r>
            <w:r>
              <w:t>Directive 2000/60/EC of the European Parliament and of the Council of 23 October 2000 establishing a framework for Community action in the field of water policy (OJ L 327, 22.12.2000, p. 1, ELI: http://data.europa.eu/eli/dir/2000/60/oj).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Directive 2014/89/EU of the European Parliament and of the Council of 23 July 2014 establishing a framework for maritime spatial planning (OJ L 257, 28.8.2014, p. 135, ELI: http://data.europa.eu/eli/dir/2014/89/oj).</w:t>
            </w:r>
          </w:p>
        </w:tc>
        <w:tc>
          <w:tcPr>
            <w:tcW w:w="4876" w:type="dxa"/>
            <w:tcBorders>
              <w:top w:val="nil"/>
              <w:left w:val="nil"/>
              <w:bottom w:val="nil"/>
              <w:right w:val="nil"/>
            </w:tcBorders>
          </w:tcPr>
          <w:p>
            <w:pPr>
              <w:pStyle w:val="Normal6a"/>
            </w:pPr>
            <w:r>
              <w:rPr>
                <w:vertAlign w:val="superscript"/>
              </w:rPr>
              <w:t>14</w:t>
            </w:r>
            <w:r>
              <w:t xml:space="preserve"> </w:t>
            </w:r>
            <w:r>
              <w:t>Directive 2014/89/EU of the European Parliament and of the Council of 23 July 2014 establishing a framework for maritime spatial planning (OJ L 257, 28.8.2014, p. 135, ELI: http://data.europa.eu/eli/dir/2014/89/oj).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Where plans include provisions for the development of defence readiness projects, and their required infrastructure, and are subject to an assessment pursuant to Directive 2001/42/EC of the European Parliament and of the Council</w:t>
            </w:r>
            <w:r>
              <w:rPr>
                <w:vertAlign w:val="superscript"/>
              </w:rPr>
              <w:t>11</w:t>
            </w:r>
            <w:r>
              <w:t xml:space="preserve"> and pursuant to Article 6 of Council Directive 92/43/EEC</w:t>
            </w:r>
            <w:r>
              <w:rPr>
                <w:vertAlign w:val="superscript"/>
              </w:rPr>
              <w:t>12</w:t>
            </w:r>
            <w:r>
              <w:t xml:space="preserve"> , those assessments shall be combined. Where applicable, the combined assessment shall also address the impact on potentially affected water bodies referred to in Directive 2000/60/EC of the European Parliament and of the Council</w:t>
            </w:r>
            <w:r>
              <w:rPr>
                <w:vertAlign w:val="superscript"/>
              </w:rPr>
              <w:t>13</w:t>
            </w:r>
            <w:r>
              <w:t xml:space="preserve"> . Where relevant, the Member States are required to assess the impacts of existing and future activities on the marine environment, including land-sea interactions, as referred to in Article 4 of Directive 2014/89/EU of the European Parliament and of the Council</w:t>
            </w:r>
            <w:r>
              <w:rPr>
                <w:vertAlign w:val="superscript"/>
              </w:rPr>
              <w:t>14</w:t>
            </w:r>
            <w:r>
              <w:t xml:space="preserve"> those impacts shall also be covered in the combined assessment. The fact that assessments are combined pursuant to this paragraph shall not affect their content or quality. </w:t>
            </w:r>
            <w:r>
              <w:rPr>
                <w:b/>
                <w:i/>
              </w:rPr>
              <w:t>The combined assessment shall be carried out within the time limits set out in this Regulation.</w:t>
            </w:r>
          </w:p>
        </w:tc>
        <w:tc>
          <w:tcPr>
            <w:tcW w:w="4876" w:type="dxa"/>
            <w:tcBorders>
              <w:top w:val="nil"/>
              <w:left w:val="nil"/>
              <w:bottom w:val="nil"/>
              <w:right w:val="nil"/>
            </w:tcBorders>
          </w:tcPr>
          <w:p>
            <w:pPr>
              <w:pStyle w:val="Normal6a"/>
            </w:pPr>
            <w:r>
              <w:t>2.</w:t>
            </w:r>
            <w:r>
              <w:tab/>
            </w:r>
            <w:r>
              <w:t>Where plans include provisions for the development of defence readiness projects, and their required infrastructure, and are subject to an assessment pursuant to Directive 2001/42/EC of the European Parliament and of the Council</w:t>
            </w:r>
            <w:r>
              <w:rPr>
                <w:vertAlign w:val="superscript"/>
              </w:rPr>
              <w:t>11</w:t>
            </w:r>
            <w:r>
              <w:t xml:space="preserve"> and pursuant to Article 6 of Council Directive 92/43/EEC</w:t>
            </w:r>
            <w:r>
              <w:rPr>
                <w:vertAlign w:val="superscript"/>
              </w:rPr>
              <w:t>12</w:t>
            </w:r>
            <w:r>
              <w:t xml:space="preserve"> , those assessments shall be combined. Where applicable, the combined assessment shall also address the impact on potentially affected water bodies referred to in Directive 2000/60/EC of the European Parliament and of the Council</w:t>
            </w:r>
            <w:r>
              <w:rPr>
                <w:vertAlign w:val="superscript"/>
              </w:rPr>
              <w:t>13</w:t>
            </w:r>
            <w:r>
              <w:t xml:space="preserve"> . Where relevant, the Member States are required to assess the impacts of existing and future activities on the marine environment, including land-sea interactions, as referred to in Article 4 of Directive 2014/89/EU of the European Parliament and of the Council</w:t>
            </w:r>
            <w:r>
              <w:rPr>
                <w:vertAlign w:val="superscript"/>
              </w:rPr>
              <w:t>14</w:t>
            </w:r>
            <w:r>
              <w:t xml:space="preserve"> those impacts shall also be covered in the combined assessment. The fact that assessments are combined pursuant to this paragraph shall not affect their content or quality.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Directive 2001/42/EC of the European Parliament and of the Council of 27 June 2001 on the assessment of the effects of certain plans and programmes on the environment (OJ L 197, 21.7.2001, p. 30, ELI: http://data.europa.eu/eli/dir/2001/42/oj).</w:t>
            </w:r>
          </w:p>
        </w:tc>
        <w:tc>
          <w:tcPr>
            <w:tcW w:w="4876" w:type="dxa"/>
            <w:tcBorders>
              <w:top w:val="nil"/>
              <w:left w:val="nil"/>
              <w:bottom w:val="nil"/>
              <w:right w:val="nil"/>
            </w:tcBorders>
          </w:tcPr>
          <w:p>
            <w:pPr>
              <w:pStyle w:val="Normal6a"/>
            </w:pPr>
            <w:r>
              <w:rPr>
                <w:vertAlign w:val="superscript"/>
              </w:rPr>
              <w:t>11</w:t>
            </w:r>
            <w:r>
              <w:t xml:space="preserve"> </w:t>
            </w:r>
            <w:r>
              <w:t>Directive 2001/42/EC of the European Parliament and of the Council of 27 June 2001 on the assessment of the effects of certain plans and programmes on the environment (OJ L 197, 21.7.2001, p. 30, ELI: http://data.europa.eu/eli/dir/2001/42/oj).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12</w:t>
            </w:r>
            <w:r>
              <w:t xml:space="preserve"> </w:t>
            </w:r>
            <w:r>
              <w:t>Council Directive 92/43/EEC of 21 May 1992 on the conservation of natural habitats and of wild fauna and flora (OJ L 206, 22.7.1992, p. 7, ELI: http://data.europa.eu/eli/dir/1992/43/oj).</w:t>
            </w:r>
          </w:p>
        </w:tc>
        <w:tc>
          <w:tcPr>
            <w:tcW w:w="4876" w:type="dxa"/>
            <w:tcBorders>
              <w:top w:val="nil"/>
              <w:left w:val="nil"/>
              <w:bottom w:val="nil"/>
              <w:right w:val="nil"/>
            </w:tcBorders>
          </w:tcPr>
          <w:p>
            <w:pPr>
              <w:pStyle w:val="Normal6a"/>
            </w:pPr>
            <w:r>
              <w:rPr>
                <w:vertAlign w:val="superscript"/>
              </w:rPr>
              <w:t>12</w:t>
            </w:r>
            <w:r>
              <w:t xml:space="preserve"> </w:t>
            </w:r>
            <w:r>
              <w:t>Council Directive 92/43/EEC of 21 May 1992 on the conservation of natural habitats and of wild fauna and flora (OJ L 206, 22.7.1992, p. 7, ELI: http://data.europa.eu/eli/dir/1992/43/oj).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13</w:t>
            </w:r>
            <w:r>
              <w:t xml:space="preserve"> </w:t>
            </w:r>
            <w:r>
              <w:t>Directive 2000/60/EC of the European Parliament and of the Council of 23 October 2000 establishing a framework for Community action in the field of water policy (OJ L 327, 22.12.2000, p. 1, ELI: http://data.europa.eu/eli/dir/2000/60/oj).</w:t>
            </w:r>
          </w:p>
        </w:tc>
        <w:tc>
          <w:tcPr>
            <w:tcW w:w="4876" w:type="dxa"/>
            <w:tcBorders>
              <w:top w:val="nil"/>
              <w:left w:val="nil"/>
              <w:bottom w:val="nil"/>
              <w:right w:val="nil"/>
            </w:tcBorders>
          </w:tcPr>
          <w:p>
            <w:pPr>
              <w:pStyle w:val="Normal6a"/>
            </w:pPr>
            <w:r>
              <w:rPr>
                <w:vertAlign w:val="superscript"/>
              </w:rPr>
              <w:t>13</w:t>
            </w:r>
            <w:r>
              <w:t xml:space="preserve"> </w:t>
            </w:r>
            <w:r>
              <w:t>Directive 2000/60/EC of the European Parliament and of the Council of 23 October 2000 establishing a framework for Community action in the field of water policy (OJ L 327, 22.12.2000, p. 1, ELI: http://data.europa.eu/eli/dir/2000/60/oj).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14</w:t>
            </w:r>
            <w:r>
              <w:t xml:space="preserve"> </w:t>
            </w:r>
            <w:r>
              <w:t>Directive 2014/89/EU of the European Parliament and of the Council of 23 July 2014 establishing a framework for maritime spatial planning (OJ L 257, 28.8.2014, p. 135, ELI: http://data.europa.eu/eli/dir/2014/89/oj).</w:t>
            </w:r>
          </w:p>
        </w:tc>
        <w:tc>
          <w:tcPr>
            <w:tcW w:w="4876" w:type="dxa"/>
            <w:tcBorders>
              <w:top w:val="nil"/>
              <w:left w:val="nil"/>
              <w:bottom w:val="nil"/>
              <w:right w:val="nil"/>
            </w:tcBorders>
          </w:tcPr>
          <w:p>
            <w:pPr>
              <w:pStyle w:val="Normal6a"/>
            </w:pPr>
            <w:r>
              <w:rPr>
                <w:vertAlign w:val="superscript"/>
              </w:rPr>
              <w:t>14</w:t>
            </w:r>
            <w:r>
              <w:t xml:space="preserve"> </w:t>
            </w:r>
            <w:r>
              <w:t>Directive 2014/89/EU of the European Parliament and of the Council of 23 July 2014 establishing a framework for maritime spatial planning (OJ L 257, 28.8.2014, p. 135, ELI: http://data.europa.eu/eli/dir/2014/89/oj).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2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When drawing up the land use plans referred to in paragraph 1, the Member States may designate priority areas for the defence industry, to which simplified procedures and targeted exemptions from Union climate and energy requirements may apply, provided that such measures do not cause significant harm to human health or the integrity of ecosystems.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2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2b.</w:t>
            </w:r>
            <w:r>
              <w:tab/>
            </w:r>
            <w:r>
              <w:rPr>
                <w:b/>
                <w:i/>
              </w:rPr>
              <w:t>The Member States shall ensure that land use plans take account of the need to set up industrial facilities to remanufacture and recycle defence equipment which, insofar as they contribute to strategic autonomy, shall be treated as a priority.</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 paragraph 2 c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2c.</w:t>
            </w:r>
            <w:r>
              <w:tab/>
            </w:r>
            <w:r>
              <w:rPr>
                <w:b/>
                <w:i/>
              </w:rPr>
              <w:t>When planning and undertaking defence readiness projects, the Member States shall ensure that no facilities involved in processing chemicals for defence purposes, including the production or storage of chemical substances or explosives, are established in the immediate vicinity of critical environmental areas, in particular rivers, lakes, wetlands or exposed aquifers.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Consistency with climate and energy policies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This Regulation shall apply without prejudice to the Union’s climate objectives.</w:t>
            </w:r>
            <w:r>
              <w:t xml:space="preserve"> </w:t>
            </w:r>
            <w:r>
              <w:rPr>
                <w:b/>
                <w:i/>
              </w:rPr>
              <w:t>However, in order to uphold the security and defence of the Union and its Member States, defence readiness projects may be granted temporary exemptions commensurate with secondary Union legislation on the reduction of greenhouse gas emissions, emissions allowances and energy efficiency, where such requirements are liable to unduly hinder the development or swift deployment of such projects.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6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 6b</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Preventing a dual regulatory burden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Defence readiness projects authorised in accordance with this Regulation shall not be subject to additional reporting or authorisation requirements under other Union climate or energy regulations, except where these requirements are essential for mitigating serious risks to human health or the environment.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All dispute resolution procedures, litigation, appeals and judicial remedies as well as all administrative proceedings related to defence readiness projects before any national courts, tribunals, bodies or panels, including with regard to mediation or arbitration, where they exist in national law, </w:t>
            </w:r>
            <w:r>
              <w:rPr>
                <w:b/>
                <w:i/>
              </w:rPr>
              <w:t>shall</w:t>
            </w:r>
            <w:r>
              <w:t xml:space="preserve"> be treated as urgent if and to the extent to which national law concerning relevant permit-granting processes provides for such urgency procedures and provided that the applicable rights of defence of individuals or of local communities are respected. Project promoters of defence readiness projects shall participate in such urgency procedures, where applicable.</w:t>
            </w:r>
          </w:p>
        </w:tc>
        <w:tc>
          <w:tcPr>
            <w:tcW w:w="4876" w:type="dxa"/>
            <w:tcBorders>
              <w:top w:val="nil"/>
              <w:left w:val="nil"/>
              <w:bottom w:val="nil"/>
              <w:right w:val="nil"/>
            </w:tcBorders>
          </w:tcPr>
          <w:p>
            <w:pPr>
              <w:pStyle w:val="Normal6a"/>
            </w:pPr>
            <w:r>
              <w:t xml:space="preserve">All dispute resolution procedures, litigation, appeals and judicial remedies as well as all administrative proceedings related to defence readiness projects before any national courts, tribunals, bodies or panels, including with regard to mediation or arbitration, where they exist in national law, </w:t>
            </w:r>
            <w:r>
              <w:rPr>
                <w:b/>
                <w:i/>
              </w:rPr>
              <w:t>may</w:t>
            </w:r>
            <w:r>
              <w:t xml:space="preserve"> be treated as urgent if and to the extent to which national law concerning relevant permit-granting processes provides for such urgency procedures </w:t>
            </w:r>
            <w:r>
              <w:rPr>
                <w:b/>
                <w:i/>
              </w:rPr>
              <w:t>and to which the relevant authorities consent</w:t>
            </w:r>
            <w:r>
              <w:t xml:space="preserve"> and provided that the applicable rights of defence of individuals or of local communities are respected. Project promoters of defence readiness projects shall participate in such urgency procedures, where applicable.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This Article shall not be construed as prejudicial to or limiting of the independence of the judiciary in Member States when it comes to deciding how to prioritise or conduct judicial business, including of the character described in this Article.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7 – paragraph 1 b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All dispute resolution procedures, litigation, appeals and judicial remedies as well as all administrative proceedings related to defence readiness projects before any national courts, tribunals, bodies or panels, including with regard to mediation or arbitration, where they exist in national law, shall comply with the characteristics set out in Article 9 paragraph 4 of the under the United Nations Economic Commission for Europe (UNECE) Convention on Access to Information, Public Participation in Decision-making and Access to Justice in Environmental Matters, signed at Aarhus on 25 June 1998, and its Article 3(9) on non-discrimination.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Mathilde Androuët, Marie-Luce Brasier-Clain, Ondřej Knotek, Mélanie Disdier, Anne-Sophie Frigout, Viktória Ferenc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Article 8</w:t>
            </w:r>
            <w:r>
              <w:tab/>
            </w:r>
          </w:p>
        </w:tc>
        <w:tc>
          <w:tcPr>
            <w:tcW w:w="4876" w:type="dxa"/>
            <w:tcBorders>
              <w:top w:val="nil"/>
              <w:left w:val="nil"/>
              <w:bottom w:val="nil"/>
              <w:right w:val="nil"/>
            </w:tcBorders>
          </w:tcPr>
          <w:p>
            <w:pPr>
              <w:pStyle w:val="Normal6a"/>
            </w:pPr>
            <w:r>
              <w:rPr>
                <w:b/>
                <w:i/>
              </w:rPr>
              <w:t>deleted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Applicability of UNECE Conventions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This Regulation is without prejudice, where relevant, to the obligations under the United Nations Economic Commission for Europe (UNECE) Convention on Access to Information, Public Participation in Decision-making and Access to Justice in Environmental Matters, signed at Aarhus on 25 June 1998, and under the UNECE Convention on environmental impact assessment in a transboundary context, signed at Espoo on 25 February 1991 and its Protocol on Strategic Environmental Assessment, signed in Kyiv on 21 May 2003.</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Sander Smit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This Regulation </w:t>
            </w:r>
            <w:r>
              <w:rPr>
                <w:b/>
                <w:i/>
              </w:rPr>
              <w:t>is without prejudice, where relevant, to the obligations under the United Nations Economic Commission for Europe (UNECE)</w:t>
            </w:r>
            <w:r>
              <w:t xml:space="preserve"> Convention </w:t>
            </w:r>
            <w:r>
              <w:rPr>
                <w:b/>
                <w:i/>
              </w:rPr>
              <w:t>on</w:t>
            </w:r>
            <w:r>
              <w:t xml:space="preserve"> Access to Information</w:t>
            </w:r>
            <w:r>
              <w:rPr>
                <w:b/>
                <w:i/>
              </w:rPr>
              <w:t>,</w:t>
            </w:r>
            <w:r>
              <w:t xml:space="preserve"> Public </w:t>
            </w:r>
            <w:r>
              <w:rPr>
                <w:b/>
                <w:i/>
              </w:rPr>
              <w:t>Participation in Decision-making and</w:t>
            </w:r>
            <w:r>
              <w:t xml:space="preserve"> Access to </w:t>
            </w:r>
            <w:r>
              <w:rPr>
                <w:b/>
                <w:i/>
              </w:rPr>
              <w:t>Justice in Environmental Matters, signed at Aarhus on 25 June 1998, and under the UNECE Convention on environmental impact assessment in a transboundary context, signed at Espoo on 25 February 1991 and its Protocol on Strategic</w:t>
            </w:r>
            <w:r>
              <w:t xml:space="preserve"> Environmental </w:t>
            </w:r>
            <w:r>
              <w:rPr>
                <w:b/>
                <w:i/>
              </w:rPr>
              <w:t>Assessment, signed in Kyiv on 21 May 2003</w:t>
            </w:r>
            <w:r>
              <w:t>.</w:t>
            </w:r>
          </w:p>
        </w:tc>
        <w:tc>
          <w:tcPr>
            <w:tcW w:w="4876" w:type="dxa"/>
            <w:tcBorders>
              <w:top w:val="nil"/>
              <w:left w:val="nil"/>
              <w:bottom w:val="nil"/>
              <w:right w:val="nil"/>
            </w:tcBorders>
          </w:tcPr>
          <w:p>
            <w:pPr>
              <w:pStyle w:val="Normal6a"/>
            </w:pPr>
            <w:r>
              <w:rPr>
                <w:b/>
                <w:i/>
              </w:rPr>
              <w:t>Within six months of the entry into force of</w:t>
            </w:r>
            <w:r>
              <w:t xml:space="preserve"> this Regulation</w:t>
            </w:r>
            <w:r>
              <w:rPr>
                <w:b/>
                <w:i/>
              </w:rPr>
              <w:t>, each Member State shall adopt or designate legal and administrative procedures implementing, for defence-related projects, the following Aarhus</w:t>
            </w:r>
            <w:r>
              <w:t xml:space="preserve"> Convention </w:t>
            </w:r>
            <w:r>
              <w:rPr>
                <w:b/>
                <w:i/>
              </w:rPr>
              <w:t>provisions: Article 4 (4), point (b), on restriction of</w:t>
            </w:r>
            <w:r>
              <w:t xml:space="preserve"> access to information </w:t>
            </w:r>
            <w:r>
              <w:rPr>
                <w:b/>
                <w:i/>
              </w:rPr>
              <w:t>for reasons of national defence or</w:t>
            </w:r>
            <w:r>
              <w:t xml:space="preserve"> public </w:t>
            </w:r>
            <w:r>
              <w:rPr>
                <w:b/>
                <w:i/>
              </w:rPr>
              <w:t>security; Article 6 (1), point (c), on adaptation of public-participation procedures for activities serving national-defence purposes; and Article 9 (3) on</w:t>
            </w:r>
            <w:r>
              <w:t xml:space="preserve"> access to </w:t>
            </w:r>
            <w:r>
              <w:rPr>
                <w:b/>
                <w:i/>
              </w:rPr>
              <w:t>administrative or judicial review for acts or omissions contravening national</w:t>
            </w:r>
            <w:r>
              <w:t xml:space="preserve"> environmental </w:t>
            </w:r>
            <w:r>
              <w:rPr>
                <w:b/>
                <w:i/>
              </w:rPr>
              <w:t>law. The procedures referred to in paragraph 1 shall: (a) ensure that non-classified environmental information is available to directly affected persons; (b) guarantee that restrictions are necessary and proportionate to the protection of security interests; and (c) provide for an independent review mechanism capable of examining the legality of such decisions</w:t>
            </w:r>
            <w:r>
              <w:t xml:space="preserve">. </w:t>
            </w:r>
            <w:r>
              <w:rPr>
                <w:b/>
                <w:i/>
              </w:rPr>
              <w:t>Member States shall notify the Commission of the measures taken under this Article.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The amendement obliges Member States to establish or adapt procedures covering Articles 4(4)(b), 6(1)(c) and 9(3) of the Aarhus Convention within six months of its entry into force and obliges the Commission to assess, and where appropriate propose, a Union-wide framework consolidating those measures. This approach guarantees that the Convention is implemented consistently at Union level, while fully safeguarding national-security prerogatives recognised by the Treaties.</w:t>
      </w:r>
    </w:p>
    <w:p>
      <w:r>
        <w:rPr>
          <w:rStyle w:val="HideTWBExt"/>
        </w:rPr>
        <w:t>&lt;/Amend&gt;</w:t>
      </w:r>
    </w:p>
    <w:p>
      <w:pPr>
        <w:pStyle w:val="AmNumberTabs"/>
      </w:pPr>
      <w:r>
        <w:rPr>
          <w:rStyle w:val="HideTWBExt"/>
        </w:rPr>
        <w:t>&lt;Amend&gt;</w:t>
      </w:r>
      <w:r>
        <w:t>Amendment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Tiemo Wölken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This Regulation is without prejudice, where relevant, to the obligations under the United Nations Economic Commission for Europe (UNECE) Convention on Access to Information, Public Participation in Decision-making and Access to Justice in Environmental Matters, signed at Aarhus on 25 June 1998, and under the UNECE Convention on environmental impact assessment in a transboundary context, signed at Espoo on 25 February 1991 and its Protocol on Strategic Environmental Assessment, signed in Kyiv on 21 May 2003.</w:t>
            </w:r>
          </w:p>
        </w:tc>
        <w:tc>
          <w:tcPr>
            <w:tcW w:w="4876" w:type="dxa"/>
            <w:tcBorders>
              <w:top w:val="nil"/>
              <w:left w:val="nil"/>
              <w:bottom w:val="nil"/>
              <w:right w:val="nil"/>
            </w:tcBorders>
          </w:tcPr>
          <w:p>
            <w:pPr>
              <w:pStyle w:val="Normal6a"/>
            </w:pPr>
            <w:r>
              <w:t xml:space="preserve">This Regulation is without prejudice, where relevant, to the obligations under the United Nations Economic Commission for Europe (UNECE) Convention on Access to Information, Public Participation in Decision-making and Access to Justice in Environmental Matters, signed at Aarhus on 25 June 1998, and under the UNECE Convention on environmental impact assessment in a transboundary context, signed at Espoo on 25 February 1991 and its Protocol on Strategic Environmental Assessment, signed in Kyiv on 21 May 2003. </w:t>
            </w:r>
            <w:r>
              <w:rPr>
                <w:b/>
                <w:i/>
              </w:rPr>
              <w:t>All decisions adopted pursuant to this Section shall be made publicly available in an easily understandable manner and all decisions concerning a project shall be available on the same website.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This Regulation is without prejudice</w:t>
            </w:r>
            <w:r>
              <w:rPr>
                <w:b/>
                <w:i/>
              </w:rPr>
              <w:t>, where relevant,</w:t>
            </w:r>
            <w:r>
              <w:t xml:space="preserve"> to the obligations under the United Nations Economic Commission for Europe (UNECE) Convention on Access to Information, Public Participation in Decision-making and Access to Justice in Environmental Matters, signed at Aarhus on 25 June 1998, and under the UNECE Convention on environmental impact assessment in a transboundary context, signed at Espoo on 25 February 1991 and its Protocol on Strategic Environmental Assessment, signed in Kyiv on 21 May 2003.</w:t>
            </w:r>
          </w:p>
        </w:tc>
        <w:tc>
          <w:tcPr>
            <w:tcW w:w="4876" w:type="dxa"/>
            <w:tcBorders>
              <w:top w:val="nil"/>
              <w:left w:val="nil"/>
              <w:bottom w:val="nil"/>
              <w:right w:val="nil"/>
            </w:tcBorders>
          </w:tcPr>
          <w:p>
            <w:pPr>
              <w:pStyle w:val="Normal6a"/>
            </w:pPr>
            <w:r>
              <w:t>This Regulation is without prejudice to the obligations under the United Nations Economic Commission for Europe (UNECE) Convention on Access to Information, Public Participation in Decision-making and Access to Justice in Environmental Matters, signed at Aarhus on 25 June 1998, and under the UNECE Convention on environmental impact assessment in a transboundary context, signed at Espoo on 25 February 1991 and its Protocol on Strategic Environmental Assessment, signed in Kyiv on 21 May 2003.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Sara Matthieu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All decisions adopted pursuant to this Regulation shall be made publicly available in an easily understandable manner and all decisions concerning one project shall be available on the same website.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Justification</w:t>
      </w:r>
      <w:r>
        <w:rPr>
          <w:rStyle w:val="HideTWBExt"/>
        </w:rPr>
        <w:t>&lt;/TitreJust&gt;</w:t>
      </w:r>
    </w:p>
    <w:p>
      <w:pPr>
        <w:pStyle w:val="AmJustText"/>
      </w:pPr>
      <w:r>
        <w:t>Addition of language included also in Critical Raw Materials Act and in Net Zero Industry Act.</w:t>
      </w:r>
    </w:p>
    <w:p>
      <w:r>
        <w:rPr>
          <w:rStyle w:val="HideTWBExt"/>
        </w:rPr>
        <w:t>&lt;/Amend&gt;</w:t>
      </w:r>
    </w:p>
    <w:p>
      <w:pPr>
        <w:pStyle w:val="AmNumberTabs"/>
      </w:pPr>
      <w:r>
        <w:rPr>
          <w:rStyle w:val="HideTWBExt"/>
        </w:rPr>
        <w:t>&lt;Amend&gt;</w:t>
      </w:r>
      <w:r>
        <w:t>Amendment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Anna Stürgkh, Stine Bosse, Sigrid Friis, Katri Kulmuni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 paragraph 1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All decisions adopted pursuant this Regulation shall be made available to public, and all decisions related to one project shall be made available on the same website.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Lynn Boylan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Proposal for a regulation</w:t>
      </w:r>
      <w:r>
        <w:rPr>
          <w:rStyle w:val="HideTWBExt"/>
        </w:rPr>
        <w:t>&lt;/DocAmend&gt;</w:t>
      </w:r>
    </w:p>
    <w:p>
      <w:pPr>
        <w:pStyle w:val="NormalBold"/>
      </w:pPr>
      <w:r>
        <w:rPr>
          <w:rStyle w:val="HideTWBExt"/>
        </w:rPr>
        <w:t>&lt;Article&gt;</w:t>
      </w:r>
      <w:r>
        <w:t>Article 8 a (new)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proposed by the Commission</w:t>
            </w:r>
          </w:p>
        </w:tc>
        <w:tc>
          <w:tcPr>
            <w:tcW w:w="4876" w:type="dxa"/>
            <w:tcBorders>
              <w:top w:val="nil"/>
              <w:left w:val="nil"/>
              <w:bottom w:val="nil"/>
              <w:right w:val="nil"/>
            </w:tcBorders>
          </w:tcPr>
          <w:p>
            <w:pPr>
              <w:pStyle w:val="AmColumnHeading"/>
            </w:pPr>
            <w:r>
              <w:t>Amendment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Article8a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Application of Regulation to neutral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This Regulation shall not force a Member State to act against their individual security and defence policy, particularly with regard to neutral Member States.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Where a neutral Member State believes that a provision of this Regulation is prejudicial to the neutrality of that Member State, or where the implementation of these requirements presents particular difficulties given the current configuration of environmental decision-making in the Member State, they shall make a declaration to that effect to the Commission.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Where the Commission receives such a declaration they may suspend, in whole or in part, the application of the Regulation to that Member State by way of a delegated 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 delegated act adopted under paragraph 3 shall remain in force for a period of two years to allow for either consequential amendments to this Regulation or for a solution to be reached by the Member State.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778.254</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70</w:t>
    </w:r>
    <w:r>
      <w:fldChar w:fldCharType="end"/>
    </w:r>
    <w:r>
      <w:t>/</w:t>
    </w:r>
    <w:r>
      <w:fldChar w:fldCharType="begin"/>
    </w:r>
    <w:r>
      <w:instrText xml:space="preserve"> NUMPAGES </w:instrText>
    </w:r>
    <w:r>
      <w:fldChar w:fldCharType="separate"/>
    </w:r>
    <w:r>
      <w:t>70</w:t>
    </w:r>
    <w:r>
      <w:fldChar w:fldCharType="end"/>
    </w:r>
    <w:r>
      <w:tab/>
    </w:r>
    <w:r>
      <w:rPr>
        <w:rStyle w:val="HideTWBExt"/>
      </w:rPr>
      <w:t>&lt;PathFdR&gt;</w:t>
    </w:r>
    <w:r>
      <w:t>AM\1329427EN.docx</w:t>
    </w:r>
    <w:r>
      <w:rPr>
        <w:rStyle w:val="HideTWBExt"/>
      </w:rPr>
      <w:t>&lt;/PathFdR&gt;</w:t>
    </w:r>
  </w:p>
  <w:p>
    <w:pPr>
      <w:pStyle w:val="EPFooter2"/>
    </w:pPr>
    <w:r>
      <w:t>EN</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AM\1329427EN.docx</w:t>
    </w:r>
    <w:r>
      <w:rPr>
        <w:rStyle w:val="HideTWBExt"/>
      </w:rPr>
      <w:t>&lt;/PathFdR&gt;</w:t>
    </w:r>
    <w:r>
      <w:tab/>
    </w:r>
    <w:r>
      <w:fldChar w:fldCharType="begin"/>
    </w:r>
    <w:r>
      <w:instrText xml:space="preserve"> PAGE </w:instrText>
    </w:r>
    <w:r>
      <w:fldChar w:fldCharType="separate"/>
    </w:r>
    <w:r>
      <w:t>69</w:t>
    </w:r>
    <w:r>
      <w:fldChar w:fldCharType="end"/>
    </w:r>
    <w:r>
      <w:t>/</w:t>
    </w:r>
    <w:r>
      <w:fldChar w:fldCharType="begin"/>
    </w:r>
    <w:r>
      <w:instrText xml:space="preserve"> NUMPAGES </w:instrText>
    </w:r>
    <w:r>
      <w:fldChar w:fldCharType="separate"/>
    </w:r>
    <w:r>
      <w:t>70</w:t>
    </w:r>
    <w:r>
      <w:fldChar w:fldCharType="end"/>
    </w:r>
    <w:r>
      <w:tab/>
    </w:r>
    <w:r>
      <w:t>PE</w:t>
    </w:r>
    <w:r>
      <w:rPr>
        <w:rStyle w:val="HideTWBExt"/>
      </w:rPr>
      <w:t>&lt;NoPE&gt;</w:t>
    </w:r>
    <w:r>
      <w:t>778.254</w:t>
    </w:r>
    <w:r>
      <w:rPr>
        <w:rStyle w:val="HideTWBExt"/>
      </w:rPr>
      <w:t>&lt;/NoPE&gt;</w:t>
    </w:r>
    <w:r>
      <w:rPr>
        <w:rStyle w:val="HideTWBExt"/>
      </w:rPr>
      <w:t>&lt;Version&gt;</w:t>
    </w:r>
    <w:r>
      <w:t>v01-00</w:t>
    </w:r>
    <w:r>
      <w:rPr>
        <w:rStyle w:val="HideTWBExt"/>
      </w:rPr>
      <w:t>&lt;/Version&gt;</w:t>
    </w:r>
  </w:p>
  <w:p>
    <w:pPr>
      <w:pStyle w:val="EPFooter2"/>
    </w:pPr>
    <w:r>
      <w:tab/>
    </w:r>
    <w:r>
      <w:tab/>
    </w:r>
    <w:r>
      <w:t>EN</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AM\1329427EN.docx</w:t>
    </w:r>
    <w:r>
      <w:rPr>
        <w:rStyle w:val="HideTWBExt"/>
      </w:rPr>
      <w:t>&lt;/PathFdR&gt;</w:t>
    </w:r>
    <w:r>
      <w:tab/>
    </w:r>
    <w:r>
      <w:tab/>
    </w:r>
    <w:r>
      <w:t>PE</w:t>
    </w:r>
    <w:r>
      <w:rPr>
        <w:rStyle w:val="HideTWBExt"/>
      </w:rPr>
      <w:t>&lt;NoPE&gt;</w:t>
    </w:r>
    <w:r>
      <w:t>778.254</w:t>
    </w:r>
    <w:r>
      <w:rPr>
        <w:rStyle w:val="HideTWBExt"/>
      </w:rPr>
      <w:t>&lt;/NoPE&gt;</w:t>
    </w:r>
    <w:r>
      <w:rPr>
        <w:rStyle w:val="HideTWBExt"/>
      </w:rPr>
      <w:t>&lt;Version&gt;</w:t>
    </w:r>
    <w:r>
      <w:t>v01-00</w:t>
    </w:r>
    <w:r>
      <w:rPr>
        <w:rStyle w:val="HideTWBExt"/>
      </w:rPr>
      <w:t>&lt;/Version&gt;</w:t>
    </w:r>
  </w:p>
  <w:p>
    <w:pPr>
      <w:pStyle w:val="EPFooter2"/>
    </w:pPr>
    <w:r>
      <w:t>EN</w:t>
    </w:r>
    <w:r>
      <w:tab/>
    </w:r>
    <w:r>
      <w:rPr>
        <w:rStyle w:val="EPFooter2Motto"/>
      </w:rPr>
      <w:t>United in diversity</w:t>
    </w:r>
    <w:r>
      <w:tab/>
    </w:r>
    <w:r>
      <w:t>EN</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968246 HideTWBExt;}}{\*\rsidtbl \rsid24658\rsid358857\rsid735077\rsid787282\rsid2892074\rsid3622648\rsid4666813\rsid5708216\rsid6641733\rsid7553164\rsid8465581\rsid8681905\rsid8724649&#13;_x000a_\rsid9636012\rsid9708692\rsid9862312\rsid10968246\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96824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708692 &#13;_x000a_\chftnsep &#13;_x000a_\par }}{\*\ftnsepc \ltrpar \pard\plain \ltrpar\ql \li0\ri0\widctlpar\wrapdefault\aspalpha\aspnum\faauto\adjustright\rin0\lin0\itap0 \rtlch\fcs1 \af0\afs20\alang1025 \ltrch\fcs0 \fs24\lang2057\langfe2057\cgrid\langnp2057\langfenp2057 {\rtlch\fcs1 \af0 &#13;_x000a_\ltrch\fcs0 \insrsid9708692 \chftnsepc &#13;_x000a_\par }}{\*\aftnsep \ltrpar \pard\plain \ltrpar\ql \li0\ri0\widctlpar\wrapdefault\aspalpha\aspnum\faauto\adjustright\rin0\lin0\itap0 \rtlch\fcs1 \af0\afs20\alang1025 \ltrch\fcs0 \fs24\lang2057\langfe2057\cgrid\langnp2057\langfenp2057 {\rtlch\fcs1 \af0 &#13;_x000a_\ltrch\fcs0 \insrsid9708692 \chftnsep &#13;_x000a_\par }}{\*\aftnsepc \ltrpar \pard\plain \ltrpar\ql \li0\ri0\widctlpar\wrapdefault\aspalpha\aspnum\faauto\adjustright\rin0\lin0\itap0 \rtlch\fcs1 \af0\afs20\alang1025 \ltrch\fcs0 \fs24\lang2057\langfe2057\cgrid\langnp2057\langfenp2057 {\rtlch\fcs1 \af0 &#13;_x000a_\ltrch\fcs0 \insrsid970869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0968246 \rtlch\fcs1 \af0\afs20\alang1025 \ltrch\fcs0 \fs24\lang2057\langfe2057\cgrid\langnp2057\langfenp2057 {\rtlch\fcs1 \af0 \ltrch\fcs0 &#13;_x000a_\cs15\v\f1\fs20\cf9\insrsid10968246\charrsid12784134 {\*\bkmkstart EndA}&lt;&lt;&lt;}{\rtlch\fcs1 \af0 \ltrch\fcs0 \insrsid10968246\charrsid12784134 #@&gt;ZOTHAMA&lt;@#}{\rtlch\fcs1 \af0 \ltrch\fcs0 \cs15\v\f1\fs20\cf9\insrsid10968246\charrsid12784134 &#13;_x000a_&lt;/RepeatBlock-AmendA&gt;}{\rtlch\fcs1 \af0 \ltrch\fcs0 \insrsid10968246\charrsid12784134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80e2&#13;_x000a_f5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229374 HideTWBExt;}}{\*\rsidtbl \rsid24658\rsid229374\rsid358857\rsid735077\rsid787282\rsid2892074\rsid3622648\rsid4666813\rsid5708216\rsid6641733\rsid7553164\rsid8465581\rsid8681905&#13;_x000a_\rsid8724649\rsid9636012\rsid9862312\rsid1051123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22937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511232 &#13;_x000a_\chftnsep &#13;_x000a_\par }}{\*\ftnsepc \ltrpar \pard\plain \ltrpar\ql \li0\ri0\widctlpar\wrapdefault\aspalpha\aspnum\faauto\adjustright\rin0\lin0\itap0 \rtlch\fcs1 \af0\afs20\alang1025 \ltrch\fcs0 \fs24\lang2057\langfe2057\cgrid\langnp2057\langfenp2057 {\rtlch\fcs1 \af0 &#13;_x000a_\ltrch\fcs0 \insrsid10511232 \chftnsepc &#13;_x000a_\par }}{\*\aftnsep \ltrpar \pard\plain \ltrpar\ql \li0\ri0\widctlpar\wrapdefault\aspalpha\aspnum\faauto\adjustright\rin0\lin0\itap0 \rtlch\fcs1 \af0\afs20\alang1025 \ltrch\fcs0 \fs24\lang2057\langfe2057\cgrid\langnp2057\langfenp2057 {\rtlch\fcs1 \af0 &#13;_x000a_\ltrch\fcs0 \insrsid10511232 \chftnsep &#13;_x000a_\par }}{\*\aftnsepc \ltrpar \pard\plain \ltrpar\ql \li0\ri0\widctlpar\wrapdefault\aspalpha\aspnum\faauto\adjustright\rin0\lin0\itap0 \rtlch\fcs1 \af0\afs20\alang1025 \ltrch\fcs0 \fs24\lang2057\langfe2057\cgrid\langnp2057\langfenp2057 {\rtlch\fcs1 \af0 &#13;_x000a_\ltrch\fcs0 \insrsid10511232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229374\charrsid12784134 {\*\bkmkstart EndB}&lt;&lt;&lt;}{\rtlch\fcs1 \af0 \ltrch\fcs0 \insrsid229374\charrsid12784134 #@&gt;ZOTHAMB&lt;@#}{\rtlch\fcs1 \af0 \ltrch\fcs0 \cs15\v\f1\fs20\cf9\insrsid229374\charrsid12784134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99&#13;_x000a_75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6502470 HideTWBExt;}}{\*\rsidtbl \rsid24658\rsid358857\rsid735077\rsid787282\rsid1577781\rsid2892074\rsid3622648\rsid4666813\rsid5708216\rsid6502470\rsid6641733\rsid7553164\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650247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577781 &#13;_x000a_\chftnsep &#13;_x000a_\par }}{\*\ftnsepc \ltrpar \pard\plain \ltrpar\ql \li0\ri0\widctlpar\wrapdefault\aspalpha\aspnum\faauto\adjustright\rin0\lin0\itap0 \rtlch\fcs1 \af0\afs20\alang1025 \ltrch\fcs0 \fs24\lang2057\langfe2057\cgrid\langnp2057\langfenp2057 {\rtlch\fcs1 \af0 &#13;_x000a_\ltrch\fcs0 \insrsid1577781 \chftnsepc &#13;_x000a_\par }}{\*\aftnsep \ltrpar \pard\plain \ltrpar\ql \li0\ri0\widctlpar\wrapdefault\aspalpha\aspnum\faauto\adjustright\rin0\lin0\itap0 \rtlch\fcs1 \af0\afs20\alang1025 \ltrch\fcs0 \fs24\lang2057\langfe2057\cgrid\langnp2057\langfenp2057 {\rtlch\fcs1 \af0 &#13;_x000a_\ltrch\fcs0 \insrsid1577781 \chftnsep &#13;_x000a_\par }}{\*\aftnsepc \ltrpar \pard\plain \ltrpar\ql \li0\ri0\widctlpar\wrapdefault\aspalpha\aspnum\faauto\adjustright\rin0\lin0\itap0 \rtlch\fcs1 \af0\afs20\alang1025 \ltrch\fcs0 \fs24\lang2057\langfe2057\cgrid\langnp2057\langfenp2057 {\rtlch\fcs1 \af0 &#13;_x000a_\ltrch\fcs0 \insrsid1577781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6502470\charrsid12784134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cf&#13;_x000a_f91b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366112 HideTWBExt;}}{\*\rsidtbl \rsid24658\rsid358857\rsid735077\rsid787282\rsid2892074\rsid3622648\rsid4666813\rsid5708216\rsid6641733\rsid7553164\rsid8465581\rsid8681905\rsid8724649&#13;_x000a_\rsid9584078\rsid9636012\rsid9862312\rsid11215221\rsid11366112\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2\min7}{\revtim\yr2019\mo7\dy3\hr12\min7}{\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366112\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84078 &#13;_x000a_\chftnsep &#13;_x000a_\par }}{\*\ftnsepc \ltrpar \pard\plain \ltrpar\ql \li0\ri0\widctlpar\wrapdefault\aspalpha\aspnum\faauto\adjustright\rin0\lin0\itap0 \rtlch\fcs1 \af0\afs20\alang1025 \ltrch\fcs0 \fs24\lang2057\langfe2057\cgrid\langnp2057\langfenp2057 {\rtlch\fcs1 \af0 &#13;_x000a_\ltrch\fcs0 \insrsid9584078 \chftnsepc &#13;_x000a_\par }}{\*\aftnsep \ltrpar \pard\plain \ltrpar\ql \li0\ri0\widctlpar\wrapdefault\aspalpha\aspnum\faauto\adjustright\rin0\lin0\itap0 \rtlch\fcs1 \af0\afs20\alang1025 \ltrch\fcs0 \fs24\lang2057\langfe2057\cgrid\langnp2057\langfenp2057 {\rtlch\fcs1 \af0 &#13;_x000a_\ltrch\fcs0 \insrsid9584078 \chftnsep &#13;_x000a_\par }}{\*\aftnsepc \ltrpar \pard\plain \ltrpar\ql \li0\ri0\widctlpar\wrapdefault\aspalpha\aspnum\faauto\adjustright\rin0\lin0\itap0 \rtlch\fcs1 \af0\afs20\alang1025 \ltrch\fcs0 \fs24\lang2057\langfe2057\cgrid\langnp2057\langfenp2057 {\rtlch\fcs1 \af0 &#13;_x000a_\ltrch\fcs0 \insrsid95840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1366112\charrsid12784134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45&#13;_x000a_7c1c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814430 HideTWBExt;}{\s16\ql \li0\ri0\sa120\nowidctlpar\wrapdefault\aspalpha\aspnum\faauto\adjustright\rin0\lin0\itap0 \rtlch\fcs1 \af0\afs20\alang1025 \ltrch\fcs0 &#13;_x000a_\fs24\lang2057\langfe2057\cgrid\langnp2057\langfenp2057 \sbasedon0 \snext16 \spriority0 \styrsid8814430 Normal6a;}{\s17\ql \li0\ri0\nowidctlpar\wrapdefault\aspalpha\aspnum\faauto\adjustright\rin0\lin0\itap0 \rtlch\fcs1 \af0\afs20\alang1025 \ltrch\fcs0 &#13;_x000a_\b\fs24\lang2057\langfe2057\cgrid\langnp2057\langfenp2057 \sbasedon0 \snext17 \spriority0 \styrsid8814430 NormalBold;}{\s18\qr \li0\ri0\sb240\sa240\nowidctlpar\wrapdefault\aspalpha\aspnum\faauto\adjustright\rin0\lin0\itap0 \rtlch\fcs1 &#13;_x000a_\af0\afs20\alang1025 \ltrch\fcs0 \fs24\lang2057\langfe2057\cgrid\langnp2057\langfenp2057 \sbasedon0 \snext18 \spriority0 \styrsid8814430 AmOrLang;}{\s19\qc \li0\ri0\sa240\nowidctlpar\wrapdefault\aspalpha\aspnum\faauto\adjustright\rin0\lin0\itap0 &#13;_x000a_\rtlch\fcs1 \af0\afs20\alang1025 \ltrch\fcs0 \i\fs24\lang2057\langfe2057\cgrid\langnp2057\langfenp2057 \sbasedon0 \snext19 \spriority0 \styrsid8814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8814430 AmNumberTabs;}}{\*\rsidtbl \rsid24658\rsid358857\rsid735077\rsid787282\rsid2892074\rsid3622648\rsid4666813\rsid5708216\rsid6641733&#13;_x000a_\rsid7553164\rsid8465581\rsid8681905\rsid8724649\rsid8814430\rsid9636012\rsid9862312\rsid11215221\rsid11280678\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48}{\nofchars279}{\*\company European Parliament}{\nofcharsws326}{\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814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280678 &#13;_x000a_\chftnsep &#13;_x000a_\par }}{\*\ftnsepc \ltrpar \pard\plain \ltrpar\ql \li0\ri0\widctlpar\wrapdefault\aspalpha\aspnum\faauto\adjustright\rin0\lin0\itap0 \rtlch\fcs1 \af0\afs20\alang1025 \ltrch\fcs0 \fs24\lang2057\langfe2057\cgrid\langnp2057\langfenp2057 {\rtlch\fcs1 \af0 &#13;_x000a_\ltrch\fcs0 \insrsid11280678 \chftnsepc &#13;_x000a_\par }}{\*\aftnsep \ltrpar \pard\plain \ltrpar\ql \li0\ri0\widctlpar\wrapdefault\aspalpha\aspnum\faauto\adjustright\rin0\lin0\itap0 \rtlch\fcs1 \af0\afs20\alang1025 \ltrch\fcs0 \fs24\lang2057\langfe2057\cgrid\langnp2057\langfenp2057 {\rtlch\fcs1 \af0 &#13;_x000a_\ltrch\fcs0 \insrsid11280678 \chftnsep &#13;_x000a_\par }}{\*\aftnsepc \ltrpar \pard\plain \ltrpar\ql \li0\ri0\widctlpar\wrapdefault\aspalpha\aspnum\faauto\adjustright\rin0\lin0\itap0 \rtlch\fcs1 \af0\afs20\alang1025 \ltrch\fcs0 \fs24\lang2057\langfe2057\cgrid\langnp2057\langfenp2057 {\rtlch\fcs1 \af0 &#13;_x000a_\ltrch\fcs0 \insrsid11280678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8814430 \rtlch\fcs1 \af0\afs20\alang1025 \ltrch\fcs0 \b\fs24\lang2057\langfe2057\cgrid\langnp2057\langfenp2057 {\rtlch\fcs1 \af0 \ltrch\fcs0 \cs15\b0\v\f1\fs20\cf9\insrsid8814430\charrsid12784134 {\*\bkmkstart restartA}&lt;AmendA&gt;}{&#13;_x000a_\rtlch\fcs1 \af0 \ltrch\fcs0 \insrsid8814430\charrsid12784134 [ZAMENDMENT]\tab \tab }{\rtlch\fcs1 \af0 \ltrch\fcs0 \cs15\b0\v\f1\fs20\cf9\insrsid8814430\charrsid12784134 &lt;NumAmA&gt;}{\rtlch\fcs1 \af0 \ltrch\fcs0 \insrsid8814430\charrsid12784134 [ZNRAM]}{&#13;_x000a_\rtlch\fcs1 \af0 \ltrch\fcs0 \cs15\b0\v\f1\fs20\cf9\insrsid8814430\charrsid12784134 &lt;/NumAmA&gt;}{\rtlch\fcs1 \af0 \ltrch\fcs0 \insrsid8814430\charrsid12784134 &#13;_x000a_\par }\pard\plain \ltrpar\s17\ql \li0\ri0\nowidctlpar\wrapdefault\aspalpha\aspnum\faauto\adjustright\rin0\lin0\itap0\pararsid8814430 \rtlch\fcs1 \af0\afs20\alang1025 \ltrch\fcs0 \b\fs24\lang2057\langfe2057\cgrid\langnp2057\langfenp2057 {\rtlch\fcs1 \af0 &#13;_x000a_\ltrch\fcs0 \cs15\b0\v\f1\fs20\cf9\lang1024\langfe1024\noproof\insrsid8814430\charrsid14699840 &lt;RepeatBlock-By&gt;}{\rtlch\fcs1 \af0 \ltrch\fcs0 \lang1024\langfe1024\noproof\insrsid8814430\charrsid14699840 [RepeatMembers]}{\rtlch\fcs1 \af0 \ltrch\fcs0 &#13;_x000a_\cs15\b0\v\f1\fs20\cf9\lang1024\langfe1024\noproof\insrsid8814430\charrsid14699840 &lt;Members&gt;}{\rtlch\fcs1 \af0 \ltrch\fcs0 \insrsid8814430\charrsid14699840 [ZMEMBERS]}{\rtlch\fcs1 \af0 \ltrch\fcs0 &#13;_x000a_\cs15\b0\v\f1\fs20\cf9\lang1024\langfe1024\noproof\insrsid8814430\charrsid14699840 &lt;/Members&gt;}{\rtlch\fcs1 \af0 \ltrch\fcs0 \insrsid8814430\charrsid14699840 &#13;_x000a_\par }\pard\plain \ltrpar\ql \li0\ri0\widctlpar\wrapdefault\aspalpha\aspnum\faauto\adjustright\rin0\lin0\itap0\pararsid8814430 \rtlch\fcs1 \af0\afs20\alang1025 \ltrch\fcs0 \fs24\lang2057\langfe2057\cgrid\langnp2057\langfenp2057 {\rtlch\fcs1 \af0 \ltrch\fcs0 &#13;_x000a_\cs15\v\f1\fs20\cf9\lang1024\langfe1024\noproof\langnp1043\insrsid8814430\charrsid6110050 &lt;AuNomDe&gt;&lt;OptDel&gt;}{\rtlch\fcs1 \af0 \ltrch\fcs0 \lang1024\langfe1024\noproof\langnp1043\insrsid8814430\charrsid6110050 [ZONBEHALF]}{\rtlch\fcs1 \af0 \ltrch\fcs0 &#13;_x000a_\cs15\v\f1\fs20\cf9\lang1024\langfe1024\noproof\langnp1043\insrsid8814430\charrsid6110050 &lt;/OptDel&gt;&lt;/AuNomDe&gt;}{\rtlch\fcs1 \af0 \ltrch\fcs0 \lang1043\langfe2057\langnp1043\insrsid8814430\charrsid6110050 &#13;_x000a_\par }{\rtlch\fcs1 \af0 \ltrch\fcs0 \insrsid8814430\charrsid14699840 &lt;&lt;&lt;}{\rtlch\fcs1 \af0 \ltrch\fcs0 \cs15\v\f1\fs20\cf9\lang1024\langfe1024\noproof\insrsid8814430\charrsid14699840 &lt;/RepeatBlock-By&gt;}{\rtlch\fcs1 \af0 \ltrch\fcs0 &#13;_x000a_\insrsid8814430\charrsid14699840 &#13;_x000a_\par }\pard\plain \ltrpar\s17\ql \li0\ri0\nowidctlpar\wrapdefault\aspalpha\aspnum\faauto\adjustright\rin0\lin0\itap0\pararsid8814430 \rtlch\fcs1 \af0\afs20\alang1025 \ltrch\fcs0 \b\fs24\lang2057\langfe2057\cgrid\langnp2057\langfenp2057 {\rtlch\fcs1 \af0 &#13;_x000a_\ltrch\fcs0 \cs15\b0\v\f1\fs20\cf9\insrsid8814430\charrsid12784134 &lt;DocAmend&gt;}{\rtlch\fcs1 \af0 \ltrch\fcs0 \insrsid8814430\charrsid12784134 [ZRESOLUTION]}{\rtlch\fcs1 \af0 \ltrch\fcs0 \cs15\b0\v\f1\fs20\cf9\insrsid8814430\charrsid12784134 &lt;/DocAmend&gt;}{&#13;_x000a_\rtlch\fcs1 \af0 \ltrch\fcs0 \insrsid8814430\charrsid12784134 &#13;_x000a_\par }{\rtlch\fcs1 \af0 \ltrch\fcs0 \cs15\b0\v\f1\fs20\cf9\lang1024\langfe1024\noproof\insrsid8814430\charrsid8741043 &lt;Article&gt;}{\rtlch\fcs1 \af0 \ltrch\fcs0 \insrsid8814430\charrsid8741043 [ZRESPART]}{\rtlch\fcs1 \af0 \ltrch\fcs0 &#13;_x000a_\cs15\b0\v\f1\fs20\cf9\lang1024\langfe1024\noproof\insrsid8814430\charrsid8741043 &lt;/Article&gt;}{\rtlch\fcs1 \af0 \ltrch\fcs0 \insrsid8814430\charrsid8741043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insrsid8814430\charrsid12784134 \cell }\pard\plain \ltrpar\ql \li0\ri0\widctlpar\intbl\wrapdefault\aspalpha\aspnum\faauto\adjustright\rin0\lin0 \rtlch\fcs1 &#13;_x000a_\af0\afs20\alang1025 \ltrch\fcs0 \fs24\lang2057\langfe2057\cgrid\langnp2057\langfenp2057 {\rtlch\fcs1 \af0 \ltrch\fcs0 \insrsid8814430\charrsid12784134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4786594 \rtlch\fcs1 \af0\afs20\alang1025 \ltrch\fcs0 \i\fs24\lang2057\langfe2057\cgrid\langnp2057\langfenp2057 {&#13;_x000a_\rtlch\fcs1 \af0 \ltrch\fcs0 \insrsid8814430\charrsid12784134 [ZLEFTA]\cell [ZRIGHT]\cell }\pard\plain \ltrpar\ql \li0\ri0\widctlpar\intbl\wrapdefault\aspalpha\aspnum\faauto\adjustright\rin0\lin0 \rtlch\fcs1 \af0\afs20\alang1025 \ltrch\fcs0 &#13;_x000a_\fs24\lang2057\langfe2057\cgrid\langnp2057\langfenp2057 {\rtlch\fcs1 \af0 \ltrch\fcs0 \insrsid8814430\charrsid12784134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8814430\charrsid12784134 [ZTEXTL]\cell }\pard \ltrpar\s16\ql \li0\ri0\sa120\nowidctlpar\intbl\wrapdefault\aspalpha\aspnum\faauto\adjustright\rin0\lin0\pararsid4786594 {\rtlch\fcs1 \af0 \ltrch\fcs0 \insrsid8814430\charrsid12784134 [ZTEXTR]}{&#13;_x000a_\rtlch\fcs1 \af0\afs24 \ltrch\fcs0 \insrsid8814430\charrsid12784134 \cell }\pard\plain \ltrpar\ql \li0\ri0\widctlpar\intbl\wrapdefault\aspalpha\aspnum\faauto\adjustright\rin0\lin0 \rtlch\fcs1 \af0\afs20\alang1025 \ltrch\fcs0 &#13;_x000a_\fs24\lang2057\langfe2057\cgrid\langnp2057\langfenp2057 {\rtlch\fcs1 \af0 \ltrch\fcs0 \insrsid8814430\charrsid12784134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8814430 \rtlch\fcs1 \af0\afs20\alang1025 \ltrch\fcs0 \fs24\lang2057\langfe2057\cgrid\langnp2057\langfenp2057 {\rtlch\fcs1 \af0 \ltrch\fcs0 &#13;_x000a_\insrsid8814430\charrsid12784134 Or. }{\rtlch\fcs1 \af0 \ltrch\fcs0 \cs15\v\f1\fs20\cf9\insrsid8814430\charrsid12784134 &lt;Original&gt;}{\rtlch\fcs1 \af0 \ltrch\fcs0 \insrsid8814430\charrsid12784134 [ZORLANG]}{\rtlch\fcs1 \af0 \ltrch\fcs0 &#13;_x000a_\cs15\v\f1\fs20\cf9\insrsid8814430\charrsid12784134 &lt;/Original&gt;}{\rtlch\fcs1 \af0 \ltrch\fcs0 \insrsid8814430\charrsid12784134 &#13;_x000a_\par }\pard\plain \ltrpar\ql \li0\ri0\widctlpar\wrapdefault\aspalpha\aspnum\faauto\adjustright\rin0\lin0\itap0\pararsid8814430 \rtlch\fcs1 \af0\afs20\alang1025 \ltrch\fcs0 \fs24\lang2057\langfe2057\cgrid\langnp2057\langfenp2057 {\rtlch\fcs1 \af0 \ltrch\fcs0 &#13;_x000a_\cs15\v\f1\fs20\cf9\insrsid8814430\charrsid12784134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e0b4&#13;_x000a_f41d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2065326 HideTWBExt;}{\s16\ql \li0\ri0\sa120\nowidctlpar\wrapdefault\aspalpha\aspnum\faauto\adjustright\rin0\lin0\itap0 \rtlch\fcs1 \af0\afs20\alang1025 \ltrch\fcs0 &#13;_x000a_\fs24\lang2057\langfe2057\cgrid\langnp2057\langfenp2057 \sbasedon0 \snext16 \spriority0 \styrsid12065326 Normal6a;}{\s17\ql \li0\ri0\nowidctlpar\wrapdefault\aspalpha\aspnum\faauto\adjustright\rin0\lin0\itap0 \rtlch\fcs1 \af0\afs20\alang1025 \ltrch\fcs0 &#13;_x000a_\b\fs24\lang2057\langfe2057\cgrid\langnp2057\langfenp2057 \sbasedon0 \snext17 \spriority0 \styrsid12065326 NormalBold;}{\s18\ql \li0\ri0\sa240\nowidctlpar\wrapdefault\aspalpha\aspnum\faauto\adjustright\rin0\lin0\itap0 \rtlch\fcs1 \af0\afs20\alang1025 &#13;_x000a_\ltrch\fcs0 \i\fs24\lang2057\langfe2057\cgrid\langnp2057\langfenp2057 \sbasedon0 \snext18 \spriority0 \styrsid12065326 AmJustText;}{\s19\qc \li0\ri0\sb240\sa240\nowidctlpar\wrapdefault\aspalpha\aspnum\faauto\adjustright\rin0\lin0\itap0 \rtlch\fcs1 &#13;_x000a_\af0\afs20\alang1025 \ltrch\fcs0 \i\fs24\lang2057\langfe2057\cgrid\langnp2057\langfenp2057 \sbasedon0 \snext19 \spriority0 \styrsid12065326 AmCrossRef;}{&#13;_x000a_\s20\qc \li0\ri0\sb240\sa240\keepn\nowidctlpar\wrapdefault\aspalpha\aspnum\faauto\adjustright\rin0\lin0\itap0 \rtlch\fcs1 \af0\afs20\alang1025 \ltrch\fcs0 \i\fs24\lang2057\langfe2057\cgrid\langnp2057\langfenp2057 &#13;_x000a_\sbasedon0 \snext18 \spriority0 \styrsid12065326 AmJustTitle;}{\s21\qr \li0\ri0\sb240\sa240\nowidctlpar\wrapdefault\aspalpha\aspnum\faauto\adjustright\rin0\lin0\itap0 \rtlch\fcs1 \af0\afs20\alang1025 \ltrch\fcs0 &#13;_x000a_\fs24\lang2057\langfe2057\cgrid\langnp2057\langfenp2057 \sbasedon0 \snext21 \spriority0 \styrsid12065326 AmOrLang;}{\s22\qc \li0\ri0\sa240\nowidctlpar\wrapdefault\aspalpha\aspnum\faauto\adjustright\rin0\lin0\itap0 \rtlch\fcs1 \af0\afs20\alang1025 &#13;_x000a_\ltrch\fcs0 \i\fs24\lang2057\langfe2057\cgrid\langnp2057\langfenp2057 \sbasedon0 \snext22 \spriority0 \styrsid12065326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065326 AmNumberTabs;}}{\*\rsidtbl \rsid24658\rsid358857\rsid735077\rsid787282\rsid2892074\rsid3622648\rsid3883069\rsid4666813\rsid5708216&#13;_x000a_\rsid6641733\rsid7553164\rsid8465581\rsid8681905\rsid8724649\rsid9636012\rsid9862312\rsid11215221\rsid11370291\rsid11434737\rsid11607138\rsid11824949\rsid12065326\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2\min7}&#13;_x000a_{\revtim\yr2019\mo7\dy3\hr12\min7}{\version1}{\edmins0}{\nofpages1}{\nofwords78}{\nofchars447}{\*\company European Parliament}{\nofcharsws52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2065326\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883069 &#13;_x000a_\chftnsep &#13;_x000a_\par }}{\*\ftnsepc \ltrpar \pard\plain \ltrpar\ql \li0\ri0\widctlpar\wrapdefault\aspalpha\aspnum\faauto\adjustright\rin0\lin0\itap0 \rtlch\fcs1 \af0\afs20\alang1025 \ltrch\fcs0 \fs24\lang2057\langfe2057\cgrid\langnp2057\langfenp2057 {\rtlch\fcs1 \af0 &#13;_x000a_\ltrch\fcs0 \insrsid3883069 \chftnsepc &#13;_x000a_\par }}{\*\aftnsep \ltrpar \pard\plain \ltrpar\ql \li0\ri0\widctlpar\wrapdefault\aspalpha\aspnum\faauto\adjustright\rin0\lin0\itap0 \rtlch\fcs1 \af0\afs20\alang1025 \ltrch\fcs0 \fs24\lang2057\langfe2057\cgrid\langnp2057\langfenp2057 {\rtlch\fcs1 \af0 &#13;_x000a_\ltrch\fcs0 \insrsid3883069 \chftnsep &#13;_x000a_\par }}{\*\aftnsepc \ltrpar \pard\plain \ltrpar\ql \li0\ri0\widctlpar\wrapdefault\aspalpha\aspnum\faauto\adjustright\rin0\lin0\itap0 \rtlch\fcs1 \af0\afs20\alang1025 \ltrch\fcs0 \fs24\lang2057\langfe2057\cgrid\langnp2057\langfenp2057 {\rtlch\fcs1 \af0 &#13;_x000a_\ltrch\fcs0 \insrsid3883069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12065326 \rtlch\fcs1 \af0\afs20\alang1025 \ltrch\fcs0 \b\fs24\lang2057\langfe2057\cgrid\langnp2057\langfenp2057 {\rtlch\fcs1 \af0 \ltrch\fcs0 \cs15\b0\v\f1\fs20\cf9\insrsid12065326\charrsid12784134 {\*\bkmkstart restartB}&lt;AmendB&gt;}{&#13;_x000a_\rtlch\fcs1 \af0 \ltrch\fcs0 \insrsid12065326\charrsid12784134 [ZAMENDMENT]\tab \tab }{\rtlch\fcs1 \af0 \ltrch\fcs0 \cs15\b0\v\f1\fs20\cf9\insrsid12065326\charrsid12784134 &lt;NumAmB&gt;}{\rtlch\fcs1 \af0 \ltrch\fcs0 \insrsid12065326\charrsid12784134 [ZNRAM]}{&#13;_x000a_\rtlch\fcs1 \af0 \ltrch\fcs0 \cs15\b0\v\f1\fs20\cf9\insrsid12065326\charrsid12784134 &lt;/NumAmB&gt;}{\rtlch\fcs1 \af0 \ltrch\fcs0 \insrsid12065326\charrsid12784134 &#13;_x000a_\par }\pard\plain \ltrpar\s17\ql \li0\ri0\nowidctlpar\wrapdefault\aspalpha\aspnum\faauto\adjustright\rin0\lin0\itap0\pararsid12065326 \rtlch\fcs1 \af0\afs20\alang1025 \ltrch\fcs0 \b\fs24\lang2057\langfe2057\cgrid\langnp2057\langfenp2057 {\rtlch\fcs1 \af0 &#13;_x000a_\ltrch\fcs0 \cs15\b0\v\f1\fs20\cf9\lang1024\langfe1024\noproof\insrsid12065326\charrsid14699840 &lt;RepeatBlock-By&gt;}{\rtlch\fcs1 \af0 \ltrch\fcs0 \lang1024\langfe1024\noproof\insrsid12065326\charrsid14699840 [RepeatMembers]}{\rtlch\fcs1 \af0 \ltrch\fcs0 &#13;_x000a_\cs15\b0\v\f1\fs20\cf9\lang1024\langfe1024\noproof\insrsid12065326\charrsid14699840 &lt;Members&gt;}{\rtlch\fcs1 \af0 \ltrch\fcs0 \insrsid12065326\charrsid14699840 [ZMEMBERS]}{\rtlch\fcs1 \af0 \ltrch\fcs0 &#13;_x000a_\cs15\b0\v\f1\fs20\cf9\lang1024\langfe1024\noproof\insrsid12065326\charrsid14699840 &lt;/Members&gt;}{\rtlch\fcs1 \af0 \ltrch\fcs0 \insrsid12065326\charrsid14699840 &#13;_x000a_\par }\pard\plain \ltrpar\ql \li0\ri0\widctlpar\wrapdefault\aspalpha\aspnum\faauto\adjustright\rin0\lin0\itap0\pararsid12065326 \rtlch\fcs1 \af0\afs20\alang1025 \ltrch\fcs0 \fs24\lang2057\langfe2057\cgrid\langnp2057\langfenp2057 {\rtlch\fcs1 \af0 \ltrch\fcs0 &#13;_x000a_\cs15\v\f1\fs20\cf9\lang1024\langfe1024\noproof\langnp1043\insrsid12065326\charrsid6110050 &lt;AuNomDe&gt;&lt;OptDel&gt;}{\rtlch\fcs1 \af0 \ltrch\fcs0 \lang1024\langfe1024\noproof\langnp1043\insrsid12065326\charrsid6110050 [ZONBEHALF]}{\rtlch\fcs1 \af0 \ltrch\fcs0 &#13;_x000a_\cs15\v\f1\fs20\cf9\lang1024\langfe1024\noproof\langnp1043\insrsid12065326\charrsid6110050 &lt;/OptDel&gt;&lt;/AuNomDe&gt;}{\rtlch\fcs1 \af0 \ltrch\fcs0 \lang1043\langfe2057\langnp1043\insrsid12065326\charrsid6110050 &#13;_x000a_\par }{\rtlch\fcs1 \af0 \ltrch\fcs0 \insrsid12065326\charrsid14699840 &lt;&lt;&lt;}{\rtlch\fcs1 \af0 \ltrch\fcs0 \cs15\v\f1\fs20\cf9\lang1024\langfe1024\noproof\insrsid12065326\charrsid14699840 &lt;/RepeatBlock-By&gt;}{\rtlch\fcs1 \af0 \ltrch\fcs0 &#13;_x000a_\insrsid12065326\charrsid14699840 &#13;_x000a_\par }\pard\plain \ltrpar\s17\ql \li0\ri0\nowidctlpar\wrapdefault\aspalpha\aspnum\faauto\adjustright\rin0\lin0\itap0\pararsid12065326 \rtlch\fcs1 \af0\afs20\alang1025 \ltrch\fcs0 \b\fs24\lang2057\langfe2057\cgrid\langnp2057\langfenp2057 {\rtlch\fcs1 \af0 &#13;_x000a_\ltrch\fcs0 \cs15\b0\v\f1\fs20\cf9\insrsid12065326\charrsid12784134 &lt;DocAmend&gt;}{\rtlch\fcs1 \af0 \ltrch\fcs0 \insrsid12065326\charrsid12784134 [}{\rtlch\fcs1 \af0 \ltrch\fcs0 \insrsid12065326 ZAMDOC}{\rtlch\fcs1 \af0 \ltrch\fcs0 &#13;_x000a_\insrsid12065326\charrsid12784134 ]}{\rtlch\fcs1 \af0 \ltrch\fcs0 \cs15\b0\v\f1\fs20\cf9\insrsid12065326\charrsid12784134 &lt;/DocAmend&gt;}{\rtlch\fcs1 \af0 \ltrch\fcs0 \insrsid12065326\charrsid12784134 &#13;_x000a_\par }\pard \ltrpar\s17\ql \li0\ri0\keepn\nowidctlpar\wrapdefault\aspalpha\aspnum\faauto\adjustright\rin0\lin0\itap0\pararsid12065326 {\rtlch\fcs1 \af0 \ltrch\fcs0 \cs15\b0\v\f1\fs20\cf9\insrsid12065326\charrsid12784134 &lt;Article&gt;}{\rtlch\fcs1 \af0 \ltrch\fcs0 &#13;_x000a_\insrsid12065326\charrsid12784134 [ZAMPART]}{\rtlch\fcs1 \af0 \ltrch\fcs0 \cs15\b0\v\f1\fs20\cf9\insrsid12065326\charrsid12784134 &lt;/Article&gt;}{\rtlch\fcs1 \af0 \ltrch\fcs0 \insrsid12065326\charrsid12784134 &#13;_x000a_\par }\pard\plain \ltrpar\ql \li0\ri0\keepn\widctlpar\wrapdefault\aspalpha\aspnum\faauto\adjustright\rin0\lin0\itap0\pararsid12065326 \rtlch\fcs1 \af0\afs20\alang1025 \ltrch\fcs0 \fs24\lang2057\langfe2057\cgrid\langnp2057\langfenp2057 {\rtlch\fcs1 \af0 &#13;_x000a_\ltrch\fcs0 \cs15\v\f1\fs20\cf9\lang1043\langfe2057\langnp1043\insrsid12065326\charrsid6110050 &lt;DocAmend2&gt;&lt;OptDel&gt;}{\rtlch\fcs1 \af0 \ltrch\fcs0 \lang1043\langfe2057\langnp1043\insrsid12065326\charrsid6110050 [ZNRACT]}{\rtlch\fcs1 \af0 \ltrch\fcs0 &#13;_x000a_\cs15\v\f1\fs20\cf9\lang1043\langfe2057\langnp1043\insrsid12065326\charrsid6110050 &lt;/OptDel&gt;&lt;/DocAmend2&gt;}{\rtlch\fcs1 \af0 \ltrch\fcs0 \lang1043\langfe2057\langnp1043\insrsid12065326\charrsid6110050 &#13;_x000a_\par }\pard \ltrpar\ql \li0\ri0\widctlpar\wrapdefault\aspalpha\aspnum\faauto\adjustright\rin0\lin0\itap0\pararsid12065326 {\rtlch\fcs1 \af0 \ltrch\fcs0 \cs15\v\f1\fs20\cf9\lang1036\langfe2057\langnp1036\insrsid12065326\charrsid6110050 &lt;Article2&gt;&lt;OptDel&gt;}{&#13;_x000a_\rtlch\fcs1 \af0 \ltrch\fcs0 \lang1036\langfe2057\langnp1036\insrsid12065326\charrsid6110050 [ZACTPART]}{\rtlch\fcs1 \af0 \ltrch\fcs0 \cs15\v\f1\fs20\cf9\lang1036\langfe2057\langnp1036\insrsid12065326\charrsid6110050 &lt;/OptDel&gt;&lt;/Article2&gt;}{\rtlch\fcs1 &#13;_x000a_\af0 \ltrch\fcs0 \lang1036\langfe2057\langnp1036\insrsid12065326\charrsid6110050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4786594 \rtlch\fcs1 \af0\afs20\alang1025 \ltrch\fcs0 &#13;_x000a_\fs24\lang2057\langfe2057\cgrid\langnp2057\langfenp2057 {\rtlch\fcs1 \af0 \ltrch\fcs0 \lang1036\langfe2057\langnp1036\insrsid12065326\charrsid6110050 \cell }\pard\plain \ltrpar&#13;_x000a_\ql \li0\ri0\widctlpar\intbl\wrapdefault\aspalpha\aspnum\faauto\adjustright\rin0\lin0 \rtlch\fcs1 \af0\afs20\alang1025 \ltrch\fcs0 \fs24\lang2057\langfe2057\cgrid\langnp2057\langfenp2057 {\rtlch\fcs1 \af0 \ltrch\fcs0 \insrsid12065326\charrsid6035183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4786594 \rtlch\fcs1 \af0\afs20\alang1025 \ltrch\fcs0 \i\fs24\lang2057\langfe2057\cgrid\langnp2057\langfenp2057 {\rtlch\fcs1 \af0 \ltrch\fcs0 &#13;_x000a_\insrsid12065326\charrsid12784134 [ZLEFTB]\cell [ZRIGHT]\cell }\pard\plain \ltrpar\ql \li0\ri0\widctlpar\intbl\wrapdefault\aspalpha\aspnum\faauto\adjustright\rin0\lin0 \rtlch\fcs1 \af0\afs20\alang1025 \ltrch\fcs0 &#13;_x000a_\fs24\lang2057\langfe2057\cgrid\langnp2057\langfenp2057 {\rtlch\fcs1 \af0 \ltrch\fcs0 \insrsid12065326\charrsid12784134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12065326\charrsid12784134 [ZTEXTL]\cell }\pard \ltrpar\s16\ql \li0\ri0\sa120\nowidctlpar\intbl\wrapdefault\aspalpha\aspnum\faauto\adjustright\rin0\lin0\pararsid4786594 {\rtlch\fcs1 \af0 \ltrch\fcs0 \insrsid12065326\charrsid12784134 [ZTEXTR]}{&#13;_x000a_\rtlch\fcs1 \af0\afs24 \ltrch\fcs0 \insrsid12065326\charrsid12784134 \cell }\pard\plain \ltrpar\ql \li0\ri0\widctlpar\intbl\wrapdefault\aspalpha\aspnum\faauto\adjustright\rin0\lin0 \rtlch\fcs1 \af0\afs20\alang1025 \ltrch\fcs0 &#13;_x000a_\fs24\lang2057\langfe2057\cgrid\langnp2057\langfenp2057 {\rtlch\fcs1 \af0 \ltrch\fcs0 \insrsid12065326\charrsid12784134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12065326 \rtlch\fcs1 \af0\afs20\alang1025 \ltrch\fcs0 \fs24\lang2057\langfe2057\cgrid\langnp2057\langfenp2057 {\rtlch\fcs1 \af0 \ltrch\fcs0 &#13;_x000a_\insrsid12065326\charrsid12784134 Or. }{\rtlch\fcs1 \af0 \ltrch\fcs0 \cs15\v\f1\fs20\cf9\insrsid12065326\charrsid12784134 &lt;Original&gt;}{\rtlch\fcs1 \af0 \ltrch\fcs0 \insrsid12065326\charrsid12784134 [ZORLANG]}{\rtlch\fcs1 \af0 \ltrch\fcs0 &#13;_x000a_\cs15\v\f1\fs20\cf9\insrsid12065326\charrsid12784134 &lt;/Original&gt;}{\rtlch\fcs1 \af0 \ltrch\fcs0 \insrsid12065326\charrsid12784134 &#13;_x000a_\par }\pard\plain \ltrpar\s19\qc \li0\ri0\sb240\sa240\nowidctlpar\wrapdefault\aspalpha\aspnum\faauto\adjustright\rin0\lin0\itap0\pararsid12065326 \rtlch\fcs1 \af0\afs20\alang1025 \ltrch\fcs0 \i\fs24\lang2057\langfe2057\cgrid\langnp2057\langfenp2057 {&#13;_x000a_\rtlch\fcs1 \af0 \ltrch\fcs0 \cs15\i0\v\f1\fs20\cf9\insrsid12065326\charrsid12784134 &lt;OptDel&gt;}{\rtlch\fcs1 \af0 \ltrch\fcs0 \insrsid12065326\charrsid12784134 [ZCROSSREF]}{\rtlch\fcs1 \af0 \ltrch\fcs0 &#13;_x000a_\cs15\i0\v\f1\fs20\cf9\insrsid12065326\charrsid12784134 &lt;/OptDel&gt;}{\rtlch\fcs1 \af0 \ltrch\fcs0 \insrsid12065326\charrsid12784134 &#13;_x000a_\par }\pard\plain \ltrpar\s20\qc \li0\ri0\sb240\sa240\keepn\nowidctlpar\wrapdefault\aspalpha\aspnum\faauto\adjustright\rin0\lin0\itap0\pararsid12065326 \rtlch\fcs1 \af0\afs20\alang1025 \ltrch\fcs0 \i\fs24\lang2057\langfe2057\cgrid\langnp2057\langfenp2057 {&#13;_x000a_\rtlch\fcs1 \af0 \ltrch\fcs0 \cs15\i0\v\f1\fs20\cf9\insrsid12065326\charrsid12784134 &lt;TitreJust&gt;}{\rtlch\fcs1 \af0 \ltrch\fcs0 \insrsid12065326\charrsid12784134 [ZJUSTIFICATION]}{\rtlch\fcs1 \af0 \ltrch\fcs0 &#13;_x000a_\cs15\i0\v\f1\fs20\cf9\insrsid12065326\charrsid12784134 &lt;/TitreJust&gt;}{\rtlch\fcs1 \af0 \ltrch\fcs0 \insrsid12065326\charrsid12784134 &#13;_x000a_\par }\pard\plain \ltrpar\s18\ql \li0\ri0\sa240\nowidctlpar\wrapdefault\aspalpha\aspnum\faauto\adjustright\rin0\lin0\itap0\pararsid12065326 \rtlch\fcs1 \af0\afs20\alang1025 \ltrch\fcs0 \i\fs24\lang2057\langfe2057\cgrid\langnp2057\langfenp2057 {\rtlch\fcs1 &#13;_x000a_\af0 \ltrch\fcs0 \cs15\i0\v\f1\fs20\cf9\insrsid12065326\charrsid12784134 &lt;OptDelPrev&gt;}{\rtlch\fcs1 \af0 \ltrch\fcs0 \insrsid12065326\charrsid12784134 [ZTEXTJUST]}{\rtlch\fcs1 \af0 \ltrch\fcs0 \cs15\i0\v\f1\fs20\cf9\insrsid12065326\charrsid12784134 &#13;_x000a_&lt;/OptDelPrev&gt;}{\rtlch\fcs1 \af0 \ltrch\fcs0 \insrsid12065326\charrsid12784134 &#13;_x000a_\par }\pard\plain \ltrpar\ql \li0\ri0\widctlpar\wrapdefault\aspalpha\aspnum\faauto\adjustright\rin0\lin0\itap0\pararsid12065326 \rtlch\fcs1 \af0\afs20\alang1025 \ltrch\fcs0 \fs24\lang2057\langfe2057\cgrid\langnp2057\langfenp2057 {\rtlch\fcs1 \af0 \ltrch\fcs0 &#13;_x000a_\cs15\v\f1\fs20\cf9\insrsid12065326\charrsid12784134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75&#13;_x000a_791e87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Footer">
    <w:name w:val="EPFooter"/>
    <w:basedOn w:val="Normal"/>
    <w:pPr>
      <w:widowControl/>
      <w:tabs>
        <w:tab w:val="center" w:pos="4534"/>
        <w:tab w:val="right" w:pos="9070"/>
      </w:tabs>
      <w:spacing w:before="240" w:after="240"/>
    </w:pPr>
    <w:rPr>
      <w:sz w:val="22"/>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rossRef">
    <w:name w:val="AmCrossRef"/>
    <w:basedOn w:val="Normal"/>
    <w:pPr>
      <w:widowControl/>
      <w:spacing w:before="240" w:after="240"/>
      <w:jc w:val="center"/>
    </w:pPr>
    <w:rPr>
      <w:i/>
    </w:r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70</Pages>
  <Words>16987</Words>
  <Characters>98021</Characters>
  <Application>Microsoft Office Word</Application>
  <DocSecurity>0</DocSecurity>
  <Lines>1</Lines>
  <Paragraphs>1127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AM_Com_LegOpinion</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1329427</vt:lpwstr>
  </property>
  <property fmtid="{D5CDD505-2E9C-101B-9397-08002B2CF9AE}" pid="4" name="&lt;Model&gt;">
    <vt:lpwstr>AM_Com_LegOpinion</vt:lpwstr>
  </property>
  <property fmtid="{D5CDD505-2E9C-101B-9397-08002B2CF9AE}" pid="5" name="&lt;Type&gt;">
    <vt:lpwstr>AM</vt:lpwstr>
  </property>
  <property fmtid="{D5CDD505-2E9C-101B-9397-08002B2CF9AE}" pid="6" name="dmxml.render.id">
    <vt:lpwstr>264636</vt:lpwstr>
  </property>
  <property fmtid="{D5CDD505-2E9C-101B-9397-08002B2CF9AE}" pid="7" name="dmxml.render.traceId">
    <vt:lpwstr>68f1ddbce247330ff7e863bc38797e52</vt:lpwstr>
  </property>
  <property fmtid="{D5CDD505-2E9C-101B-9397-08002B2CF9AE}" pid="8" name="FooterPath">
    <vt:lpwstr>AM\1329427EN.docx</vt:lpwstr>
  </property>
  <property fmtid="{D5CDD505-2E9C-101B-9397-08002B2CF9AE}" pid="9" name="PE Number">
    <vt:lpwstr>778.254</vt:lpwstr>
  </property>
  <property fmtid="{D5CDD505-2E9C-101B-9397-08002B2CF9AE}" pid="10" name="UID">
    <vt:lpwstr>eu.europa.europarl-DIN1-2025-0000189134_02.00-en-03.00_text-xml</vt:lpwstr>
  </property>
</Properties>
</file>