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Comisia pentru mediu, climă și siguranță alimentară</w:t>
      </w:r>
      <w:r>
        <w:rPr>
          <w:rStyle w:val="HideTWBExt"/>
        </w:rPr>
        <w:t>&lt;/Commission&gt;</w:t>
      </w:r>
    </w:p>
    <w:p>
      <w:pPr>
        <w:pStyle w:val="LineBottom"/>
      </w:pPr>
      <w:r>
        <w:t xml:space="preserve"> </w:t>
      </w:r>
    </w:p>
    <w:p>
      <w:pPr>
        <w:pStyle w:val="CoverReference"/>
      </w:pPr>
      <w:r>
        <w:rPr>
          <w:rStyle w:val="HideTWBExt"/>
        </w:rPr>
        <w:t>&lt;RefProc&gt;</w:t>
      </w:r>
      <w:r>
        <w:t>2026/2666</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{29/06/2026}</w:t>
      </w:r>
      <w:r>
        <w:t>29.6.2026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200</w:t>
      </w:r>
      <w:r>
        <w:rPr>
          <w:rStyle w:val="HideTWBExt"/>
        </w:rPr>
        <w:t>&lt;/RangeAM&gt;</w:t>
      </w:r>
    </w:p>
    <w:p>
      <w:pPr>
        <w:pStyle w:val="CoverBold"/>
      </w:pPr>
      <w:r>
        <w:rPr>
          <w:rStyle w:val="HideTWBExt"/>
        </w:rPr>
        <w:t>&lt;TitreType&gt;</w:t>
      </w:r>
      <w:r>
        <w:t>Proiect de propunere de rezoluție</w:t>
      </w:r>
      <w:r>
        <w:rPr>
          <w:rStyle w:val="HideTWBExt"/>
        </w:rPr>
        <w:t>&lt;/TitreType&gt;</w:t>
      </w:r>
    </w:p>
    <w:p>
      <w:pPr>
        <w:pStyle w:val="CoverBold"/>
      </w:pPr>
      <w:r>
        <w:rPr>
          <w:rStyle w:val="HideTWBExt"/>
        </w:rPr>
        <w:t>&lt;Rapporteur&gt;</w:t>
      </w:r>
      <w:r>
        <w:t>Lídia Pereira, Heléne Fritzon, Marie-Luce Brasier-Clain, Alexandr Vondra, Emma Wiesner, Pär Holmgren, Lynn Boylan, Anja Arndt</w:t>
      </w:r>
      <w:r>
        <w:rPr>
          <w:rStyle w:val="HideTWBExt"/>
        </w:rPr>
        <w:t>&lt;/Rapporteur&gt;</w:t>
      </w:r>
    </w:p>
    <w:p>
      <w:pPr>
        <w:pStyle w:val="CoverNormal24a"/>
      </w:pPr>
      <w:r>
        <w:rPr>
          <w:rStyle w:val="HideTWBExt"/>
        </w:rPr>
        <w:t>&lt;DocRefPE&gt;</w:t>
      </w:r>
      <w:r>
        <w:t>(PE786.880v01-00)</w:t>
      </w:r>
      <w:r>
        <w:rPr>
          <w:rStyle w:val="HideTWBExt"/>
        </w:rPr>
        <w:t>&lt;/DocRefPE&gt;</w:t>
      </w:r>
    </w:p>
    <w:p>
      <w:pPr>
        <w:pStyle w:val="CoverNormal"/>
      </w:pPr>
      <w:r>
        <w:rPr>
          <w:rStyle w:val="HideTWBExt"/>
        </w:rPr>
        <w:t>&lt;Titre&gt;</w:t>
      </w:r>
      <w:r>
        <w:t>Conferința ONU privind schimbările climatice 2026 de la Antalya, Turcia (COP31)</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Decizia (UE) 2016/590 a Consiliului din 11 aprilie 2016 privind semnarea, în numele Uniunii Europene, a Acordului de la Paris adoptat în temeiul Convenției-cadru a Națiunilor Unite asupra schimbărilor climatice</w:t>
            </w:r>
            <w:r>
              <w:rPr>
                <w:b/>
                <w:i/>
                <w:vertAlign w:val="superscript"/>
              </w:rPr>
              <w:t>1a</w:t>
            </w:r>
            <w:r>
              <w:t xml:space="preserve"> </w:t>
            </w:r>
            <w:r>
              <w:rPr>
                <w:b/>
                <w:i/>
              </w:rPr>
              <w:t>și Decizia (UE) 2016/1841 a Consiliului din 5 octombrie 2016 privind încheierea, în numele Uniunii Europene, a Acordului de la Paris adoptat în temeiul Convenției-cadru a Națiunilor Unite asupra schimbărilor climatice</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L 103, 19.4.2016, p.</w:t>
            </w:r>
            <w:r>
              <w:t xml:space="preserve"> </w:t>
            </w:r>
            <w:r>
              <w:rPr>
                <w:b/>
                <w:i/>
              </w:rPr>
              <w:t>1–2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JO L 282, 19.10.2016, p. </w:t>
            </w:r>
            <w:r>
              <w:t xml:space="preserve"> </w:t>
            </w:r>
            <w:r>
              <w:rPr>
                <w:b/>
                <w:i/>
              </w:rPr>
              <w:t>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Cadrul global privind substanțele chimice – Pentru o planetă care să nu mai sufere din cauza substanțelor chimice și deșeurilor, adoptat în UNEP în septembrie 2023,</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https://www.chemicalsframework.org/page/text-global-framework-chemicals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5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prima Conferință internațională a Cadrului global privind substanțele chimice („GFC”), care a avut loc în perioada 16-20 noiembrie 2026 la Geneva,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Foaia de parcurs privind adaptarea de la Baku, adoptată în cadrul COP29, care stabilește programul global de lucru privind adaptarea pentru perioada 2026-2028 și stabilește cadrul pentru promovarea eforturilor naționale și colective de adaptare înainte de următoarea evaluare la nivel global în temeiul Acordului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rezoluția sa din […] 2026 referitoare la punerea în aplicare și realizarea obiectivelor de dezvoltare durabilă în perspectiva Forumului politic la nivel înalt din 2026,</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având în vedere Legea europeană a climei</w:t>
            </w:r>
            <w:r>
              <w:rPr>
                <w:vertAlign w:val="superscript"/>
              </w:rPr>
              <w:t>2</w:t>
            </w:r>
            <w:r>
              <w:t>, modificată recent, care introduce un obiectiv climatic obligatoriu la nivelul UE pentru 2040, respectiv reducerea netă cu 90 % a emisiilor de GES comparativ cu nivelurile din 1990, împreună cu flexibilitățile și mecanismele de reexaminare aferente,</w:t>
            </w:r>
          </w:p>
        </w:tc>
        <w:tc>
          <w:tcPr>
            <w:tcW w:w="4876" w:type="dxa"/>
            <w:tcBorders>
              <w:top w:val="nil"/>
              <w:left w:val="nil"/>
              <w:bottom w:val="nil"/>
              <w:right w:val="nil"/>
            </w:tcBorders>
          </w:tcPr>
          <w:p>
            <w:pPr>
              <w:pStyle w:val="Normal6a"/>
            </w:pPr>
            <w:r>
              <w:rPr>
                <w:b/>
                <w:i/>
              </w:rPr>
              <w:t>–</w:t>
            </w:r>
            <w:r>
              <w:tab/>
            </w:r>
            <w:r>
              <w:t>având în vedere Legea europeană a climei</w:t>
            </w:r>
            <w:r>
              <w:rPr>
                <w:vertAlign w:val="superscript"/>
              </w:rPr>
              <w:t>2</w:t>
            </w:r>
            <w:r>
              <w:t xml:space="preserve">, modificată recent, care introduce un obiectiv climatic obligatoriu la nivelul UE pentru 2040, respectiv reducerea netă cu 90 % a emisiilor de GES comparativ cu nivelurile din 1990, împreună cu flexibilitățile </w:t>
            </w:r>
            <w:r>
              <w:rPr>
                <w:b/>
                <w:i/>
              </w:rPr>
              <w:t>legate de plafonul de 5% pentru certificatele de emisii internaționale</w:t>
            </w:r>
            <w:r>
              <w:t xml:space="preserve"> și mecanismele de reexaminare aferente,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Regulamentul (UE) 2026/667 al Parlamentului European și al Consiliului din 11 martie 2026 de modificare a Regulamentului (UE) 2021/1119 în ceea ce privește stabilirea unui obiectiv climatic intermediar al Uniunii pentru 2040 (JO L, 2026/667, 18.3.2026, ELI: http://data.europa.eu/eli/reg/2026/667/oj).</w:t>
            </w:r>
          </w:p>
        </w:tc>
        <w:tc>
          <w:tcPr>
            <w:tcW w:w="4876" w:type="dxa"/>
            <w:tcBorders>
              <w:top w:val="nil"/>
              <w:left w:val="nil"/>
              <w:bottom w:val="nil"/>
              <w:right w:val="nil"/>
            </w:tcBorders>
          </w:tcPr>
          <w:p>
            <w:pPr>
              <w:pStyle w:val="Normal6a"/>
            </w:pPr>
            <w:r>
              <w:rPr>
                <w:vertAlign w:val="superscript"/>
              </w:rPr>
              <w:t>2</w:t>
            </w:r>
            <w:r>
              <w:t xml:space="preserve"> </w:t>
            </w:r>
            <w:r>
              <w:t>Regulamentul (UE) 2026/667 al Parlamentului European și al Consiliului din 11 martie 2026 de modificare a Regulamentului (UE) 2021/1119 în ceea ce privește stabilirea unui obiectiv climatic intermediar al Uniunii pentru 2040 (JO L, 2026/667, 18.3.2026, ELI:http://data.europa.eu/eli/reg/2026/667/oj).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rezoluția sa din 28 noiembrie 2019 referitoare la urgența climatică și de mediu</w:t>
            </w:r>
            <w:r>
              <w:rPr>
                <w:b/>
                <w:i/>
                <w:vertAlign w:val="superscript"/>
              </w:rPr>
              <w:t>4</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JO C 232, 16.6.2021, p. 28.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Cadrul mondial pentru biodiversitate de la Kunming-Montreal, convenit cu ocazia celei de a 15-a reuniuni a Conferinței părților la Convenția ONU privind diversitatea biologică (COP15 CBD), precum și cea de a 16-a Convenție a Organizației Națiunilor Unite privind diversitatea biologică (COP16 CBD),</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Decizia 16/22 a Convenției privind diversitatea biologică, care subliniază că conservarea și refacerea biodiversității și a ecosistemelor, inclusiv a populațiilor de animale sălbatice, sunt opțiuni practice de atenuare a schimbărilor climatice, adaptare la acestea și reducere a riscului de dezastre,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8.039 a Uniunii Internaționale pentru Conservarea Naturii (UICN) din 10 octombrie 2025, intitulată „Mobilizarea rolului animalelor sălbatice în ecosisteme ca soluție pentru climă”,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Acordul în temeiul Convenției Națiunilor Unite asupra dreptului mării privind conservarea și utilizarea durabilă a biodiversității marine în zonele din afara jurisdicției naționale (Acordul BBNJ),</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Raportul special din 2018 al Grupului interguvernamental privind schimbările climatice (IPCC) referitor la impactul încălzirii globale cu 1,5 °C peste nivelurile preindustriale, raportul său special privind schimbările climatice și terenurile, raportul său special privind oceanele și criosfera într-un climat în schimbare și cel de al 6-lea raport de evaluare (AR6) al său,</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Regulamentul (UE) 2024/1787 al Parlamentului European și al Consiliului din 13 iunie 2024 privind reducerea emisiilor de metan în sectorul energetic și de modificare a Regulamentului (UE) 2019/942</w:t>
            </w:r>
            <w:r>
              <w:rPr>
                <w:b/>
                <w:i/>
                <w:vertAlign w:val="superscript"/>
              </w:rPr>
              <w:t>5</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JO L, 2024/1787, 15.7.2024, ELI:</w:t>
            </w:r>
            <w:r>
              <w:t xml:space="preserve"> </w:t>
            </w:r>
            <w:r>
              <w:rPr>
                <w:b/>
                <w:i/>
              </w:rPr>
              <w:t>http://data.europa.eu/eli/reg/2024/1787/oj.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Cadrul mondial privind substanțele chimice – Pentru o planetă protejată de efectele nocive ale substanțelor chimice și ale deșeurilor, adoptat la cea de a cincea Conferință internațională privind gestionarea substanțelor chimice, organizată de UNEP în septembrie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29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Regulamentul (UE) 2024/1252 al Parlamentului European și al Consiliului din 11 aprilie 2024 de instituire a unui cadru pentru asigurarea aprovizionării sigure și durabile cu materii prime critice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L, 2024/1252, 3.5.2024, ELI:</w:t>
            </w:r>
            <w:r>
              <w:t xml:space="preserve"> </w:t>
            </w:r>
            <w:r>
              <w:rPr>
                <w:b/>
                <w:i/>
              </w:rPr>
              <w:t>http://data.europa.eu/eli/reg/2024/1252/oj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30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Băncii Mondiale intitulat „State and Trends of Carbon Pricing 2025</w:t>
            </w:r>
            <w:r>
              <w:rPr>
                <w:b/>
                <w:i/>
                <w:vertAlign w:val="superscript"/>
              </w:rPr>
              <w:t>1a</w:t>
            </w:r>
            <w:r>
              <w:rPr>
                <w:b/>
                <w:i/>
              </w:rPr>
              <w:t>” (Situația și tendințele prețului carbonului în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Banca Mondială.</w:t>
            </w:r>
            <w:r>
              <w:t xml:space="preserve"> </w:t>
            </w:r>
            <w:r>
              <w:rPr>
                <w:b/>
                <w:i/>
              </w:rPr>
              <w:t>2025.</w:t>
            </w:r>
            <w:r>
              <w:t xml:space="preserve"> </w:t>
            </w:r>
            <w:r>
              <w:rPr>
                <w:b/>
                <w:i/>
              </w:rPr>
              <w:t>State and Trends of Carbon Pricing 2025 (Situația și tendințele prețului carbonului).</w:t>
            </w:r>
            <w:r>
              <w:t xml:space="preserve"> </w:t>
            </w:r>
            <w:r>
              <w:rPr>
                <w:b/>
                <w:i/>
              </w:rPr>
              <w:t>© Banca Mondială, Washington DC. http://hdl.handle.net/10986/43277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Rezoluția 41/21 a Consiliului pentru Drepturile Omului al ONU din 12 iulie 2019 intitulată „Human rights and climate change“ (Drepturile omului și schimbările climatice),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Lynn Boylan, Jonas Sjöstedt, Catarina Martins,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consultativ al Curții Internaționale de Justiție din 23 iulie 2025 privind obligațiile statelor în legătură cu schimbările climatice, care a lămurit că statele au obligații juridice decurgând din dreptul internațional de a preveni daunele semnificative aduse sistemului climatic, de a proteja generațiile prezente și viitoare de daune legate de climă și de a coopera cu bună credință pentru a lua măsuri concrete pentru climă,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de la Aarhus și drepturile pe care le garantează: accesul la informație, participarea publicului la procesul decizional și accesul la justiție în domeniul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OCDE din 2026 privind bilanțul global, intitulat „Susținerea unei piețe a datoriilor aflate sub o presiune din ce în ce mai mare”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OCDE (2026), Raportul privind datoriile la nivel mondial 2026:</w:t>
            </w:r>
            <w:r>
              <w:t xml:space="preserve"> </w:t>
            </w:r>
            <w:r>
              <w:rPr>
                <w:b/>
                <w:i/>
              </w:rPr>
              <w:t>Sustaining Debt Market Resilience Under Growing Pressure (Susținerea rezilienței pieței datoriilor, pusă sub o presiune tot mai mare), OECD Publishing, Paris, https://doi.org/10.1787/e9d80efd-en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Adunării Generale a Organizației Națiunilor Unite din 20 mai 2026 care a aprobat avizul consultativ al Curții Internaționale de Justiție privind obligațiile statelor aferente schimbărilor climatice și a reafirmat că protecția sistemului climatic constituie o obligație juridică în temeiul dreptului internațional și a pledat pentru o cooperare internațională mai strânsă și acțiuni accelerate în domeniul climei,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principiul „poluatorul plătește”, recunoscut de cadrele de politică existente ale CCONUSC și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31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evaluarea riscurilor pentru clima europeană realizată de Agenția Europeană de Mediu și analiza tendințelor în materie de climă și securitate comandată de UE, care identifică cum anume schimbările climatice exacerbează riscurile de securitate,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Declarația privind o tranziție justă, adoptată la 4 noiembrie 2021 în cadrul COP26,</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Parlamentul European a declarat stare de urgență climatică și de mediu și s-a angajat să ia măsuri urgente pentru a limita această amenințare;</w:t>
            </w:r>
          </w:p>
        </w:tc>
        <w:tc>
          <w:tcPr>
            <w:tcW w:w="4876" w:type="dxa"/>
            <w:tcBorders>
              <w:top w:val="nil"/>
              <w:left w:val="nil"/>
              <w:bottom w:val="nil"/>
              <w:right w:val="nil"/>
            </w:tcBorders>
          </w:tcPr>
          <w:p>
            <w:pPr>
              <w:pStyle w:val="Normal6a"/>
            </w:pPr>
            <w:r>
              <w:t>A.</w:t>
            </w:r>
            <w:r>
              <w:tab/>
            </w:r>
            <w:r>
              <w:t xml:space="preserve">întrucât </w:t>
            </w:r>
            <w:r>
              <w:rPr>
                <w:b/>
                <w:i/>
              </w:rPr>
              <w:t>în 2019</w:t>
            </w:r>
            <w:r>
              <w:t xml:space="preserve"> Parlamentul European a declarat stare de urgență climatică și de mediu și s-a angajat să ia măsuri urgente pentru a limita această amenințare;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B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accesul la un mediu curat, sănătos și durabil este un drept universal al omului, iar articolul 37 din Carta drepturilor fundamentale a Uniunii Europene consacră principiul conform căruia protecția mediului trebuie garantată în dreptul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potrivit Raportului UNEP din 2025 privind diferența dintre nivelul preconizat și nivelul sustenabil al emisiilor</w:t>
            </w:r>
            <w:r>
              <w:rPr>
                <w:vertAlign w:val="superscript"/>
              </w:rPr>
              <w:t>9</w:t>
            </w:r>
            <w:r>
              <w:rPr>
                <w:b/>
                <w:i/>
              </w:rPr>
              <w:t>, punerea în aplicare pe deplin a CSN necondiționate asumate în temeiul</w:t>
            </w:r>
            <w:r>
              <w:t xml:space="preserve"> Acordului de la Paris </w:t>
            </w:r>
            <w:r>
              <w:rPr>
                <w:b/>
                <w:i/>
              </w:rPr>
              <w:t>pentru 2030 ar asigura respectarea traiectoriei către limitarea creșterii temperaturii globale la 2,5 °C în acest secol, iar punerea în aplicare pe deplin a CSN condiționate ar reduce această creștere a temperaturii la 2,3</w:t>
            </w:r>
            <w:r>
              <w:t xml:space="preserve"> °C;</w:t>
            </w:r>
          </w:p>
        </w:tc>
        <w:tc>
          <w:tcPr>
            <w:tcW w:w="4876" w:type="dxa"/>
            <w:tcBorders>
              <w:top w:val="nil"/>
              <w:left w:val="nil"/>
              <w:bottom w:val="nil"/>
              <w:right w:val="nil"/>
            </w:tcBorders>
          </w:tcPr>
          <w:p>
            <w:pPr>
              <w:pStyle w:val="Normal6a"/>
            </w:pPr>
            <w:r>
              <w:t>C.</w:t>
            </w:r>
            <w:r>
              <w:tab/>
            </w:r>
            <w:r>
              <w:t xml:space="preserve">întrucât, potrivit raportului UNEP din 2025 </w:t>
            </w:r>
            <w:r>
              <w:rPr>
                <w:b/>
                <w:i/>
              </w:rPr>
              <w:t>„Emissions Gap Report 2025:</w:t>
            </w:r>
            <w:r>
              <w:t xml:space="preserve"> </w:t>
            </w:r>
            <w:r>
              <w:rPr>
                <w:b/>
                <w:i/>
              </w:rPr>
              <w:t>Off Target”</w:t>
            </w:r>
            <w:r>
              <w:rPr>
                <w:vertAlign w:val="superscript"/>
              </w:rPr>
              <w:t>9</w:t>
            </w:r>
            <w:r>
              <w:t xml:space="preserve"> </w:t>
            </w:r>
            <w:r>
              <w:rPr>
                <w:b/>
                <w:i/>
              </w:rPr>
              <w:t>(Raportul</w:t>
            </w:r>
            <w:r>
              <w:t xml:space="preserve"> privind diferența dintre nivelul preconizat și nivelul sustenabil al emisiilor </w:t>
            </w:r>
            <w:r>
              <w:rPr>
                <w:b/>
                <w:i/>
              </w:rPr>
              <w:t>pentru 2025: ținta nu a fost atinsă), previziunile privind încălzirea globală în acest secol, bazate pe introducerea tuturor contribuțiilor stabilite la nivel național (CSN) sunt acum de 2,3-2,5°C, în timp ce previziunile bazate pe politicile actuale ajung la 2,8°C,</w:t>
            </w:r>
            <w:r>
              <w:t xml:space="preserve"> </w:t>
            </w:r>
            <w:r>
              <w:rPr>
                <w:b/>
                <w:i/>
              </w:rPr>
              <w:t>față de valorile de 2,6-2,8°C și 3,1°C din raportul de anul trecut.</w:t>
            </w:r>
            <w:r>
              <w:t xml:space="preserve"> </w:t>
            </w:r>
            <w:r>
              <w:rPr>
                <w:b/>
                <w:i/>
              </w:rPr>
              <w:t>Cu toate acestea, actualizările metodologice reprezintă 0,1 °C din schimbarea în bine, iar viitoarea retragere a SUA din Acordul de la Paris va anula încă 0,1 °C, ceea ce înseamnă că noile CSN-uri abia dacă au mișcat acele indicatorilor.</w:t>
            </w:r>
            <w:r>
              <w:t xml:space="preserve"> </w:t>
            </w:r>
            <w:r>
              <w:rPr>
                <w:b/>
                <w:i/>
              </w:rPr>
              <w:t>Națiunile lumii sunt departe de a îndeplini obiectivul</w:t>
            </w:r>
            <w:r>
              <w:t xml:space="preserve"> Acordului de la Paris </w:t>
            </w:r>
            <w:r>
              <w:rPr>
                <w:b/>
                <w:i/>
              </w:rPr>
              <w:t>de a limita încălzirea la mult sub 2 °C, străduindu-se, totodată, să mențină încălzirea sub 1,5</w:t>
            </w:r>
            <w:r>
              <w:t> °C;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Raportul UNEP, 4 noiembrie 2025, Emissions Gap Report 2025: Off Target (Raportul privind diferența dintre nivelul preconizat și nivelul sustenabil al emisiilor pentru 2025: ținta nu a fost atinsă).</w:t>
            </w:r>
          </w:p>
        </w:tc>
        <w:tc>
          <w:tcPr>
            <w:tcW w:w="4876" w:type="dxa"/>
            <w:tcBorders>
              <w:top w:val="nil"/>
              <w:left w:val="nil"/>
              <w:bottom w:val="nil"/>
              <w:right w:val="nil"/>
            </w:tcBorders>
          </w:tcPr>
          <w:p>
            <w:pPr>
              <w:pStyle w:val="Normal6a"/>
            </w:pPr>
            <w:r>
              <w:rPr>
                <w:vertAlign w:val="superscript"/>
              </w:rPr>
              <w:t>9</w:t>
            </w:r>
            <w:r>
              <w:t xml:space="preserve"> </w:t>
            </w:r>
            <w:r>
              <w:t>Raportul UNEP, 4 noiembrie 2025, Emissions Gap Report 2025: Off Target (Raportul privind diferența dintre nivelul preconizat și nivelul sustenabil al emisiilor pentru 2025: ținta nu a fost atinsă).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potrivit previziunilor din Raportul de sinteză din 2025 privind CSN</w:t>
            </w:r>
            <w:r>
              <w:rPr>
                <w:vertAlign w:val="superscript"/>
              </w:rPr>
              <w:t>10</w:t>
            </w:r>
            <w:r>
              <w:t xml:space="preserve">, în 2030 nivelul emisiilor de GES la nivel mondial va fi cu 6 % sub nivelul din 2019; întrucât IPCC a ajuns la concluzia că, în scenariile care limitează încălzirea la 1,5 °C, emisiile de GES trebuie să </w:t>
            </w:r>
            <w:r>
              <w:rPr>
                <w:b/>
                <w:i/>
              </w:rPr>
              <w:t>fie cu</w:t>
            </w:r>
            <w:r>
              <w:t xml:space="preserve"> 43 % sub nivelul din 2019 </w:t>
            </w:r>
            <w:r>
              <w:rPr>
                <w:b/>
                <w:i/>
              </w:rPr>
              <w:t>până în 2030</w:t>
            </w:r>
            <w:r>
              <w:t>;</w:t>
            </w:r>
          </w:p>
        </w:tc>
        <w:tc>
          <w:tcPr>
            <w:tcW w:w="4876" w:type="dxa"/>
            <w:tcBorders>
              <w:top w:val="nil"/>
              <w:left w:val="nil"/>
              <w:bottom w:val="nil"/>
              <w:right w:val="nil"/>
            </w:tcBorders>
          </w:tcPr>
          <w:p>
            <w:pPr>
              <w:pStyle w:val="Normal6a"/>
            </w:pPr>
            <w:r>
              <w:t>D.</w:t>
            </w:r>
            <w:r>
              <w:tab/>
            </w:r>
            <w:r>
              <w:t>întrucât, potrivit previziunilor din Raportul de sinteză din 2025 privind CSN</w:t>
            </w:r>
            <w:r>
              <w:rPr>
                <w:vertAlign w:val="superscript"/>
              </w:rPr>
              <w:t>10</w:t>
            </w:r>
            <w:r>
              <w:t xml:space="preserve">, în 2030 nivelul emisiilor de GES la nivel mondial va fi cu 6 % sub nivelul din 2019; întrucât IPCC a ajuns la concluzia că, în scenariile care limitează încălzirea la 1,5 °C, emisiile de GES trebuie să </w:t>
            </w:r>
            <w:r>
              <w:rPr>
                <w:b/>
                <w:i/>
              </w:rPr>
              <w:t>ajungă, până în 2030, cu cel puțin</w:t>
            </w:r>
            <w:r>
              <w:t xml:space="preserve"> 43 % sub nivelul </w:t>
            </w:r>
            <w:r>
              <w:rPr>
                <w:b/>
                <w:i/>
              </w:rPr>
              <w:t>lor</w:t>
            </w:r>
            <w:r>
              <w:t xml:space="preserve"> din 2019;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Secretariatul CCONUSC, 28 octombrie 2025, raport de sinteză, Nationally determined contributions under the Paris Agreement (Contribuțiile stabilite la nivel național în temeiul Acordului de la Paris).</w:t>
            </w:r>
          </w:p>
        </w:tc>
        <w:tc>
          <w:tcPr>
            <w:tcW w:w="4876" w:type="dxa"/>
            <w:tcBorders>
              <w:top w:val="nil"/>
              <w:left w:val="nil"/>
              <w:bottom w:val="nil"/>
              <w:right w:val="nil"/>
            </w:tcBorders>
          </w:tcPr>
          <w:p>
            <w:pPr>
              <w:pStyle w:val="Normal6a"/>
            </w:pPr>
            <w:r>
              <w:rPr>
                <w:vertAlign w:val="superscript"/>
              </w:rPr>
              <w:t>10</w:t>
            </w:r>
            <w:r>
              <w:t xml:space="preserve"> </w:t>
            </w:r>
            <w:r>
              <w:t>Secretariatul CCONUSC, 28 octombrie 2025, raport de sinteză, Nationally determined contributions under the Paris Agreement (Contribuțiile stabilite la nivel național în temeiul Acordului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D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la atelierul sponsorizat în comun de IPBES și IPCC din 2020 privind biodiversitatea și schimbările climatice s-a subliniat că reintroducerea unor specii-cheie poate fi benefică atât pentru biodiversitate, cât și pentru atenuarea schimbărilor climatice și adaptarea la acestea;</w:t>
            </w:r>
            <w:r>
              <w:t xml:space="preserve"> </w:t>
            </w:r>
            <w:r>
              <w:rPr>
                <w:b/>
                <w:i/>
              </w:rPr>
              <w:t>întrucât dovezile științifice arată că animalele sălbatice susțin funcții-cheie ale ecosistemelor care oferă soluții bazate pe natură pentru atenuarea schimbărilor climatice și reziliența ecosistemelor, inclusiv contribuții la formarea de păduri, fertilitatea solului, circuitul nutrienților și reglarea incendiilor;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legislația UE stabilește un obiectiv de reducere cu cel puțin 55 % a emisiilor nete de GES până în 2030 și un obiectiv de reducere </w:t>
            </w:r>
            <w:r>
              <w:rPr>
                <w:b/>
                <w:i/>
              </w:rPr>
              <w:t>a acestora</w:t>
            </w:r>
            <w:r>
              <w:t xml:space="preserve"> cu 90 % până în 2040, comparativ cu nivelurile din 1990</w:t>
            </w:r>
            <w:r>
              <w:rPr>
                <w:b/>
                <w:i/>
              </w:rPr>
              <w:t>,</w:t>
            </w:r>
            <w:r>
              <w:t xml:space="preserve"> împreună cu flexibilitățile </w:t>
            </w:r>
            <w:r>
              <w:rPr>
                <w:b/>
                <w:i/>
              </w:rPr>
              <w:t>asociate</w:t>
            </w:r>
            <w:r>
              <w:t>;</w:t>
            </w:r>
          </w:p>
        </w:tc>
        <w:tc>
          <w:tcPr>
            <w:tcW w:w="4876" w:type="dxa"/>
            <w:tcBorders>
              <w:top w:val="nil"/>
              <w:left w:val="nil"/>
              <w:bottom w:val="nil"/>
              <w:right w:val="nil"/>
            </w:tcBorders>
          </w:tcPr>
          <w:p>
            <w:pPr>
              <w:pStyle w:val="Normal6a"/>
            </w:pPr>
            <w:r>
              <w:t>E.</w:t>
            </w:r>
            <w:r>
              <w:tab/>
            </w:r>
            <w:r>
              <w:t xml:space="preserve">întrucât legislația UE stabilește un obiectiv </w:t>
            </w:r>
            <w:r>
              <w:rPr>
                <w:b/>
                <w:i/>
              </w:rPr>
              <w:t>ambițios</w:t>
            </w:r>
            <w:r>
              <w:t xml:space="preserve"> de reducere cu cel puțin 55 % a emisiilor nete de GES până în 2030 și un obiectiv de reducere cu 90 % până în 2040, comparativ cu nivelurile din 1990 </w:t>
            </w:r>
            <w:r>
              <w:rPr>
                <w:b/>
                <w:i/>
              </w:rPr>
              <w:t>și</w:t>
            </w:r>
            <w:r>
              <w:t xml:space="preserve"> împreună cu flexibilitățile </w:t>
            </w:r>
            <w:r>
              <w:rPr>
                <w:b/>
                <w:i/>
              </w:rPr>
              <w:t>legate de plafonul de 5% pentru certificatele de emisii internaționale, precum și neutralitatea climatică până în 2050, fără a ține seama, printre altele, de diferitele contexte și condiții naționale, în special de baza industrială și mixul energetic, de provocările și barierele globale, de accesul limitat la finanțare la prețuri accesibile și previzibilă, de lacunele tehnologice și de constrângerile de capacitate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E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Consiliul științific consultativ european privind schimbările climatice recomandă să se elimine total de urgență subvențiile la combustibilii fosili în UE, în conformitate cu angajamentele existente;</w:t>
            </w:r>
            <w:r>
              <w:t xml:space="preserve"> </w:t>
            </w:r>
            <w:r>
              <w:rPr>
                <w:b/>
                <w:i/>
              </w:rPr>
              <w:t>întrucât cel de al 8-lea Program de acțiune pentru mediu (PAM) impune să se fixeze un termen-limită clar pentru încetarea acestor subvenții, în acord cu acest obiectiv ambițios în materie de climă;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potrivit raportului comun al C3S și OMM, anul 2025 a fost al treilea cel mai cald an înregistrat vreodată, temperatura globală fiind estimată la 1,4 °C peste nivelurile preindustriale</w:t>
            </w:r>
            <w:r>
              <w:rPr>
                <w:vertAlign w:val="superscript"/>
              </w:rPr>
              <w:t>11</w:t>
            </w:r>
            <w:r>
              <w:t>;</w:t>
            </w:r>
          </w:p>
        </w:tc>
        <w:tc>
          <w:tcPr>
            <w:tcW w:w="4876" w:type="dxa"/>
            <w:tcBorders>
              <w:top w:val="nil"/>
              <w:left w:val="nil"/>
              <w:bottom w:val="nil"/>
              <w:right w:val="nil"/>
            </w:tcBorders>
          </w:tcPr>
          <w:p>
            <w:pPr>
              <w:pStyle w:val="Normal6a"/>
            </w:pPr>
            <w:r>
              <w:t>F.</w:t>
            </w:r>
            <w:r>
              <w:tab/>
            </w:r>
            <w:r>
              <w:t>întrucât, potrivit raportului comun al C3S și OMM, anul 2025 a fost al treilea cel mai cald an înregistrat vreodată, temperatura globală fiind estimată la 1,4 °C peste nivelurile preindustriale</w:t>
            </w:r>
            <w:r>
              <w:rPr>
                <w:vertAlign w:val="superscript"/>
              </w:rPr>
              <w:t>11</w:t>
            </w:r>
            <w:r>
              <w:t xml:space="preserve">; </w:t>
            </w:r>
            <w:r>
              <w:rPr>
                <w:b/>
                <w:i/>
              </w:rPr>
              <w:t>întrucât, potrivit constatărilor CPMTM, ultimii 11 ani au fost cei mai calzi 11 ani înregistrați vreodată, iar 2023-2025 au fost cei mai calzi trei ani înregistrați vreodată, cu o temperatură globală care, pentru prima dată, depășește în medie cu peste 1,5 °C nivelul preindustrial pe o perioadă de trei ani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Centrul european pentru prognoze meteorologice pe termen mediu, 2026, https://climate.copernicus.eu/copernicus-2025-was-third-hottest-year-record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C3S-OMM, 2026, European State of the Climate Report 2025 (Raportul privind starea climei în Europa în 2025.</w:t>
            </w:r>
          </w:p>
        </w:tc>
        <w:tc>
          <w:tcPr>
            <w:tcW w:w="4876" w:type="dxa"/>
            <w:tcBorders>
              <w:top w:val="nil"/>
              <w:left w:val="nil"/>
              <w:bottom w:val="nil"/>
              <w:right w:val="nil"/>
            </w:tcBorders>
          </w:tcPr>
          <w:p>
            <w:pPr>
              <w:pStyle w:val="Normal6a"/>
            </w:pPr>
            <w:r>
              <w:rPr>
                <w:vertAlign w:val="superscript"/>
              </w:rPr>
              <w:t>11</w:t>
            </w:r>
            <w:r>
              <w:t xml:space="preserve"> </w:t>
            </w:r>
            <w:r>
              <w:t>C3S-OMM, 2026, European State of the Climate Report 2025 (Raportul privind starea climei în Europa în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potrivit raportului comun </w:t>
            </w:r>
            <w:r>
              <w:rPr>
                <w:b/>
                <w:i/>
              </w:rPr>
              <w:t>al</w:t>
            </w:r>
            <w:r>
              <w:t xml:space="preserve"> C3S și OMM, </w:t>
            </w:r>
            <w:r>
              <w:rPr>
                <w:b/>
                <w:i/>
              </w:rPr>
              <w:t>anul</w:t>
            </w:r>
            <w:r>
              <w:t xml:space="preserve"> 2025 a fost al treilea cel mai cald an înregistrat vreodată, temperatura globală fiind estimată la 1,4 °C peste nivelurile preindustriale</w:t>
            </w:r>
            <w:r>
              <w:rPr>
                <w:vertAlign w:val="superscript"/>
              </w:rPr>
              <w:t>11</w:t>
            </w:r>
            <w:r>
              <w:t>;</w:t>
            </w:r>
          </w:p>
        </w:tc>
        <w:tc>
          <w:tcPr>
            <w:tcW w:w="4876" w:type="dxa"/>
            <w:tcBorders>
              <w:top w:val="nil"/>
              <w:left w:val="nil"/>
              <w:bottom w:val="nil"/>
              <w:right w:val="nil"/>
            </w:tcBorders>
          </w:tcPr>
          <w:p>
            <w:pPr>
              <w:pStyle w:val="Normal6a"/>
            </w:pPr>
            <w:r>
              <w:t>F.</w:t>
            </w:r>
            <w:r>
              <w:tab/>
            </w:r>
            <w:r>
              <w:t xml:space="preserve">întrucât, potrivit raportului comun C3S și OMM, 2025 a fost al treilea cel mai cald an înregistrat vreodată, temperatura globală fiind estimată la 1,4 °C peste nivelurile preindustriale </w:t>
            </w:r>
            <w:r>
              <w:rPr>
                <w:b/>
                <w:i/>
              </w:rPr>
              <w:t>și, pe baza estimărilor prin satelit, în 2025 concentrațiile atmosferice medii globale de CO2 și CH4 au continuat să crească</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C3S-OMM, 2026, European State of the Climate Report 2025 (Raportul privind starea climei în Europa în 2025.</w:t>
            </w:r>
          </w:p>
        </w:tc>
        <w:tc>
          <w:tcPr>
            <w:tcW w:w="4876" w:type="dxa"/>
            <w:tcBorders>
              <w:top w:val="nil"/>
              <w:left w:val="nil"/>
              <w:bottom w:val="nil"/>
              <w:right w:val="nil"/>
            </w:tcBorders>
          </w:tcPr>
          <w:p>
            <w:pPr>
              <w:pStyle w:val="Normal6a"/>
            </w:pPr>
            <w:r>
              <w:rPr>
                <w:vertAlign w:val="superscript"/>
              </w:rPr>
              <w:t>11</w:t>
            </w:r>
            <w:r>
              <w:t xml:space="preserve"> </w:t>
            </w:r>
            <w:r>
              <w:t>C3S-OMM, 2026, European State of the Climate Report 2025 (Raportul privind starea climei în Europa în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viitoarea președinție a COP31 a lansat un Plan global de acțiune de combatere a schimbărilor climatice menit să elimine decalajul între nivelurile de punere în aplicare a Acordului de la Paris prin obiective de transformare concrete, măsurabile și la nivelul întregii economii, inclusiv o pondere mai mare a electrificării în cererea finală de energie, reducerea semnificativă a generării de deșeuri și a emisiilor de metan asociate, promovarea industrializării verzi prin sprijinirea economiei circulare și creșterea substanțială a eficienței energetice a clădirilor, considerată pilon esențial pentru orașe reziliente și neutre ca impact asupra climei;</w:t>
            </w:r>
            <w:r>
              <w:t xml:space="preserve"> </w:t>
            </w:r>
            <w:r>
              <w:rPr>
                <w:b/>
                <w:i/>
              </w:rPr>
              <w:t>întrucât din aceste obiective reiese că următoarea etapă a acțiunilor pentru climă la nivel mondial trebuie să constituie o mutație decisivă de la luarea de angajamente la concretizarea lor pe scară largă în toate sectoarele economiei;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întrucât, după cum a subliniat Consiliul științific consultativ european privind schimbările climatice, eliminarea treptată în regim de urgență a subvențiilor la combustibilii fosili în întreaga UE este esențială pentru a ne alinia la obiectivul de limitare a încălzirii globale la 1,5 °C;</w:t>
            </w:r>
            <w:r>
              <w:t xml:space="preserve"> </w:t>
            </w:r>
            <w:r>
              <w:rPr>
                <w:b/>
                <w:i/>
              </w:rPr>
              <w:t>întrucât cel de al 8-lea Program de acțiune pentru mediu (PAM) impune stabilirea unui termen-limită clar pentru încetarea acestor subvenții, în conformitate cu acest obiectiv ambițios pentru climă;</w:t>
            </w:r>
            <w:r>
              <w:t xml:space="preserve"> </w:t>
            </w:r>
            <w:r>
              <w:rPr>
                <w:b/>
                <w:i/>
              </w:rPr>
              <w:t>întrucât multe state membre nu au adoptat încă planuri sau calendare concrete pentru a atinge acest obiectiv;</w:t>
            </w:r>
            <w:r>
              <w:t xml:space="preserve"> </w:t>
            </w:r>
            <w:r>
              <w:rPr>
                <w:b/>
                <w:i/>
              </w:rPr>
              <w:t>întrucât faptul că se acordă în continuare subvenții pentru combustibili fosili subminează tranziția către energia regenerabilă, denaturează alocarea echitabilă a resurselor și pune în pericol capacitatea UE de a-și îndeplini angajamentele asumate prin Acordul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întrucât Uniunea a participat la lansarea la COP26 a angajamentului mondial privind metanul, care urmărește ca în 2030 să reducă emisiile de metan cu 30 % față de nivelurile din 2020;</w:t>
            </w:r>
            <w:r>
              <w:t xml:space="preserve"> </w:t>
            </w:r>
            <w:r>
              <w:rPr>
                <w:b/>
                <w:i/>
              </w:rPr>
              <w:t>întrucât Secretarul General al Organizației Națiunilor Unite a lansat un apel la acțiune la nivel mondial privind metanul, care vizează sectorul deșeurilor, sectorul agricol și, în special, sectoarele cărbunelui, petrolului și gazelor;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întrucât Comisia Europeană, președinția COP30, președinția COP31, președinția COP32, Canada, Filipine, Republica Coreea, Regatul Unit, Agenția Internațională a Energiei și Agenția Internațională pentru Energie Regenerabilă, împreună cu companiile industriale de top, au lansat „Electrify Now”, o platformă globală pentru a accelera electrificarea economiei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întrucât conservarea, protejarea și refacerea naturii și a ecosistemelor sunt esențiale pentru a atinge ținta de temperatură prevăzută în Acordul de la Paris, inclusiv prin eforturi sporite de a opri și inversa tendința de defrișări și degradare a pădurilor până în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întrucât, potrivit raportului Centrului de reziliență de la Stockholm intitulat „Planetary Health Check 2025” (Bilanțul de sănătate al planetei 2025)</w:t>
            </w:r>
            <w:r>
              <w:rPr>
                <w:b/>
                <w:i/>
                <w:vertAlign w:val="superscript"/>
              </w:rPr>
              <w:t>12</w:t>
            </w:r>
            <w:r>
              <w:rPr>
                <w:b/>
                <w:i/>
              </w:rPr>
              <w:t>, șapte din cele nouă limite planetare au fost depășite,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Centrul de Reziliență de la Stockholm, 2025, „Planetary Health Check 2025” (Bilanțul de sănătate al planetei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potrivit raportului Centrului de reziliență de la Stockholm intitulat „Planetary Health Check 2025” (Bilanțul de sănătate al planetei 2025)</w:t>
            </w:r>
            <w:r>
              <w:rPr>
                <w:vertAlign w:val="superscript"/>
              </w:rPr>
              <w:t>12</w:t>
            </w:r>
            <w:r>
              <w:t xml:space="preserve">, șapte din cele nouă limite planetare </w:t>
            </w:r>
            <w:r>
              <w:rPr>
                <w:b/>
                <w:i/>
              </w:rPr>
              <w:t>au fost depășite,</w:t>
            </w:r>
          </w:p>
        </w:tc>
        <w:tc>
          <w:tcPr>
            <w:tcW w:w="4876" w:type="dxa"/>
            <w:tcBorders>
              <w:top w:val="nil"/>
              <w:left w:val="nil"/>
              <w:bottom w:val="nil"/>
              <w:right w:val="nil"/>
            </w:tcBorders>
          </w:tcPr>
          <w:p>
            <w:pPr>
              <w:pStyle w:val="Normal6a"/>
            </w:pPr>
            <w:r>
              <w:t>G.</w:t>
            </w:r>
            <w:r>
              <w:tab/>
            </w:r>
            <w:r>
              <w:t>întrucât, potrivit raportului Centrului de reziliență de la Stockholm intitulat „Planetary Health Check 2025”</w:t>
            </w:r>
            <w:r>
              <w:rPr>
                <w:vertAlign w:val="superscript"/>
              </w:rPr>
              <w:t>12</w:t>
            </w:r>
            <w:r>
              <w:t xml:space="preserve"> (Bilanțul de sănătate al planetei 2025), </w:t>
            </w:r>
            <w:r>
              <w:rPr>
                <w:b/>
                <w:i/>
              </w:rPr>
              <w:t>au fost depășite</w:t>
            </w:r>
            <w:r>
              <w:t xml:space="preserve"> șapte din cele nouă limite planetare</w:t>
            </w:r>
            <w:r>
              <w:rPr>
                <w:b/>
                <w:i/>
              </w:rPr>
              <w:t>, inclusiv limita pentru schimbări climatice;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Centrul de Reziliență de la Stockholm, 2025, „Planetary Health Check 2025” (Bilanțul de sănătate al planetei 2025).</w:t>
            </w:r>
          </w:p>
        </w:tc>
        <w:tc>
          <w:tcPr>
            <w:tcW w:w="4876" w:type="dxa"/>
            <w:tcBorders>
              <w:top w:val="nil"/>
              <w:left w:val="nil"/>
              <w:bottom w:val="nil"/>
              <w:right w:val="nil"/>
            </w:tcBorders>
          </w:tcPr>
          <w:p>
            <w:pPr>
              <w:pStyle w:val="Normal6a"/>
            </w:pPr>
            <w:r>
              <w:rPr>
                <w:vertAlign w:val="superscript"/>
              </w:rPr>
              <w:t>12</w:t>
            </w:r>
            <w:r>
              <w:t xml:space="preserve"> </w:t>
            </w:r>
            <w:r>
              <w:t>Centrul de Reziliență de la Stockholm, 2025, „Planetary Health Check 2025” (Bilanțul de sănătate al planetei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energia nucleară asigură în prezent circa un sfert din producția de energie electrică a UE, fiind recunoscută de Grupul interguvernamental privind schimbările climatice (IPCC) ca fiind una dintre tehnologiile cu emisii scăzute de dioxid de carbon care pot contribui la limitarea încălzirii globale la 1,5 °C;</w:t>
            </w:r>
            <w:r>
              <w:t xml:space="preserve"> </w:t>
            </w:r>
            <w:r>
              <w:rPr>
                <w:b/>
                <w:i/>
              </w:rPr>
              <w:t>întrucât Agenția Internațională a Energiei (AIE) a subliniat că până în 2050 trebuie cel puțin dublată capacitatea nucleară mondială pentru a atinge un nivel net al emisiilor egal cu zero;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energia nucleară este recunoscută ca energie cu emisii scăzute de dioxid de carbon de către Grupul interguvernamental privind schimbările climatice (IPCC) și este inclusă în toate scenariile globale care vizează atingerea neutralității carbonului până în 2050;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soluțiile bazate pe natură, inclusiv protecția, refacerea și gestionarea sustenabilă a ecosistemelor, precum pădurile, zonele umede și turbăriile, reprezintă instrumente eficiente necostisitoare și validate științific pentru a atinge obiectivele de atenuare a schimbărilor climatice și de adaptare la 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în iunie 2026, copreședinții COP31 Australia și Turcia și-au comunicat intenția de a stabili un obiectiv global de electrificare de 35 % până în 2035 în timpul COP31;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majoritatea cercetărilor atestă pierderile economice grave provocate de fiecare grad în plus de încălzire;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creșterea ca frecvență și intensitate a fenomenelor meteorologice extreme, printre care inundații, incendii forestiere, secete și valuri de căldură, provoacă daune umanitare, economice și de mediu devastatoare pretutindeni în UE, afectând disproporționat comunitățile rurale, orașele mici și regiunile cu o capacitate limitată de pregătire și redresare;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modelele de consum practicate de cetățenii UE epuizează disproporționat capacitatea Pământului de a regenera resursele naturale, omenirea având nevoie de 3 planete pentru a se susține la acest ritm de consum, față de rata medie globală de consum pentru care sunt necesare 1,7 planete;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întrucât sudul global, în special țările cel mai puțin dezvoltate și țările insulare mici în curs de dezvoltare, suferă cele mai grave consecințe ale schimbărilor climatice;</w:t>
            </w:r>
            <w:r>
              <w:t xml:space="preserve"> </w:t>
            </w:r>
            <w:r>
              <w:rPr>
                <w:b/>
                <w:i/>
              </w:rPr>
              <w:t>întrucât popoarele indigene, minoritățile, femeile și generațiile mai tinere suferă disproporționat de mult efectele schimbărilor climatice;</w:t>
            </w:r>
            <w:r>
              <w:t xml:space="preserve"> </w:t>
            </w:r>
            <w:r>
              <w:rPr>
                <w:b/>
                <w:i/>
              </w:rPr>
              <w:t>întrucât UE și alte țări industrializate au cele mai mari obligații, dată fiind răspunderea lor istorică;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Subtitlul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Starea climei în lume și necesitatea unor</w:t>
            </w:r>
            <w:r>
              <w:t xml:space="preserve"> acțiuni </w:t>
            </w:r>
            <w:r>
              <w:rPr>
                <w:b/>
                <w:i/>
              </w:rPr>
              <w:t>urgente</w:t>
            </w:r>
            <w:r>
              <w:t xml:space="preserve"> în perspectiva COP31 de la Antalya</w:t>
            </w:r>
          </w:p>
        </w:tc>
        <w:tc>
          <w:tcPr>
            <w:tcW w:w="4876" w:type="dxa"/>
            <w:tcBorders>
              <w:top w:val="nil"/>
              <w:left w:val="nil"/>
              <w:bottom w:val="nil"/>
              <w:right w:val="nil"/>
            </w:tcBorders>
          </w:tcPr>
          <w:p>
            <w:pPr>
              <w:pStyle w:val="Normal6a"/>
            </w:pPr>
            <w:r>
              <w:t>Acțiuni în perspectiva COP31 de la Antalya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Wiesner, Martin Hojsík, Sigrid Friis,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subliniază că anul 2025 a fost unul dintre cei mai calzi ani înregistrați vreodată; subliniază că fiecare dintre ultimii 10 ani se numără printre cei mai calzi 10 ani înregistrați vreodată; subliniază că Europa este continentul cu cea mai rapidă încălzire din lume;</w:t>
            </w:r>
          </w:p>
        </w:tc>
        <w:tc>
          <w:tcPr>
            <w:tcW w:w="4876" w:type="dxa"/>
            <w:tcBorders>
              <w:top w:val="nil"/>
              <w:left w:val="nil"/>
              <w:bottom w:val="nil"/>
              <w:right w:val="nil"/>
            </w:tcBorders>
          </w:tcPr>
          <w:p>
            <w:pPr>
              <w:pStyle w:val="Normal6a"/>
            </w:pPr>
            <w:r>
              <w:t>1.</w:t>
            </w:r>
            <w:r>
              <w:tab/>
            </w:r>
            <w:r>
              <w:t xml:space="preserve">subliniază că anul 2025 a fost unul dintre cei mai calzi ani înregistrați vreodată; subliniază că fiecare dintre ultimii 10 ani se numără printre cei mai calzi 10 ani înregistrați vreodată; subliniază că Europa este continentul cu cea mai rapidă încălzire din lume; </w:t>
            </w:r>
            <w:r>
              <w:rPr>
                <w:b/>
                <w:i/>
              </w:rPr>
              <w:t>trage un semnal de alarmă în legătură cu consecințele grave ale fenomenului climatic global El Niño, care, potrivit previziunilor, va fi excepțional de intens în 2026 și 2027, cu consecințe umanitare tot mai grave, printre care ramificații pentru securitatea alimentară și disponibilitatea apei;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subliniază că anul 2025 a fost unul dintre cei mai calzi ani înregistrați vreodată; subliniază că fiecare dintre ultimii 10 ani se numără printre cei mai calzi 10 ani înregistrați vreodată; subliniază că Europa este continentul </w:t>
            </w:r>
            <w:r>
              <w:rPr>
                <w:b/>
                <w:i/>
              </w:rPr>
              <w:t>cu cea mai rapidă încălzire din lume</w:t>
            </w:r>
            <w:r>
              <w:t>;</w:t>
            </w:r>
          </w:p>
        </w:tc>
        <w:tc>
          <w:tcPr>
            <w:tcW w:w="4876" w:type="dxa"/>
            <w:tcBorders>
              <w:top w:val="nil"/>
              <w:left w:val="nil"/>
              <w:bottom w:val="nil"/>
              <w:right w:val="nil"/>
            </w:tcBorders>
          </w:tcPr>
          <w:p>
            <w:pPr>
              <w:pStyle w:val="Normal6a"/>
            </w:pPr>
            <w:r>
              <w:t>1.</w:t>
            </w:r>
            <w:r>
              <w:tab/>
            </w:r>
            <w:r>
              <w:t xml:space="preserve">subliniază că anul 2025 a fost unul dintre cei mai calzi ani înregistrați vreodată; subliniază că fiecare dintre ultimii 10 ani se numără printre cei mai calzi 10 ani înregistrați vreodată; subliniază că Europa este continentul </w:t>
            </w:r>
            <w:r>
              <w:rPr>
                <w:b/>
                <w:i/>
              </w:rPr>
              <w:t>care se încălzește cel mai rapid și, prin urmare, are tot interesul să dea un imbold pentru acțiuni ambițioase în domeniul climei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că este important ca inițiativa COP 28 privind energia nucleară cu zero emisii nete să devină parte integrantă a acordului final al COP 31 în ce privește articolul 4 din Regulamentul (UE) 2024/1735 și articolul 2 din Regulamentul (UE)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recunoaște că dacă vrem să limităm încălzirea globală la 1,5 °C fără a depăși această valoare sau depășind-o cu foarte puțin trebuie să reducem radical, rapid și perseverent emisiile globale de GES, obținând o reducere de 43 % până în 2030 și de 60 % până în 2035 față de nivelul din 2019 </w:t>
            </w:r>
            <w:r>
              <w:rPr>
                <w:b/>
                <w:i/>
              </w:rPr>
              <w:t>și</w:t>
            </w:r>
            <w:r>
              <w:t xml:space="preserve"> ajungând la zero emisii nete de GES </w:t>
            </w:r>
            <w:r>
              <w:rPr>
                <w:b/>
                <w:i/>
              </w:rPr>
              <w:t>la nivel mondial</w:t>
            </w:r>
            <w:r>
              <w:t xml:space="preserve"> până în 2050;</w:t>
            </w:r>
          </w:p>
        </w:tc>
        <w:tc>
          <w:tcPr>
            <w:tcW w:w="4876" w:type="dxa"/>
            <w:tcBorders>
              <w:top w:val="nil"/>
              <w:left w:val="nil"/>
              <w:bottom w:val="nil"/>
              <w:right w:val="nil"/>
            </w:tcBorders>
          </w:tcPr>
          <w:p>
            <w:pPr>
              <w:pStyle w:val="Normal6a"/>
            </w:pPr>
            <w:r>
              <w:t>2.</w:t>
            </w:r>
            <w:r>
              <w:tab/>
            </w:r>
            <w:r>
              <w:t>recunoaște că dacă vrem să limităm încălzirea globală la 1,5 °C fără a depăși această valoare sau depășind-o cu foarte puțin trebuie să reducem radical, rapid și perseverent emisiile globale de GES, obținând o reducere de 43 % până în 2030 și de 60 % până în 2035 față de nivelul din 2019</w:t>
            </w:r>
            <w:r>
              <w:rPr>
                <w:b/>
                <w:i/>
              </w:rPr>
              <w:t>,</w:t>
            </w:r>
            <w:r>
              <w:t xml:space="preserve"> ajungând </w:t>
            </w:r>
            <w:r>
              <w:rPr>
                <w:b/>
                <w:i/>
              </w:rPr>
              <w:t>la nivel mondial</w:t>
            </w:r>
            <w:r>
              <w:t xml:space="preserve"> la zero emisii nete de GES până în 2050 </w:t>
            </w:r>
            <w:r>
              <w:rPr>
                <w:b/>
                <w:i/>
              </w:rPr>
              <w:t>și la emisii nete negative după 2050</w:t>
            </w:r>
            <w:r>
              <w:t xml:space="preserve">; </w:t>
            </w:r>
            <w:r>
              <w:rPr>
                <w:b/>
                <w:i/>
              </w:rPr>
              <w:t>recunoaște că atingerea acestor obiective presupune și acțiuni consistente de refacere a naturii și de protejare și expansiune a absorbanților de carbon;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reamintește că Organizația Meteorologică Mondială (OMM) a confirmat că ultimii ani sunt cei mai calzi de când se fac înregistrări și că temperatura globală se apropie temporar sau depășește anual 1,5 °C peste nivelurile preindustriale, în timp ce tendințele de încălzire pe termen lung continuă să se accentueze;</w:t>
            </w:r>
            <w:r>
              <w:t xml:space="preserve"> </w:t>
            </w:r>
            <w:r>
              <w:rPr>
                <w:b/>
                <w:i/>
              </w:rPr>
              <w:t>în plus, reține din concluziile celui de-al șaselea raport de evaluare (AR6) al Grupului interguvernamental privind schimbările climatice (IPCC) că influența umană este indiscutabil factorul dominant al încălzirii observate și că bugetele de carbon rămase compatibile cu obiectivul de 1,5 °C se epuizează rapid;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este alarmat de faptul că, potrivit raportului de sinteză privind CSN din 2025, dacă se implementează integral toate CSN-urile nou prezentate, inclusiv toate elementele condiționale, emisiile globale de GES nu s-ar reduce decât cu 19-24 % până în 2035 față de nivelul din 2019;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subliniază că multilateralismul joacă un rol esențial pentru a răspunde nevoii de acțiuni urgente;</w:t>
            </w:r>
            <w:r>
              <w:t xml:space="preserve"> </w:t>
            </w:r>
            <w:r>
              <w:rPr>
                <w:b/>
                <w:i/>
              </w:rPr>
              <w:t>invită toate părțile să își demonstreze angajamentul continuu față de multilateralism;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ia act de faptul că termenul din februarie 2025 pentru prezentarea CSN care fixează obiective pentru 2035 a fost depășit de marea majoritate a părților, inclusiv de UE, doar un număr redus de părți prezentându-și obiectivele până la termenul inițial; se bucură că, cu ocazia COP30 de la Belém, 108 țări, care acoperă 71 % din emisiile globale, au prezentat în cele din urmă noi </w:t>
            </w:r>
            <w:r>
              <w:rPr>
                <w:b/>
                <w:i/>
              </w:rPr>
              <w:t>CSN</w:t>
            </w:r>
            <w:r>
              <w:t xml:space="preserve">, recunoscând totodată că </w:t>
            </w:r>
            <w:r>
              <w:rPr>
                <w:b/>
                <w:i/>
              </w:rPr>
              <w:t>persistă lacune semnificative</w:t>
            </w:r>
            <w:r>
              <w:t>; invită toate părțile care nu și-au prezentat sau actualizat încă CSN să facă acest lucru fără întârziere și să se asigure că acestea sunt suficient de ambițioase și aliniate la rezultatele primei evaluări la nivel global;</w:t>
            </w:r>
          </w:p>
        </w:tc>
        <w:tc>
          <w:tcPr>
            <w:tcW w:w="4876" w:type="dxa"/>
            <w:tcBorders>
              <w:top w:val="nil"/>
              <w:left w:val="nil"/>
              <w:bottom w:val="nil"/>
              <w:right w:val="nil"/>
            </w:tcBorders>
          </w:tcPr>
          <w:p>
            <w:pPr>
              <w:pStyle w:val="Normal6a"/>
            </w:pPr>
            <w:r>
              <w:t>3.</w:t>
            </w:r>
            <w:r>
              <w:tab/>
            </w:r>
            <w:r>
              <w:t xml:space="preserve">ia act de faptul că termenul din februarie 2025 pentru prezentarea CSN care fixează obiective pentru 2035 a fost depășit de marea majoritate a părților, inclusiv de UE, doar un număr redus de părți prezentându-și obiectivele până la termenul inițial; se bucură că, cu ocazia COP30 de la Belém, 108 țări, care acoperă 71 % din emisiile globale, au prezentat în cele din urmă noi </w:t>
            </w:r>
            <w:r>
              <w:rPr>
                <w:b/>
                <w:i/>
              </w:rPr>
              <w:t>CSN-uri</w:t>
            </w:r>
            <w:r>
              <w:t xml:space="preserve">, recunoscând totodată că </w:t>
            </w:r>
            <w:r>
              <w:rPr>
                <w:b/>
                <w:i/>
              </w:rPr>
              <w:t>mai rămâne mult de făcut</w:t>
            </w:r>
            <w:r>
              <w:t xml:space="preserve">; invită toate părțile care nu și-au prezentat sau actualizat încă CSN să facă acest lucru fără întârziere și să se asigure că acestea sunt suficient de ambițioase și aliniate la rezultatele primei evaluări la nivel global; </w:t>
            </w:r>
            <w:r>
              <w:rPr>
                <w:b/>
                <w:i/>
              </w:rPr>
              <w:t>propune ca toate CSN-urile să integreze obiectivele privind crearea de locuri de muncă decente, o tranziție justă pentru toți și dimensiunile mobilității umane, inclusiv strămutarea provocată de schimbările climatice și mobilitatea umană ca strategie de adaptare;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ia act de faptul că termenul din februarie 2025 pentru prezentarea CSN care fixează obiective pentru 2035 a fost depășit de marea majoritate a părților, inclusiv de UE, doar un număr redus de părți prezentându-și obiectivele până la termenul inițial; se bucură că, cu ocazia COP30 de la Belém, 108 țări, care acoperă 71 % din emisiile globale, au prezentat în cele din urmă noi </w:t>
            </w:r>
            <w:r>
              <w:rPr>
                <w:b/>
                <w:i/>
              </w:rPr>
              <w:t>CSN</w:t>
            </w:r>
            <w:r>
              <w:t xml:space="preserve">, recunoscând totodată că </w:t>
            </w:r>
            <w:r>
              <w:rPr>
                <w:b/>
                <w:i/>
              </w:rPr>
              <w:t>persistă lacune semnificative;</w:t>
            </w:r>
            <w:r>
              <w:t xml:space="preserve"> </w:t>
            </w:r>
            <w:r>
              <w:rPr>
                <w:b/>
                <w:i/>
              </w:rPr>
              <w:t>invită toate părțile care nu și-au prezentat sau actualizat încă CSN să facă acest lucru fără întârziere și să se asigure că acestea sunt suficient de ambițioase și aliniate la rezultatele primei evaluări la nivel global</w:t>
            </w:r>
            <w:r>
              <w:t>;</w:t>
            </w:r>
          </w:p>
        </w:tc>
        <w:tc>
          <w:tcPr>
            <w:tcW w:w="4876" w:type="dxa"/>
            <w:tcBorders>
              <w:top w:val="nil"/>
              <w:left w:val="nil"/>
              <w:bottom w:val="nil"/>
              <w:right w:val="nil"/>
            </w:tcBorders>
          </w:tcPr>
          <w:p>
            <w:pPr>
              <w:pStyle w:val="Normal6a"/>
            </w:pPr>
            <w:r>
              <w:t>3.</w:t>
            </w:r>
            <w:r>
              <w:tab/>
            </w:r>
            <w:r>
              <w:t xml:space="preserve">ia act de faptul că termenul din februarie 2025 pentru prezentarea CSN care fixează obiective pentru 2035 a fost depășit de marea majoritate a părților, inclusiv de UE, doar un număr redus de părți prezentându-și obiectivele până la termenul inițial; se bucură că, cu ocazia COP30 de la Belém, 108 țări, care acoperă 71 % din emisiile globale, au prezentat în cele din urmă noi </w:t>
            </w:r>
            <w:r>
              <w:rPr>
                <w:b/>
                <w:i/>
              </w:rPr>
              <w:t>CSN-uri</w:t>
            </w:r>
            <w:r>
              <w:t xml:space="preserve">, recunoscând totodată că </w:t>
            </w:r>
            <w:r>
              <w:rPr>
                <w:b/>
                <w:i/>
              </w:rPr>
              <w:t>mai rămâne mult de făcut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ia act de faptul</w:t>
            </w:r>
            <w:r>
              <w:t xml:space="preserve"> că termenul din februarie 2025 pentru </w:t>
            </w:r>
            <w:r>
              <w:rPr>
                <w:b/>
                <w:i/>
              </w:rPr>
              <w:t>prezentarea CSN</w:t>
            </w:r>
            <w:r>
              <w:t xml:space="preserve"> care fixează obiective pentru 2035 a fost depășit de marea majoritate a părților, inclusiv de UE, doar un număr redus de părți </w:t>
            </w:r>
            <w:r>
              <w:rPr>
                <w:b/>
                <w:i/>
              </w:rPr>
              <w:t>prezentându-și</w:t>
            </w:r>
            <w:r>
              <w:t xml:space="preserve"> obiectivele până la termenul inițial; se bucură că, cu ocazia COP30 de la Belém, 108 țări, care acoperă 71 % din emisiile globale, au prezentat în cele din urmă noi </w:t>
            </w:r>
            <w:r>
              <w:rPr>
                <w:b/>
                <w:i/>
              </w:rPr>
              <w:t>CSN</w:t>
            </w:r>
            <w:r>
              <w:t xml:space="preserve">, recunoscând totodată că </w:t>
            </w:r>
            <w:r>
              <w:rPr>
                <w:b/>
                <w:i/>
              </w:rPr>
              <w:t>persistă lacune semnificative</w:t>
            </w:r>
            <w:r>
              <w:t>; invită toate părțile care nu și-au prezentat sau actualizat încă CSN să facă acest lucru fără întârziere și să se asigure că acestea sunt suficient de ambițioase și aliniate la rezultatele primei evaluări la nivel global;</w:t>
            </w:r>
          </w:p>
        </w:tc>
        <w:tc>
          <w:tcPr>
            <w:tcW w:w="4876" w:type="dxa"/>
            <w:tcBorders>
              <w:top w:val="nil"/>
              <w:left w:val="nil"/>
              <w:bottom w:val="nil"/>
              <w:right w:val="nil"/>
            </w:tcBorders>
          </w:tcPr>
          <w:p>
            <w:pPr>
              <w:pStyle w:val="Normal6a"/>
            </w:pPr>
            <w:r>
              <w:t>3.</w:t>
            </w:r>
            <w:r>
              <w:tab/>
            </w:r>
            <w:r>
              <w:rPr>
                <w:b/>
                <w:i/>
              </w:rPr>
              <w:t>regretă</w:t>
            </w:r>
            <w:r>
              <w:t xml:space="preserve"> că termenul din februarie 2025 pentru </w:t>
            </w:r>
            <w:r>
              <w:rPr>
                <w:b/>
                <w:i/>
              </w:rPr>
              <w:t>a transmite CSN-urile</w:t>
            </w:r>
            <w:r>
              <w:t xml:space="preserve"> care fixează obiective pentru 2035 a fost depășit de marea majoritate a părților, inclusiv de UE, doar un număr redus de părți </w:t>
            </w:r>
            <w:r>
              <w:rPr>
                <w:b/>
                <w:i/>
              </w:rPr>
              <w:t>reușind să își transmită</w:t>
            </w:r>
            <w:r>
              <w:t xml:space="preserve"> obiectivele până la termenul inițial; se bucură că, cu ocazia COP30 de la Belém, 108 țări, care acoperă 71 % din emisiile globale, au prezentat în cele din urmă noi </w:t>
            </w:r>
            <w:r>
              <w:rPr>
                <w:b/>
                <w:i/>
              </w:rPr>
              <w:t>CSN-uri</w:t>
            </w:r>
            <w:r>
              <w:t xml:space="preserve">, recunoscând totodată că </w:t>
            </w:r>
            <w:r>
              <w:rPr>
                <w:b/>
                <w:i/>
              </w:rPr>
              <w:t>mai rămâne mult de făcut</w:t>
            </w:r>
            <w:r>
              <w:t>; invită toate părțile care nu și-au prezentat sau actualizat încă CSN să facă acest lucru fără întârziere și să se asigure că acestea sunt suficient de ambițioase și aliniate la rezultatele primei evaluări la nivel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subliniază că aplicarea măsurilor de atenuare și de răspuns legate de rezultatele evaluării la nivel global (GST) are loc într-un context național și regional divers;</w:t>
            </w:r>
            <w:r>
              <w:t xml:space="preserve"> </w:t>
            </w:r>
            <w:r>
              <w:rPr>
                <w:b/>
                <w:i/>
              </w:rPr>
              <w:t>subliniază că persistă provocări și bariere în calea implementării părților legate de atenuare ale evaluării la nivel global, în special lipsuri tehnologice, constrângeri de capacitate, acces limitat la resurse materiale, costuri de finanțare și provocări structurale mai ample;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subliniază că COP31 </w:t>
            </w:r>
            <w:r>
              <w:rPr>
                <w:b/>
                <w:i/>
              </w:rPr>
              <w:t>marchează o etapă importantă de punere în aplicare</w:t>
            </w:r>
            <w:r>
              <w:t xml:space="preserve"> în urma mandatelor </w:t>
            </w:r>
            <w:r>
              <w:rPr>
                <w:b/>
                <w:i/>
              </w:rPr>
              <w:t>rezultate din evaluarea</w:t>
            </w:r>
            <w:r>
              <w:t xml:space="preserve"> la nivel </w:t>
            </w:r>
            <w:r>
              <w:rPr>
                <w:b/>
                <w:i/>
              </w:rPr>
              <w:t>global</w:t>
            </w:r>
            <w:r>
              <w:t xml:space="preserve"> și că </w:t>
            </w:r>
            <w:r>
              <w:rPr>
                <w:b/>
                <w:i/>
              </w:rPr>
              <w:t>sunt necesare un efort</w:t>
            </w:r>
            <w:r>
              <w:t xml:space="preserve"> colectiv și acțiuni concrete </w:t>
            </w:r>
            <w:r>
              <w:rPr>
                <w:b/>
                <w:i/>
              </w:rPr>
              <w:t>suplimentare din partea tuturor părților pentru a elimina diferența dintre nivelul preconizat și nivelul sustenabil al emisiilor</w:t>
            </w:r>
            <w:r>
              <w:t xml:space="preserve">, principalii </w:t>
            </w:r>
            <w:r>
              <w:rPr>
                <w:b/>
                <w:i/>
              </w:rPr>
              <w:t>poluatori</w:t>
            </w:r>
            <w:r>
              <w:t xml:space="preserve"> având o responsabilitate deosebită în acest sens;</w:t>
            </w:r>
          </w:p>
        </w:tc>
        <w:tc>
          <w:tcPr>
            <w:tcW w:w="4876" w:type="dxa"/>
            <w:tcBorders>
              <w:top w:val="nil"/>
              <w:left w:val="nil"/>
              <w:bottom w:val="nil"/>
              <w:right w:val="nil"/>
            </w:tcBorders>
          </w:tcPr>
          <w:p>
            <w:pPr>
              <w:pStyle w:val="Normal6a"/>
            </w:pPr>
            <w:r>
              <w:t>5.</w:t>
            </w:r>
            <w:r>
              <w:tab/>
            </w:r>
            <w:r>
              <w:t xml:space="preserve">Subliniază că COP31 </w:t>
            </w:r>
            <w:r>
              <w:rPr>
                <w:b/>
                <w:i/>
              </w:rPr>
              <w:t>a scos la iveală divergențe și limite notabile ale fazei de implementarea</w:t>
            </w:r>
            <w:r>
              <w:t xml:space="preserve"> în urma mandatelor </w:t>
            </w:r>
            <w:r>
              <w:rPr>
                <w:b/>
                <w:i/>
              </w:rPr>
              <w:t>bilanțului</w:t>
            </w:r>
            <w:r>
              <w:t xml:space="preserve"> la nivel </w:t>
            </w:r>
            <w:r>
              <w:rPr>
                <w:b/>
                <w:i/>
              </w:rPr>
              <w:t>mondial</w:t>
            </w:r>
            <w:r>
              <w:t xml:space="preserve"> și că </w:t>
            </w:r>
            <w:r>
              <w:rPr>
                <w:b/>
                <w:i/>
              </w:rPr>
              <w:t>tensiunile globale și multilateralismul limitează efortul</w:t>
            </w:r>
            <w:r>
              <w:t xml:space="preserve"> colectiv și </w:t>
            </w:r>
            <w:r>
              <w:rPr>
                <w:b/>
                <w:i/>
              </w:rPr>
              <w:t>alte</w:t>
            </w:r>
            <w:r>
              <w:t xml:space="preserve"> acțiuni concrete </w:t>
            </w:r>
            <w:r>
              <w:rPr>
                <w:b/>
                <w:i/>
              </w:rPr>
              <w:t>menite să elimine decalajul de emisii</w:t>
            </w:r>
            <w:r>
              <w:t xml:space="preserve">, principalii </w:t>
            </w:r>
            <w:r>
              <w:rPr>
                <w:b/>
                <w:i/>
              </w:rPr>
              <w:t>generatori de emisii</w:t>
            </w:r>
            <w:r>
              <w:t xml:space="preserve"> având o responsabilitate deosebită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subliniază că COP31 marchează o etapă importantă de punere în aplicare în urma mandatelor rezultate din evaluarea la nivel global și că sunt necesare un efort colectiv și acțiuni concrete suplimentare din partea tuturor părților pentru a elimina diferența dintre nivelul preconizat și nivelul sustenabil al emisiilor, </w:t>
            </w:r>
            <w:r>
              <w:rPr>
                <w:b/>
                <w:i/>
              </w:rPr>
              <w:t>principalii poluatori</w:t>
            </w:r>
            <w:r>
              <w:t xml:space="preserve"> având o responsabilitate deosebită în acest sens;</w:t>
            </w:r>
          </w:p>
        </w:tc>
        <w:tc>
          <w:tcPr>
            <w:tcW w:w="4876" w:type="dxa"/>
            <w:tcBorders>
              <w:top w:val="nil"/>
              <w:left w:val="nil"/>
              <w:bottom w:val="nil"/>
              <w:right w:val="nil"/>
            </w:tcBorders>
          </w:tcPr>
          <w:p>
            <w:pPr>
              <w:pStyle w:val="Normal6a"/>
            </w:pPr>
            <w:r>
              <w:t>5.</w:t>
            </w:r>
            <w:r>
              <w:tab/>
            </w:r>
            <w:r>
              <w:t xml:space="preserve">subliniază că COP31 marchează o etapă importantă de punere în aplicare în urma mandatelor rezultate din evaluarea la nivel global și că sunt necesare un efort colectiv și acțiuni concrete suplimentare din partea tuturor părților pentru a elimina diferența dintre nivelul preconizat și nivelul sustenabil al emisiilor, </w:t>
            </w:r>
            <w:r>
              <w:rPr>
                <w:b/>
                <w:i/>
              </w:rPr>
              <w:t>generatorii mari și istorici de emisii</w:t>
            </w:r>
            <w:r>
              <w:t xml:space="preserve"> având o responsabilitate deosebită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constată că COP31 va marca începutul procesului următoarei evaluări la nivel global;</w:t>
            </w:r>
            <w:r>
              <w:t xml:space="preserve"> </w:t>
            </w:r>
            <w:r>
              <w:rPr>
                <w:b/>
                <w:i/>
              </w:rPr>
              <w:t>subliniază că este important ca evaluarea la nivel global să se bazeze pe cele mai solide date științifice disponibile;</w:t>
            </w:r>
            <w:r>
              <w:t xml:space="preserve"> </w:t>
            </w:r>
            <w:r>
              <w:rPr>
                <w:b/>
                <w:i/>
              </w:rPr>
              <w:t>pledează în favloarea unui calendar în care publicarea celui de al șaptelea raport de evaluare al Grupului interguvernamental privind schimbările climatice să poată fi integrată în elaborarea evaluării la nivel global;</w:t>
            </w:r>
            <w:r>
              <w:t xml:space="preserve"> </w:t>
            </w:r>
            <w:r>
              <w:rPr>
                <w:b/>
                <w:i/>
              </w:rPr>
              <w:t>subliniază că în cadrul evaluării la nivel global ar trebui să se regăsească dimensiuni transversale precum egalitatea de gen, drepturile omului, incluziunea socială și protecția ecosistemelor;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reamintește că, în cadrul primei evaluări la nivel global, părțile la CCONUSC s-au angajat să contribuie la efortul global de a tripla capacitatea de energie din surse regenerabile la nivel mondial și de a dubla rata medie anuală globală de îmbunătățire a eficienței energetice până în 2030;</w:t>
            </w:r>
            <w:r>
              <w:t xml:space="preserve"> </w:t>
            </w:r>
            <w:r>
              <w:rPr>
                <w:b/>
                <w:i/>
              </w:rPr>
              <w:t>rămâne îngrijorat de progresele insuficiente pe calea atingerii acestor obiective;</w:t>
            </w:r>
            <w:r>
              <w:t xml:space="preserve"> </w:t>
            </w:r>
            <w:r>
              <w:rPr>
                <w:b/>
                <w:i/>
              </w:rPr>
              <w:t>subliniază că este esențial ca COP31 să ia ca bază aceste obiective, să ia decizii concrete pentru a le îndeplini și să întreprindă și alte măsuri dacă persistă un decalaj între rezultate și ambiții;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regretă profund</w:t>
            </w:r>
            <w:r>
              <w:t xml:space="preserve"> decizia guvernului SUA de a se retrage, pentru a doua oară, din Acordul de la Paris; </w:t>
            </w:r>
            <w:r>
              <w:rPr>
                <w:b/>
                <w:i/>
              </w:rPr>
              <w:t>invită Statele Unite să revină asupra deciziei de a se retrage din acest acord, să contribuie în mod echitabil la efortul global de combatere a schimbărilor climatice și să sprijine finanțarea combaterii schimbărilor climatice la nivel mondial, în conformitate cu Acordul de la Paris, în special dată fiind responsabilitatea acestei țări pe baza emisiilor cumulate de GES din trecut;</w:t>
            </w:r>
          </w:p>
        </w:tc>
        <w:tc>
          <w:tcPr>
            <w:tcW w:w="4876" w:type="dxa"/>
            <w:tcBorders>
              <w:top w:val="nil"/>
              <w:left w:val="nil"/>
              <w:bottom w:val="nil"/>
              <w:right w:val="nil"/>
            </w:tcBorders>
          </w:tcPr>
          <w:p>
            <w:pPr>
              <w:pStyle w:val="Normal6a"/>
            </w:pPr>
            <w:r>
              <w:t>6.</w:t>
            </w:r>
            <w:r>
              <w:tab/>
            </w:r>
            <w:r>
              <w:rPr>
                <w:b/>
                <w:i/>
              </w:rPr>
              <w:t>reține</w:t>
            </w:r>
            <w:r>
              <w:t xml:space="preserve"> decizia guvernului SUA de a se retrage, pentru a doua oară, din Acordul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regretă profund decizia guvernului SUA de a se retrage, pentru a doua oară, din Acordul de la Paris; invită Statele Unite să revină asupra deciziei de a se retrage din acest acord, să contribuie în mod echitabil la efortul global de combatere a schimbărilor climatice și să sprijine finanțarea combaterii schimbărilor climatice la nivel mondial, în conformitate cu Acordul de la Paris, în special dată fiind responsabilitatea acestei țări pe baza emisiilor cumulate de GES din trecut;</w:t>
            </w:r>
          </w:p>
        </w:tc>
        <w:tc>
          <w:tcPr>
            <w:tcW w:w="4876" w:type="dxa"/>
            <w:tcBorders>
              <w:top w:val="nil"/>
              <w:left w:val="nil"/>
              <w:bottom w:val="nil"/>
              <w:right w:val="nil"/>
            </w:tcBorders>
          </w:tcPr>
          <w:p>
            <w:pPr>
              <w:pStyle w:val="Normal6a"/>
            </w:pPr>
            <w:r>
              <w:t>6.</w:t>
            </w:r>
            <w:r>
              <w:tab/>
            </w:r>
            <w:r>
              <w:t xml:space="preserve">regretă profund decizia guvernului SUA de a se retrage, pentru a doua oară, din Acordul de la Paris; invită Statele Unite să revină asupra deciziei de a se retrage din acest acord, să contribuie în mod echitabil la efortul global de combatere a schimbărilor climatice și să sprijine finanțarea combaterii schimbărilor climatice la nivel mondial, în conformitate cu Acordul de la Paris, în special dată fiind responsabilitatea acestei țări pe baza emisiilor cumulate de GES din trecut; </w:t>
            </w:r>
            <w:r>
              <w:rPr>
                <w:b/>
                <w:i/>
              </w:rPr>
              <w:t>subliniază că UE are o răspundere deosebită și un interes strategic să coordoneze acțiunile de combatere a schimbărilor climatice la nivel mondial și să restabilească încrederea în 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se bucură să afle de lansarea Agendei de acțiune la nivel mondial a președinției COP31 și de anunțul că la COP31 se va negocia o serie de obiective clare și măsurabile;</w:t>
            </w:r>
            <w:r>
              <w:t xml:space="preserve"> </w:t>
            </w:r>
            <w:r>
              <w:rPr>
                <w:b/>
                <w:i/>
              </w:rPr>
              <w:t>sprijină pe deplin obiectivul de accelerare a tranziției către o energie curată prin creșterea ratei de electrificare la nivel mondial;</w:t>
            </w:r>
            <w:r>
              <w:t xml:space="preserve"> </w:t>
            </w:r>
            <w:r>
              <w:rPr>
                <w:b/>
                <w:i/>
              </w:rPr>
              <w:t>sprijină pe deplin stabilirea de obiective de reducere a deșeurilor la nivel mondial, inclusiv a emisiilor de metan provenite din deșeuri, pe calea către zero deșeuri;</w:t>
            </w:r>
            <w:r>
              <w:t xml:space="preserve"> </w:t>
            </w:r>
            <w:r>
              <w:rPr>
                <w:b/>
                <w:i/>
              </w:rPr>
              <w:t>sprijină din toată inima obiectivul de a promova industrializarea verde și de a sprijini economia circulară mărind rata globală de utilizare circulară a materialelor;</w:t>
            </w:r>
            <w:r>
              <w:t xml:space="preserve"> </w:t>
            </w:r>
            <w:r>
              <w:rPr>
                <w:b/>
                <w:i/>
              </w:rPr>
              <w:t>sprijină pe deplin stabilirea de obiective pentru a reduce intensitatea consumului de energie în sectorul construcțiilor;</w:t>
            </w:r>
            <w:r>
              <w:t xml:space="preserve"> </w:t>
            </w:r>
            <w:r>
              <w:rPr>
                <w:b/>
                <w:i/>
              </w:rPr>
              <w:t>invită toate părțile să contribuie la obiective foarte bine stabilite și să se angajeze pe deplin să leducă la îndeplinire;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recunoaște, cu toate acestea, că retragerea guvernului Statelor Unite din Acordul de la Paris a avut un impact limitat asupra traiectoriei generale a ambiției globale în materie de climă, marea majoritate a țărilor menținându-și și consolidându-și angajamentele față de obiectivele acordului;</w:t>
            </w:r>
            <w:r>
              <w:t xml:space="preserve"> </w:t>
            </w:r>
            <w:r>
              <w:rPr>
                <w:b/>
                <w:i/>
              </w:rPr>
              <w:t>admite, de asemenea, că, în pofida poziției guvernului federal, un număr semnificativ de state, orașe și regiuni din Statele Unite continuă să își promoveze propriile eforturi de decarbonizare, contribuind la acțiunile climatice la nivel mondial prin cercetare, inovare și colaborare susținută cu comunitatea internațională;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Everding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regretă că COP31 urmează să aibă loc în Turcia, în pofida preocupărilor actuale cu privire la tratamentul animalelor fără stăpân, inclusiv a relatărilor despre uciderea pe scară largă a câinilor maidanezi ca urmare a punerii în aplicare a Legii privind animalele din 2024;</w:t>
            </w:r>
            <w:r>
              <w:t xml:space="preserve"> </w:t>
            </w:r>
            <w:r>
              <w:rPr>
                <w:b/>
                <w:i/>
              </w:rPr>
              <w:t>subliniază că respectarea bunăstării animalelor face parte integrantă din dezvoltarea durabilă și din responsabilitatea față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regretă faptul că cel de-al 7-lea raport de evaluare al IPCC urmează să fie publicat abia la sfârșitul anului 2029, recunoscând importanța pe care ar putea să o aibă acesta pentru lucrările privind următoarea evaluare la nivel global, în cazul în care ar fi publicat mai devreme;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invită statele americane și actorii neguvernamentali să continue să se implice în cooperarea internațională în domeniul climei, inclusiv în cadrul COP, în pofida retragerii anunțate a guvernului SUA din Acordul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subliniază că </w:t>
            </w:r>
            <w:r>
              <w:rPr>
                <w:b/>
                <w:i/>
              </w:rPr>
              <w:t>atenuarea,</w:t>
            </w:r>
            <w:r>
              <w:t xml:space="preserve"> prin reduceri </w:t>
            </w:r>
            <w:r>
              <w:rPr>
                <w:b/>
                <w:i/>
              </w:rPr>
              <w:t>ambițioase și susținute</w:t>
            </w:r>
            <w:r>
              <w:t xml:space="preserve"> ale emisiilor de GES</w:t>
            </w:r>
            <w:r>
              <w:rPr>
                <w:b/>
                <w:i/>
              </w:rPr>
              <w:t>, trebuie să rămână în centrul</w:t>
            </w:r>
            <w:r>
              <w:t xml:space="preserve"> negocierilor COP </w:t>
            </w:r>
            <w:r>
              <w:rPr>
                <w:b/>
                <w:i/>
              </w:rPr>
              <w:t>și</w:t>
            </w:r>
            <w:r>
              <w:t xml:space="preserve"> invită toate părțile să se asigure că angajamentele și acțiunile lor reflectă </w:t>
            </w:r>
            <w:r>
              <w:rPr>
                <w:b/>
                <w:i/>
              </w:rPr>
              <w:t>acest rol important</w:t>
            </w:r>
            <w:r>
              <w:t>;</w:t>
            </w:r>
          </w:p>
        </w:tc>
        <w:tc>
          <w:tcPr>
            <w:tcW w:w="4876" w:type="dxa"/>
            <w:tcBorders>
              <w:top w:val="nil"/>
              <w:left w:val="nil"/>
              <w:bottom w:val="nil"/>
              <w:right w:val="nil"/>
            </w:tcBorders>
          </w:tcPr>
          <w:p>
            <w:pPr>
              <w:pStyle w:val="Normal6a"/>
            </w:pPr>
            <w:r>
              <w:t>7.</w:t>
            </w:r>
            <w:r>
              <w:tab/>
            </w:r>
            <w:r>
              <w:t xml:space="preserve">subliniază că </w:t>
            </w:r>
            <w:r>
              <w:rPr>
                <w:b/>
                <w:i/>
              </w:rPr>
              <w:t>eforturile de atenuare</w:t>
            </w:r>
            <w:r>
              <w:t xml:space="preserve"> prin reduceri ale emisiilor de GES </w:t>
            </w:r>
            <w:r>
              <w:rPr>
                <w:b/>
                <w:i/>
              </w:rPr>
              <w:t>în cadrul</w:t>
            </w:r>
            <w:r>
              <w:t xml:space="preserve"> negocierilor COP </w:t>
            </w:r>
            <w:r>
              <w:rPr>
                <w:b/>
                <w:i/>
              </w:rPr>
              <w:t>ar trebui să devină pragmatice, respectând în același timp contextele și condițiile naționale diverse;</w:t>
            </w:r>
            <w:r>
              <w:t xml:space="preserve"> invită toate părțile să se asigure că angajamentele și acțiunile lor reflectă </w:t>
            </w:r>
            <w:r>
              <w:rPr>
                <w:b/>
                <w:i/>
              </w:rPr>
              <w:t>necesitatea de a lua în considerare aspectele sociale și economice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salută decizia Mutirão adoptată la Belém și contribuția sa la consolidarea ambițiilor colective în materie de climă;</w:t>
            </w:r>
            <w:r>
              <w:t xml:space="preserve"> </w:t>
            </w:r>
            <w:r>
              <w:rPr>
                <w:b/>
                <w:i/>
              </w:rPr>
              <w:t>susține, în special, instituirea Acceleratorului global al punerii în aplicare ca mecanism concret de sprijinire a părților în transpunerea contribuțiilor stabilite la nivel național și a planurilor de adaptare în acțiuni eficace pe teren;</w:t>
            </w:r>
            <w:r>
              <w:t xml:space="preserve"> </w:t>
            </w:r>
            <w:r>
              <w:rPr>
                <w:b/>
                <w:i/>
              </w:rPr>
              <w:t>subliniază importanța acestui mecanism ca un mare pas înainte pentru reducerea decalajului dintre angajamentele politice și punerea lor în aplicare în condiții reale și invită toate părțile să participe activ la acesta și să asigure punerea sa în aplicare deplină înainte de următoarea evaluare la nivel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salută adoptarea de către Adunarea Generală a Organizației Națiunilor Unite a rezoluției care aprobă avizul consultativ al Curții Internaționale de Justiție privind schimbările climatice și consideră că acesta este un pas important către integrarea justiției climatice, a responsabilității și a drepturilor omului în regimul multilateral privind clima;</w:t>
            </w:r>
            <w:r>
              <w:t xml:space="preserve"> </w:t>
            </w:r>
            <w:r>
              <w:rPr>
                <w:b/>
                <w:i/>
              </w:rPr>
              <w:t>invită UE și statele sale membre să sprijine în mod activ punerea în aplicare a acestei rezoluții în perspectiva COP31, inclusiv prin angajamente mai ferme de reducere a emisiilor, prin creșterea finanțării combaterii schimbărilor climatice și prin accelerarea eliminării treptate a combustibililor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Wiesner, Martin Hojsík, Sigrid Friis,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subliniază importanța schemei UE de comercializare a certificatelor de emisii (EU ETS) ca cel mai eficace instrument climatic de reducere a emisiilor într-un mod eficient din punctul de vedere al costurilor;</w:t>
            </w:r>
            <w:r>
              <w:t xml:space="preserve"> </w:t>
            </w:r>
            <w:r>
              <w:rPr>
                <w:b/>
                <w:i/>
              </w:rPr>
              <w:t>subliniază că EU ETS a reușit să reducă emisiile în UE cu 47 % în 2023 comparativ cu nivelurile din 2005;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insistă asupra necesității de a accelera acțiunile de atenuare, inclusiv prin promovarea programului de lucru privind atenuarea schimbărilor climatice;</w:t>
            </w:r>
            <w:r>
              <w:t xml:space="preserve"> </w:t>
            </w:r>
            <w:r>
              <w:rPr>
                <w:b/>
                <w:i/>
              </w:rPr>
              <w:t>subliniază că este important ca aceste eforturi să contribuie la reducerea efectivă a emisiilor;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subliniază că electrificarea rapidă a sectoarelor de utilizare finală, inclusiv a transporturilor, a construcțiilor și a industriei, este indispensabilă pentru atingerea obiectivelor Acordului de la Paris și pentru reducerea dependenței de combustibilii fosili;</w:t>
            </w:r>
            <w:r>
              <w:t xml:space="preserve"> </w:t>
            </w:r>
            <w:r>
              <w:rPr>
                <w:b/>
                <w:i/>
              </w:rPr>
              <w:t>invită părțile la COP31 să se angajeze să accelereze implementarea sistemelor de energie electrică din surse regenerabile, să modernizeze și să extindă rețelele de energie electrică, să îmbunătățească eficiența energetică și să asigure accesul la energie electrică curată la prețuri accesibile;</w:t>
            </w:r>
            <w:r>
              <w:t xml:space="preserve"> </w:t>
            </w:r>
            <w:r>
              <w:rPr>
                <w:b/>
                <w:i/>
              </w:rPr>
              <w:t>subliniază că strategiile de electrificare trebuie să fie însoțite de garanții sociale solide, de investiții publice, de dezvoltarea competențelor și de măsuri de garantare a unei tranziții juste pentru lucrătorii și comunitățile afectate de renunțarea treptată la combustibilii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salută faptul că, potrivit Băncii Mondiale, puțin peste 29 % din emisiile de la nivel mondial fac în prezent obiectul stabilirii de tarife pentru emisiile de carbon;</w:t>
            </w:r>
            <w:r>
              <w:t xml:space="preserve"> </w:t>
            </w:r>
            <w:r>
              <w:rPr>
                <w:b/>
                <w:i/>
              </w:rPr>
              <w:t>regretă însă că atât nivelul de acoperire, cât și nivelul mediu al prețurilor rămân mult prea scăzute pentru a fi îndeplinite obiectivele Acordului de la Paris;</w:t>
            </w:r>
            <w:r>
              <w:t xml:space="preserve"> </w:t>
            </w:r>
            <w:r>
              <w:rPr>
                <w:b/>
                <w:i/>
              </w:rPr>
              <w:t>subliniază că stabilirea de tarife pentru emisiile de carbon generează venituri care ar putea fi utilizate pentru acțiuni climatice și o tranziție justă;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ia act de obiectivul președinției COP31 de a crește ponderea cererii finale de energie electrică de la puțin peste 20 % în prezent la 35 % până în 2035;</w:t>
            </w:r>
            <w:r>
              <w:t xml:space="preserve"> </w:t>
            </w:r>
            <w:r>
              <w:rPr>
                <w:b/>
                <w:i/>
              </w:rPr>
              <w:t>subliniază că acest obiectiv ar trebui să fie sprijinit de planuri de punere în aplicare specifice sectoarelor, de obiective de etapă măsurabile și de cadre de raportare transparente și ar trebui urmărit împreună cu extinderea rapidă a producției de energie din surse regenerabile și cu îmbunătățirea eficienței energetice, în conformitate cu obiectivele Acordului de la Paris și cu rezultatele primei evaluări la nivel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salută intenția co-organizatorilor COP31 de a stabili un obiectiv global de electrificare;</w:t>
            </w:r>
            <w:r>
              <w:t xml:space="preserve"> </w:t>
            </w:r>
            <w:r>
              <w:rPr>
                <w:b/>
                <w:i/>
              </w:rPr>
              <w:t>invită Comisia să stabilească un obiectiv clar al UE privind electrificarea înainte de COP31;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salută inițiativa președinției COP31 de a aborda impactul tot mai mare al deșeurilor și al consumului de resurse asupra climei, inclusiv obiectivul său de a reduce la jumătate creșterea preconizată a cantității de deșeuri generate la nivel mondial până în 2035;</w:t>
            </w:r>
            <w:r>
              <w:t xml:space="preserve"> </w:t>
            </w:r>
            <w:r>
              <w:rPr>
                <w:b/>
                <w:i/>
              </w:rPr>
              <w:t>constată, cu toate acestea, că reducerea ritmului de creștere a cantității de deșeuri generate nu este echivalentă cu reducerea cantității absolute de deșeuri generate și, prin urmare, invită părțile să depună eforturi în vederea reducerii absolute a cantității de deșeuri generate pe termen mediu;</w:t>
            </w:r>
            <w:r>
              <w:t xml:space="preserve"> </w:t>
            </w:r>
            <w:r>
              <w:rPr>
                <w:b/>
                <w:i/>
              </w:rPr>
              <w:t>subliniază că orice angajament de acest fel ar trebui să se bazeze pe date științifice, să fie susținut de obiective cuantificate și metodologii comune și să acorde prioritate prevenirii generării de deșeuri în detrimentul eliminării acestora;</w:t>
            </w:r>
            <w:r>
              <w:t xml:space="preserve"> </w:t>
            </w:r>
            <w:r>
              <w:rPr>
                <w:b/>
                <w:i/>
              </w:rPr>
              <w:t>invită părțile să integreze măsurile privind economia circulară în strategiile lor climatice și în CSN-uri, bazându-se în același timp pe punerea în aplicare a obiectivului de dezvoltare durabilă nr.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Subtitlul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Renunțarea treptată la combustibilii fosili</w:t>
            </w:r>
          </w:p>
        </w:tc>
        <w:tc>
          <w:tcPr>
            <w:tcW w:w="4876" w:type="dxa"/>
            <w:tcBorders>
              <w:top w:val="nil"/>
              <w:left w:val="nil"/>
              <w:bottom w:val="nil"/>
              <w:right w:val="nil"/>
            </w:tcBorders>
          </w:tcPr>
          <w:p>
            <w:pPr>
              <w:pStyle w:val="Normal6a"/>
            </w:pPr>
            <w:r>
              <w:t xml:space="preserve">Renunțarea treptată la combustibilii fosili </w:t>
            </w:r>
            <w:r>
              <w:rPr>
                <w:b/>
                <w:i/>
              </w:rPr>
              <w:t>(TAFF)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reamintește că cea mai curată și mai ieftină energie este cea care nu a fost consumată;</w:t>
            </w:r>
            <w:r>
              <w:t xml:space="preserve"> </w:t>
            </w:r>
            <w:r>
              <w:rPr>
                <w:b/>
                <w:i/>
              </w:rPr>
              <w:t>subliniază că eforturile de decarbonizare a sistemelor energetice trebuie să fie însoțite de măsuri ambițioase de reducere a cererii globale de energie, în special în țările cu venituri ridicate, cu niveluri disproporționat de ridicate de consum de resurse și energie;</w:t>
            </w:r>
            <w:r>
              <w:t xml:space="preserve"> </w:t>
            </w:r>
            <w:r>
              <w:rPr>
                <w:b/>
                <w:i/>
              </w:rPr>
              <w:t>subliniază că reducerea cererii de energie prin măsuri de economisire a energiei, de eficiență energetică și de suficiență energetică trebuie să rămână un pilon central al acțiunilor climatice, alături de implementarea tehnologiilor energetice curate;</w:t>
            </w:r>
            <w:r>
              <w:t xml:space="preserve"> </w:t>
            </w:r>
            <w:r>
              <w:rPr>
                <w:b/>
                <w:i/>
              </w:rPr>
              <w:t>invită părțile să integreze măsuri legate de cerere în CSN-urile lor și în strategiile lor pe termen 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îndeamnă toate părțile să își respecte angajamentele asumate în urma acordului la care s-a ajuns în cadrul COP30 de a accelera punerea în aplicare a Consensului EAU; salută contribuția UE la foaia de parcurs a președinției COP30 privind renunțarea treptată la combustibilii fosili într-un mod just, ordonat și echitabil;</w:t>
            </w:r>
          </w:p>
        </w:tc>
        <w:tc>
          <w:tcPr>
            <w:tcW w:w="4876" w:type="dxa"/>
            <w:tcBorders>
              <w:top w:val="nil"/>
              <w:left w:val="nil"/>
              <w:bottom w:val="nil"/>
              <w:right w:val="nil"/>
            </w:tcBorders>
          </w:tcPr>
          <w:p>
            <w:pPr>
              <w:pStyle w:val="Normal6a"/>
            </w:pPr>
            <w:r>
              <w:t>8.</w:t>
            </w:r>
            <w:r>
              <w:tab/>
            </w:r>
            <w:r>
              <w:t xml:space="preserve">îndeamnă toate părțile să își respecte angajamentele asumate în urma acordului la care s-a ajuns în cadrul COP30 de a accelera punerea în aplicare a Consensului EAU; </w:t>
            </w:r>
            <w:r>
              <w:rPr>
                <w:b/>
                <w:i/>
              </w:rPr>
              <w:t>subliniază că inițiativa președinției COP30 privind o foaie de parcurs pentru renunțarea treptată la combustibilii fosili (TAFF) și prima conferință internațională privind renunțarea treptată la combustibilii fosili care a avut loc în Columbia în aprilie 2026 sunt și ar trebui să rămână procese complementare, scopul lor final fiind acela de a informa și de a contribui la conferințele privind CCONUSC și Acordul de la Paris;</w:t>
            </w:r>
            <w:r>
              <w:t xml:space="preserve"> salută contribuția UE la foaia de parcurs a președinției COP30 privind renunțarea treptată la combustibilii fosili într-un mod just, ordonat și echitabil; </w:t>
            </w:r>
            <w:r>
              <w:rPr>
                <w:b/>
                <w:i/>
              </w:rPr>
              <w:t>îndeamnă toate părțile să sprijine, în cadrul COP31, un proces clar, ambițios și transparent prin care toate părțile convin să elaboreze o foaie de parcurs globală pentru renunțarea treptată la combustibilii fosili înainte de încheierea celei de a doua evaluări la nivel global, pe baza celor mai recente date științifice disponibile și a necesității de a continua eforturile de limitare a creșterii temperaturii la 1,5 °C peste nivelurile preindustriale, deoarece acest lucru ar reduce în mod semnificativ riscurile și impactul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îndeamnă toate părțile să își respecte angajamentele asumate în urma acordului</w:t>
            </w:r>
            <w:r>
              <w:t xml:space="preserve"> la care s-a ajuns în cadrul COP30 </w:t>
            </w:r>
            <w:r>
              <w:rPr>
                <w:b/>
                <w:i/>
              </w:rPr>
              <w:t>de a accelera</w:t>
            </w:r>
            <w:r>
              <w:t xml:space="preserve"> punerea în aplicare a Consensului EAU; </w:t>
            </w:r>
            <w:r>
              <w:rPr>
                <w:b/>
                <w:i/>
              </w:rPr>
              <w:t>salută</w:t>
            </w:r>
            <w:r>
              <w:t xml:space="preserve"> contribuția UE la foaia de parcurs a președinției COP30 privind renunțarea treptată la combustibilii fosili într-un mod just, ordonat și echitabil;</w:t>
            </w:r>
          </w:p>
        </w:tc>
        <w:tc>
          <w:tcPr>
            <w:tcW w:w="4876" w:type="dxa"/>
            <w:tcBorders>
              <w:top w:val="nil"/>
              <w:left w:val="nil"/>
              <w:bottom w:val="nil"/>
              <w:right w:val="nil"/>
            </w:tcBorders>
          </w:tcPr>
          <w:p>
            <w:pPr>
              <w:pStyle w:val="Normal6a"/>
            </w:pPr>
            <w:r>
              <w:t>8.</w:t>
            </w:r>
            <w:r>
              <w:tab/>
            </w:r>
            <w:r>
              <w:rPr>
                <w:b/>
                <w:i/>
              </w:rPr>
              <w:t>constată că acordul</w:t>
            </w:r>
            <w:r>
              <w:t xml:space="preserve"> la care s-a ajuns în cadrul COP30 </w:t>
            </w:r>
            <w:r>
              <w:rPr>
                <w:b/>
                <w:i/>
              </w:rPr>
              <w:t>accelerează</w:t>
            </w:r>
            <w:r>
              <w:t xml:space="preserve"> punerea în aplicare a Consensului EAU; </w:t>
            </w:r>
            <w:r>
              <w:rPr>
                <w:b/>
                <w:i/>
              </w:rPr>
              <w:t>ia act de</w:t>
            </w:r>
            <w:r>
              <w:t xml:space="preserve"> contribuția UE la foaia de parcurs a președinției COP30 privind renunțarea treptată la combustibilii fosili într-un mod just, ordonat și echitabil</w:t>
            </w:r>
            <w:r>
              <w:rPr>
                <w:b/>
                <w:i/>
              </w:rPr>
              <w:t>, care ar trebui să respecte și să țină seama de diferitele condiții naționale și regionale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îndeamnă toate părțile să își respecte angajamentele asumate în urma acordului la care s-a ajuns în cadrul COP30 de a accelera punerea în aplicare a Consensului EAU; salută contribuția UE la foaia de parcurs a președinției COP30 privind renunțarea treptată la combustibilii fosili într-un mod just, ordonat și echitabil;</w:t>
            </w:r>
          </w:p>
        </w:tc>
        <w:tc>
          <w:tcPr>
            <w:tcW w:w="4876" w:type="dxa"/>
            <w:tcBorders>
              <w:top w:val="nil"/>
              <w:left w:val="nil"/>
              <w:bottom w:val="nil"/>
              <w:right w:val="nil"/>
            </w:tcBorders>
          </w:tcPr>
          <w:p>
            <w:pPr>
              <w:pStyle w:val="Normal6a"/>
            </w:pPr>
            <w:r>
              <w:t>8.</w:t>
            </w:r>
            <w:r>
              <w:tab/>
            </w:r>
            <w:r>
              <w:t xml:space="preserve">îndeamnă toate părțile să își respecte angajamentele asumate în urma acordului la care s-a ajuns în cadrul COP30 de a accelera punerea în aplicare a Consensului EAU; salută contribuția UE la foaia de parcurs a președinției COP30 privind renunțarea treptată la combustibilii fosili într-un mod just, ordonat și echitabil; </w:t>
            </w:r>
            <w:r>
              <w:rPr>
                <w:b/>
                <w:i/>
              </w:rPr>
              <w:t>îndeamnă toate părțile să promoveze foaia de parcurs privind renunțarea treptată la combustibilii fosili și să o includă în negocierile oficiale ale COP31;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îndeamnă toate părțile să își respecte angajamentele asumate în urma acordului la care s-a ajuns în cadrul COP30 de a accelera punerea în aplicare a Consensului EAU; salută contribuția UE la foaia de parcurs a președinției COP30 privind renunțarea treptată la combustibilii fosili într-un mod just, ordonat și echitabil;</w:t>
            </w:r>
          </w:p>
        </w:tc>
        <w:tc>
          <w:tcPr>
            <w:tcW w:w="4876" w:type="dxa"/>
            <w:tcBorders>
              <w:top w:val="nil"/>
              <w:left w:val="nil"/>
              <w:bottom w:val="nil"/>
              <w:right w:val="nil"/>
            </w:tcBorders>
          </w:tcPr>
          <w:p>
            <w:pPr>
              <w:pStyle w:val="Normal6a"/>
            </w:pPr>
            <w:r>
              <w:t>8.</w:t>
            </w:r>
            <w:r>
              <w:tab/>
            </w:r>
            <w:r>
              <w:t xml:space="preserve">îndeamnă toate părțile să își respecte angajamentele asumate în urma acordului la care s-a ajuns în cadrul COP30 de a accelera punerea în aplicare a Consensului EAU; salută contribuția UE la foaia de parcurs a președinției COP30 privind renunțarea treptată la combustibilii fosili într-un mod just, ordonat și echitabil; </w:t>
            </w:r>
            <w:r>
              <w:rPr>
                <w:b/>
                <w:i/>
              </w:rPr>
              <w:t>solicită părților să își asume angajamente politice mai ferme în ceea ce privește eliminarea treptată a combustibililor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amintește că COP30 s-a încheiat fără ca combustibilii fosili să fie menționați în mod explicit în acordul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salută rezultatele primei conferințe privind renunțarea treptată la combustibilii fosili, care a avut loc </w:t>
            </w:r>
            <w:r>
              <w:rPr>
                <w:b/>
                <w:i/>
              </w:rPr>
              <w:t>în</w:t>
            </w:r>
            <w:r>
              <w:t xml:space="preserve"> Columbia în aprilie 2026; subliniază, în acest sens, importanța coaliției pionierilor în domeniu (First Movers Coalition); solicită UE să acționeze pe baza rezultatelor și să se coordoneze cu această coaliție în perspectiva conferințelor CCONUSC;</w:t>
            </w:r>
          </w:p>
        </w:tc>
        <w:tc>
          <w:tcPr>
            <w:tcW w:w="4876" w:type="dxa"/>
            <w:tcBorders>
              <w:top w:val="nil"/>
              <w:left w:val="nil"/>
              <w:bottom w:val="nil"/>
              <w:right w:val="nil"/>
            </w:tcBorders>
          </w:tcPr>
          <w:p>
            <w:pPr>
              <w:pStyle w:val="Normal6a"/>
            </w:pPr>
            <w:r>
              <w:t>9.</w:t>
            </w:r>
            <w:r>
              <w:tab/>
            </w:r>
            <w:r>
              <w:t xml:space="preserve">salută rezultatele primei conferințe privind renunțarea treptată la combustibilii fosili, care a avut loc </w:t>
            </w:r>
            <w:r>
              <w:rPr>
                <w:b/>
                <w:i/>
              </w:rPr>
              <w:t>la Santa Marta,</w:t>
            </w:r>
            <w:r>
              <w:t xml:space="preserve"> Columbia</w:t>
            </w:r>
            <w:r>
              <w:rPr>
                <w:b/>
                <w:i/>
              </w:rPr>
              <w:t>,</w:t>
            </w:r>
            <w:r>
              <w:t xml:space="preserve"> în aprilie 2026</w:t>
            </w:r>
            <w:r>
              <w:rPr>
                <w:b/>
                <w:i/>
              </w:rPr>
              <w:t>, ca un pas istoric și revoluționar în diplomația în domeniul climei, reunind 57 de țări – reprezentând aproximativ o treime din PIB-ul mondial – alături de populații indigene, oameni de știință, sindicate, comunități afectate în mod direct, mișcări de tineret și organizații ale societății civile;</w:t>
            </w:r>
            <w:r>
              <w:t xml:space="preserve"> </w:t>
            </w:r>
            <w:r>
              <w:rPr>
                <w:b/>
                <w:i/>
              </w:rPr>
              <w:t>salută, în special, lansarea în cadrul conferinței a unui nou grup științific internațional care să furnizeze analize specifice, flexibile și specifice fiecărei țări în sprijinul tranziției energetice, complementare IPCC;</w:t>
            </w:r>
            <w:r>
              <w:t xml:space="preserve"> </w:t>
            </w:r>
            <w:r>
              <w:rPr>
                <w:b/>
                <w:i/>
              </w:rPr>
              <w:t>invită UE și statele sale membre să joace un rol activ și de lider în continuarea procesului de la Santa Marta în perspectiva COP31, inclusiv prin promovarea unor angajamente concrete privind reforma finanțării combustibililor fosili, reducerea datoriilor pentru țările în curs de dezvoltare și eliminarea subvențiilor pentru combustibilii fosili</w:t>
            </w:r>
            <w:r>
              <w:t>; subliniază, în acest sens, importanța coaliției pionierilor în domeniu (First Movers Coalition); solicită UE să acționeze pe baza rezultatelor și să se coordoneze cu această coaliție în perspectiva conferințelor CCONUSC;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 subliniază, în acest sens, importanța coaliției pionierilor în domeniu (First Movers Coalition); solicită UE să acționeze pe baza rezultatelor și să se coordoneze cu această coaliție în perspectiva conferințelor CCONUSC;</w:t>
            </w:r>
          </w:p>
        </w:tc>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w:t>
            </w:r>
            <w:r>
              <w:rPr>
                <w:b/>
                <w:i/>
              </w:rPr>
              <w:t>; felicită Columbia și Țările de Jos pentru organizarea acestei conferințe istorice și salută continuarea procesului, inclusiv prin organizarea unei a doua conferințe în 2027</w:t>
            </w:r>
            <w:r>
              <w:t>; subliniază, în acest sens, importanța coaliției pionierilor în domeniu (First Movers Coalition); solicită UE să acționeze pe baza rezultatelor și să se coordoneze cu această coaliție</w:t>
            </w:r>
            <w:r>
              <w:rPr>
                <w:b/>
                <w:i/>
              </w:rPr>
              <w:t>,</w:t>
            </w:r>
            <w:r>
              <w:t> în perspectiva conferințelor CCONUSC</w:t>
            </w:r>
            <w:r>
              <w:rPr>
                <w:b/>
                <w:i/>
              </w:rPr>
              <w:t>, inclusiv printr-o cooperare consolidată în ceea ce privește politicile de eliminare treptată a combustibililor fosili, măsurile pentru o tranziție justă și utilizarea energiei din surse regenerabile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Sigrid Friis,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 subliniază, în acest sens, importanța coaliției pionierilor în domeniu (First Movers Coalition); solicită UE să acționeze pe baza rezultatelor și să se coordoneze cu această coaliție în perspectiva conferințelor CCONUSC;</w:t>
            </w:r>
          </w:p>
        </w:tc>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 subliniază, în acest sens, importanța coaliției pionierilor în domeniu (First Movers Coalition); solicită UE să acționeze pe baza rezultatelor și să se coordoneze cu această coaliție în perspectiva conferințelor CCONUSC</w:t>
            </w:r>
            <w:r>
              <w:rPr>
                <w:b/>
                <w:i/>
              </w:rPr>
              <w:t>, cu obiective bine încadrate în timp pentru a pune capăt extinderii utilizării combustibililor fosili și pentru a accelera eliminarea treptată a producției existente</w:t>
            </w:r>
            <w:r>
              <w:t xml:space="preserve">; </w:t>
            </w:r>
            <w:r>
              <w:rPr>
                <w:b/>
                <w:i/>
              </w:rPr>
              <w:t>subliniază că întârzierea prelungită riscă să perpetueze dependența de combustibilii fosili, subminând măsurile de combatere a schimbărilor climatice și securitatea energetică;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 subliniază, în acest sens, importanța coaliției pionierilor în domeniu (First Movers Coalition); solicită UE să acționeze pe baza rezultatelor și să se coordoneze cu această coaliție în perspectiva conferințelor CCONUSC;</w:t>
            </w:r>
          </w:p>
        </w:tc>
        <w:tc>
          <w:tcPr>
            <w:tcW w:w="4876" w:type="dxa"/>
            <w:tcBorders>
              <w:top w:val="nil"/>
              <w:left w:val="nil"/>
              <w:bottom w:val="nil"/>
              <w:right w:val="nil"/>
            </w:tcBorders>
          </w:tcPr>
          <w:p>
            <w:pPr>
              <w:pStyle w:val="Normal6a"/>
            </w:pPr>
            <w:r>
              <w:t>9.</w:t>
            </w:r>
            <w:r>
              <w:tab/>
            </w:r>
            <w:r>
              <w:t>salută rezultatele primei conferințe privind renunțarea treptată la combustibilii fosili, care a avut loc în Columbia în aprilie 2026; subliniază, în acest sens, importanța coaliției pionierilor în domeniu (First Movers Coalition); solicită UE să acționeze pe baza rezultatelor și să se coordoneze cu această coaliție în perspectiva conferințelor CCONUSC</w:t>
            </w:r>
            <w:r>
              <w:rPr>
                <w:b/>
                <w:i/>
              </w:rPr>
              <w:t>, cu un angajament politic clar privind obiectivele și calendarele pentru eliminarea treptată a subvențiilor pentru combustibilii fosili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invită părțile să elaboreze planuri cu termene precise pentru eliminarea treptată a subvențiilor pentru combustibilii fosili dăunători mediului și a producției de combustibili fosili;</w:t>
            </w:r>
            <w:r>
              <w:t xml:space="preserve"> </w:t>
            </w:r>
            <w:r>
              <w:rPr>
                <w:b/>
                <w:i/>
              </w:rPr>
              <w:t>subliniază că țările dezvoltate trebuie să preia inițiativa în ceea ce privește reducerea rapidă a producției și a consumului de combustibili fosili, oferind în același timp un sprijin financiar și tehnologic adecvat țărilor în curs de dezvoltare;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subliniază că investițiile în noi infrastructuri pentru combustibili fosili riscă să creeze dependență de carbon și active depreciate;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își exprimă îngrijorarea cu privire la investițiile continue în infrastructura de gaze fosile și în capacitatea de import de gaze naturale lichefiate;</w:t>
            </w:r>
            <w:r>
              <w:t xml:space="preserve"> </w:t>
            </w:r>
            <w:r>
              <w:rPr>
                <w:b/>
                <w:i/>
              </w:rPr>
              <w:t>reamintește că gazele fosile nu reprezintă o soluție de tranziție sustenabilă și avertizează cu privire la politicile care riscă să întârzie implementarea rapidă a energiei din surse regenerabile și a măsurilor de eficiență energetică;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amintește cât este de important să se renunțe treptat la combustibilii fosili într-un mod just, ordonat și echitabil; invită părțile la CCONUSC să </w:t>
            </w:r>
            <w:r>
              <w:rPr>
                <w:b/>
                <w:i/>
              </w:rPr>
              <w:t>elaboreze un tratat de neproliferare a combustibililor fosili și planuri cu termene precise pentru eliminarea</w:t>
            </w:r>
            <w:r>
              <w:t xml:space="preserve"> treptată a subvențiilor pentru combustibilii fosili și </w:t>
            </w:r>
            <w:r>
              <w:rPr>
                <w:b/>
                <w:i/>
              </w:rPr>
              <w:t>a producției de combustibili fosili</w:t>
            </w:r>
            <w:r>
              <w:t>;</w:t>
            </w:r>
          </w:p>
        </w:tc>
        <w:tc>
          <w:tcPr>
            <w:tcW w:w="4876" w:type="dxa"/>
            <w:tcBorders>
              <w:top w:val="nil"/>
              <w:left w:val="nil"/>
              <w:bottom w:val="nil"/>
              <w:right w:val="nil"/>
            </w:tcBorders>
          </w:tcPr>
          <w:p>
            <w:pPr>
              <w:pStyle w:val="Normal6a"/>
            </w:pPr>
            <w:r>
              <w:t>10.</w:t>
            </w:r>
            <w:r>
              <w:tab/>
            </w:r>
            <w:r>
              <w:t xml:space="preserve">amintește cât este de important să se renunțe treptat la combustibilii fosili într-un mod just, ordonat și echitabil; invită părțile la CCONUSC să </w:t>
            </w:r>
            <w:r>
              <w:rPr>
                <w:b/>
                <w:i/>
              </w:rPr>
              <w:t>accelereze acțiunile de decarbonizare a sistemelor energetice, prin implementarea unor tehnologii cu emisii scăzute de carbon, asigurând în același timp securitatea energetică, accesibilitatea din punct de vedere al prețului și competitivitatea, sprijinind reducerea</w:t>
            </w:r>
            <w:r>
              <w:t xml:space="preserve"> treptată a subvențiilor </w:t>
            </w:r>
            <w:r>
              <w:rPr>
                <w:b/>
                <w:i/>
              </w:rPr>
              <w:t>ineficiente</w:t>
            </w:r>
            <w:r>
              <w:t xml:space="preserve"> pentru combustibilii fosili și </w:t>
            </w:r>
            <w:r>
              <w:rPr>
                <w:b/>
                <w:i/>
              </w:rPr>
              <w:t>ținând seama de circumstanțele naționale, de securitatea aprovizionării și de principiul neutralității tehnologice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amintește cât este de important să se renunțe treptat la combustibilii fosili într-un mod just, ordonat și echitabil; invită părțile la CCONUSC să elaboreze un tratat de neproliferare a combustibililor fosili și planuri cu termene precise pentru eliminarea treptată a subvențiilor pentru combustibilii fosili și a producției de combustibili fosili;</w:t>
            </w:r>
          </w:p>
        </w:tc>
        <w:tc>
          <w:tcPr>
            <w:tcW w:w="4876" w:type="dxa"/>
            <w:tcBorders>
              <w:top w:val="nil"/>
              <w:left w:val="nil"/>
              <w:bottom w:val="nil"/>
              <w:right w:val="nil"/>
            </w:tcBorders>
          </w:tcPr>
          <w:p>
            <w:pPr>
              <w:pStyle w:val="Normal6a"/>
            </w:pPr>
            <w:r>
              <w:t>10.</w:t>
            </w:r>
            <w:r>
              <w:tab/>
            </w:r>
            <w:r>
              <w:t xml:space="preserve">amintește cât este de important să se renunțe treptat la combustibilii fosili într-un mod just, ordonat și echitabil; invită părțile la CCONUSC să elaboreze un tratat de neproliferare a combustibililor fosili și planuri cu termene precise pentru eliminarea treptată a subvențiilor pentru combustibilii fosili și a producției de combustibili fosili </w:t>
            </w:r>
            <w:r>
              <w:rPr>
                <w:b/>
                <w:i/>
              </w:rPr>
              <w:t>și încurajează statele membre să se alăture negocierilor pentru un astfel de tratat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amintește cât este de important să se renunțe treptat la combustibilii fosili într-un mod just, ordonat și echitabil; invită părțile la CCONUSC să elaboreze un tratat de neproliferare a combustibililor fosili și planuri cu termene precise pentru eliminarea treptată a subvențiilor pentru combustibilii fosili și a producției de combustibili fosili;</w:t>
            </w:r>
          </w:p>
        </w:tc>
        <w:tc>
          <w:tcPr>
            <w:tcW w:w="4876" w:type="dxa"/>
            <w:tcBorders>
              <w:top w:val="nil"/>
              <w:left w:val="nil"/>
              <w:bottom w:val="nil"/>
              <w:right w:val="nil"/>
            </w:tcBorders>
          </w:tcPr>
          <w:p>
            <w:pPr>
              <w:pStyle w:val="Normal6a"/>
            </w:pPr>
            <w:r>
              <w:t>10.</w:t>
            </w:r>
            <w:r>
              <w:tab/>
            </w:r>
            <w:r>
              <w:t xml:space="preserve">amintește cât este de important să se renunțe treptat la combustibilii fosili într-un mod just, ordonat și echitabil; invită părțile la CCONUSC să elaboreze un tratat de neproliferare a combustibililor fosili și planuri cu termene precise pentru eliminarea treptată a subvențiilor pentru combustibilii fosili și a producției de combustibili fosili; </w:t>
            </w:r>
            <w:r>
              <w:rPr>
                <w:b/>
                <w:i/>
              </w:rPr>
              <w:t>îndeamnă să se pună capăt noilor investiții în extracția de combustibili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Jorge Buxadé Villalba,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amintește cât este de important să se renunțe treptat la combustibilii fosili într-un mod just, ordonat și echitabil</w:t>
            </w:r>
            <w:r>
              <w:rPr>
                <w:b/>
                <w:i/>
              </w:rPr>
              <w:t>;</w:t>
            </w:r>
            <w:r>
              <w:t xml:space="preserve"> </w:t>
            </w:r>
            <w:r>
              <w:rPr>
                <w:b/>
                <w:i/>
              </w:rPr>
              <w:t>invită părțile la CCONUSC să elaboreze un tratat de neproliferare a combustibililor fosili și planuri cu termene precise pentru eliminarea treptată a subvențiilor pentru combustibilii fosili și a producției de combustibili fosili</w:t>
            </w:r>
            <w:r>
              <w:t>;</w:t>
            </w:r>
          </w:p>
        </w:tc>
        <w:tc>
          <w:tcPr>
            <w:tcW w:w="4876" w:type="dxa"/>
            <w:tcBorders>
              <w:top w:val="nil"/>
              <w:left w:val="nil"/>
              <w:bottom w:val="nil"/>
              <w:right w:val="nil"/>
            </w:tcBorders>
          </w:tcPr>
          <w:p>
            <w:pPr>
              <w:pStyle w:val="Normal6a"/>
            </w:pPr>
            <w:r>
              <w:t>10.</w:t>
            </w:r>
            <w:r>
              <w:tab/>
            </w:r>
            <w:r>
              <w:t>amintește cât este de important să se renunțe treptat la combustibilii fosili într-un mod just, ordonat și echitabil</w:t>
            </w:r>
            <w:r>
              <w:rPr>
                <w:b/>
                <w:i/>
              </w:rPr>
              <w:t>, protejând în același timp gospodăriile cele mai vulnerabile;</w:t>
            </w:r>
            <w:r>
              <w:t xml:space="preserve"> </w:t>
            </w:r>
            <w:r>
              <w:rPr>
                <w:b/>
                <w:i/>
              </w:rPr>
              <w:t>își exprimă îngrijorarea, în acest sens, cu privire la consecințele economice și sociale ale viitoarei puneri în aplicare a ETS2</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amintește cât este de important să se renunțe treptat la combustibilii fosili într-un mod just, ordonat și echitabil; invită părțile la CCONUSC să elaboreze un tratat de neproliferare a combustibililor fosili și planuri cu termene precise pentru eliminarea treptată a subvențiilor pentru combustibilii fosili și a producției de combustibili fosili;</w:t>
            </w:r>
          </w:p>
        </w:tc>
        <w:tc>
          <w:tcPr>
            <w:tcW w:w="4876" w:type="dxa"/>
            <w:tcBorders>
              <w:top w:val="nil"/>
              <w:left w:val="nil"/>
              <w:bottom w:val="nil"/>
              <w:right w:val="nil"/>
            </w:tcBorders>
          </w:tcPr>
          <w:p>
            <w:pPr>
              <w:pStyle w:val="Normal6a"/>
            </w:pPr>
            <w:r>
              <w:t>10.</w:t>
            </w:r>
            <w:r>
              <w:tab/>
            </w:r>
            <w:r>
              <w:t xml:space="preserve">amintește cât este de important să se renunțe treptat la combustibilii fosili într-un mod just, ordonat și echitabil; invită părțile la CCONUSC să elaboreze </w:t>
            </w:r>
            <w:r>
              <w:rPr>
                <w:b/>
                <w:i/>
              </w:rPr>
              <w:t>cât mai curând posibil</w:t>
            </w:r>
            <w:r>
              <w:t xml:space="preserve"> un tratat de neproliferare a combustibililor fosili și planuri cu termene precise pentru eliminarea treptată a subvențiilor pentru combustibilii fosili și a producției de combustibili fosili</w:t>
            </w:r>
            <w:r>
              <w:rPr>
                <w:b/>
                <w:i/>
              </w:rPr>
              <w:t>, UE urmând să preia rolul de lider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protecția investițiilor în combustibilii fosili, inclusiv dispozițiile privind soluționarea litigiilor dintre investitori și stat (ISDS) din tratatele comerciale și de investiții, rămâne unul dintre cele mai importante obstacole în calea unor acțiuni ambițioase în domeniul climei și a unei tranziții juste în cazul renunțării treptate la combustibilii fosili;</w:t>
            </w:r>
            <w:r>
              <w:t xml:space="preserve"> </w:t>
            </w:r>
            <w:r>
              <w:rPr>
                <w:b/>
                <w:i/>
              </w:rPr>
              <w:t>salută retragerea coordonată a Uniunii și a statelor sale membre din Tratatul privind Carta energiei și invită statele membre care nu au făcut încă acest lucru să avanseze urgent în ceea ce privește retragerea lor individuală din tratat;</w:t>
            </w:r>
            <w:r>
              <w:t xml:space="preserve"> </w:t>
            </w:r>
            <w:r>
              <w:rPr>
                <w:b/>
                <w:i/>
              </w:rPr>
              <w:t>îndeamnă Uniunea și statele sale membre ca cel târziu până la cea de a doua conferință internațională privind renunțarea treptată la combustibilii fosili să preia inițiativa lansării unei coaliții internaționale de țări care să se angajeze în retragerea colectivă din acordurile comerciale și de investiții sau în renegocierea acestora, cu scopul de a elimina dispozițiile privind soluționarea litigiilor dintre investitori și stat (ISDS) referitoare la combustibilii fosili și orice altă formă de protecție a investițiilor în combustibili fosili, eliminând în același timp clauzele de încetare a efectelor;</w:t>
            </w:r>
            <w:r>
              <w:t xml:space="preserve"> </w:t>
            </w:r>
            <w:r>
              <w:rPr>
                <w:b/>
                <w:i/>
              </w:rPr>
              <w:t>invită statele membre să dea un exemplu anunțându-și, cel târziu până la COP31, intenția de a-și renegocia toate tratatele bilaterale de investiții care conțin încă dispoziții ISDS pentru investițiile în combustibili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subvențiile globale pentru combustibilii fosili continuă să denatureze piețele energiei și să întârzie tranziția către sisteme de energie din surse regenerabile;</w:t>
            </w:r>
            <w:r>
              <w:t xml:space="preserve"> </w:t>
            </w:r>
            <w:r>
              <w:rPr>
                <w:b/>
                <w:i/>
              </w:rPr>
              <w:t>invită Uniunea și statele membre să stabilească, fără întârziere, termene clare, transparente și echitabile din punct de vedere social pentru eliminarea treptată a tuturor subvențiilor pentru combustibilii fosili dăunători mediului, inclusiv a subvențiilor directe și indirecte, a scutirilor fiscale și a mecanismelor de asigurare a capacității care sprijină producția și consumul de combustibili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Comisia să elaboreze și să prezinte, în perspectiva COP31, o strategie externă cuprinzătoare care să sprijine tranziția globală legată de renunțarea treptată la combustibilii fosili, incluzând o cooperare consolidată cu țările producătoare de combustibili fosili, sprijin pentru diversificarea economică, utilizarea energiei din surse regenerabile și strategii de dezvoltare durabilă în concordanță cu obiectivele Acordului de la Paris;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constată că gazul poate juca un rol de tranziție decisiv în contextul utilizării pe scară largă a cărbunelui și a lemnului, mai ales în regiunile care nu dispun de mijloacele necesare pentru a implementa pe scară largă energiile regenerabile sau energia nucleară pe termen scurt;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vulnerabilitățile cauzate de dependența de combustibilii fosili într-o perioadă de instabilitate geopolitică mondială;</w:t>
            </w:r>
            <w:r>
              <w:t xml:space="preserve"> </w:t>
            </w:r>
            <w:r>
              <w:rPr>
                <w:b/>
                <w:i/>
              </w:rPr>
              <w:t>subliniază importanța decarbonizării pentru autonomia strategică;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UE să dea un bun exemplu și să instituie un cadru obligatoriu pentru eliminarea treptată a combustibililor fosili la nivel transsectorial și la nivelul întregii economii, completând politicile existente;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consideră că mecanismele de soluționare a litigiilor dintre investitori și stat (ISDS), incluse în peste 2 500 de tratate de investiții, reprezintă unul dintre cele mai importante și mai subapreciate obstacole juridice în calea renunțării treptate la combustibilii fosili;</w:t>
            </w:r>
            <w:r>
              <w:t xml:space="preserve"> </w:t>
            </w:r>
            <w:r>
              <w:rPr>
                <w:b/>
                <w:i/>
              </w:rPr>
              <w:t>salută ieșirea UE și a mai multor state membre ale UE din Tratatul privind Carta energiei;</w:t>
            </w:r>
            <w:r>
              <w:t xml:space="preserve"> </w:t>
            </w:r>
            <w:r>
              <w:rPr>
                <w:b/>
                <w:i/>
              </w:rPr>
              <w:t>invită toate părțile la COP31 să trateze reforma ISDS ca pe o problemă climatică;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invită Comisia să îmbunătățească transparența în ceea ce privește evoluția preconizată a cererii și a importurilor de combustibili fosili în UE în următoarele decenii, pentru a oferi o mai mare previzibilitate țărilor partenere și pentru a facilita planificarea unor strategii de diversificare economică pe termen lung în economiile dependente de combustibilii fosili;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Emma Wiesner,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reamintește că soluționarea litigiilor dintre investitori și stat (ISDS) este utilizată frecvent de companiile energetice multinaționale pentru a solicita despăgubiri în legătură cu politicile de mediu și climatice, cum ar fi oprirea extracției de combustibili fosili, cauzând astfel o relaxare a reglementărilor și reducând marja de manevră bugetară pentru a contracara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Emma Wiesner,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reamintește că UE și mai multe state membre au părăsit Tratatul privind Carta energiei, deoarece soluționarea litigiilor dintre investitori și stat (ISDS) este considerată incompatibilă cu obligațiile și obiectivele Acordului de la Paris;</w:t>
            </w:r>
            <w:r>
              <w:t xml:space="preserve"> </w:t>
            </w:r>
            <w:r>
              <w:rPr>
                <w:b/>
                <w:i/>
              </w:rPr>
              <w:t>încurajează părțile să elimine ISDS prin revizuirea tratatelor existente și prin neincluderea ISDS în noile acorduri;</w:t>
            </w:r>
            <w:r>
              <w:t xml:space="preserve"> </w:t>
            </w:r>
            <w:r>
              <w:rPr>
                <w:b/>
                <w:i/>
              </w:rPr>
              <w:t>invită UE și statele sale membre să mobilizeze, în cadrul COP31, un grup de părți pentru a promova împreună o reformă a ISDS;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încurajează stabilirea unor dialoguri structurate între țările producătoare și consumatoare de combustibili fosili, menite să sprijine o tranziție justă, ordonată și echitabilă în cazul renunțării treptate la combustibilii fosili, inclusiv prin cooperare în materie de investiții, schimburi tehnologice și inițiative de diversificare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reamintește că decalajul dintre finanțarea necesară a combaterii schimbărilor climatice la nivel mondial și finanțarea efectiv disponibilă în prezent în acest scop este semnificativ și în creștere;</w:t>
            </w:r>
          </w:p>
        </w:tc>
        <w:tc>
          <w:tcPr>
            <w:tcW w:w="4876" w:type="dxa"/>
            <w:tcBorders>
              <w:top w:val="nil"/>
              <w:left w:val="nil"/>
              <w:bottom w:val="nil"/>
              <w:right w:val="nil"/>
            </w:tcBorders>
          </w:tcPr>
          <w:p>
            <w:pPr>
              <w:pStyle w:val="Normal6a"/>
            </w:pPr>
            <w:r>
              <w:t>11.</w:t>
            </w:r>
            <w:r>
              <w:tab/>
            </w:r>
            <w:r>
              <w:t xml:space="preserve">reamintește că decalajul dintre finanțarea necesară a combaterii schimbărilor climatice la nivel mondial și finanțarea efectiv disponibilă în prezent în acest scop este semnificativ și în creștere; </w:t>
            </w:r>
            <w:r>
              <w:rPr>
                <w:b/>
                <w:i/>
              </w:rPr>
              <w:t>ia act cu îngrijorare de Raportul UNEP privind decalajele de adaptare din 2025, care estimează deficitul de finanțare a adaptării la 310-365 de miliarde USD anual până în 2035, fluxurile de finanțare destinate adaptării în țările în curs de dezvoltare rămânând la același nivel;</w:t>
            </w:r>
            <w:r>
              <w:t xml:space="preserve"> </w:t>
            </w:r>
            <w:r>
              <w:rPr>
                <w:b/>
                <w:i/>
              </w:rPr>
              <w:t>insistă că nivelurile actuale de finanțare a combaterii schimbărilor climatice sunt departe de nevoile identificate de țările în curs de dezvoltare și sunt insuficiente pentru a sprijini o tranziție globală justă și echitabilă;</w:t>
            </w:r>
            <w:r>
              <w:t xml:space="preserve"> </w:t>
            </w:r>
            <w:r>
              <w:rPr>
                <w:b/>
                <w:i/>
              </w:rPr>
              <w:t>subliniază că, conform estimărilor, costul inacțiuni va fi semnificativ mai mare decât investițiile necesare pentru a atinge obiectivele Acordului de la Paris și pentru a construi economii reziliente la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reamintește</w:t>
            </w:r>
            <w:r>
              <w:t xml:space="preserve"> că decalajul dintre finanțarea necesară a combaterii schimbărilor climatice la nivel mondial și finanțarea efectiv disponibilă în prezent </w:t>
            </w:r>
            <w:r>
              <w:rPr>
                <w:b/>
                <w:i/>
              </w:rPr>
              <w:t>în acest scop</w:t>
            </w:r>
            <w:r>
              <w:t xml:space="preserve"> este semnificativ și în creștere;</w:t>
            </w:r>
          </w:p>
        </w:tc>
        <w:tc>
          <w:tcPr>
            <w:tcW w:w="4876" w:type="dxa"/>
            <w:tcBorders>
              <w:top w:val="nil"/>
              <w:left w:val="nil"/>
              <w:bottom w:val="nil"/>
              <w:right w:val="nil"/>
            </w:tcBorders>
          </w:tcPr>
          <w:p>
            <w:pPr>
              <w:pStyle w:val="Normal6a"/>
            </w:pPr>
            <w:r>
              <w:t>11.</w:t>
            </w:r>
            <w:r>
              <w:tab/>
            </w:r>
            <w:r>
              <w:rPr>
                <w:b/>
                <w:i/>
              </w:rPr>
              <w:t>subliniază</w:t>
            </w:r>
            <w:r>
              <w:t xml:space="preserve"> că decalajul dintre finanțarea necesară a combaterii schimbărilor climatice la nivel mondial și finanțarea efectiv disponibilă în prezent este semnificativ și în creștere </w:t>
            </w:r>
            <w:r>
              <w:rPr>
                <w:b/>
                <w:i/>
              </w:rPr>
              <w:t>și solicită ca acest decalaj să fie înlăturat în cel mai scurt timp</w:t>
            </w:r>
            <w:r>
              <w:t xml:space="preserve">; </w:t>
            </w:r>
            <w:r>
              <w:rPr>
                <w:b/>
                <w:i/>
              </w:rPr>
              <w:t>subliniază că, pentru atingerea obiectivelor Acordului de la Paris, este esențial să se asigure o finanțare adecvată a combaterii schimbărilor climatice și reamintește că contribuțiile stabilite la nivel național ale multor țări în curs de dezvoltare sunt condiționate de finanțarea internațională a combaterii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observă că UE și statele sale membre sunt cei mai mari furnizori de finanțare publică a combaterii schimbărilor climatice, asigurând aproximativ o treime din finanțarea publică globală a combaterii schimbărilor climatice, UE și statele sale membre furnizând 31,7 miliarde EUR din surse publice în 2024 și mobilizând 11 miliarde EUR din surse private</w:t>
            </w:r>
            <w:r>
              <w:rPr>
                <w:vertAlign w:val="superscript"/>
              </w:rPr>
              <w:t>13</w:t>
            </w:r>
            <w:r>
              <w:t>;</w:t>
            </w:r>
          </w:p>
        </w:tc>
        <w:tc>
          <w:tcPr>
            <w:tcW w:w="4876" w:type="dxa"/>
            <w:tcBorders>
              <w:top w:val="nil"/>
              <w:left w:val="nil"/>
              <w:bottom w:val="nil"/>
              <w:right w:val="nil"/>
            </w:tcBorders>
          </w:tcPr>
          <w:p>
            <w:pPr>
              <w:pStyle w:val="Normal6a"/>
            </w:pPr>
            <w:r>
              <w:t>12.</w:t>
            </w:r>
            <w:r>
              <w:tab/>
            </w:r>
            <w:r>
              <w:t>observă că UE și statele sale membre sunt cei mai mari furnizori de finanțare publică a combaterii schimbărilor climatice, asigurând aproximativ o treime din finanțarea publică globală a combaterii schimbărilor climatice, UE și statele sale membre furnizând 31,7 miliarde EUR din surse publice în 2024 și mobilizând 11 miliarde EUR din surse private</w:t>
            </w:r>
            <w:r>
              <w:rPr>
                <w:vertAlign w:val="superscript"/>
              </w:rPr>
              <w:t>13</w:t>
            </w:r>
            <w:r>
              <w:t xml:space="preserve">; </w:t>
            </w:r>
            <w:r>
              <w:rPr>
                <w:b/>
                <w:i/>
              </w:rPr>
              <w:t>subliniază însă că nivelurile actuale de finanțare a combaterii schimbărilor climatice rămân insuficiente pentru a răspunde la amploarea nevoilor globale de finanțare a atenuării și adaptării, precum și a pierderilor și daunelor;</w:t>
            </w:r>
            <w:r>
              <w:t xml:space="preserve"> </w:t>
            </w:r>
            <w:r>
              <w:rPr>
                <w:b/>
                <w:i/>
              </w:rPr>
              <w:t>invită UE și statele sale membre să mărească în continuare contribuțiile la finanțarea combaterii schimbărilor climatice, în special sub formă de granturi și de finanțare preferențială acordată în condiții extrem de favorabile, asigurându-se, în același timp, că finanțarea combaterii schimbărilor climatice este nouă și suplimentară față de asistența oficială pentru dezvoltare;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Consiliul Uniunii Europene, 27 octombrie 2025, comunicat de presă.</w:t>
            </w:r>
          </w:p>
        </w:tc>
        <w:tc>
          <w:tcPr>
            <w:tcW w:w="4876" w:type="dxa"/>
            <w:tcBorders>
              <w:top w:val="nil"/>
              <w:left w:val="nil"/>
              <w:bottom w:val="nil"/>
              <w:right w:val="nil"/>
            </w:tcBorders>
          </w:tcPr>
          <w:p>
            <w:pPr>
              <w:pStyle w:val="Normal6a"/>
            </w:pPr>
            <w:r>
              <w:rPr>
                <w:vertAlign w:val="superscript"/>
              </w:rPr>
              <w:t>13</w:t>
            </w:r>
            <w:r>
              <w:t xml:space="preserve"> </w:t>
            </w:r>
            <w:r>
              <w:t>Consiliul Uniunii Europene, 27 octombrie 2025, comunicat de presă.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observă că UE și statele sale membre sunt cei mai mari furnizori de finanțare publică a combaterii schimbărilor climatice, asigurând aproximativ o treime din finanțarea publică globală a combaterii schimbărilor climatice, UE și statele sale membre furnizând 31,7 miliarde EUR din surse publice în 2024 și mobilizând 11 miliarde EUR din surse private</w:t>
            </w:r>
            <w:r>
              <w:rPr>
                <w:vertAlign w:val="superscript"/>
              </w:rPr>
              <w:t>13</w:t>
            </w:r>
            <w:r>
              <w:t>;</w:t>
            </w:r>
          </w:p>
        </w:tc>
        <w:tc>
          <w:tcPr>
            <w:tcW w:w="4876" w:type="dxa"/>
            <w:tcBorders>
              <w:top w:val="nil"/>
              <w:left w:val="nil"/>
              <w:bottom w:val="nil"/>
              <w:right w:val="nil"/>
            </w:tcBorders>
          </w:tcPr>
          <w:p>
            <w:pPr>
              <w:pStyle w:val="Normal6a"/>
            </w:pPr>
            <w:r>
              <w:t>12.</w:t>
            </w:r>
            <w:r>
              <w:tab/>
            </w:r>
            <w:r>
              <w:t>observă că UE și statele sale membre sunt cei mai mari furnizori de finanțare publică a combaterii schimbărilor climatice, asigurând aproximativ o treime din finanțarea publică globală a combaterii schimbărilor climatice, UE și statele sale membre furnizând 31,7 miliarde EUR din surse publice în 2024 și mobilizând 11 miliarde EUR din surse private</w:t>
            </w:r>
            <w:r>
              <w:rPr>
                <w:b/>
                <w:i/>
              </w:rPr>
              <w:t>; invită UE și statele membre să majoreze finanțarea combaterii schimbărilor climatice ca parte a bugetului UE și a bugetelor naționale și să mobilizeze finanțarea privată a combaterii schimbărilor climatice, în vederea atingerii noului obiectiv colectiv cuantificat</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Consiliul Uniunii Europene, 27 octombrie 2025, comunicat de presă.</w:t>
            </w:r>
          </w:p>
        </w:tc>
        <w:tc>
          <w:tcPr>
            <w:tcW w:w="4876" w:type="dxa"/>
            <w:tcBorders>
              <w:top w:val="nil"/>
              <w:left w:val="nil"/>
              <w:bottom w:val="nil"/>
              <w:right w:val="nil"/>
            </w:tcBorders>
          </w:tcPr>
          <w:p>
            <w:pPr>
              <w:pStyle w:val="Normal6a"/>
            </w:pPr>
            <w:r>
              <w:rPr>
                <w:vertAlign w:val="superscript"/>
              </w:rPr>
              <w:t>13</w:t>
            </w:r>
            <w:r>
              <w:t xml:space="preserve"> </w:t>
            </w:r>
            <w:r>
              <w:t>Consiliul Uniunii Europene, 27 octombrie 2025, comunicat de presă.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toate părțile să contribuie în mod echitabil la atingerea noului obiectiv colectiv cuantificat, care ar trebui să includă obiective secundare legate de finanțarea atenuării și adaptării, precum și de finanțarea pierderilor și daunelor;</w:t>
            </w:r>
            <w:r>
              <w:t xml:space="preserve"> </w:t>
            </w:r>
            <w:r>
              <w:rPr>
                <w:b/>
                <w:i/>
              </w:rPr>
              <w:t>invită UE și statele sale membre să majoreze finanțarea nouă și suplimentară pentru combaterea schimbărilor climatice prin intermediul unui mecanism specific și previzibil de finanțare publică al UE și solicită din nou ca bugetul UE și bugetele naționale să fie adaptate pentru a atinge noul obiectiv colectiv cuantificat convenit, astfel încât UE să își aducă contribuția echitabilă la finanțarea internațională a combaterii schimbărilor climatice, în special în ceea ce privește responsabilitatea sa, pe baza emisiilor cumulate de gaze cu efect de seră din trecut;</w:t>
            </w:r>
            <w:r>
              <w:t xml:space="preserve"> </w:t>
            </w:r>
            <w:r>
              <w:rPr>
                <w:b/>
                <w:i/>
              </w:rPr>
              <w:t>consideră că noul obiectiv colectiv cuantificat reprezintă limita inferioară/pragul minim pentru mobilizarea finanțării pentru combaterea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își exprimă îngrijorarea cu privire la faptul că noul obiectiv colectiv cuantificat este atins prin reclasificarea altor fonduri;</w:t>
            </w:r>
            <w:r>
              <w:t xml:space="preserve"> </w:t>
            </w:r>
            <w:r>
              <w:rPr>
                <w:b/>
                <w:i/>
              </w:rPr>
              <w:t>menționează și preocupările legate de ambiguitatea privind tipurile de finanțare care contribuie la noul obiectiv colectiv cuantificat și, în special, de problema dublei contabilizări;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subliniază că adaptarea la schimbările climatice este subfinanțată și că noul obiectiv colectiv cuantificat nu răspunde suficient nevoilor de finanțare a adaptării;</w:t>
            </w:r>
            <w:r>
              <w:t xml:space="preserve"> </w:t>
            </w:r>
            <w:r>
              <w:rPr>
                <w:b/>
                <w:i/>
              </w:rPr>
              <w:t>subliniază importanța finanțării publice internaționale, în special în ceea ce privește finanțarea adaptării și a pierderilor și daunelor;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w:t>
            </w:r>
          </w:p>
        </w:tc>
        <w:tc>
          <w:tcPr>
            <w:tcW w:w="4876" w:type="dxa"/>
            <w:tcBorders>
              <w:top w:val="nil"/>
              <w:left w:val="nil"/>
              <w:bottom w:val="nil"/>
              <w:right w:val="nil"/>
            </w:tcBorders>
          </w:tcPr>
          <w:p>
            <w:pPr>
              <w:pStyle w:val="Normal6a"/>
            </w:pPr>
            <w:r>
              <w:t>13.</w:t>
            </w:r>
            <w:r>
              <w:tab/>
            </w:r>
            <w:r>
              <w:t xml:space="preserve">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 </w:t>
            </w:r>
            <w:r>
              <w:rPr>
                <w:b/>
                <w:i/>
              </w:rPr>
              <w:t>solicită anularea și restructurarea integrală a datoriilor țărilor în curs de dezvoltare vulnerabile la schimbările climatice care se confruntă cu o povară a datoriilor care nu este sustenabilă;</w:t>
            </w:r>
            <w:r>
              <w:t xml:space="preserve"> </w:t>
            </w:r>
            <w:r>
              <w:rPr>
                <w:b/>
                <w:i/>
              </w:rPr>
              <w:t>sprijină instituirea unui mecanism multilateral eficient de restructurare a datoriei suverane sub egida Organizației Națiunilor Unite;</w:t>
            </w:r>
            <w:r>
              <w:t xml:space="preserve"> </w:t>
            </w:r>
            <w:r>
              <w:rPr>
                <w:b/>
                <w:i/>
              </w:rPr>
              <w:t>solicită extinderea instrumentelor de conversie a datoriei în schimbul acțiunilor de combatere a schimbărilor climatice sau de protecție a naturii și ca finanțarea combaterii schimbărilor climatice să fie furnizată în principal sub formă de granturi, mai degrabă decât de împrumuturi, pentru a evita exacerbarea în continuare a vulnerabilităților legate de datorie;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w:t>
            </w:r>
          </w:p>
        </w:tc>
        <w:tc>
          <w:tcPr>
            <w:tcW w:w="4876" w:type="dxa"/>
            <w:tcBorders>
              <w:top w:val="nil"/>
              <w:left w:val="nil"/>
              <w:bottom w:val="nil"/>
              <w:right w:val="nil"/>
            </w:tcBorders>
          </w:tcPr>
          <w:p>
            <w:pPr>
              <w:pStyle w:val="Normal6a"/>
            </w:pPr>
            <w:r>
              <w:t>13.</w:t>
            </w:r>
            <w:r>
              <w:tab/>
            </w:r>
            <w:r>
              <w:t xml:space="preserve">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 </w:t>
            </w:r>
            <w:r>
              <w:rPr>
                <w:b/>
                <w:i/>
              </w:rPr>
              <w:t>reiterează, prin urmare, că finanțarea combaterii schimbărilor climatice ar trebui alocată într-un mod care să nu exacerbeze povara datoriei acestor țări, acordând prioritate finanțării bazate pe granturi;</w:t>
            </w:r>
            <w:r>
              <w:t xml:space="preserve"> </w:t>
            </w:r>
            <w:r>
              <w:rPr>
                <w:b/>
                <w:i/>
              </w:rPr>
              <w:t>invită Comisia și statele membre să evalueze opțiunile pe care le au pentru a contribui la atenuarea acestei probleme legate de datorii și să ia fără întârziere măsurile relevante;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w:t>
            </w:r>
          </w:p>
        </w:tc>
        <w:tc>
          <w:tcPr>
            <w:tcW w:w="4876" w:type="dxa"/>
            <w:tcBorders>
              <w:top w:val="nil"/>
              <w:left w:val="nil"/>
              <w:bottom w:val="nil"/>
              <w:right w:val="nil"/>
            </w:tcBorders>
          </w:tcPr>
          <w:p>
            <w:pPr>
              <w:pStyle w:val="Normal6a"/>
            </w:pPr>
            <w:r>
              <w:t>13.</w:t>
            </w:r>
            <w:r>
              <w:tab/>
            </w:r>
            <w:r>
              <w:t xml:space="preserve">observă că multe țări vulnerabile la schimbările climatice, inclusiv mai multe dintre țările cel mai puțin dezvoltate, sunt supraîndatorate sau sunt expuse unui risc semnificativ de a deveni supraîndatorate, ceea ce reduce eficacitatea finanțării internaționale a combaterii schimbărilor climatice; </w:t>
            </w:r>
            <w:r>
              <w:rPr>
                <w:b/>
                <w:i/>
              </w:rPr>
              <w:t>subliniază că este important să se pună accentul pe calitatea finanțării, asigurându-se că aceasta este accesibilă și la prețuri rezonabile, fără a crește și mai mult povara datoriei pentru țările în curs de dezvoltare;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subliniază că în cadrul organismelor ONU există un consens cu privire la faptul că finanțarea combaterii schimbărilor climatice nu poate fi extinsă în mod echitabil decât dacă se abordează criza datoriilor;</w:t>
            </w:r>
            <w:r>
              <w:t xml:space="preserve"> </w:t>
            </w:r>
            <w:r>
              <w:rPr>
                <w:b/>
                <w:i/>
              </w:rPr>
              <w:t>insistă, în acest context, asupra rolului important pe care îl joacă instrumentele de reducere a datoriilor;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solicită tuturor părților ca, atunci când finanțează noul obiectiv colectiv cuantificat, să acorde prioritate instrumentelor și măsurilor bazate pe granturi și care nu generează datorii, cu scopul de a se asigura că țările beneficiare sunt în măsură să pună în aplicare măsurile necesare de atenuare și adaptare fără a spori povara datoriei;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salută lansarea, în cadrul COP30, a cadrului global de responsabilizare în domeniul finanțării combaterii schimbărilor climatice, conceput pentru a consolida transparența, credibilitatea și încrederea în legătură cu furnizarea finanțării combaterii schimbărilor climatice;</w:t>
            </w:r>
          </w:p>
        </w:tc>
        <w:tc>
          <w:tcPr>
            <w:tcW w:w="4876" w:type="dxa"/>
            <w:tcBorders>
              <w:top w:val="nil"/>
              <w:left w:val="nil"/>
              <w:bottom w:val="nil"/>
              <w:right w:val="nil"/>
            </w:tcBorders>
          </w:tcPr>
          <w:p>
            <w:pPr>
              <w:pStyle w:val="Normal6a"/>
            </w:pPr>
            <w:r>
              <w:t>14.</w:t>
            </w:r>
            <w:r>
              <w:tab/>
            </w:r>
            <w:r>
              <w:t xml:space="preserve">salută lansarea, în cadrul COP30, a cadrului global de responsabilizare în domeniul finanțării combaterii schimbărilor climatice, conceput pentru a consolida transparența, credibilitatea și încrederea în legătură cu furnizarea finanțării combaterii schimbărilor climatice; </w:t>
            </w:r>
            <w:r>
              <w:rPr>
                <w:b/>
                <w:i/>
              </w:rPr>
              <w:t>subliniază importanța unor metodologii de raportare solide, armonizate și accesibile publicului pentru a se asigura că angajamentele de finanțare a combaterii schimbărilor climatice sunt urmărite și evaluate cu precizie;</w:t>
            </w:r>
            <w:r>
              <w:t xml:space="preserve"> </w:t>
            </w:r>
            <w:r>
              <w:rPr>
                <w:b/>
                <w:i/>
              </w:rPr>
              <w:t>solicită norme contabile clare pentru a evita dubla contabilizare și pentru a face distincția între granturi, finanțare preferențială acordată în condiții extrem de favorabile și împrumuturi la cursul pieței;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necesitatea urgentă de a simplifica, accelera și adapta procedurile de finanțare a combaterii schimbărilor climatice la realitățile țărilor în curs de dezvoltare, în special prin instituirea unor puncte de acces de tip „ghișeu unic”, prin armonizarea criteriilor de depunere a cererilor și prin furnizarea de asistență tehnică pentru pregătirea proiectelor, cu scopul de a se asigura că finanțarea combaterii schimbărilor climatice este accesibilă, rapidă și eficace pentru organizațiile și comunitățile locale care sunt cele mai afectate de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că credibilitatea angajamentelor internaționale ale Uniunii în domeniul climei depinde de resurse financiare adecvate în următorul cadru financiar multianual;</w:t>
            </w:r>
            <w:r>
              <w:t xml:space="preserve"> </w:t>
            </w:r>
            <w:r>
              <w:rPr>
                <w:b/>
                <w:i/>
              </w:rPr>
              <w:t>solicită ca obiectivele în materie de climă și biodiversitate să rămână o componentă centrală a următorului CFM, inclusiv printr-un obiectiv ambițios de integrare a aspectelor legate de climă în toate cheltuielile și instrumentele de acțiune externă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reamintește angajamentul asumat în temeiul Legii europene a climei de a majora finanțarea pentru proiectele prevăzute la articolul 6;</w:t>
            </w:r>
            <w:r>
              <w:t xml:space="preserve"> </w:t>
            </w:r>
            <w:r>
              <w:rPr>
                <w:b/>
                <w:i/>
              </w:rPr>
              <w:t>subliniază necesitatea unei cooperări la nivel mondial în ceea ce privește stabilirea unor standarde de înaltă calitate și asigurarea transparenței, a integrității climatice și a evitării dublei contabilizări;</w:t>
            </w:r>
            <w:r>
              <w:t xml:space="preserve"> </w:t>
            </w:r>
            <w:r>
              <w:rPr>
                <w:b/>
                <w:i/>
              </w:rPr>
              <w:t>subliniază necesitatea unor mecanisme ale UE pentru achiziționarea ordonată, coordonată și susținută științific a unor astfel de credite internaționale;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atrage atenția asupra inițiativei globale „Climate Implementation Bridge” anunțată de președinția COP31 ca instrument menit să reducă decalajul dintre obiectivele de finanțare a combaterii schimbărilor climatice și investițiile concrete, asigurându-se că soluțiile sustenabile de finanțare pentru combaterea schimbărilor climatice pot fi furnizate mai rapid și mai eficient;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își reiterează apelul de a face din operaționalizarea articolului 2 alineatul (1) litera (c) din Acordul de la Paris un punct permanent pe agendele COP;</w:t>
            </w:r>
            <w:r>
              <w:t xml:space="preserve"> </w:t>
            </w:r>
            <w:r>
              <w:rPr>
                <w:b/>
                <w:i/>
              </w:rPr>
              <w:t>solicită UE să se implice în inițiative internaționale, cum ar fi Inițiativa Bridgetown 3.0;</w:t>
            </w:r>
            <w:r>
              <w:t xml:space="preserve"> </w:t>
            </w:r>
            <w:r>
              <w:rPr>
                <w:b/>
                <w:i/>
              </w:rPr>
              <w:t>solicită o reformă mai rapidă a arhitecturii financiare internaționale și invită toate principalele instituții financiare internaționale și băncile multilaterale de dezvoltare să își asume rolul de bănci pentru climă și să își alinieze portofoliile și politicile de creditare la Acordul de la Paris într-un mod sustenabil din punct de vedere financiar pe termen lung;</w:t>
            </w:r>
            <w:r>
              <w:t xml:space="preserve"> </w:t>
            </w:r>
            <w:r>
              <w:rPr>
                <w:b/>
                <w:i/>
              </w:rPr>
              <w:t>solicită, de asemenea, sistemelor financiare interne și internaționale să abordeze mai bine provocările legate de schimbările climatice prin eliminarea barierelor din calea accesului la finanțarea combaterii schimbărilor climatice pentru tehnologiile curate și prin devierea fluxurilor de finanțare publică și privată de la activitățile cu emisii ridicate;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solicită ca viitorul instrument „Europa globală” să sprijine în continuare adaptarea la schimbările climatice, consolidarea rezilienței și protecția biodiversității, în special în țările cel mai puțin dezvoltate și în regiunile vulnerabile la schimbările climatice, menținând, totodată, reducerea sărăciei ca obiectiv central al acțiunii externe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consideră că Banca Europeană de Investiții (BEI) ar trebui să servească drept bancă pentru climă a UE și ia act, prin urmare, de foaia sa de parcurs privind banca pentru climă și de politica sa actualizată de acordare a împrumuturilor în domeniul energiei, precum și de eforturile suplimentare ale Fondului European de Investiții, ca etape importante pentru accelerarea progreselor legate de investițiile în domeniul climei;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constată cu îngrijorare că cel de-al șaselea raport de evaluare al IPCC estimează că aproximativ 3,3-3,6 miliarde de persoane trăiesc în contexte extrem de vulnerabile la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este necesar să se intensifice măsurile de adaptare la schimbările climatice, de consolidare a rezilienței la acestea și de pregătire în domeniu pentru a reduce la minimum efectele negative ale schimbărilor climatice și ale declinului biodiversității;</w:t>
            </w:r>
          </w:p>
        </w:tc>
        <w:tc>
          <w:tcPr>
            <w:tcW w:w="4876" w:type="dxa"/>
            <w:tcBorders>
              <w:top w:val="nil"/>
              <w:left w:val="nil"/>
              <w:bottom w:val="nil"/>
              <w:right w:val="nil"/>
            </w:tcBorders>
          </w:tcPr>
          <w:p>
            <w:pPr>
              <w:pStyle w:val="Normal6a"/>
            </w:pPr>
            <w:r>
              <w:t>15.</w:t>
            </w:r>
            <w:r>
              <w:tab/>
            </w:r>
            <w:r>
              <w:t xml:space="preserve">subliniază că este necesar să se intensifice măsurile de adaptare la schimbările climatice, de consolidare a rezilienței la acestea și de pregătire în domeniu pentru a reduce la minimum efectele negative ale schimbărilor climatice și ale declinului biodiversității; </w:t>
            </w:r>
            <w:r>
              <w:rPr>
                <w:b/>
                <w:i/>
              </w:rPr>
              <w:t>subliniază, în special, că trebuie să se elaboreze urgent strategii cuprinzătoare de prevenire, gestionare și redresare în urma fenomenelor meteorologice extreme, cum ar fi inundațiile și incendiile forestiere, asigurându-se că localitățile mai mici și regiunile rurale dispun de sprijin financiar și tehnic adecvat în acest sens;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este necesar să se intensifice măsurile de adaptare la schimbările climatice, de consolidare a rezilienței la acestea și de pregătire în domeniu pentru a reduce la minimum efectele negative ale schimbărilor climatice și ale declinului biodiversității;</w:t>
            </w:r>
          </w:p>
        </w:tc>
        <w:tc>
          <w:tcPr>
            <w:tcW w:w="4876" w:type="dxa"/>
            <w:tcBorders>
              <w:top w:val="nil"/>
              <w:left w:val="nil"/>
              <w:bottom w:val="nil"/>
              <w:right w:val="nil"/>
            </w:tcBorders>
          </w:tcPr>
          <w:p>
            <w:pPr>
              <w:pStyle w:val="Normal6a"/>
            </w:pPr>
            <w:r>
              <w:t>15.</w:t>
            </w:r>
            <w:r>
              <w:tab/>
            </w:r>
            <w:r>
              <w:t xml:space="preserve">subliniază că este necesar să se intensifice măsurile de adaptare la schimbările climatice, de consolidare a rezilienței la acestea și de pregătire în domeniu pentru a reduce la minimum efectele negative ale schimbărilor climatice și ale declinului biodiversității; </w:t>
            </w:r>
            <w:r>
              <w:rPr>
                <w:b/>
                <w:i/>
              </w:rPr>
              <w:t>invită, prin urmare, Comisia să elaboreze un pachet legislativ pentru adaptarea la schimbările climatice, cu un accent puternic pe abordările bazate pe natură și pe ecosisteme, pentru ca UE să devină mai rezilientă;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este necesar să se intensifice măsurile de adaptare la schimbările climatice, de consolidare a rezilienței la acestea și de pregătire în domeniu pentru a reduce la minimum efectele negative ale schimbărilor climatice și ale declinului biodiversității;</w:t>
            </w:r>
          </w:p>
        </w:tc>
        <w:tc>
          <w:tcPr>
            <w:tcW w:w="4876" w:type="dxa"/>
            <w:tcBorders>
              <w:top w:val="nil"/>
              <w:left w:val="nil"/>
              <w:bottom w:val="nil"/>
              <w:right w:val="nil"/>
            </w:tcBorders>
          </w:tcPr>
          <w:p>
            <w:pPr>
              <w:pStyle w:val="Normal6a"/>
            </w:pPr>
            <w:r>
              <w:t>15.</w:t>
            </w:r>
            <w:r>
              <w:tab/>
            </w:r>
            <w:r>
              <w:t xml:space="preserve">subliniază că este necesar să se intensifice măsurile de adaptare la schimbările climatice, de consolidare a rezilienței la acestea și de pregătire în domeniu pentru a reduce la minimum efectele negative ale schimbărilor climatice și ale declinului biodiversității; </w:t>
            </w:r>
            <w:r>
              <w:rPr>
                <w:b/>
                <w:i/>
              </w:rPr>
              <w:t>subliniază că adaptarea la schimbările climatice depinde de ecosisteme sănătoase și evidențiază necesitatea unei adaptări bazate pe ecosisteme;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subliniază că este </w:t>
            </w:r>
            <w:r>
              <w:rPr>
                <w:b/>
                <w:i/>
              </w:rPr>
              <w:t>necesar să se intensifice măsurile de adaptare</w:t>
            </w:r>
            <w:r>
              <w:t xml:space="preserve"> la schimbările climatice, </w:t>
            </w:r>
            <w:r>
              <w:rPr>
                <w:b/>
                <w:i/>
              </w:rPr>
              <w:t>de consolidare a</w:t>
            </w:r>
            <w:r>
              <w:t xml:space="preserve"> rezilienței la acestea și </w:t>
            </w:r>
            <w:r>
              <w:rPr>
                <w:b/>
                <w:i/>
              </w:rPr>
              <w:t>de pregătire</w:t>
            </w:r>
            <w:r>
              <w:t xml:space="preserve"> în domeniu pentru a reduce la minimum efectele negative </w:t>
            </w:r>
            <w:r>
              <w:rPr>
                <w:b/>
                <w:i/>
              </w:rPr>
              <w:t>ale schimbărilor climatice și ale declinului biodiversității</w:t>
            </w:r>
            <w:r>
              <w:t>;</w:t>
            </w:r>
          </w:p>
        </w:tc>
        <w:tc>
          <w:tcPr>
            <w:tcW w:w="4876" w:type="dxa"/>
            <w:tcBorders>
              <w:top w:val="nil"/>
              <w:left w:val="nil"/>
              <w:bottom w:val="nil"/>
              <w:right w:val="nil"/>
            </w:tcBorders>
          </w:tcPr>
          <w:p>
            <w:pPr>
              <w:pStyle w:val="Normal6a"/>
            </w:pPr>
            <w:r>
              <w:t>15.</w:t>
            </w:r>
            <w:r>
              <w:tab/>
            </w:r>
            <w:r>
              <w:t xml:space="preserve">subliniază că este </w:t>
            </w:r>
            <w:r>
              <w:rPr>
                <w:b/>
                <w:i/>
              </w:rPr>
              <w:t>necesară o abordare pragmatică în ceea ce privește adaptarea</w:t>
            </w:r>
            <w:r>
              <w:t xml:space="preserve"> la schimbările climatice, </w:t>
            </w:r>
            <w:r>
              <w:rPr>
                <w:b/>
                <w:i/>
              </w:rPr>
              <w:t>consolidarea</w:t>
            </w:r>
            <w:r>
              <w:t xml:space="preserve"> rezilienței la acestea și </w:t>
            </w:r>
            <w:r>
              <w:rPr>
                <w:b/>
                <w:i/>
              </w:rPr>
              <w:t>pregătirea</w:t>
            </w:r>
            <w:r>
              <w:t xml:space="preserve"> în domeniu pentru a reduce la minimum efectele negative </w:t>
            </w:r>
            <w:r>
              <w:rPr>
                <w:b/>
                <w:i/>
              </w:rPr>
              <w:t>asupra industriei și a populației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din cauza inacțiunii și a întârzierii acțiunii, costurile asociate adaptării vor crește, atât din perspectiva măsurilor de atenuare, cât și din cea a măsurilor de adaptare;</w:t>
            </w:r>
            <w:r>
              <w:t xml:space="preserve"> </w:t>
            </w:r>
            <w:r>
              <w:rPr>
                <w:b/>
                <w:i/>
              </w:rPr>
              <w:t>recunoaște importanța cooperării la nivel mondial și a schimbului de cunoștințe, de cele mai bune cunoștințe științifice disponibile și de bune practici în materie de adaptare la schimbările climatice, subliniind totodată rolul important al autorităților locale și regionale în conceperea și punerea în aplicare a acestor acțiuni, astfel încât ele să fie cât mai bine adaptate contextului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este important să se ia în considerare, în acest context, problema mobilității umane și necesitatea de a lua măsuri care să reducă riscul de strămutare, să consolideze reziliența, să sprijine acțiunile anticipative și alerta timpurie și să le permită oamenilor să rămână în siguranță acolo unde este posibil, să se deplaseze în siguranță și cu demnitate atunci când este necesar și să aibă acces la protecție și asistență atunci când are loc strămutarea;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recunoaște, în special la COP31, impactul schimbărilor climatice asupra statelor insulare mici, multe din regiunea Pacificului, și dificultățile uriașe în materie de adaptare cu care se confruntă aceste națiuni;</w:t>
            </w:r>
            <w:r>
              <w:t xml:space="preserve"> </w:t>
            </w:r>
            <w:r>
              <w:rPr>
                <w:b/>
                <w:i/>
              </w:rPr>
              <w:t>apreciază rolul de lider jucat de statele insulare mici în dezvoltarea Acordului de la Paris și în punerea în aplicare a cadrului său;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politicile de adaptare și reziliență sunt componente esențiale ale securității climatice;</w:t>
            </w:r>
            <w:r>
              <w:t xml:space="preserve"> </w:t>
            </w:r>
            <w:r>
              <w:rPr>
                <w:b/>
                <w:i/>
              </w:rPr>
              <w:t>solicită un sprijin sporit pentru reducerea riscului de dezastre, soluții bazate pe natură și măsuri de pregătire, în special în regiunile cele mai expuse la efectele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recunoaște că mobilitatea umană poate constitui, de asemenea, o strategie de adaptare la schimbările de mediu și climatice, inclusiv pentru comunitățile vulnerabile expuse riscului de strămutare și care se confruntă cu pierderi și daune legate de schimbările climatice, atunci când aceasta se desfășoară în condiții de siguranță, în mod ordonat, regulat și bine gestionat;</w:t>
            </w:r>
            <w:r>
              <w:t xml:space="preserve"> </w:t>
            </w:r>
            <w:r>
              <w:rPr>
                <w:b/>
                <w:i/>
              </w:rPr>
              <w:t>încurajează părțile să integreze în planurile lor naționale de adaptare dispoziții concrete privind mobilitatea populației, astfel încât să se reducă riscul de strămutare, să se consolideze reziliența, să se sprijine măsurile preventive și sistemele de alertă timpurie și să se permită populației să rămână în siguranță acolo unde este posibil, să se deplaseze în condiții de siguranță și cu demnitate atunci când este necesar și să aibă acces la protecție și asistență în cazul în care are loc o strămutare;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reiterează profunda sa îngrijorare cu privire la creșterea intensității și a frecvenței fenomenelor meteorologice extreme în UE și la nivel mondial, inclusiv a incendiilor forestiere, a secetelor, a valurilor de căldură și a inundațiilor, precum și cu privire la impactul acestora asupra sănătății umane și pierderile tot mai mari de vieți omenești;</w:t>
            </w:r>
            <w:r>
              <w:t xml:space="preserve"> </w:t>
            </w:r>
            <w:r>
              <w:rPr>
                <w:b/>
                <w:i/>
              </w:rPr>
              <w:t>ia act de faptul că, în toate scenariile IPCC, se așteaptă ca nivelul mării să crească mai rapid pe parcursul acestui secol, cauzând costuri financiare și pierderi ale zonelor de coastă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îndeamnă toate părțile să contribuie la accelerarea eforturilor de operaționalizare a indicatorilor de adaptare, în vederea monitorizării rezilienței la nivel global și a măsurării progreselor înregistrate în ceea ce privește obiectivul global privind adaptarea;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salută adoptarea indicatorilor și progresele înregistrate în ceea ce privește operaționalizarea obiectivului global privind adaptarea convenit în cadrul COP30;</w:t>
            </w:r>
            <w:r>
              <w:t xml:space="preserve"> </w:t>
            </w:r>
            <w:r>
              <w:rPr>
                <w:b/>
                <w:i/>
              </w:rPr>
              <w:t>invită toate părțile să îndeplinească obiectivul convenit de a tripla finanțarea adaptării la schimbările climatice până în 2035;</w:t>
            </w:r>
            <w:r>
              <w:t xml:space="preserve"> </w:t>
            </w:r>
            <w:r>
              <w:rPr>
                <w:b/>
                <w:i/>
              </w:rPr>
              <w:t>solicită să se continue lucrările în cadrul COP31 privind operaționalizarea și să se pună în aplicare obiectivul global privind adaptarea, ținând seama în mod corespunzător de raportul intermediar din 2026 privind planurile naționale de adaptare (PNA), și solicită ca adaptarea să fie un punct permanent pe agendele COP;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invită părțile care nu au făcut încă acest lucru să pună în aplicare și să își prezinte planurile naționale de adaptare (PNA) cât mai curând posibil;</w:t>
            </w:r>
            <w:r>
              <w:t xml:space="preserve"> </w:t>
            </w:r>
            <w:r>
              <w:rPr>
                <w:b/>
                <w:i/>
              </w:rPr>
              <w:t>solicită tuturor părților să progreseze în punerea în aplicare a planurilor lor naționale de acțiune până în 2030 și să acorde o atenție specială soluțiilor bazate pe natură;</w:t>
            </w:r>
            <w:r>
              <w:t xml:space="preserve"> </w:t>
            </w:r>
            <w:r>
              <w:rPr>
                <w:b/>
                <w:i/>
              </w:rPr>
              <w:t>invită toate părțile să integreze în planurile lor naționale de adaptare elemente transversale, cum ar fi egalitatea de gen și drepturile omului;</w:t>
            </w:r>
            <w:r>
              <w:t xml:space="preserve"> </w:t>
            </w:r>
            <w:r>
              <w:rPr>
                <w:b/>
                <w:i/>
              </w:rPr>
              <w:t>invită toate părțile să integreze în planurile lor naționale de acțiune luarea în considerare a riscului de strămutare, consolidarea rezilienței pentru a le permite oamenilor să rămână în siguranță acolo unde este posibil și punerea în aplicare a unor planuri pentru o mobilitate umană sigură și demnă atunci când este necesar, cu acces la protecție și asistență atunci când are loc strămutarea;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solicită să se majoreze investițiile în sistemele de alertă timpurie și în sistemele de gestionare a riscurilor din regiunile vulnerabile, subliniind rolul esențial al acestora în protejarea vieților omenești, protejarea mijloacelor de subzistență și consolidarea rezilienței la riscurile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15f.</w:t>
            </w:r>
            <w:r>
              <w:tab/>
            </w:r>
            <w:r>
              <w:rPr>
                <w:b/>
                <w:i/>
              </w:rPr>
              <w:t>consideră că ar trebui să se sprijine în mai mare măsură colectarea, partajarea și analizarea datelor privind clima și riscurile de dezastre, precum și pentru implementarea unor tehnologii adecvate în vederea desfășurării acestor activități, cu scopul de a îmbunătăți disponibilitatea și calitatea informațiilor pentru populațiile expuse riscului;</w:t>
            </w:r>
            <w:r>
              <w:t xml:space="preserve"> </w:t>
            </w:r>
            <w:r>
              <w:rPr>
                <w:b/>
                <w:i/>
              </w:rPr>
              <w:t>recomandă ca toate inițiativele de alertă timpurie sprijinite de UE să aloce resurse dedicate întreținerii și actualizărilor continue ale sistemului, în special având în vedere dificultățile globale în ceea ce privește observarea și procedurile bazate pe date științifice;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își reiterează apelul ca pierderile și daunele să constituie un punct permanent de pe ordinea de zi a reuniunilor COP; salută punerea în funcțiune a fondului pentru a răspunde pierderilor și daunelor;</w:t>
            </w:r>
          </w:p>
        </w:tc>
        <w:tc>
          <w:tcPr>
            <w:tcW w:w="4876" w:type="dxa"/>
            <w:tcBorders>
              <w:top w:val="nil"/>
              <w:left w:val="nil"/>
              <w:bottom w:val="nil"/>
              <w:right w:val="nil"/>
            </w:tcBorders>
          </w:tcPr>
          <w:p>
            <w:pPr>
              <w:pStyle w:val="Normal6a"/>
            </w:pPr>
            <w:r>
              <w:t>16.</w:t>
            </w:r>
            <w:r>
              <w:tab/>
            </w:r>
            <w:r>
              <w:t xml:space="preserve">își reiterează apelul ca pierderile și daunele să constituie un punct permanent de pe ordinea de zi a reuniunilor COP; salută punerea în funcțiune a fondului pentru a răspunde pierderilor și daunelor </w:t>
            </w:r>
            <w:r>
              <w:rPr>
                <w:b/>
                <w:i/>
              </w:rPr>
              <w:t>(FRLD)</w:t>
            </w:r>
            <w:r>
              <w:t xml:space="preserve">; </w:t>
            </w:r>
            <w:r>
              <w:rPr>
                <w:b/>
                <w:i/>
              </w:rPr>
              <w:t>își exprimă îngrijorarea cu privire la subutilizarea continuă a FRLD și la numărul de angajamente care nu au fost încă transformate în plăți;</w:t>
            </w:r>
            <w:r>
              <w:t xml:space="preserve"> </w:t>
            </w:r>
            <w:r>
              <w:rPr>
                <w:b/>
                <w:i/>
              </w:rPr>
              <w:t>invită toate părțile să intensifice finanțarea pierderilor și daunelor, asigurând angajamente transparente și mecanisme previzibile de punere în aplicare;</w:t>
            </w:r>
            <w:r>
              <w:t xml:space="preserve"> </w:t>
            </w:r>
            <w:r>
              <w:rPr>
                <w:b/>
                <w:i/>
              </w:rPr>
              <w:t>invită toate părțile să se asigure că resursele direcționate către fond reprezintă sume suplimentare față de contribuțiile existente la finanțarea combaterii schimbărilor climatice;</w:t>
            </w:r>
            <w:r>
              <w:t xml:space="preserve"> </w:t>
            </w:r>
            <w:r>
              <w:rPr>
                <w:b/>
                <w:i/>
              </w:rPr>
              <w:t>este ferm convins că finanțarea pentru pierderi și daune ar trebui să acorde prioritate granturilor și să fie complementară asistenței oficiale pentru dezvoltare și distinctă de aceasta;</w:t>
            </w:r>
            <w:r>
              <w:t xml:space="preserve"> </w:t>
            </w:r>
            <w:r>
              <w:rPr>
                <w:b/>
                <w:i/>
              </w:rPr>
              <w:t>evidențiază că este important să se recunoască caracterul distinct al pierderilor și daunelor, tratându-le separat de măsurile de adaptare, inclusiv în cadrul evaluării la nivel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își reiterează apelul ca pierderile și daunele să constituie un punct permanent de pe ordinea de zi a reuniunilor COP; salută punerea în funcțiune a fondului pentru a răspunde pierderilor și daunelor;</w:t>
            </w:r>
          </w:p>
        </w:tc>
        <w:tc>
          <w:tcPr>
            <w:tcW w:w="4876" w:type="dxa"/>
            <w:tcBorders>
              <w:top w:val="nil"/>
              <w:left w:val="nil"/>
              <w:bottom w:val="nil"/>
              <w:right w:val="nil"/>
            </w:tcBorders>
          </w:tcPr>
          <w:p>
            <w:pPr>
              <w:pStyle w:val="Normal6a"/>
            </w:pPr>
            <w:r>
              <w:t>16.</w:t>
            </w:r>
            <w:r>
              <w:tab/>
            </w:r>
            <w:r>
              <w:t xml:space="preserve">își reiterează apelul ca pierderile și daunele să constituie un punct permanent de pe ordinea de zi a reuniunilor COP; salută punerea în funcțiune a fondului pentru a răspunde pierderilor și daunelor; </w:t>
            </w:r>
            <w:r>
              <w:rPr>
                <w:b/>
                <w:i/>
              </w:rPr>
              <w:t>subliniază totuși că resursele actuale rămân cu mult sub nevoile estimate și solicită să se extindă rapid sprijinul financiar previzibil, adecvat și accesibil sub formă de granturi pentru țările în curs de dezvoltare deosebit de vulnerabile;</w:t>
            </w:r>
            <w:r>
              <w:t xml:space="preserve"> </w:t>
            </w:r>
            <w:r>
              <w:rPr>
                <w:b/>
                <w:i/>
              </w:rPr>
              <w:t>solicită să se acorde mai multă atenție efectelor climatice cu debut lent, inclusiv creșterii nivelului mării, deșertificării și pierderii biodiversității;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își reiterează apelul ca pierderile și daunele </w:t>
            </w:r>
            <w:r>
              <w:rPr>
                <w:b/>
                <w:i/>
              </w:rPr>
              <w:t>să constituie un punct permanent de pe ordinea de zi a</w:t>
            </w:r>
            <w:r>
              <w:t xml:space="preserve"> reuniunilor COP</w:t>
            </w:r>
            <w:r>
              <w:rPr>
                <w:b/>
                <w:i/>
              </w:rPr>
              <w:t>;</w:t>
            </w:r>
            <w:r>
              <w:t xml:space="preserve"> </w:t>
            </w:r>
            <w:r>
              <w:rPr>
                <w:b/>
                <w:i/>
              </w:rPr>
              <w:t>salută punerea în funcțiune a fondului pentru a răspunde pierderilor și daunelor</w:t>
            </w:r>
            <w:r>
              <w:t>;</w:t>
            </w:r>
          </w:p>
        </w:tc>
        <w:tc>
          <w:tcPr>
            <w:tcW w:w="4876" w:type="dxa"/>
            <w:tcBorders>
              <w:top w:val="nil"/>
              <w:left w:val="nil"/>
              <w:bottom w:val="nil"/>
              <w:right w:val="nil"/>
            </w:tcBorders>
          </w:tcPr>
          <w:p>
            <w:pPr>
              <w:pStyle w:val="Normal6a"/>
            </w:pPr>
            <w:r>
              <w:t>16.</w:t>
            </w:r>
            <w:r>
              <w:tab/>
            </w:r>
            <w:r>
              <w:t xml:space="preserve">își reiterează apelul ca </w:t>
            </w:r>
            <w:r>
              <w:rPr>
                <w:b/>
                <w:i/>
              </w:rPr>
              <w:t>punctul de pe ordinea de zi privind</w:t>
            </w:r>
            <w:r>
              <w:t xml:space="preserve"> pierderile și daunele </w:t>
            </w:r>
            <w:r>
              <w:rPr>
                <w:b/>
                <w:i/>
              </w:rPr>
              <w:t>din cadrul</w:t>
            </w:r>
            <w:r>
              <w:t xml:space="preserve"> reuniunilor COP </w:t>
            </w:r>
            <w:r>
              <w:rPr>
                <w:b/>
                <w:i/>
              </w:rPr>
              <w:t>să fie abordat într-un mod transparent, care să protejeze interesele tuturor beneficiarilor implicați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invită toate părțile să asigure angajamente transparente și mecanisme previzibile de acordare a finanțării pentru pierderi și daune;</w:t>
            </w:r>
            <w:r>
              <w:t xml:space="preserve"> </w:t>
            </w:r>
            <w:r>
              <w:rPr>
                <w:b/>
                <w:i/>
              </w:rPr>
              <w:t>invită toate părțile să se asigure că resursele direcționate către fond reprezintă sume suplimentare față de contribuțiile existente la finanțarea combaterii schimbărilor climatice;</w:t>
            </w:r>
            <w:r>
              <w:t xml:space="preserve"> </w:t>
            </w:r>
            <w:r>
              <w:rPr>
                <w:b/>
                <w:i/>
              </w:rPr>
              <w:t>este ferm convins că finanțarea pentru pierderi și daune ar trebui să acorde prioritate granturilor și să fie complementară asistenței oficiale pentru dezvoltare și distinctă de aceasta;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w:t>
            </w:r>
          </w:p>
        </w:tc>
        <w:tc>
          <w:tcPr>
            <w:tcW w:w="4876" w:type="dxa"/>
            <w:tcBorders>
              <w:top w:val="nil"/>
              <w:left w:val="nil"/>
              <w:bottom w:val="nil"/>
              <w:right w:val="nil"/>
            </w:tcBorders>
          </w:tcPr>
          <w:p>
            <w:pPr>
              <w:pStyle w:val="Normal6a"/>
            </w:pPr>
            <w:r>
              <w:t>17.</w:t>
            </w:r>
            <w:r>
              <w:tab/>
            </w:r>
            <w:r>
              <w:t xml:space="preserve">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 </w:t>
            </w:r>
            <w:r>
              <w:rPr>
                <w:b/>
                <w:i/>
              </w:rPr>
              <w:t>salută decizia COP30 de a institui Mecanismul pentru o tranziție justă și invită toate părțile să realizeze operaționalizarea acestui mecanism în timpul COP31;</w:t>
            </w:r>
            <w:r>
              <w:t xml:space="preserve"> </w:t>
            </w:r>
            <w:r>
              <w:rPr>
                <w:b/>
                <w:i/>
              </w:rPr>
              <w:t>consideră că punerea în aplicare ulterioară ar trebui să includă obiectivele creării de locuri de muncă decente și ale unei tranziții juste pentru toți, inclusiv prin investiții în dezvoltarea competențelor, recalificare și perfecționare, inclusiv pentru lucrătorii migranți și persoanele strămutate, și prin recunoașterea contribuției pe care migranții o pot avea la reziliența piețelor forței de muncă;</w:t>
            </w:r>
            <w:r>
              <w:t xml:space="preserve"> </w:t>
            </w:r>
            <w:r>
              <w:rPr>
                <w:b/>
                <w:i/>
              </w:rPr>
              <w:t>invită toate părțile să promoveze dialogul social cu organizațiile patronale și sindicale și implicarea părților interesate ca bază pentru crearea unui consens social puternic;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w:t>
            </w:r>
          </w:p>
        </w:tc>
        <w:tc>
          <w:tcPr>
            <w:tcW w:w="4876" w:type="dxa"/>
            <w:tcBorders>
              <w:top w:val="nil"/>
              <w:left w:val="nil"/>
              <w:bottom w:val="nil"/>
              <w:right w:val="nil"/>
            </w:tcBorders>
          </w:tcPr>
          <w:p>
            <w:pPr>
              <w:pStyle w:val="Normal6a"/>
            </w:pPr>
            <w:r>
              <w:t>17.</w:t>
            </w:r>
            <w:r>
              <w:tab/>
            </w:r>
            <w:r>
              <w:t xml:space="preserve">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 </w:t>
            </w:r>
            <w:r>
              <w:rPr>
                <w:b/>
                <w:i/>
              </w:rPr>
              <w:t>subliniază că acțiunile climatice și justiția socială trebuie urmărite împreună și că principiile tranziției juste ar trebui integrate în toate strategiile climatice și de dezvoltare;</w:t>
            </w:r>
            <w:r>
              <w:t xml:space="preserve"> </w:t>
            </w:r>
            <w:r>
              <w:rPr>
                <w:b/>
                <w:i/>
              </w:rPr>
              <w:t>solicită o finanțare publică adecvată pentru a sprijini lucrătorii și comunitățile afectate de tranziția de la combustibilii fosili și alte sectoare extractive, inclusiv prin măsuri de protecție socială, sprijin pentru venit, oportunități de recalificare și inițiative de dezvoltare regională;</w:t>
            </w:r>
            <w:r>
              <w:t xml:space="preserve"> </w:t>
            </w:r>
            <w:r>
              <w:rPr>
                <w:b/>
                <w:i/>
              </w:rPr>
              <w:t>subliniază că trebuie să se susțină drepturile lucrătorilor, să se asigure participarea semnificativă a părților interesate, să se promoveze egalitatea de gen și să se reducă inegalitățile sociale și economice existente în interiorul țărilor și între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w:t>
            </w:r>
          </w:p>
        </w:tc>
        <w:tc>
          <w:tcPr>
            <w:tcW w:w="4876" w:type="dxa"/>
            <w:tcBorders>
              <w:top w:val="nil"/>
              <w:left w:val="nil"/>
              <w:bottom w:val="nil"/>
              <w:right w:val="nil"/>
            </w:tcBorders>
          </w:tcPr>
          <w:p>
            <w:pPr>
              <w:pStyle w:val="Normal6a"/>
            </w:pPr>
            <w:r>
              <w:t>17.</w:t>
            </w:r>
            <w:r>
              <w:tab/>
            </w:r>
            <w:r>
              <w:t xml:space="preserve">invită toate părțile să realizeze progrese în programul de lucru pentru o tranziție justă, promovând acțiuni concrete în vederea combaterii inegalităților, care, potrivit dovezilor, sunt agravate de schimbările climatice, și în vederea asigurării unei evaluări cuprinzătoare a eficacității; </w:t>
            </w:r>
            <w:r>
              <w:rPr>
                <w:b/>
                <w:i/>
              </w:rPr>
              <w:t>subliniază că acest lucru trebuie să includă, printre altele, măsuri de sprijinire a tranziției către locuri de muncă verzi, recalificarea profesională și accesul la rețelele de protecție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Subtitlul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subliniază că accesul efectiv la justiție în materie de mediu, în conformitate cu Convenția de la Aarhus, este esențial pentru a atinge obiectivele Acordului de la Paris;</w:t>
            </w:r>
            <w:r>
              <w:t xml:space="preserve"> </w:t>
            </w:r>
            <w:r>
              <w:rPr>
                <w:b/>
                <w:i/>
              </w:rPr>
              <w:t>consideră că UE și statele membre ar trebui să dea un exemplu și să ia măsuri pentru a respecta constatările și recomandările Comitetului pentru examinarea respectării dispozițiilor Convenției de la Aarhus, respectându-și totodată angajamentele internaționale în conformitate cu Convenția de la Aarhus și cu principiile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subliniază că schimbările climatice amenință drepturile fundamentale și bunăstarea copiilor și a tinerilor;</w:t>
            </w:r>
            <w:r>
              <w:t xml:space="preserve"> </w:t>
            </w:r>
            <w:r>
              <w:rPr>
                <w:b/>
                <w:i/>
              </w:rPr>
              <w:t>subliniază că trebuie integrate drepturile copilului și echitatea între generații în toate aspectele politicii privind clima, inclusiv adaptarea, atenuarea, pierderile și daunele, precum și finanțarea combaterii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evidențiază</w:t>
            </w:r>
            <w:r>
              <w:t xml:space="preserve"> că, în prezent, UE este pe cale să reducă emisiile nete de GES cu aproximativ 54 % până în 2030, comparativ cu nivelurile din 1990, dacă statele membre pun în aplicare pe deplin măsurile naționale existente și planificate și politicile UE; invită statele membre să ia măsurile necesare pentru a </w:t>
            </w:r>
            <w:r>
              <w:rPr>
                <w:b/>
                <w:i/>
              </w:rPr>
              <w:t>remedia acest decalaj</w:t>
            </w:r>
            <w:r>
              <w:t xml:space="preserve"> și solicită Comisiei să ia măsuri suplimentare pentru a sprijini statele membre în acest efort;</w:t>
            </w:r>
          </w:p>
        </w:tc>
        <w:tc>
          <w:tcPr>
            <w:tcW w:w="4876" w:type="dxa"/>
            <w:tcBorders>
              <w:top w:val="nil"/>
              <w:left w:val="nil"/>
              <w:bottom w:val="nil"/>
              <w:right w:val="nil"/>
            </w:tcBorders>
          </w:tcPr>
          <w:p>
            <w:pPr>
              <w:pStyle w:val="Normal6a"/>
            </w:pPr>
            <w:r>
              <w:t>18.</w:t>
            </w:r>
            <w:r>
              <w:tab/>
            </w:r>
            <w:r>
              <w:rPr>
                <w:b/>
                <w:i/>
              </w:rPr>
              <w:t>constată</w:t>
            </w:r>
            <w:r>
              <w:t xml:space="preserve"> că, în prezent, UE este pe cale să reducă emisiile nete de GES cu aproximativ 54 % până în 2030, comparativ cu nivelurile din 1990, dacă statele membre pun în aplicare pe deplin măsurile naționale existente și planificate și politicile UE; invită statele membre să ia măsurile necesare pentru a </w:t>
            </w:r>
            <w:r>
              <w:rPr>
                <w:b/>
                <w:i/>
              </w:rPr>
              <w:t>elimina această lacună</w:t>
            </w:r>
            <w:r>
              <w:t xml:space="preserve"> și solicită Comisiei să ia măsuri suplimentare pentru a sprijini statele membre în acest efort; </w:t>
            </w:r>
            <w:r>
              <w:rPr>
                <w:b/>
                <w:i/>
              </w:rPr>
              <w:t>subliniază că UE trebuie să își intensifice acțiunile în domeniul climei și să realizeze reduceri ale emisiilor și neutralitatea climatică înainte de 2050 pentru a corela politicile cu datele științifice privind perioada de oportunitate care se închide rapid pentru a asigura un viitor viabil și sustenabil pentru toți;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evidențiază că, în prezent, UE este pe cale să reducă emisiile nete de GES cu aproximativ 54 % până în 2030, comparativ cu nivelurile din 1990, dacă statele membre pun în aplicare pe deplin măsurile naționale existente și planificate și politicile UE; invită statele membre să ia măsurile necesare pentru a remedia acest decalaj și solicită Comisiei să ia măsuri suplimentare pentru a sprijini statele membre în acest efort;</w:t>
            </w:r>
          </w:p>
        </w:tc>
        <w:tc>
          <w:tcPr>
            <w:tcW w:w="4876" w:type="dxa"/>
            <w:tcBorders>
              <w:top w:val="nil"/>
              <w:left w:val="nil"/>
              <w:bottom w:val="nil"/>
              <w:right w:val="nil"/>
            </w:tcBorders>
          </w:tcPr>
          <w:p>
            <w:pPr>
              <w:pStyle w:val="Normal6a"/>
            </w:pPr>
            <w:r>
              <w:t>18.</w:t>
            </w:r>
            <w:r>
              <w:tab/>
            </w:r>
            <w:r>
              <w:t xml:space="preserve">evidențiază că, în prezent, UE este pe cale să reducă emisiile nete de GES cu aproximativ 54 % până în 2030, comparativ cu nivelurile din 1990, dacă statele membre pun în aplicare pe deplin măsurile naționale existente și planificate și politicile UE; </w:t>
            </w:r>
            <w:r>
              <w:rPr>
                <w:b/>
                <w:i/>
              </w:rPr>
              <w:t>constată totuși cu îngrijorare că datele preliminare furnizate de Eurostat arată că emisiile Uniunii au crescut cu 1 % între 2024 și 2025;</w:t>
            </w:r>
            <w:r>
              <w:t xml:space="preserve"> invită statele membre să ia măsurile necesare pentru a remedia acest decalaj și solicită Comisiei să ia măsuri suplimentare pentru a sprijini statele membre în acest efort;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Jorge Buxadé Villalba,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constată că scăderea emisiilor observată în anumite țări sau sectoare este rezultatul unor dinamici economice, tehnologice și industriale;</w:t>
            </w:r>
            <w:r>
              <w:t xml:space="preserve"> </w:t>
            </w:r>
            <w:r>
              <w:rPr>
                <w:b/>
                <w:i/>
              </w:rPr>
              <w:t>subliniază că un obiectiv de reducere a emisiilor trebuie să se bazeze neapărat pe un plan de acțiune în domeniul industrial, energetic și comercial, pentru a atenua cât mai mult posibil efectele negative asupra ocupării forței de muncă și creșterii economice;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că realizarea neutralității climatice necesită o abordare neutră din punct de vedere tehnologic, care să se bazeze pe toate tehnologiile disponibile cu emisii scăzute și zero de dioxid de carbon;</w:t>
            </w:r>
            <w:r>
              <w:t xml:space="preserve"> </w:t>
            </w:r>
            <w:r>
              <w:rPr>
                <w:b/>
                <w:i/>
              </w:rPr>
              <w:t>recunoaște, în acest context, rolul pe care energia nucleară îl poate juca alături de sursele regenerabile de energie în decarbonizarea sistemului energetic al UE, în furnizarea de energie la sarcină de bază stabilă și cu emisii scăzute de dioxid de carbon și în sprijinirea integrării surselor regenerabile variabile în rețea;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constată că mai multe state membre prelungesc durata de viață a centralelor nucleare existente sau investesc în noi capacități nucleare, inclusiv reactoare modulare mici (SMR), ca parte a planurilor lor naționale privind energia și clima;</w:t>
            </w:r>
            <w:r>
              <w:t xml:space="preserve"> </w:t>
            </w:r>
            <w:r>
              <w:rPr>
                <w:b/>
                <w:i/>
              </w:rPr>
              <w:t>invită Comisia să se asigure că legislația UE privind energia și clima și instrumentele de finanțare respectă pe deplin dreptul fiecărui stat membru de a stabili condițiile de exploatare a propriilor resurse energetice, alegerea sa între diferite surse de energie și structura generală a aprovizionării sale cu energie, inclusiv alegerea de a se baza pe energia nucleară;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invită Comisia și statele membre să se asigure că tranziția climatică și energetică a UE se realizează printr-un mix energetic diversificat, care să combine sursele regenerabile de energie, energia nucleară și măsurile de eficiență energetică, recunoscând că nicio tehnologie nu poate asigura, de una singură, viteza și amploarea necesare pentru decarbonizare;</w:t>
            </w:r>
            <w:r>
              <w:t xml:space="preserve"> </w:t>
            </w:r>
            <w:r>
              <w:rPr>
                <w:b/>
                <w:i/>
              </w:rPr>
              <w:t>subliniază că energia nucleară este o sursă de energie dovedită, cu emisii scăzute de dioxid de carbon, care contribuie la securitatea energetică și reduce dependența de combustibilii fosili importați;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subliniază apariția reactoarelor modulare mici (SMR) și a altor tehnologii nucleare avansate ca mijloc de accelerare a implementării energiei electrice dispecerizabile, cu emisii scăzute de dioxid de carbon, inclusiv în regiunile și sectoarele industriale care nu au fost deservite anterior de centrale nucleare convenționale de mari dimensiuni;</w:t>
            </w:r>
            <w:r>
              <w:t xml:space="preserve"> </w:t>
            </w:r>
            <w:r>
              <w:rPr>
                <w:b/>
                <w:i/>
              </w:rPr>
              <w:t>invită Comisia să faciliteze standardizarea și autorizarea mai rapidă a proiectelor SMR în întreaga Uniune, menținând, în același timp, cele mai înalte standarde de securitate nucleară;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reafirmă că tranziția climatică a UE trebuie să rămână neutră din punct de vedere tehnologic și să se bazeze pe cea mai rentabilă combinație de surse regenerabile de energie, energie nucleară, eficiență energetică și soluții de stocare, pentru a asigura un sistem energetic fiabil, accesibil și sigur;</w:t>
            </w:r>
            <w:r>
              <w:t xml:space="preserve"> </w:t>
            </w:r>
            <w:r>
              <w:rPr>
                <w:b/>
                <w:i/>
              </w:rPr>
              <w:t>atrage atenția asupra abordărilor politice care riscă să impună o singură cale tehnologică în detrimentul rezilienței generale a sistemului;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18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subliniază că instrumentele politicii privind clima ar trebui concepute astfel încât să fie neutre din punct de vedere tehnologic și bazate pe rezultate, concentrându-se mai degrabă pe reduceri măsurabile ale emisiilor decât pe prescrierea unor tehnologii specifice;</w:t>
            </w:r>
            <w:r>
              <w:t xml:space="preserve"> </w:t>
            </w:r>
            <w:r>
              <w:rPr>
                <w:b/>
                <w:i/>
              </w:rPr>
              <w:t>consideră că această abordare maximizează raportul cost-eficacitate, încurajează inovarea și permite pieței să identifice cele mai eficiente căi de decarbonizare;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salută adoptarea obiectivului climatic obligatoriu al UE pentru 2040 stabilit prin actul de modificare a Legii europene a climei;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salută adoptarea obiectivului climatic obligatoriu al UE pentru 2040 stabilit prin actul de modificare a Legii europene a climei;</w:t>
            </w:r>
          </w:p>
        </w:tc>
        <w:tc>
          <w:tcPr>
            <w:tcW w:w="4876" w:type="dxa"/>
            <w:tcBorders>
              <w:top w:val="nil"/>
              <w:left w:val="nil"/>
              <w:bottom w:val="nil"/>
              <w:right w:val="nil"/>
            </w:tcBorders>
          </w:tcPr>
          <w:p>
            <w:pPr>
              <w:pStyle w:val="Normal6a"/>
            </w:pPr>
            <w:r>
              <w:t>19.</w:t>
            </w:r>
            <w:r>
              <w:tab/>
            </w:r>
            <w:r>
              <w:t xml:space="preserve">salută adoptarea obiectivului climatic obligatoriu al UE pentru 2040 stabilit prin actul de modificare a Legii europene a climei; </w:t>
            </w:r>
            <w:r>
              <w:rPr>
                <w:b/>
                <w:i/>
              </w:rPr>
              <w:t>invită Comisia să se asigure că întreaga legislație relevantă este modificată rapid pentru a asigura alinierea la această traiectorie;</w:t>
            </w:r>
            <w:r>
              <w:t xml:space="preserve"> </w:t>
            </w:r>
            <w:r>
              <w:rPr>
                <w:b/>
                <w:i/>
              </w:rPr>
              <w:t>atrage atenția asupra riscului utilizării excesive a flexibilităților în atingerea obiectivelor climatice ale UE, întrucât amânarea reducerii emisiilor are consecințe concrete, putând pune în pericol aceste obiective și îngreunând decarbonizarea viitoare;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salută adoptarea obiectivului climatic obligatoriu al UE pentru 2040 stabilit prin actul de modificare a Legii europene a climei;</w:t>
            </w:r>
          </w:p>
        </w:tc>
        <w:tc>
          <w:tcPr>
            <w:tcW w:w="4876" w:type="dxa"/>
            <w:tcBorders>
              <w:top w:val="nil"/>
              <w:left w:val="nil"/>
              <w:bottom w:val="nil"/>
              <w:right w:val="nil"/>
            </w:tcBorders>
          </w:tcPr>
          <w:p>
            <w:pPr>
              <w:pStyle w:val="Normal6a"/>
            </w:pPr>
            <w:r>
              <w:t>19.</w:t>
            </w:r>
            <w:r>
              <w:tab/>
            </w:r>
            <w:r>
              <w:t xml:space="preserve">salută adoptarea obiectivului climatic obligatoriu al UE pentru 2040 stabilit prin actul de modificare a Legii europene a climei; </w:t>
            </w:r>
            <w:r>
              <w:rPr>
                <w:b/>
                <w:i/>
              </w:rPr>
              <w:t>regretă că obiectivul pentru 2040 nu este suficient pentru a atinge cota UE de reducere a emisiilor în temeiul Acordului de la Paris, potrivit Consiliului științific consultativ european privind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salută</w:t>
            </w:r>
            <w:r>
              <w:t xml:space="preserve"> adoptarea obiectivului climatic obligatoriu al UE pentru 2040 stabilit prin actul de modificare a Legii europene a climei;</w:t>
            </w:r>
          </w:p>
        </w:tc>
        <w:tc>
          <w:tcPr>
            <w:tcW w:w="4876" w:type="dxa"/>
            <w:tcBorders>
              <w:top w:val="nil"/>
              <w:left w:val="nil"/>
              <w:bottom w:val="nil"/>
              <w:right w:val="nil"/>
            </w:tcBorders>
          </w:tcPr>
          <w:p>
            <w:pPr>
              <w:pStyle w:val="Normal6a"/>
            </w:pPr>
            <w:r>
              <w:t>19.</w:t>
            </w:r>
            <w:r>
              <w:tab/>
            </w:r>
            <w:r>
              <w:rPr>
                <w:b/>
                <w:i/>
              </w:rPr>
              <w:t>ia act cu îngrijorare de</w:t>
            </w:r>
            <w:r>
              <w:t xml:space="preserve"> adoptarea obiectivului climatic obligatoriu al UE pentru 2040 stabilit prin actul de modificare a Legii europene a climei;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reamintește că, potrivit Regulamentului privind cadrul pentru realizarea neutralității climatice, acțiunile Uniunii și ale statelor membre ar trebui să se ghideze după principiul precauției și principiul „poluatorul plătește” stabilite în Tratatul privind funcționarea Uniunii Europene și ar trebui să țină seama, de asemenea, de principiul „eficiența energetică pe primul loc” al uniunii energetice și de principiul de a nu prejudicia din Pactul verde european;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este profund îngrijorat că UE se îndepărtează în mod semnificativ de la obiectivele obligatorii din punct de vedere juridic de a reduce emisiile nete de GES cu 90 % până în 2040 și de a atinge neutralitatea climatică până în 2050, previziunile privind măsurile actuale și planificate atingând doar o reducere de 69 % până în 2040 și o reducere de 78 % până în 2050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Raportul AEM 09/2025, „Monitoring report on progress towards the 8th EAP objectives 2025” (Raport de monitorizare privind progresele înregistrate în direcția atingerii obiectivelor PAM 8 pentru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invită Comisia și statele membre să ia măsuri urgente pentru a elimina decalajul dintre obiectivele obligatorii și proiecțiile actuale;</w:t>
            </w:r>
            <w:r>
              <w:t xml:space="preserve"> </w:t>
            </w:r>
            <w:r>
              <w:rPr>
                <w:b/>
                <w:i/>
              </w:rPr>
              <w:t>solicită, în special, să se adopte un cadru ambițios pentru perioada de după 2030, în conformitate cu atingerea obiectivului de 90 % până în 2040 și a obiectivului de neutralitate climatică până în 2050, în conformitate cu cunoștințele științifice;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ia act de faptul că principiul de „a nu prejudicia în mod semnificativ” urmărește să asigure coerența între politicile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reiterează că trebuie integrate obiective de combatere a schimbărilor climatice în toate politicile UE și în măsurile de punere în aplicare a acestora și subliniază că articolul 6 alineatele (2) și (4) din Legea europeană a climei obligă Comisia să evalueze coerența oricărei măsuri existente, a oricărui proiect de măsură și a oricărei propuneri legislative, inclusiv a propunerilor bugetare, cu obiectivele climatice ale UE;</w:t>
            </w:r>
            <w:r>
              <w:t xml:space="preserve"> </w:t>
            </w:r>
            <w:r>
              <w:rPr>
                <w:b/>
                <w:i/>
              </w:rPr>
              <w:t>reamintește că, potrivit Legii europene a climei, acțiunile UE și ale statelor membre ar trebui să se ghideze după principiul precauției și principiul „poluatorul plătește” stabilite în Tratatul privind funcționarea Uniunii Europene și ar trebui să țină seama, de asemenea, de principiul „eficiența energetică pe primul loc” al uniunii energetice și de principiul de a nu prejudicia;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19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subliniază că accesul efectiv la justiție în materie de mediu, în conformitate cu Convenția de la Aarhus, este esențial pentru a atinge obiectivele Acordului de la Paris;</w:t>
            </w:r>
            <w:r>
              <w:t xml:space="preserve"> </w:t>
            </w:r>
            <w:r>
              <w:rPr>
                <w:b/>
                <w:i/>
              </w:rPr>
              <w:t>consideră că UE și statele membre ar trebui să dea un exemplu și să respecte constatările și recomandările Comitetului pentru examinarea respectării dispozițiilor Convenției de la Aarhus;</w:t>
            </w:r>
            <w:r>
              <w:t xml:space="preserve"> </w:t>
            </w:r>
            <w:r>
              <w:rPr>
                <w:b/>
                <w:i/>
              </w:rPr>
              <w:t>subliniază că Comisia, UE și statele membre trebuie să își respecte propriile angajamente internaționale în temeiul Convenției de la Aarhus și al statului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invită statele membre și Comisia să se asigure că planurile și strategiile naționale pe termen lung în domeniul energetic și climatic ale statelor membre prevăd acțiuni și mijloace financiare </w:t>
            </w:r>
            <w:r>
              <w:rPr>
                <w:b/>
                <w:i/>
              </w:rPr>
              <w:t>suficiente</w:t>
            </w:r>
            <w:r>
              <w:t xml:space="preserve"> pentru a atinge obiectivele UE pentru 2030 și ulterior;</w:t>
            </w:r>
          </w:p>
        </w:tc>
        <w:tc>
          <w:tcPr>
            <w:tcW w:w="4876" w:type="dxa"/>
            <w:tcBorders>
              <w:top w:val="nil"/>
              <w:left w:val="nil"/>
              <w:bottom w:val="nil"/>
              <w:right w:val="nil"/>
            </w:tcBorders>
          </w:tcPr>
          <w:p>
            <w:pPr>
              <w:pStyle w:val="Normal6a"/>
            </w:pPr>
            <w:r>
              <w:t>20.</w:t>
            </w:r>
            <w:r>
              <w:tab/>
            </w:r>
            <w:r>
              <w:t xml:space="preserve">invită statele membre și Comisia să se asigure că planurile și strategiile naționale pe termen lung în domeniul energetic și climatic ale statelor membre prevăd acțiuni </w:t>
            </w:r>
            <w:r>
              <w:rPr>
                <w:b/>
                <w:i/>
              </w:rPr>
              <w:t>adecvate</w:t>
            </w:r>
            <w:r>
              <w:t xml:space="preserve"> și mijloace financiare </w:t>
            </w:r>
            <w:r>
              <w:rPr>
                <w:b/>
                <w:i/>
              </w:rPr>
              <w:t>sustenabile</w:t>
            </w:r>
            <w:r>
              <w:t xml:space="preserve"> pentru a atinge obiectivele UE pentru 2030 și ulterior;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invită </w:t>
            </w:r>
            <w:r>
              <w:rPr>
                <w:b/>
                <w:i/>
              </w:rPr>
              <w:t>statele membre și</w:t>
            </w:r>
            <w:r>
              <w:t xml:space="preserve"> Comisia să se asigure că </w:t>
            </w:r>
            <w:r>
              <w:rPr>
                <w:b/>
                <w:i/>
              </w:rPr>
              <w:t>planurile și strategiile naționale pe termen lung în domeniul energetic și climatic ale statelor membre prevăd</w:t>
            </w:r>
            <w:r>
              <w:t xml:space="preserve"> acțiuni și mijloace financiare </w:t>
            </w:r>
            <w:r>
              <w:rPr>
                <w:b/>
                <w:i/>
              </w:rPr>
              <w:t>suficiente</w:t>
            </w:r>
            <w:r>
              <w:t xml:space="preserve"> pentru a atinge obiectivele UE pentru 2030 și ulterior;</w:t>
            </w:r>
          </w:p>
        </w:tc>
        <w:tc>
          <w:tcPr>
            <w:tcW w:w="4876" w:type="dxa"/>
            <w:tcBorders>
              <w:top w:val="nil"/>
              <w:left w:val="nil"/>
              <w:bottom w:val="nil"/>
              <w:right w:val="nil"/>
            </w:tcBorders>
          </w:tcPr>
          <w:p>
            <w:pPr>
              <w:pStyle w:val="Normal6a"/>
            </w:pPr>
            <w:r>
              <w:t>20.</w:t>
            </w:r>
            <w:r>
              <w:tab/>
            </w:r>
            <w:r>
              <w:t xml:space="preserve">invită Comisia să se asigure că </w:t>
            </w:r>
            <w:r>
              <w:rPr>
                <w:b/>
                <w:i/>
              </w:rPr>
              <w:t>orice</w:t>
            </w:r>
            <w:r>
              <w:t xml:space="preserve"> acțiuni și mijloace financiare </w:t>
            </w:r>
            <w:r>
              <w:rPr>
                <w:b/>
                <w:i/>
              </w:rPr>
              <w:t>suplimentare</w:t>
            </w:r>
            <w:r>
              <w:t xml:space="preserve"> pentru a atinge obiectivele UE pentru 2030 și ulterior </w:t>
            </w:r>
            <w:r>
              <w:rPr>
                <w:b/>
                <w:i/>
              </w:rPr>
              <w:t>nu împiedică competitivitatea și stabilitatea socială 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invită statele membre și Comisia să se asigure că planurile și strategiile naționale pe termen lung în domeniul energetic și climatic ale statelor membre prevăd acțiuni și mijloace financiare suficiente pentru a atinge obiectivele UE pentru 2030 și ulterior;</w:t>
            </w:r>
          </w:p>
        </w:tc>
        <w:tc>
          <w:tcPr>
            <w:tcW w:w="4876" w:type="dxa"/>
            <w:tcBorders>
              <w:top w:val="nil"/>
              <w:left w:val="nil"/>
              <w:bottom w:val="nil"/>
              <w:right w:val="nil"/>
            </w:tcBorders>
          </w:tcPr>
          <w:p>
            <w:pPr>
              <w:pStyle w:val="Normal6a"/>
            </w:pPr>
            <w:r>
              <w:t>20.</w:t>
            </w:r>
            <w:r>
              <w:tab/>
            </w:r>
            <w:r>
              <w:t xml:space="preserve">invită statele membre și Comisia să </w:t>
            </w:r>
            <w:r>
              <w:rPr>
                <w:b/>
                <w:i/>
              </w:rPr>
              <w:t>prezinte și</w:t>
            </w:r>
            <w:r>
              <w:t xml:space="preserve"> se asigure că planurile și strategiile naționale pe termen lung în domeniul energetic și climatic ale statelor membre prevăd acțiuni și mijloace financiare suficiente pentru a atinge obiectivele UE pentru 2030 și ulterior;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invită statele membre și Comisia să se asigure că planurile și strategiile naționale pe termen lung în domeniul energetic și climatic ale statelor membre prevăd acțiuni și mijloace financiare suficiente pentru a atinge obiectivele UE pentru 2030 </w:t>
            </w:r>
            <w:r>
              <w:rPr>
                <w:b/>
                <w:i/>
              </w:rPr>
              <w:t>și ulterior</w:t>
            </w:r>
            <w:r>
              <w:t>;</w:t>
            </w:r>
          </w:p>
        </w:tc>
        <w:tc>
          <w:tcPr>
            <w:tcW w:w="4876" w:type="dxa"/>
            <w:tcBorders>
              <w:top w:val="nil"/>
              <w:left w:val="nil"/>
              <w:bottom w:val="nil"/>
              <w:right w:val="nil"/>
            </w:tcBorders>
          </w:tcPr>
          <w:p>
            <w:pPr>
              <w:pStyle w:val="Normal6a"/>
            </w:pPr>
            <w:r>
              <w:t>20.</w:t>
            </w:r>
            <w:r>
              <w:tab/>
            </w:r>
            <w:r>
              <w:t>invită statele membre și Comisia să se asigure că planurile și strategiile naționale pe termen lung în domeniul energetic și climatic ale statelor membre prevăd acțiuni și mijloace financiare suficiente pentru a atinge obiectivele UE pentru 2030</w:t>
            </w:r>
            <w:r>
              <w:rPr>
                <w:b/>
                <w:i/>
              </w:rPr>
              <w:t>, 2040 și 2050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subliniază potențialul neexploatat al energiei geotermale în atingerea obiectivelor Acordului de la Paris și a securității energetice a UE, prin furnizarea de energie internă din surse regenerabile pentru încălzire și decarbonizarea industrială;</w:t>
            </w:r>
            <w:r>
              <w:t xml:space="preserve"> </w:t>
            </w:r>
            <w:r>
              <w:rPr>
                <w:b/>
                <w:i/>
              </w:rPr>
              <w:t>regretă că UE riscă să își piardă poziția de lider în fața concurenților de la nivel mondial, din cauza lipsei unor măsuri de reducere a riscurilor, a barierelor în calea schimbului de date și a procedurilor complexe de autorizare;</w:t>
            </w:r>
            <w:r>
              <w:t xml:space="preserve"> </w:t>
            </w:r>
            <w:r>
              <w:rPr>
                <w:b/>
                <w:i/>
              </w:rPr>
              <w:t>invită Comisia să își îndeplinească angajamentul de a prezenta un plan de acțiune specific pentru energia geotermală;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statele membre și Comisia să dea dovadă de un spirit de lider deosebit în perspectiva următoarei evaluări la nivel mondial din 2028 și să evite orice situație în care Uniunea nu poate stabili un obiectiv clar pentru contribuția sa determinată la nivel național înainte de termenul-limită;</w:t>
            </w:r>
            <w:r>
              <w:t xml:space="preserve"> </w:t>
            </w:r>
            <w:r>
              <w:rPr>
                <w:b/>
                <w:i/>
              </w:rPr>
              <w:t>subliniază că UE trebuie să respecte termenele CCONUSC, pentru a susține procesul CCONUSC și a da un exemplu la nivel internațional;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Comisia și statele membre să consolideze diplomația UE în domeniul climei prin corelarea ambițiilor climatice cu securitatea energetică, competitivitatea industrială, autonomia strategică și dezvoltarea durabilă, recunoscând că reducerea dependenței de combustibilii fosili contribuie simultan la obiectivele climatice, la reziliența economică și la stabilitatea geopolitică;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își exprimă așteptările mari cu privire la viitorul cadru european integrat pentru reziliența la schimbările climatice și gestionarea riscurilor;</w:t>
            </w:r>
            <w:r>
              <w:t xml:space="preserve"> </w:t>
            </w:r>
            <w:r>
              <w:rPr>
                <w:b/>
                <w:i/>
              </w:rPr>
              <w:t>solicită o propunere care să țină seama de realitățile riscurilor climatice cu care se confruntă Europa într-un scenariu care depășește încălzirea globală cu 1,5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Jorge Buxadé Villalba, Viktória Ferenc,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subliniază că trebuie simplificate procesele din cadrul CCONUSC, în special prin reducerea obligațiilor statelor membre în materie de raportare privind schimbările climatice;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Emma Wiesner, Martin Hojsík,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subliniază că UE trebuie să dispună de un cadru solid pentru perioada de după 2030 pentru toate politicile legate de climă și de o legislație actualizată adecvată pentru obiectivele UE pentru 2040;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subliniază importanța strategică a regiunii mediteraneene pentru acțiunile climatice, adaptare și tranziția energetică;</w:t>
            </w:r>
            <w:r>
              <w:t xml:space="preserve"> </w:t>
            </w:r>
            <w:r>
              <w:rPr>
                <w:b/>
                <w:i/>
              </w:rPr>
              <w:t>solicită să se consolideze cooperarea Uniunii cu partenerii din vecinătatea sudică în ceea ce privește energia din surse regenerabile, electrificarea, reziliența la schimbările climatice, gestionarea sustenabilă a apei și dezvoltarea industrială verde, asigurând beneficii reciproce și crearea de valoare locală;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invită Comisia să prezinte un pachet ambițios privind clima pentru a pune în aplicare obiectivul climatic al UE pentru 2040;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Annalisa Corrado, Heléne Fritzon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invită Comisia să se asigure că parteneriatele industriale internaționale, cooperarea în domeniul tehnologiilor curate și parteneriatele privind materiile prime strategice sunt pe deplin aliniate la obiectivele climatice și contribuie la o tranziție globală justă și sustenabilă, sprijinind în același timp crearea de valoare locală și dezvoltarea durabilă în țările partenere;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subliniază că trebuie stabilite obiective mai ambițioase pentru sursele regenerabile de energie și eficiența energetică pentru perioada de după 2030;</w:t>
            </w:r>
            <w:r>
              <w:t xml:space="preserve"> </w:t>
            </w:r>
            <w:r>
              <w:rPr>
                <w:b/>
                <w:i/>
              </w:rPr>
              <w:t>invită Comisia și statele membre să accelereze acțiunile de catalizare a investițiilor în energia din surse regenerabile;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Heléne Fritzon, Mohammed Chahim, Annalisa Corrado, Javi López, César Luena, Sakis Arnaoutoglou, Delara Burkhardt, 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20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recunoaște că schema UE de comercializare a certificatelor de emisii (EU ETS) este o piatră de temelie a politicii privind clima;</w:t>
            </w:r>
            <w:r>
              <w:t xml:space="preserve"> </w:t>
            </w:r>
            <w:r>
              <w:rPr>
                <w:b/>
                <w:i/>
              </w:rPr>
              <w:t>îndeamnă Comisia și statele membre să își mențină sprijinul pentru un ETS care să asigure integritatea climatică și să se alinieze la obiectivele climatice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Alexandr Vondra</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subliniază importanța unui proces decizional fundamentat științific; solicită UE să își intensifice dialogul cu </w:t>
            </w:r>
            <w:r>
              <w:rPr>
                <w:b/>
                <w:i/>
              </w:rPr>
              <w:t>oamenii de știință din domeniul climei și cu</w:t>
            </w:r>
            <w:r>
              <w:t xml:space="preserve"> comunitatea științifică în general;</w:t>
            </w:r>
          </w:p>
        </w:tc>
        <w:tc>
          <w:tcPr>
            <w:tcW w:w="4876" w:type="dxa"/>
            <w:tcBorders>
              <w:top w:val="nil"/>
              <w:left w:val="nil"/>
              <w:bottom w:val="nil"/>
              <w:right w:val="nil"/>
            </w:tcBorders>
          </w:tcPr>
          <w:p>
            <w:pPr>
              <w:pStyle w:val="Normal6a"/>
            </w:pPr>
            <w:r>
              <w:t>21.</w:t>
            </w:r>
            <w:r>
              <w:tab/>
            </w:r>
            <w:r>
              <w:t xml:space="preserve">subliniază importanța unui proces decizional fundamentat științific </w:t>
            </w:r>
            <w:r>
              <w:rPr>
                <w:b/>
                <w:i/>
              </w:rPr>
              <w:t>și viabil din punct de vedere economic</w:t>
            </w:r>
            <w:r>
              <w:t>; solicită UE să își intensifice dialogul cu comunitatea științifică</w:t>
            </w:r>
            <w:r>
              <w:rPr>
                <w:b/>
                <w:i/>
              </w:rPr>
              <w:t>,</w:t>
            </w:r>
            <w:r>
              <w:t xml:space="preserve"> în general</w:t>
            </w:r>
            <w:r>
              <w:rPr>
                <w:b/>
                <w:i/>
              </w:rPr>
              <w:t>, și cu reprezentanții industriei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subliniază importanța unui proces decizional fundamentat științific</w:t>
            </w:r>
            <w:r>
              <w:rPr>
                <w:b/>
                <w:i/>
              </w:rPr>
              <w:t>;</w:t>
            </w:r>
            <w:r>
              <w:t xml:space="preserve"> </w:t>
            </w:r>
            <w:r>
              <w:rPr>
                <w:b/>
                <w:i/>
              </w:rPr>
              <w:t>solicită UE să își intensifice dialogul cu oamenii de știință din domeniul climei și cu comunitatea științifică în general</w:t>
            </w:r>
            <w:r>
              <w:t>;</w:t>
            </w:r>
          </w:p>
        </w:tc>
        <w:tc>
          <w:tcPr>
            <w:tcW w:w="4876" w:type="dxa"/>
            <w:tcBorders>
              <w:top w:val="nil"/>
              <w:left w:val="nil"/>
              <w:bottom w:val="nil"/>
              <w:right w:val="nil"/>
            </w:tcBorders>
          </w:tcPr>
          <w:p>
            <w:pPr>
              <w:pStyle w:val="Normal6a"/>
            </w:pPr>
            <w:r>
              <w:t>21.</w:t>
            </w:r>
            <w:r>
              <w:tab/>
            </w:r>
            <w:r>
              <w:t xml:space="preserve">subliniază importanța unui proces decizional fundamentat științific </w:t>
            </w:r>
            <w:r>
              <w:rPr>
                <w:b/>
                <w:i/>
              </w:rPr>
              <w:t>și bazat pe dovezi, ținând seama de impactul asupra mediului, economic și social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recunoaște vulnerabilitatea economiilor europene și mondiale la șocurile prețurilor la energie și la întreruperile aprovizionării, determinate de dependența de producția de combustibili fosili și de piețele volatile ale petrolului;</w:t>
            </w:r>
            <w:r>
              <w:t xml:space="preserve"> </w:t>
            </w:r>
            <w:r>
              <w:rPr>
                <w:b/>
                <w:i/>
              </w:rPr>
              <w:t>subliniază urgența structurală a accelerării tranziției către o energie curată;</w:t>
            </w:r>
            <w:r>
              <w:t xml:space="preserve"> </w:t>
            </w:r>
            <w:r>
              <w:rPr>
                <w:b/>
                <w:i/>
              </w:rPr>
              <w:t>subliniază că reducerea acestei vulnerabilități necesită nu numai implementarea pe scară largă a tehnologiilor curate, ci și un angajament susținut și pe termen lung față de condițiile care fac posibilă inovarea, inclusiv investiții substanțiale în educație, cercetare academică și dezvoltarea capacităților științifice și tehnologice în domeniul energiei curate și al decarbonizării;</w:t>
            </w:r>
            <w:r>
              <w:t xml:space="preserve"> </w:t>
            </w:r>
            <w:r>
              <w:rPr>
                <w:b/>
                <w:i/>
              </w:rPr>
              <w:t>invită Uniunea Europeană și statele sale membre să consolideze sprijinul acordat cercetătorilor, universităților și instituțiilor din domeniul cunoașterii care lucrează la frontiera tehnologiei curate și să recunoască producția, transmiterea și diseminarea cunoștințelor în acest domeniu ca o investiție strategică cu beneficii economice, sociale și de securitate măsurabile;</w:t>
            </w:r>
            <w:r>
              <w:t xml:space="preserve"> </w:t>
            </w:r>
            <w:r>
              <w:rPr>
                <w:b/>
                <w:i/>
              </w:rPr>
              <w:t>subliniază că o economie cu adevărat rezilientă este o economie bazată pe inovare, competențe și cunoștințe și că tranziția către o economie cu emisii scăzute de dioxid de carbon trebuie să fie însoțită de eforturi deliberate și dotate cu resurse adecvate pentru a dezvolta capitalul uman și instituțional de care depinde această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subliniază rolul atribuit Consiliului științific consultativ european privind schimbările climatice (CSCESC), astfel cum a fost instituit prin Legea europeană a climei;</w:t>
            </w:r>
            <w:r>
              <w:t xml:space="preserve"> </w:t>
            </w:r>
            <w:r>
              <w:rPr>
                <w:b/>
                <w:i/>
              </w:rPr>
              <w:t>invită Comisia să justifice, în rapoartele de evaluare a impactului sau în alte documente accesibile publicului, abaterile de la recomandările CSCESC și să ofere explicații privind compromisurile politice;</w:t>
            </w:r>
            <w:r>
              <w:t xml:space="preserve"> </w:t>
            </w:r>
            <w:r>
              <w:rPr>
                <w:b/>
                <w:i/>
              </w:rPr>
              <w:t>invită, de asemenea, Comisia să asigure o finanțare suficientă pentru CSCESC în viitoarele propuneri bugetare, pentru a permite acestei instituții să își îndeplinească mandatul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Lynn Boylan, Catarina Martins, Jonas Sjöstedt, Emma Fourreau,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așteaptă cu interes viitorul act legislativ privind economia circulară;</w:t>
            </w:r>
            <w:r>
              <w:t xml:space="preserve"> </w:t>
            </w:r>
            <w:r>
              <w:rPr>
                <w:b/>
                <w:i/>
              </w:rPr>
              <w:t>constată, în Raportul privind decalajul în materie de circularitate din 2026, că indicatorii economici convenționali, cum ar fi PIB-ul, măsoară activitatea, nu păstrarea sau erodarea valorii și, prin urmare, ignoră epuizarea resurselor, deșeurile, subutilizarea și epuizarea stocurilor inerente gestionării liniare a materialelor, ceea ce înseamnă că pierderea structurală de valoare rămâne în mare măsură invizibilă în procesul de luare a deciziilor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Mathilde Androuët, Anne-Sophie Frigout, Valérie Deloge, Viktória Ferenc, Jorge Buxadé Villalba,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reamintește că, în cadrul COP28, 25 de țări au publicat o declarație prin care își propuneau să tripleze capacitatea nucleară mondială până în 2050;</w:t>
            </w:r>
            <w:r>
              <w:t xml:space="preserve"> </w:t>
            </w:r>
            <w:r>
              <w:rPr>
                <w:b/>
                <w:i/>
              </w:rPr>
              <w:t>subliniază că, după COP29, numărul țărilor semnatare a ajuns la 31;</w:t>
            </w:r>
            <w:r>
              <w:t xml:space="preserve"> </w:t>
            </w:r>
            <w:r>
              <w:rPr>
                <w:b/>
                <w:i/>
              </w:rPr>
              <w:t>salută faptul că șapte noi țări (în special China, Brazilia, Italia și Belgia) și-au oficializat aderarea în cadrul Summitului privind energia nucleară de la Paris din 11 martie 2026</w:t>
            </w:r>
            <w:r>
              <w:t xml:space="preserve"> </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https://presse.economie.gouv.fr/sommet-pour-lenergie-nucleaire-38-pays-en-faveur-du-triplement-des-capacites-dici-2050/</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Jessica Polfjärd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invită Comisia să se asigure că instrumentele de finanțare ale UE, inclusiv Orizont Europa și Fondul pentru inovare, rămân deschise în condiții de egalitate cercetării, dezvoltării și implementării tehnologiilor nucleare, inclusiv SMR, alături de tehnologiile din domeniul energiei din surse regenerabile și de alte tehnologii cu emisii scăzute de dioxid de carbon, în conformitate cu principiul neutralității tehnologice;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recunoaște contribuția energiei nucleare la decarbonizare, la securitatea energetică și la furnizarea de energie electrică stabilă și la prețuri accesibile cu emisii scăzute de dioxid de carbon și reafirmă dreptul statelor membre de a-și stabili propriul mix energetic în conformitate cu principiul neutralității tehnologice și cu circumstanțele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subliniază rolul strategic al achizițiilor publice ca pârghie puternică pentru a accelera decarbonizarea și a promova agendele de atenuare și de adaptare;</w:t>
            </w:r>
            <w:r>
              <w:t xml:space="preserve"> </w:t>
            </w:r>
            <w:r>
              <w:rPr>
                <w:b/>
                <w:i/>
              </w:rPr>
              <w:t>invită Uniunea Europeană și statele sale membre să se asigure că criteriile de mediu și climatice sunt integrate sistematic și ambițios în procesele de achiziții publice, stabilind standarde clare care să favorizeze soluțiile cu emisii scăzute de dioxid de carbon, eficiente din punct de vedere energetic și reziliente la schimbările climatice în toate sectoarele cheltuielilor publice;</w:t>
            </w:r>
            <w:r>
              <w:t xml:space="preserve"> </w:t>
            </w:r>
            <w:r>
              <w:rPr>
                <w:b/>
                <w:i/>
              </w:rPr>
              <w:t>subliniază că cadrele de achiziții publice trebuie nu numai să stabilească criteriile adecvate, ci și să fie suficient de agile și de flexibile pentru a răspunde ritmului și amplorii tranziției către o energie curată, eliminând sarcinile administrative inutile și accelerând termenele de investiții fără a compromite calitatea sau responsabilitatea;</w:t>
            </w:r>
            <w:r>
              <w:t xml:space="preserve"> </w:t>
            </w:r>
            <w:r>
              <w:rPr>
                <w:b/>
                <w:i/>
              </w:rPr>
              <w:t>îndeamnă Comisia să revizuiască normele existente privind achizițiile publice în vederea identificării și eliminării blocajelor care încetinesc implementarea tehnologiilor curate și a infrastructurii legate de climă și să dezvolte căi rapide specifice pentru proiectele cu beneficii demonstrate pentru climă și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Pär Holmgren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subliniază că, într-o perioadă decreștere a instabilității geopolitice și de volatilitate a piețelor energiei, decarbonizarea este un motor puternic al autonomiei strategice și al competitivității economice pentru UE;</w:t>
            </w:r>
            <w:r>
              <w:t xml:space="preserve"> </w:t>
            </w:r>
            <w:r>
              <w:rPr>
                <w:b/>
                <w:i/>
              </w:rPr>
              <w:t>reamintește că acest lucru este recunoscut în Pactul pentru o industrie curată și în obiectivul său de a reuni acțiunile climatice și competitivitatea într-o singură strategie globală;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106</w:t>
    </w:r>
    <w:r>
      <w:fldChar w:fldCharType="end"/>
    </w:r>
    <w:r>
      <w:t>/</w:t>
    </w:r>
    <w:r>
      <w:fldChar w:fldCharType="begin"/>
    </w:r>
    <w:r>
      <w:instrText xml:space="preserve"> NUMPAGES </w:instrText>
    </w:r>
    <w:r>
      <w:fldChar w:fldCharType="separate"/>
    </w:r>
    <w:r>
      <w:t>106</w:t>
    </w:r>
    <w:r>
      <w:fldChar w:fldCharType="end"/>
    </w:r>
    <w:r>
      <w:tab/>
    </w:r>
    <w:r>
      <w:rPr>
        <w:rStyle w:val="HideTWBExt"/>
      </w:rPr>
      <w:t>&lt;PathFdR&gt;</w:t>
    </w:r>
    <w:r>
      <w:t>AM\1346740RO.docx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AM\1346740RO.docx</w:t>
    </w:r>
    <w:r>
      <w:rPr>
        <w:rStyle w:val="HideTWBExt"/>
      </w:rPr>
      <w:t>&lt;/PathFdR&gt;</w:t>
    </w:r>
    <w:r>
      <w:tab/>
    </w:r>
    <w:r>
      <w:fldChar w:fldCharType="begin"/>
    </w:r>
    <w:r>
      <w:instrText xml:space="preserve"> PAGE </w:instrText>
    </w:r>
    <w:r>
      <w:fldChar w:fldCharType="separate"/>
    </w:r>
    <w:r>
      <w:t>105</w:t>
    </w:r>
    <w:r>
      <w:fldChar w:fldCharType="end"/>
    </w:r>
    <w:r>
      <w:t>/</w:t>
    </w:r>
    <w:r>
      <w:fldChar w:fldCharType="begin"/>
    </w:r>
    <w:r>
      <w:instrText xml:space="preserve"> NUMPAGES </w:instrText>
    </w:r>
    <w:r>
      <w:fldChar w:fldCharType="separate"/>
    </w:r>
    <w:r>
      <w:t>106</w:t>
    </w:r>
    <w:r>
      <w:fldChar w:fldCharType="end"/>
    </w:r>
    <w:r>
      <w:tab/>
    </w:r>
    <w:r>
      <w:t>PE</w:t>
    </w:r>
    <w:r>
      <w:rPr>
        <w:rStyle w:val="HideTWBExt"/>
      </w:rPr>
      <w:t>&lt;NoPE&gt;</w:t>
    </w:r>
    <w:r>
      <w:t>790.213</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AM\1346740RO.docx</w:t>
    </w:r>
    <w:r>
      <w:rPr>
        <w:rStyle w:val="HideTWBExt"/>
      </w:rPr>
      <w:t>&lt;/PathFdR&gt;</w:t>
    </w:r>
    <w:r>
      <w:tab/>
    </w:r>
    <w:r>
      <w:tab/>
    </w:r>
    <w:r>
      <w:t>PE</w:t>
    </w:r>
    <w:r>
      <w:rPr>
        <w:rStyle w:val="HideTWBExt"/>
      </w:rPr>
      <w:t>&lt;NoPE&gt;</w:t>
    </w:r>
    <w:r>
      <w:t>790.213</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106</Pages>
  <Words>21737</Words>
  <Characters>128511</Characters>
  <Application>Microsoft Office Word</Application>
  <DocSecurity>0</DocSecurity>
  <Lines>1</Lines>
  <Paragraphs>1768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1346740</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572172</vt:lpwstr>
  </property>
  <property fmtid="{D5CDD505-2E9C-101B-9397-08002B2CF9AE}" pid="7" name="dmxml.render.traceId">
    <vt:lpwstr>6a54a4a450978b3a24481a896052c5dd</vt:lpwstr>
  </property>
  <property fmtid="{D5CDD505-2E9C-101B-9397-08002B2CF9AE}" pid="8" name="FooterPath">
    <vt:lpwstr>AM\1346740RO.docx</vt:lpwstr>
  </property>
  <property fmtid="{D5CDD505-2E9C-101B-9397-08002B2CF9AE}" pid="9" name="PE Number">
    <vt:lpwstr>790.213</vt:lpwstr>
  </property>
  <property fmtid="{D5CDD505-2E9C-101B-9397-08002B2CF9AE}" pid="10" name="UID">
    <vt:lpwstr>eu.europa.europarl-DIN1-2026-0000192973_01.01-ro-01.00_text-xml</vt:lpwstr>
  </property>
</Properties>
</file>