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{ENVI}</w:t>
      </w:r>
      <w:r>
        <w:t>Výbor pro životní prostředí, klima a bezpečnost potravin</w:t>
      </w:r>
      <w:r>
        <w:rPr>
          <w:rStyle w:val="HideTWBExt"/>
        </w:rPr>
        <w:t>&lt;/Commission&gt;</w:t>
      </w:r>
    </w:p>
    <w:p>
      <w:pPr>
        <w:pStyle w:val="LineBottom"/>
      </w:pPr>
      <w:r>
        <w:t xml:space="preserve"> </w:t>
      </w:r>
    </w:p>
    <w:p>
      <w:pPr>
        <w:pStyle w:val="CoverReference"/>
      </w:pPr>
      <w:r>
        <w:rPr>
          <w:rStyle w:val="HideTWBExt"/>
        </w:rPr>
        <w:t>&lt;RefProc&gt;</w:t>
      </w:r>
      <w:r>
        <w:t>2026/2666</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{29/06/2026}</w:t>
      </w:r>
      <w:r>
        <w:t>29. 6. 2026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201</w:t>
      </w:r>
      <w:r>
        <w:t xml:space="preserve"> - </w:t>
      </w:r>
      <w:r>
        <w:t>377</w:t>
      </w:r>
      <w:r>
        <w:rPr>
          <w:rStyle w:val="HideTWBExt"/>
        </w:rPr>
        <w:t>&lt;/RangeAM&gt;</w:t>
      </w:r>
    </w:p>
    <w:p>
      <w:pPr>
        <w:pStyle w:val="CoverBold"/>
      </w:pPr>
      <w:r>
        <w:rPr>
          <w:rStyle w:val="HideTWBExt"/>
        </w:rPr>
        <w:t>&lt;TitreType&gt;</w:t>
      </w:r>
      <w:r>
        <w:t>Předběžný návrh usnesení</w:t>
      </w:r>
      <w:r>
        <w:rPr>
          <w:rStyle w:val="HideTWBExt"/>
        </w:rPr>
        <w:t>&lt;/TitreType&gt;</w:t>
      </w:r>
    </w:p>
    <w:p>
      <w:pPr>
        <w:pStyle w:val="CoverBold"/>
      </w:pPr>
      <w:r>
        <w:rPr>
          <w:rStyle w:val="HideTWBExt"/>
        </w:rPr>
        <w:t>&lt;Rapporteur&gt;</w:t>
      </w:r>
      <w:r>
        <w:t>Lídia Pereira, Heléne Fritzon, Marie-Luce Brasier-Clain, Alexandr Vondra, Emma Wiesner, Pär Holmgren, Lynn Boylan, Anja Arndt</w:t>
      </w:r>
      <w:r>
        <w:rPr>
          <w:rStyle w:val="HideTWBExt"/>
        </w:rPr>
        <w:t>&lt;/Rapporteur&gt;</w:t>
      </w:r>
    </w:p>
    <w:p>
      <w:pPr>
        <w:pStyle w:val="CoverNormal24a"/>
      </w:pPr>
      <w:r>
        <w:rPr>
          <w:rStyle w:val="HideTWBExt"/>
        </w:rPr>
        <w:t>&lt;DocRefPE&gt;</w:t>
      </w:r>
      <w:r>
        <w:t>(PE786.880v01-00)</w:t>
      </w:r>
      <w:r>
        <w:rPr>
          <w:rStyle w:val="HideTWBExt"/>
        </w:rPr>
        <w:t>&lt;/DocRefPE&gt;</w:t>
      </w:r>
    </w:p>
    <w:p>
      <w:pPr>
        <w:pStyle w:val="CoverNormal"/>
      </w:pPr>
      <w:r>
        <w:rPr>
          <w:rStyle w:val="HideTWBExt"/>
        </w:rPr>
        <w:t>&lt;Titre&gt;</w:t>
      </w:r>
      <w:r>
        <w:t>Konference OSN o změně klimatu 2026 (COP 31) v Antalyi (Turecko)</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zdůrazňuje, že členské státy již mohou přijímat ambiciózní opatření ke snížení dopadu vysokých cen uhlíku v systému ETS2 na domácnosti;</w:t>
            </w:r>
            <w:r>
              <w:t xml:space="preserve"> </w:t>
            </w:r>
            <w:r>
              <w:rPr>
                <w:b/>
                <w:i/>
              </w:rPr>
              <w:t>vyzývá k posílení nástroje pro předsunuté financování a Sociálního fondu pro klimatická opatření;</w:t>
            </w:r>
            <w:r>
              <w:t xml:space="preserve"> </w:t>
            </w:r>
            <w:r>
              <w:rPr>
                <w:b/>
                <w:i/>
              </w:rPr>
              <w:t>vyzývá Komisi, aby byla obzvláště ostražitá, pokud jde o vyvíjející se dopady systému ETS2, zejména na zranitelné domácnosti;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zdůrazňuje, že zachování konkurenceschopnosti průmyslu EU by mělo zůstat klíčovou prioritou a mělo by jít ruku v ruce s dosažením cílů v oblasti klimatu a zároveň zajistit cenově dostupné, bezpečné a spolehlivé dodávky energie;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se znepokojením konstatuje, že dotace na fosilní paliva v posledních letech vzrostly, přičemž explicitní dotace na fosilní paliva dosáhly v roce 2024</w:t>
            </w:r>
            <w:r>
              <w:rPr>
                <w:b/>
                <w:i/>
                <w:vertAlign w:val="superscript"/>
              </w:rPr>
              <w:t>1a</w:t>
            </w:r>
            <w:r>
              <w:t xml:space="preserve"> </w:t>
            </w:r>
            <w:r>
              <w:rPr>
                <w:b/>
                <w:i/>
              </w:rPr>
              <w:t>celosvětově 730 miliard USD a významný podíl dotací byl zaznamenán v rozvíjejících se a rozvojových ekonomikách;</w:t>
            </w:r>
            <w:r>
              <w:t xml:space="preserve"> </w:t>
            </w:r>
            <w:r>
              <w:rPr>
                <w:b/>
                <w:i/>
              </w:rPr>
              <w:t>vyjadřuje politování nad tím, že dotace na energii z fosilních zdrojů jsou v EU stále vysoké, takže v roce 2023 i při svém snížení oproti roku 2022 dosahovaly 111 miliard EU;</w:t>
            </w:r>
            <w:r>
              <w:t xml:space="preserve"> </w:t>
            </w:r>
            <w:r>
              <w:rPr>
                <w:b/>
                <w:i/>
              </w:rPr>
              <w:t>připomíná, že dotace na dovoz energie z fosilních zdrojů zatěžují evropské ekonomiky a oslabují pobídky k přechodu na čistou energii;</w:t>
            </w:r>
            <w:r>
              <w:t xml:space="preserve"> </w:t>
            </w:r>
            <w:r>
              <w:rPr>
                <w:b/>
                <w:i/>
              </w:rPr>
              <w:t>zdůrazňuje, že je důležité omezit na mezinárodní úrovni dotování paliv, která nejvíce znečišťují životní prostředí, a tyto dotace transparentně vykazovat;</w:t>
            </w:r>
            <w:r>
              <w:t xml:space="preserve"> </w:t>
            </w:r>
            <w:r>
              <w:rPr>
                <w:b/>
                <w:i/>
              </w:rPr>
              <w:t>připomíná, že je třeba, aby Komise a členské státy provedly požadavek osmého akčního programu pro životní prostředí s cílem „stanovit lhůtu pro postupné ukončení dotací na fosilní paliva v souladu s ambicí snížit globální oteplování o 1,5 °C“; vyjadřuje politování nad nedostatečným pokrokem, jehož bylo dosaženo od přijetí programu v roce 2022, a vyzývá Komisi, aby v souladu se závazky EU v oblasti klimatu předložila svůj plán dalšího snižování a postupného rušení dotací na fosilní paliva;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Mezinárodní měnový fond, 2026, https://www.imf.org/en/topics/climate-change/energy-subsidies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trvá na tom, že zjednodušení a urychlení postupů zadávání veřejných zakázek musí jít ruku v ruce s nejvyššími standardy transparentnosti, integrity a odpovědnosti;</w:t>
            </w:r>
            <w:r>
              <w:t xml:space="preserve"> </w:t>
            </w:r>
            <w:r>
              <w:rPr>
                <w:b/>
                <w:i/>
              </w:rPr>
              <w:t>zdůrazňuje, že v průběhu celého reformního procesu musí být zachovány a posíleny spolehlivé mechanismy dohledu;</w:t>
            </w:r>
            <w:r>
              <w:t xml:space="preserve"> </w:t>
            </w:r>
            <w:r>
              <w:rPr>
                <w:b/>
                <w:i/>
              </w:rPr>
              <w:t>vyzývá k přijetí opatření, která zajistí, aby investice do klimatu financované z veřejných prostředků neúmyslně nepodporovaly dodavatelské řetězce spojené s pracovním vykořisťováním, environmentálním dumpingem nebo nekalými konkurenčními praktikami;</w:t>
            </w:r>
            <w:r>
              <w:t xml:space="preserve"> </w:t>
            </w:r>
            <w:r>
              <w:rPr>
                <w:b/>
                <w:i/>
              </w:rPr>
              <w:t>zdůrazňuje, že důvěra veřejnosti v opatření v oblasti klimatu závisí nejen na ambicích sledovaných cílů, ale také na integritě procesů, jejichž prostřednictvím jsou využívány veřejné zdroje, a že transparentnost v této oblasti není byrokratickým omezením, ale demokratickým imperativem;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zdůrazňuje, že v současné geopolitické situaci je naléhavě zapotřebí ukončit závislost EU na fosilních palivech a urychlit energetickou transformaci;</w:t>
            </w:r>
            <w:r>
              <w:t xml:space="preserve"> </w:t>
            </w:r>
            <w:r>
              <w:rPr>
                <w:b/>
                <w:i/>
              </w:rPr>
              <w:t>konstatuje, že opatření, která se zaměřují pouze na cenu fosilních paliv, zvyšují závislost na nich, mohou zhoršit cenové krize způsobené poptávkou a nabídkou a financovat země produkující fosilní paliva, na něž se vztahují sankce EU;</w:t>
            </w:r>
            <w:r>
              <w:t xml:space="preserve"> </w:t>
            </w:r>
            <w:r>
              <w:rPr>
                <w:b/>
                <w:i/>
              </w:rPr>
              <w:t>vítá pokrok dosažený v rámci programu REPowerEU a vyzývá EU a členské státy k rychlejšímu postupu;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se zájmem očekává připravovaný plán EU pro přizpůsobení se změně klimatu, včetně příslušných legislativních opatření k zajištění koordinované připravenosti EU na rostoucí klimatická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vyzývá EU, aby dále zkoumala a řešila způsoby, jak přispívá ke změně klimatu za svými hranicemi;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21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konstatuje, že zrychlení globálního oteplování zaznamenané v posledních třech letech poukazuje na potřebu urychlených opatření i nad rámec dohodnutých cílů, neboť tyto cíle byly přijaty na základě pomalejšího globálního oteplování, než jaké pozorujeme současné době;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zdůrazňuje, že krize v oblasti klimatu, biologické rozmanitosti a znečištění jsou vzájemně propojeny a že reakce na tyto jednotlivé krize je třeba sladit; zdůrazňuje význam ochrany, zachování a obnovy biologické rozmanitosti a ekosystémů </w:t>
            </w:r>
            <w:r>
              <w:rPr>
                <w:b/>
                <w:i/>
              </w:rPr>
              <w:t>a</w:t>
            </w:r>
            <w:r>
              <w:t xml:space="preserve"> potřebu udržitelného hospodaření s přírodními zdroji, což je přístup, který má za následek řadu sdílených přínosů;</w:t>
            </w:r>
          </w:p>
        </w:tc>
        <w:tc>
          <w:tcPr>
            <w:tcW w:w="4876" w:type="dxa"/>
            <w:tcBorders>
              <w:top w:val="nil"/>
              <w:left w:val="nil"/>
              <w:bottom w:val="nil"/>
              <w:right w:val="nil"/>
            </w:tcBorders>
          </w:tcPr>
          <w:p>
            <w:pPr>
              <w:pStyle w:val="Normal6a"/>
            </w:pPr>
            <w:r>
              <w:t>22.</w:t>
            </w:r>
            <w:r>
              <w:tab/>
            </w:r>
            <w:r>
              <w:t>zdůrazňuje, že krize v oblasti klimatu, biologické rozmanitosti a znečištění jsou vzájemně propojeny a že reakce na tyto jednotlivé krize je třeba sladit; zdůrazňuje význam ochrany, zachování a obnovy biologické rozmanitosti a ekosystémů</w:t>
            </w:r>
            <w:r>
              <w:rPr>
                <w:b/>
                <w:i/>
              </w:rPr>
              <w:t>, včetně populací volně žijících zvířat, i</w:t>
            </w:r>
            <w:r>
              <w:t xml:space="preserve"> potřebu udržitelného hospodaření s přírodními zdroji, což je přístup, který má za následek řadu sdílených přínosů; </w:t>
            </w:r>
            <w:r>
              <w:rPr>
                <w:b/>
                <w:i/>
              </w:rPr>
              <w:t>zdůrazňuje, že řešení inspirovaná přírodou, včetně ochrany a obnovy lesů, mokřadů a rašelinišť, musí být plně uznána a začleněna do strategií v oblasti klimatu jako nákladově efektivní nástroje pro zmírňování změny klimatu a přizpůsobování se této změně, jež mají četné vedlejší přínosy pro biologickou rozmanitost, komunity a odolnost vůči změně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zdůrazňuje, že krize v oblasti klimatu, biologické rozmanitosti a znečištění jsou vzájemně propojeny a že reakce na tyto jednotlivé krize je třeba sladit; zdůrazňuje význam ochrany, zachování a obnovy biologické rozmanitosti a ekosystémů a potřebu udržitelného hospodaření s přírodními zdroji, což je přístup, který </w:t>
            </w:r>
            <w:r>
              <w:rPr>
                <w:b/>
                <w:i/>
              </w:rPr>
              <w:t>má za následek řadu sdílených přínosů</w:t>
            </w:r>
            <w:r>
              <w:t>;</w:t>
            </w:r>
          </w:p>
        </w:tc>
        <w:tc>
          <w:tcPr>
            <w:tcW w:w="4876" w:type="dxa"/>
            <w:tcBorders>
              <w:top w:val="nil"/>
              <w:left w:val="nil"/>
              <w:bottom w:val="nil"/>
              <w:right w:val="nil"/>
            </w:tcBorders>
          </w:tcPr>
          <w:p>
            <w:pPr>
              <w:pStyle w:val="Normal6a"/>
            </w:pPr>
            <w:r>
              <w:t>22.</w:t>
            </w:r>
            <w:r>
              <w:tab/>
            </w:r>
            <w:r>
              <w:t>zdůrazňuje, že krize v oblasti klimatu, biologické rozmanitosti a znečištění jsou vzájemně propojeny a že reakce na tyto jednotlivé krize je třeba sladit; zdůrazňuje význam ochrany, zachování a obnovy biologické rozmanitosti a ekosystémů</w:t>
            </w:r>
            <w:r>
              <w:rPr>
                <w:b/>
                <w:i/>
              </w:rPr>
              <w:t>, včetně populací volně žijících zvířat,</w:t>
            </w:r>
            <w:r>
              <w:t xml:space="preserve"> a potřebu udržitelného hospodaření s přírodními zdroji, což je přístup, který </w:t>
            </w:r>
            <w:r>
              <w:rPr>
                <w:b/>
                <w:i/>
              </w:rPr>
              <w:t>vede k mnoha sdíleným přínosům, jako je zmírňování změny klimatu a přizpůsobování se této změně inspirované přírodou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zdůrazňuje, že krize v oblasti klimatu, biologické rozmanitosti a znečištění jsou vzájemně propojeny a že reakce na </w:t>
            </w:r>
            <w:r>
              <w:rPr>
                <w:b/>
                <w:i/>
              </w:rPr>
              <w:t>tyto jednotlivé krize je třeba sladit</w:t>
            </w:r>
            <w:r>
              <w:t xml:space="preserve">; zdůrazňuje význam ochrany, zachování a obnovy biologické rozmanitosti a ekosystémů a potřebu </w:t>
            </w:r>
            <w:r>
              <w:rPr>
                <w:b/>
                <w:i/>
              </w:rPr>
              <w:t>udržitelného hospodaření s přírodními zdroji</w:t>
            </w:r>
            <w:r>
              <w:t xml:space="preserve">, což je přístup, který </w:t>
            </w:r>
            <w:r>
              <w:rPr>
                <w:b/>
                <w:i/>
              </w:rPr>
              <w:t>má za následek řadu sdílených přínosů</w:t>
            </w:r>
            <w:r>
              <w:t>;</w:t>
            </w:r>
          </w:p>
        </w:tc>
        <w:tc>
          <w:tcPr>
            <w:tcW w:w="4876" w:type="dxa"/>
            <w:tcBorders>
              <w:top w:val="nil"/>
              <w:left w:val="nil"/>
              <w:bottom w:val="nil"/>
              <w:right w:val="nil"/>
            </w:tcBorders>
          </w:tcPr>
          <w:p>
            <w:pPr>
              <w:pStyle w:val="Normal6a"/>
            </w:pPr>
            <w:r>
              <w:t>22.</w:t>
            </w:r>
            <w:r>
              <w:tab/>
            </w:r>
            <w:r>
              <w:t xml:space="preserve">zdůrazňuje, že krize v oblasti klimatu, biologické rozmanitosti a znečištění jsou vzájemně propojeny a že reakce na </w:t>
            </w:r>
            <w:r>
              <w:rPr>
                <w:b/>
                <w:i/>
              </w:rPr>
              <w:t>každou z nich musí být sladěny se zásadou „jedno zdraví“</w:t>
            </w:r>
            <w:r>
              <w:t xml:space="preserve">; zdůrazňuje význam ochrany, zachování a obnovy biologické rozmanitosti a ekosystémů a potřebu </w:t>
            </w:r>
            <w:r>
              <w:rPr>
                <w:b/>
                <w:i/>
              </w:rPr>
              <w:t>spravovat přírodní zdroje udržitelným způsobem a v mezích možností naší planety</w:t>
            </w:r>
            <w:r>
              <w:t xml:space="preserve">, což je přístup, který </w:t>
            </w:r>
            <w:r>
              <w:rPr>
                <w:b/>
                <w:i/>
              </w:rPr>
              <w:t>vede k mnoha sdíleným přínosům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zdůrazňuje, že krize v oblasti klimatu, biologické rozmanitosti a znečištění jsou vzájemně propojeny a že reakce na tyto jednotlivé krize je třeba sladit;</w:t>
            </w:r>
            <w:r>
              <w:t xml:space="preserve"> zdůrazňuje význam ochrany, zachování a obnovy biologické rozmanitosti a ekosystémů a potřebu udržitelného hospodaření s přírodními zdroji</w:t>
            </w:r>
            <w:r>
              <w:rPr>
                <w:b/>
                <w:i/>
              </w:rPr>
              <w:t>, což je přístup, který má za následek řadu sdílených přínosů</w:t>
            </w:r>
            <w:r>
              <w:t>;</w:t>
            </w:r>
          </w:p>
        </w:tc>
        <w:tc>
          <w:tcPr>
            <w:tcW w:w="4876" w:type="dxa"/>
            <w:tcBorders>
              <w:top w:val="nil"/>
              <w:left w:val="nil"/>
              <w:bottom w:val="nil"/>
              <w:right w:val="nil"/>
            </w:tcBorders>
          </w:tcPr>
          <w:p>
            <w:pPr>
              <w:pStyle w:val="Normal6a"/>
            </w:pPr>
            <w:r>
              <w:t>22.</w:t>
            </w:r>
            <w:r>
              <w:tab/>
            </w:r>
            <w:r>
              <w:t xml:space="preserve">zdůrazňuje význam ochrany, zachování a obnovy biologické rozmanitosti a ekosystémů a potřebu udržitelného hospodaření s přírodními zdroji </w:t>
            </w:r>
            <w:r>
              <w:rPr>
                <w:b/>
                <w:i/>
              </w:rPr>
              <w:t>s přihlédnutím k vnitrostátním a regionálním podmínkám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bere na vědomí, že členské státy mají do září 2026 předložit své národní plány na obnovu přírody podle právního rámce pro obnovu přírody;</w:t>
            </w:r>
            <w:r>
              <w:t xml:space="preserve"> </w:t>
            </w:r>
            <w:r>
              <w:rPr>
                <w:b/>
                <w:i/>
              </w:rPr>
              <w:t>se znepokojením konstatuje, že Komise dosud nezveřejnila zprávu o dostupných finančních prostředcích Unie, potřebách financování a mezerách ve financování podle čl. 21 odst. 5;</w:t>
            </w:r>
            <w:r>
              <w:t xml:space="preserve"> </w:t>
            </w:r>
            <w:r>
              <w:rPr>
                <w:b/>
                <w:i/>
              </w:rPr>
              <w:t>připomíná, že pro úspěšné provádění národních plánů na obnovu přírody má zásadní význam odpovídající financování;</w:t>
            </w:r>
            <w:r>
              <w:t xml:space="preserve"> </w:t>
            </w:r>
            <w:r>
              <w:rPr>
                <w:b/>
                <w:i/>
              </w:rPr>
              <w:t>vyzývá Komisi, aby neprodleně zveřejnila komplexní posouzení potřeb financování obnovy a mezer ve financování a aby případně navrhla dodatečné a specializované finanční zdroje k zajištění účinného provádění;</w:t>
            </w:r>
            <w:r>
              <w:t xml:space="preserve"> </w:t>
            </w:r>
            <w:r>
              <w:rPr>
                <w:b/>
                <w:i/>
              </w:rPr>
              <w:t>dále vyzývá Komisi, aby posoudila vnitrostátní plány na základě úplných cílů a požadavků nařízení při dodržení lhůt stanovených v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vyzývá Komisi a členské státy, aby podporovaly mezinárodní spolupráci v oblasti bezpečného a udržitelného zavádění jaderné energie v rámci celosvětového úsilí o dekarbonizaci, mimo jiné prostřednictvím pokračujícího zapojení EU do mezinárodních iniciativ, jako je Deklarace o trojí jaderné energii, která byla zveřejněna na konferenci COP28;</w:t>
            </w:r>
            <w:r>
              <w:t xml:space="preserve"> </w:t>
            </w:r>
            <w:r>
              <w:rPr>
                <w:b/>
                <w:i/>
              </w:rPr>
              <w:t>vybízí EU, aby podporovala partnerské země, které usilují o začlenění jaderné energie do svých vnitrostátně stanovených příspěvků;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Dílčí nadpis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vyjadřuje politování nad vysokými náklady na chemické znečištění na celém světě, které zhoršuje klimatickou krizi a krizi biologické rozmanitosti;</w:t>
            </w:r>
            <w:r>
              <w:t xml:space="preserve"> </w:t>
            </w:r>
            <w:r>
              <w:rPr>
                <w:b/>
                <w:i/>
              </w:rPr>
              <w:t>vyzývá smluvní strany, aby zavedly opatření ke splnění strategických cílů a úkolů přijatých jako součást Globálního rámce OSN pro chemické látky;</w:t>
            </w:r>
            <w:r>
              <w:t xml:space="preserve"> </w:t>
            </w:r>
            <w:r>
              <w:rPr>
                <w:b/>
                <w:i/>
              </w:rPr>
              <w:t>zdůrazňuje, že je třeba, aby EU a její členské státy stály v čele celosvětového úsilí o boj proti chemickému znečištění, a to i tím, že v případě potřeby zrevidují své politiky týkající se chemických látek;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zdůrazňuje, že změna klimatu povede mimo jiné ke zvýšení rezistence vůči antibiotikům;</w:t>
            </w:r>
            <w:r>
              <w:t xml:space="preserve"> </w:t>
            </w:r>
            <w:r>
              <w:rPr>
                <w:b/>
                <w:i/>
              </w:rPr>
              <w:t>v této souvislosti opětovně zdůrazňuje, že je třeba přijmout naléhavá opatření proti antimikrobiální rezistenci, a vyzývá všechny smluvní strany, aby se s ohledem na riziko antimikrobiální rezistence s ještě větším úsilím než doposud zasazovaly o omezenější a uvážlivější používání antimikrobiálních látek;</w:t>
            </w:r>
            <w:r>
              <w:t xml:space="preserve"> </w:t>
            </w:r>
            <w:r>
              <w:rPr>
                <w:b/>
                <w:i/>
              </w:rPr>
              <w:t>v této souvislosti vyzývá k přijetí závazných závazků v příslušných mezinárodních smlouvách;</w:t>
            </w:r>
            <w:r>
              <w:t xml:space="preserve"> </w:t>
            </w:r>
            <w:r>
              <w:rPr>
                <w:b/>
                <w:i/>
              </w:rPr>
              <w:t>lituje, že dosud nebyla přijata žádná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připomíná význam využívání půdy, změny ve využívání půdy a lesnictví (LULUCF) pro dosažení cílů Unie v oblasti klimatu a biologické rozmanitosti;</w:t>
            </w:r>
            <w:r>
              <w:t xml:space="preserve"> </w:t>
            </w:r>
            <w:r>
              <w:rPr>
                <w:b/>
                <w:i/>
              </w:rPr>
              <w:t>připomíná, že nařízení o obnově přírody je jedním z nástrojů EU pro splnění jejích cílů vyplývajících z nařízení o využívání půdy, změny ve využívání půdy a lesnictví (LULUCF) a jejích mezinárodních závazků v oblasti biologické rozmanitosti, zejména celosvětového rámce pro biologickou rozmanitost (GBF) z Kchun-mingu a Montréalu;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vyzývá všechny strany, aby do svých vnitrostátně stanovených příspěvků a národních adaptačních plánů začlenily řešení inspirovaná přírodou a uznaly zásadní úlohu ochrany a obnovy ekosystémů, včetně lesů, mokřadů, pobřežních ekosystémů a rašelinišť, při dosahování cílů Pařížské dohody a posilování dlouhodobé odolnosti vůči změně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zdůrazňuje přínos obnovy ekosystémů, zdravé půdy a odolné krajiny ke zmírňování změny klimatu a přizpůsobování se této změně;</w:t>
            </w:r>
            <w:r>
              <w:t xml:space="preserve"> </w:t>
            </w:r>
            <w:r>
              <w:rPr>
                <w:b/>
                <w:i/>
              </w:rPr>
              <w:t>vyzývá k větší integraci politik v oblasti klimatu, ochrany biologické rozmanitosti a obnovy půdy při provádění mezinárodních dohod v oblasti životního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zdůrazňuje význam a potenciál oběhového hospodářství pro dosažení snížení emisí a zároveň pro širší řešení trojí planetární krize;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zdůrazňuje, že je třeba komplexně řešit vzájemné vazby mezi změnou klimatu, znečištěním ovzduší a veřejným zdravím;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zdůrazňuje, že je důležité identifikovat a maximalizovat potenciální synergie mezi opatřeními v oblasti biologické rozmanitosti a klimatu, mimo jiné upřednostňováním ochrany, obnovy a řízení ekosystémů a druhů důležitých pro koloběh uhlíku, jak bylo dohodnuto na konferenci COP16 v kolumbijském Cali;</w:t>
            </w:r>
            <w:r>
              <w:t xml:space="preserve"> </w:t>
            </w:r>
            <w:r>
              <w:rPr>
                <w:b/>
                <w:i/>
              </w:rPr>
              <w:t>zdůrazňuje význam provádění celosvětového rámce pro biologickou rozmanitost z Kchun-mingu a Montréalu;</w:t>
            </w:r>
            <w:r>
              <w:t xml:space="preserve"> </w:t>
            </w:r>
            <w:r>
              <w:rPr>
                <w:b/>
                <w:i/>
              </w:rPr>
              <w:t>vítá v tomto ohledu skutečnost, že 97 smluvních stran předložilo aktualizované vnitrostátní strategie a akční plány v oblasti biologické rozmanitosti a 134 smluvních stran předložilo 7. národní zprávy, a naléhavě vyzývá všechny zbývající smluvní strany, aby je urychleně následovaly;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zdůrazňuje, že rostoucí četnost a závažnost přírodních požárů představuje rostoucí hrozbu pro lesní ekosystémy, biologickou rozmanitost a venkovské komunity na celém světě;</w:t>
            </w:r>
            <w:r>
              <w:t xml:space="preserve"> </w:t>
            </w:r>
            <w:r>
              <w:rPr>
                <w:b/>
                <w:i/>
              </w:rPr>
              <w:t>vyzývá všechny strany, aby do svých vnitrostátně stanovených příspěvků a národních adaptačních plánů začlenily prevenci přírodních požárů a odolnost lesů, přičemž uznává udržitelné obhospodařování lesů a opětovné zalesňování za základní nástroje jak pro zmírňování změny klimatu, tak pro snižování rizika katastrof;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zdůrazňuje potenciál nadcházející první mezinárodní konference o globálním rámci pro chemické látky pro další posílení mezinárodní spolupráce v oblasti řádného nakládání s chemickými látkami a prevence znečištění;</w:t>
            </w:r>
            <w:r>
              <w:t xml:space="preserve"> </w:t>
            </w:r>
            <w:r>
              <w:rPr>
                <w:b/>
                <w:i/>
              </w:rPr>
              <w:t>vyzývá k urychlenému přijetí opatření v rámci Globálního rámce OSN pro chemické látkys cílem předložit jeho komplexní plán a pokročit směrem k planetě bez škod způsobených chemickými látkami a odpadem;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připomíná, že je důležité, aby environmentální politiky byly navrhovány a prováděny v plném souladu s přístupem „Jedno zdraví“, jehož cílem je trvale udržovat rovnováhu a optimalizovat zdraví lidí, zvířat a ekosystémů;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22d.</w:t>
            </w:r>
            <w:r>
              <w:tab/>
            </w:r>
            <w:r>
              <w:rPr>
                <w:b/>
                <w:i/>
              </w:rPr>
              <w:t>zdůrazňuje, že je třeba komplexně řešit, a to i v rámci konference smluvních stran (COP), vzájemné vazby mezi změnou klimatu, znečištěním ovzduší a veřejným zdravím;</w:t>
            </w:r>
            <w:r>
              <w:t xml:space="preserve"> </w:t>
            </w:r>
            <w:r>
              <w:rPr>
                <w:b/>
                <w:i/>
              </w:rPr>
              <w:t>vítá Prohlášení o klimatu a zdraví, které bylo přijato na konferenci COP28 a které podepsalo více než 150 vlád;</w:t>
            </w:r>
            <w:r>
              <w:t xml:space="preserve"> </w:t>
            </w:r>
            <w:r>
              <w:rPr>
                <w:b/>
                <w:i/>
              </w:rPr>
              <w:t>žádá, aby se zlepšování kvality ovzduší stalo součástí politik v oblasti klimatu a aby bylo zohledněno ve vnitrostátně stanovených příspěvcích;</w:t>
            </w:r>
            <w:r>
              <w:t xml:space="preserve"> </w:t>
            </w:r>
            <w:r>
              <w:rPr>
                <w:b/>
                <w:i/>
              </w:rPr>
              <w:t>vyzývá všechny smluvní strany, aby urychlily smysluplná opatření přispívající ke zlepšování kvality ovzduší;</w:t>
            </w:r>
            <w:r>
              <w:t xml:space="preserve"> </w:t>
            </w:r>
            <w:r>
              <w:rPr>
                <w:b/>
                <w:i/>
              </w:rPr>
              <w:t>naléhavě vyzývá smluvní strany, aby zajistily, že při financování opatření v oblasti klimatu budou upřednostňována řešení pro čistý vzduch s měřitelnými přínosy pro zdraví, spravedlnost a klima;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22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22e.</w:t>
            </w:r>
            <w:r>
              <w:tab/>
            </w:r>
            <w:r>
              <w:rPr>
                <w:b/>
                <w:i/>
              </w:rPr>
              <w:t>zdůrazňuje, že změna klimatu povede mimo jiné ke zvýšení rezistence vůči antibiotikům;</w:t>
            </w:r>
            <w:r>
              <w:t xml:space="preserve"> </w:t>
            </w:r>
            <w:r>
              <w:rPr>
                <w:b/>
                <w:i/>
              </w:rPr>
              <w:t>v této souvislosti opětovně zdůrazňuje, že je třeba přijmout naléhavá opatření proti antimikrobiální rezistenci, a vyzývá všechny smluvní strany, aby se s ohledem na riziko antimikrobiální rezistence s ještě větším úsilím než doposud zasazovaly o omezenější a uvážlivější používání antimikrobiálních látek;</w:t>
            </w:r>
            <w:r>
              <w:t xml:space="preserve"> </w:t>
            </w:r>
            <w:r>
              <w:rPr>
                <w:b/>
                <w:i/>
              </w:rPr>
              <w:t>v této souvislosti vyzývá k přijetí závazných závazků v příslušných mezinárodních smlouvách;</w:t>
            </w:r>
            <w:r>
              <w:t xml:space="preserve"> </w:t>
            </w:r>
            <w:r>
              <w:rPr>
                <w:b/>
                <w:i/>
              </w:rPr>
              <w:t>lituje, že dosud nebyla přijata žádná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zdůrazňuje, že je </w:t>
            </w:r>
            <w:r>
              <w:rPr>
                <w:b/>
                <w:i/>
              </w:rPr>
              <w:t>zapotřebí</w:t>
            </w:r>
            <w:r>
              <w:t xml:space="preserve"> chránit práva a zájmy původních obyvatel a místních komunit;</w:t>
            </w:r>
          </w:p>
        </w:tc>
        <w:tc>
          <w:tcPr>
            <w:tcW w:w="4876" w:type="dxa"/>
            <w:tcBorders>
              <w:top w:val="nil"/>
              <w:left w:val="nil"/>
              <w:bottom w:val="nil"/>
              <w:right w:val="nil"/>
            </w:tcBorders>
          </w:tcPr>
          <w:p>
            <w:pPr>
              <w:pStyle w:val="Normal6a"/>
            </w:pPr>
            <w:r>
              <w:t>23.</w:t>
            </w:r>
            <w:r>
              <w:tab/>
            </w:r>
            <w:r>
              <w:t xml:space="preserve">zdůrazňuje, že je </w:t>
            </w:r>
            <w:r>
              <w:rPr>
                <w:b/>
                <w:i/>
              </w:rPr>
              <w:t>třeba</w:t>
            </w:r>
            <w:r>
              <w:t xml:space="preserve"> chránit práva a zájmy původních obyvatel a místních komunit</w:t>
            </w:r>
            <w:r>
              <w:rPr>
                <w:b/>
                <w:i/>
              </w:rPr>
              <w:t>, které i nadále čelí nepřiměřeným dopadům na klima, zhoršování životního prostředí, vyvlastňování půdy a násilí</w:t>
            </w:r>
            <w:r>
              <w:t xml:space="preserve">; </w:t>
            </w:r>
            <w:r>
              <w:rPr>
                <w:b/>
                <w:i/>
              </w:rPr>
              <w:t>uznává nenahraditelnou úlohu původních obyvatel jako správců 80 % světové biologické rozmanitosti a jako otevřených zastánců mnohostranných opatření v oblasti změny klimatu;</w:t>
            </w:r>
            <w:r>
              <w:t xml:space="preserve"> </w:t>
            </w:r>
            <w:r>
              <w:rPr>
                <w:b/>
                <w:i/>
              </w:rPr>
              <w:t>znovu potvrzuje, že je důležité uplatňovat Deklaraci OSN o právech původních obyvatel a zajistit, aby veškerá opatření v oblasti klimatu byla založena na přístupu založeném na lidských právech;</w:t>
            </w:r>
            <w:r>
              <w:t xml:space="preserve"> </w:t>
            </w:r>
            <w:r>
              <w:rPr>
                <w:b/>
                <w:i/>
              </w:rPr>
              <w:t>vyzývá smluvní strany, aby zaručily svobodný, předchozí a informovaný souhlas se všemi iniciativami v oblasti klimatu, energetiky, ochrany a uhlíku a dalšími environmentálními tržními iniciativami, které mají dopad na původní území a zdroje;</w:t>
            </w:r>
            <w:r>
              <w:t xml:space="preserve"> </w:t>
            </w:r>
            <w:r>
              <w:rPr>
                <w:b/>
                <w:i/>
              </w:rPr>
              <w:t>vyzývá k lepšímu přímému přístupu původních obyvatel a místních iniciativ k financování opatření v oblasti klimatu a k plnému uznání systémů znalostí původních obyvatel jako rovnocenných a doplňujících vědecké poznatky v politice a provádění v oblasti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zdůrazňuje, že je </w:t>
            </w:r>
            <w:r>
              <w:rPr>
                <w:b/>
                <w:i/>
              </w:rPr>
              <w:t>zapotřebí</w:t>
            </w:r>
            <w:r>
              <w:t xml:space="preserve"> chránit práva a zájmy </w:t>
            </w:r>
            <w:r>
              <w:rPr>
                <w:b/>
                <w:i/>
              </w:rPr>
              <w:t>původních obyvatel a místních komunit</w:t>
            </w:r>
            <w:r>
              <w:t>;</w:t>
            </w:r>
          </w:p>
        </w:tc>
        <w:tc>
          <w:tcPr>
            <w:tcW w:w="4876" w:type="dxa"/>
            <w:tcBorders>
              <w:top w:val="nil"/>
              <w:left w:val="nil"/>
              <w:bottom w:val="nil"/>
              <w:right w:val="nil"/>
            </w:tcBorders>
          </w:tcPr>
          <w:p>
            <w:pPr>
              <w:pStyle w:val="Normal6a"/>
            </w:pPr>
            <w:r>
              <w:t>23.</w:t>
            </w:r>
            <w:r>
              <w:tab/>
            </w:r>
            <w:r>
              <w:t xml:space="preserve">zdůrazňuje, že je </w:t>
            </w:r>
            <w:r>
              <w:rPr>
                <w:b/>
                <w:i/>
              </w:rPr>
              <w:t>třeba</w:t>
            </w:r>
            <w:r>
              <w:t xml:space="preserve"> chránit práva a zájmy </w:t>
            </w:r>
            <w:r>
              <w:rPr>
                <w:b/>
                <w:i/>
              </w:rPr>
              <w:t>osob náležejících k původnímu obyvatelstvu a místním komunitám při plném dodržování všeobecných lidských práv a základních svobod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zdůrazňuje, že je zapotřebí </w:t>
            </w:r>
            <w:r>
              <w:rPr>
                <w:b/>
                <w:i/>
              </w:rPr>
              <w:t>chránit</w:t>
            </w:r>
            <w:r>
              <w:t xml:space="preserve"> práva a zájmy původních obyvatel a místních komunit;</w:t>
            </w:r>
          </w:p>
        </w:tc>
        <w:tc>
          <w:tcPr>
            <w:tcW w:w="4876" w:type="dxa"/>
            <w:tcBorders>
              <w:top w:val="nil"/>
              <w:left w:val="nil"/>
              <w:bottom w:val="nil"/>
              <w:right w:val="nil"/>
            </w:tcBorders>
          </w:tcPr>
          <w:p>
            <w:pPr>
              <w:pStyle w:val="Normal6a"/>
            </w:pPr>
            <w:r>
              <w:t>23.</w:t>
            </w:r>
            <w:r>
              <w:tab/>
            </w:r>
            <w:r>
              <w:t xml:space="preserve">zdůrazňuje, že je zapotřebí </w:t>
            </w:r>
            <w:r>
              <w:rPr>
                <w:b/>
                <w:i/>
              </w:rPr>
              <w:t>zohledňovat</w:t>
            </w:r>
            <w:r>
              <w:t xml:space="preserve"> práva a zájmy původních obyvatel a místních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zdůrazňuje, že je důležité zajistit přístup k informacím, účast veřejnosti na rozhodování a přístup k právní ochraně v záležitostech životního prostředí v souladu s Aarhuskou úmluvou;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zdůrazňuje, že je třeba podporovat a chránit ochránce životního prostředí;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zdůrazňuje, že je třeba podporovat a chránit ochránce životního prostředí;</w:t>
            </w:r>
          </w:p>
        </w:tc>
        <w:tc>
          <w:tcPr>
            <w:tcW w:w="4876" w:type="dxa"/>
            <w:tcBorders>
              <w:top w:val="nil"/>
              <w:left w:val="nil"/>
              <w:bottom w:val="nil"/>
              <w:right w:val="nil"/>
            </w:tcBorders>
          </w:tcPr>
          <w:p>
            <w:pPr>
              <w:pStyle w:val="Normal6a"/>
            </w:pPr>
            <w:r>
              <w:t>24.</w:t>
            </w:r>
            <w:r>
              <w:tab/>
            </w:r>
            <w:r>
              <w:t xml:space="preserve">zdůrazňuje, že je třeba podporovat a chránit ochránce životního prostředí; </w:t>
            </w:r>
            <w:r>
              <w:rPr>
                <w:b/>
                <w:i/>
              </w:rPr>
              <w:t>vyjadřuje politování nad tím, že v roce 2024</w:t>
            </w:r>
            <w:r>
              <w:rPr>
                <w:b/>
                <w:i/>
                <w:vertAlign w:val="superscript"/>
              </w:rPr>
              <w:t>1a</w:t>
            </w:r>
            <w:r>
              <w:t xml:space="preserve"> </w:t>
            </w:r>
            <w:r>
              <w:rPr>
                <w:b/>
                <w:i/>
              </w:rPr>
              <w:t>bylo zabito nebo zmizelo 146 obránců životního prostředí;</w:t>
            </w:r>
            <w:r>
              <w:t xml:space="preserve"> </w:t>
            </w:r>
            <w:r>
              <w:rPr>
                <w:b/>
                <w:i/>
              </w:rPr>
              <w:t>zdůrazňuje, že mnoho obránců životního prostředí čelí kriminalizaci za své jednání a toxickým narativům, které se snaží oslabit jejich práci;</w:t>
            </w:r>
            <w:r>
              <w:t xml:space="preserve"> </w:t>
            </w:r>
            <w:r>
              <w:rPr>
                <w:b/>
                <w:i/>
              </w:rPr>
              <w:t>vyzývá všechny smluvní strany, aby zajistily systémovou ochranu obránců životního prostředí tím, že venkovským komunitám a původním obyvatelům zaručí pozemková práva, budou dodržovat mezinárodní normy pro uznávání a ochranu obránců, revidovat veškeré zákony, které umožňují kriminalizaci obránců nebo organizací usilujících o ochranu lidských, pozemkových nebo environmentálních práv, a zajistí transparentní a rychlou spravedlnost pro obránce, kteří byli napadeni;</w:t>
            </w:r>
            <w:r>
              <w:t xml:space="preserve"> </w:t>
            </w:r>
            <w:r>
              <w:rPr>
                <w:b/>
                <w:i/>
              </w:rPr>
              <w:t>uznává význam spolehlivých a závazných rámců náležité péče pro to, aby společnosti a finanční instituce nesly právní odpovědnost za porušování lidských práv a škody na životním prostředí v rámci svých globálních operací a hodnotových řetězců, a zdůrazňuje v tomto ohledu probíhající jednání o závazné smlouvě OSN o podnikání a lidských právech;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Witness (2025) Dokumentace zabíjení a mizení obránců půdy a životního prostředí,, https://globalwitness.org/en/campaigns/land-and-environmental-defenders/documenting-killings-and-disappearances-of-land-and-environmental-defenders/</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zdůrazňuje, že je třeba podporovat a chránit </w:t>
            </w:r>
            <w:r>
              <w:rPr>
                <w:b/>
                <w:i/>
              </w:rPr>
              <w:t>ochránce</w:t>
            </w:r>
            <w:r>
              <w:t xml:space="preserve"> životního prostředí;</w:t>
            </w:r>
          </w:p>
        </w:tc>
        <w:tc>
          <w:tcPr>
            <w:tcW w:w="4876" w:type="dxa"/>
            <w:tcBorders>
              <w:top w:val="nil"/>
              <w:left w:val="nil"/>
              <w:bottom w:val="nil"/>
              <w:right w:val="nil"/>
            </w:tcBorders>
          </w:tcPr>
          <w:p>
            <w:pPr>
              <w:pStyle w:val="Normal6a"/>
            </w:pPr>
            <w:r>
              <w:t>24.</w:t>
            </w:r>
            <w:r>
              <w:tab/>
            </w:r>
            <w:r>
              <w:t xml:space="preserve">zdůrazňuje, že je třeba podporovat a chránit </w:t>
            </w:r>
            <w:r>
              <w:rPr>
                <w:b/>
                <w:i/>
              </w:rPr>
              <w:t>organizace občanské společnosti, obránce</w:t>
            </w:r>
            <w:r>
              <w:t xml:space="preserve"> životního prostředí </w:t>
            </w:r>
            <w:r>
              <w:rPr>
                <w:b/>
                <w:i/>
              </w:rPr>
              <w:t>a oznamovatele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zdůrazňuje, že je třeba podporovat a chránit ochránce životního prostředí;</w:t>
            </w:r>
          </w:p>
        </w:tc>
        <w:tc>
          <w:tcPr>
            <w:tcW w:w="4876" w:type="dxa"/>
            <w:tcBorders>
              <w:top w:val="nil"/>
              <w:left w:val="nil"/>
              <w:bottom w:val="nil"/>
              <w:right w:val="nil"/>
            </w:tcBorders>
          </w:tcPr>
          <w:p>
            <w:pPr>
              <w:pStyle w:val="Normal6a"/>
            </w:pPr>
            <w:r>
              <w:t>24.</w:t>
            </w:r>
            <w:r>
              <w:tab/>
            </w:r>
            <w:r>
              <w:t xml:space="preserve">zdůrazňuje, že je třeba podporovat a chránit ochránce životního prostředí </w:t>
            </w:r>
            <w:r>
              <w:rPr>
                <w:b/>
                <w:i/>
              </w:rPr>
              <w:t>a pohnat k odpovědnosti ty, kteří je ohrožují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zdůrazňuje význam ochrany, zachování a obnovy vodních ekosystémů a ekosystémů souvisejících s vodou; upozorňuje na ničivé environmentální, sociální a hospodářské dopady dezertifikace, sucha, povodní a znečištění vody;</w:t>
            </w:r>
          </w:p>
        </w:tc>
        <w:tc>
          <w:tcPr>
            <w:tcW w:w="4876" w:type="dxa"/>
            <w:tcBorders>
              <w:top w:val="nil"/>
              <w:left w:val="nil"/>
              <w:bottom w:val="nil"/>
              <w:right w:val="nil"/>
            </w:tcBorders>
          </w:tcPr>
          <w:p>
            <w:pPr>
              <w:pStyle w:val="Normal6a"/>
            </w:pPr>
            <w:r>
              <w:t>25.</w:t>
            </w:r>
            <w:r>
              <w:tab/>
            </w:r>
            <w:r>
              <w:t xml:space="preserve">zdůrazňuje význam ochrany, zachování a obnovy vodních ekosystémů a ekosystémů souvisejících s vodou; upozorňuje na ničivé environmentální, sociální a hospodářské dopady dezertifikace, sucha, povodní a znečištění vody; </w:t>
            </w:r>
            <w:r>
              <w:rPr>
                <w:b/>
                <w:i/>
              </w:rPr>
              <w:t>vítá evropskou strategii pro vodohospodářskou odolnost a vyzývá Komisi a členské státy k jejímu urychlenému provádění;</w:t>
            </w:r>
            <w:r>
              <w:t xml:space="preserve"> </w:t>
            </w:r>
            <w:r>
              <w:rPr>
                <w:b/>
                <w:i/>
              </w:rPr>
              <w:t>vyzývá k urychlenému zákazu PFAS;</w:t>
            </w:r>
            <w:r>
              <w:t xml:space="preserve"> </w:t>
            </w:r>
            <w:r>
              <w:rPr>
                <w:b/>
                <w:i/>
              </w:rPr>
              <w:t>vyzývá Komisi a členské státy, aby zintenzivnily prosazování stávajících právních předpisů a zajistily dodržování rámcové směrnice o vodě;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zdůrazňuje význam ochrany, zachování a obnovy vodních ekosystémů a ekosystémů souvisejících s vodou; upozorňuje na ničivé environmentální, sociální a hospodářské dopady dezertifikace, sucha, povodní a znečištění vody;</w:t>
            </w:r>
          </w:p>
        </w:tc>
        <w:tc>
          <w:tcPr>
            <w:tcW w:w="4876" w:type="dxa"/>
            <w:tcBorders>
              <w:top w:val="nil"/>
              <w:left w:val="nil"/>
              <w:bottom w:val="nil"/>
              <w:right w:val="nil"/>
            </w:tcBorders>
          </w:tcPr>
          <w:p>
            <w:pPr>
              <w:pStyle w:val="Normal6a"/>
            </w:pPr>
            <w:r>
              <w:t>25.</w:t>
            </w:r>
            <w:r>
              <w:tab/>
            </w:r>
            <w:r>
              <w:t xml:space="preserve">zdůrazňuje význam ochrany, zachování a obnovy vodních ekosystémů a ekosystémů souvisejících s vodou; upozorňuje na ničivé environmentální, sociální a hospodářské dopady dezertifikace, sucha, povodní a znečištění vody; </w:t>
            </w:r>
            <w:r>
              <w:rPr>
                <w:b/>
                <w:i/>
              </w:rPr>
              <w:t>vyzývá v této souvislosti členské státy, aby plně provedly všechny právní předpisy EU týkající se 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zdůrazňuje význam ochrany, zachování a obnovy vodních ekosystémů a </w:t>
            </w:r>
            <w:r>
              <w:rPr>
                <w:b/>
                <w:i/>
              </w:rPr>
              <w:t>ekosystémů souvisejících s vodou</w:t>
            </w:r>
            <w:r>
              <w:t>; upozorňuje na ničivé environmentální, sociální a hospodářské dopady dezertifikace, sucha, povodní a znečištění vody;</w:t>
            </w:r>
          </w:p>
        </w:tc>
        <w:tc>
          <w:tcPr>
            <w:tcW w:w="4876" w:type="dxa"/>
            <w:tcBorders>
              <w:top w:val="nil"/>
              <w:left w:val="nil"/>
              <w:bottom w:val="nil"/>
              <w:right w:val="nil"/>
            </w:tcBorders>
          </w:tcPr>
          <w:p>
            <w:pPr>
              <w:pStyle w:val="Normal6a"/>
            </w:pPr>
            <w:r>
              <w:t>25.</w:t>
            </w:r>
            <w:r>
              <w:tab/>
            </w:r>
            <w:r>
              <w:t xml:space="preserve">zdůrazňuje význam ochrany, zachování a obnovy </w:t>
            </w:r>
            <w:r>
              <w:rPr>
                <w:b/>
                <w:i/>
              </w:rPr>
              <w:t>vody a</w:t>
            </w:r>
            <w:r>
              <w:t xml:space="preserve"> vodních ekosystémů a </w:t>
            </w:r>
            <w:r>
              <w:rPr>
                <w:b/>
                <w:i/>
              </w:rPr>
              <w:t>udržitelného využívání vody</w:t>
            </w:r>
            <w:r>
              <w:t>; upozorňuje na ničivé environmentální, sociální a hospodářské dopady dezertifikace, sucha, povodní a znečištění 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zdůrazňuje význam ochrany, zachování a obnovy </w:t>
            </w:r>
            <w:r>
              <w:rPr>
                <w:b/>
                <w:i/>
              </w:rPr>
              <w:t>vodních ekosystémů</w:t>
            </w:r>
            <w:r>
              <w:t xml:space="preserve"> a ekosystémů souvisejících s vodou; upozorňuje na ničivé environmentální, sociální a hospodářské dopady dezertifikace, sucha, povodní a znečištění vody;</w:t>
            </w:r>
          </w:p>
        </w:tc>
        <w:tc>
          <w:tcPr>
            <w:tcW w:w="4876" w:type="dxa"/>
            <w:tcBorders>
              <w:top w:val="nil"/>
              <w:left w:val="nil"/>
              <w:bottom w:val="nil"/>
              <w:right w:val="nil"/>
            </w:tcBorders>
          </w:tcPr>
          <w:p>
            <w:pPr>
              <w:pStyle w:val="Normal6a"/>
            </w:pPr>
            <w:r>
              <w:t>25.</w:t>
            </w:r>
            <w:r>
              <w:tab/>
            </w:r>
            <w:r>
              <w:t xml:space="preserve">zdůrazňuje význam ochrany, zachování a obnovy </w:t>
            </w:r>
            <w:r>
              <w:rPr>
                <w:b/>
                <w:i/>
              </w:rPr>
              <w:t>vody</w:t>
            </w:r>
            <w:r>
              <w:t xml:space="preserve"> a ekosystémů souvisejících s vodou</w:t>
            </w:r>
            <w:r>
              <w:rPr>
                <w:b/>
                <w:i/>
              </w:rPr>
              <w:t>, včetně populací volně žijících zvířat</w:t>
            </w:r>
            <w:r>
              <w:t>; upozorňuje na ničivé environmentální, sociální a hospodářské dopady dezertifikace, sucha, povodní a znečištění 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vítá, že dne 17. ledna 2026 vstoupila v platnost dohoda o BBNJ, a vyzývá k její urychlené ratifikaci všemi smluvními stranami; očekává ambiciózní první konferenci smluvních stran (COP1) dohody o BBNJ, která se uskuteční počátkem roku 2027; vyzývá smluvní strany, aby pokračovaly v práci na dialogu o oceánech a změně klimatu;</w:t>
            </w:r>
          </w:p>
        </w:tc>
        <w:tc>
          <w:tcPr>
            <w:tcW w:w="4876" w:type="dxa"/>
            <w:tcBorders>
              <w:top w:val="nil"/>
              <w:left w:val="nil"/>
              <w:bottom w:val="nil"/>
              <w:right w:val="nil"/>
            </w:tcBorders>
          </w:tcPr>
          <w:p>
            <w:pPr>
              <w:pStyle w:val="Normal6a"/>
            </w:pPr>
            <w:r>
              <w:t>26.</w:t>
            </w:r>
            <w:r>
              <w:tab/>
            </w:r>
            <w:r>
              <w:t xml:space="preserve">vítá, že dne 17. ledna 2026 vstoupila v platnost dohoda o BBNJ, a vyzývá k její urychlené ratifikaci všemi smluvními stranami; očekává ambiciózní první konferenci smluvních stran (COP1) dohody o BBNJ, která se uskuteční počátkem roku 2027; vyzývá smluvní strany, aby pokračovaly v práci na dialogu o oceánech a změně klimatu; </w:t>
            </w:r>
            <w:r>
              <w:rPr>
                <w:b/>
                <w:i/>
              </w:rPr>
              <w:t>vyzývá Radu, aby pokročila v práci na směrnici o BBNJ;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zdůrazňuje, že klimatické mechanismy </w:t>
            </w:r>
            <w:r>
              <w:rPr>
                <w:b/>
                <w:i/>
              </w:rPr>
              <w:t>závisejí</w:t>
            </w:r>
            <w:r>
              <w:t xml:space="preserve"> na zdraví oceánů a mořských ekosystémů, které jsou v současné době postiženy globálním oteplováním, znečištěním, nadměrným využíváním mořské biologické rozmanitosti, acidifikací, odkysličováním a erozí pobřeží;</w:t>
            </w:r>
          </w:p>
        </w:tc>
        <w:tc>
          <w:tcPr>
            <w:tcW w:w="4876" w:type="dxa"/>
            <w:tcBorders>
              <w:top w:val="nil"/>
              <w:left w:val="nil"/>
              <w:bottom w:val="nil"/>
              <w:right w:val="nil"/>
            </w:tcBorders>
          </w:tcPr>
          <w:p>
            <w:pPr>
              <w:pStyle w:val="Normal6a"/>
            </w:pPr>
            <w:r>
              <w:t>27.</w:t>
            </w:r>
            <w:r>
              <w:tab/>
            </w:r>
            <w:r>
              <w:t>zdůrazňuje, že klimatické mechanismy</w:t>
            </w:r>
            <w:r>
              <w:rPr>
                <w:b/>
                <w:i/>
              </w:rPr>
              <w:t>, včetně absorpce oxidu uhličitého, zachycování přebytečného tepla a tvorby kyslíku, závisí</w:t>
            </w:r>
            <w:r>
              <w:t xml:space="preserve"> na zdraví oceánů a mořských ekosystémů, které jsou v současné době postiženy globálním oteplováním, znečištěním, nadměrným využíváním mořské biologické rozmanitosti, acidifikací, odkysličováním a erozí pobřeží; </w:t>
            </w:r>
            <w:r>
              <w:rPr>
                <w:b/>
                <w:i/>
              </w:rPr>
              <w:t>vyzývá k urychlenému přijetí globálních opatření na obnovu mořských ekosystémů a zajištění účinné ochrany chráněných mořských oblastí;</w:t>
            </w:r>
            <w:r>
              <w:t xml:space="preserve"> </w:t>
            </w:r>
            <w:r>
              <w:rPr>
                <w:b/>
                <w:i/>
              </w:rPr>
              <w:t>připomíná třetí cíl celosvětového rámce pro biologickou rozmanitost z Kchun-mingu a Montréalu zajistit do roku 2030 ochranu 30 % moří;</w:t>
            </w:r>
            <w:r>
              <w:t xml:space="preserve"> </w:t>
            </w:r>
            <w:r>
              <w:rPr>
                <w:b/>
                <w:i/>
              </w:rPr>
              <w:t>připomíná význam oceánů jako základního rezervoáru biologické rozmanitosti;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zdůrazňuje, že klimatické mechanismy závisejí na zdraví oceánů a mořských ekosystémů, které jsou v současné době postiženy globálním oteplováním, znečištěním, nadměrným využíváním mořské biologické rozmanitosti, acidifikací, odkysličováním a erozí pobřeží;</w:t>
            </w:r>
          </w:p>
        </w:tc>
        <w:tc>
          <w:tcPr>
            <w:tcW w:w="4876" w:type="dxa"/>
            <w:tcBorders>
              <w:top w:val="nil"/>
              <w:left w:val="nil"/>
              <w:bottom w:val="nil"/>
              <w:right w:val="nil"/>
            </w:tcBorders>
          </w:tcPr>
          <w:p>
            <w:pPr>
              <w:pStyle w:val="Normal6a"/>
            </w:pPr>
            <w:r>
              <w:t>27.</w:t>
            </w:r>
            <w:r>
              <w:tab/>
            </w:r>
            <w:r>
              <w:t xml:space="preserve">zdůrazňuje, že klimatické mechanismy závisejí na zdraví oceánů a mořských ekosystémů, které jsou v současné době postiženy globálním oteplováním, znečištěním, nadměrným využíváním mořské biologické rozmanitosti, acidifikací, odkysličováním a erozí pobřeží; </w:t>
            </w:r>
            <w:r>
              <w:rPr>
                <w:b/>
                <w:i/>
              </w:rPr>
              <w:t>vyjadřuje znepokojení nad pokračujícím vyčerpáváním celosvětových populací ryb a vyzývá smluvní strany, aby urychlily opatření proti nadměrnému rybolovu a destruktivním rybolovným postupům, mimo jiné zavedením ekosystémového řízení rybolovu a posílením chráněných mořských oblastí, s cílem chránit mořskou biologickou rozmanitost, potravinové zabezpečení a odolnost oceánů;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zdůrazňuje, že klimatické mechanismy závisejí na zdraví oceánů a mořských ekosystémů, které jsou v současné době postiženy globálním oteplováním, znečištěním, nadměrným využíváním mořské biologické rozmanitosti, acidifikací, odkysličováním a erozí pobřeží;</w:t>
            </w:r>
          </w:p>
        </w:tc>
        <w:tc>
          <w:tcPr>
            <w:tcW w:w="4876" w:type="dxa"/>
            <w:tcBorders>
              <w:top w:val="nil"/>
              <w:left w:val="nil"/>
              <w:bottom w:val="nil"/>
              <w:right w:val="nil"/>
            </w:tcBorders>
          </w:tcPr>
          <w:p>
            <w:pPr>
              <w:pStyle w:val="Normal6a"/>
            </w:pPr>
            <w:r>
              <w:t>27.</w:t>
            </w:r>
            <w:r>
              <w:tab/>
            </w:r>
            <w:r>
              <w:t xml:space="preserve">zdůrazňuje, že klimatické mechanismy závisejí na zdraví oceánů a mořských ekosystémů, které jsou v současné době postiženy globálním oteplováním, znečištěním, nadměrným využíváním mořské biologické rozmanitosti, acidifikací, </w:t>
            </w:r>
            <w:r>
              <w:rPr>
                <w:b/>
                <w:i/>
              </w:rPr>
              <w:t>eutrofizací,</w:t>
            </w:r>
            <w:r>
              <w:t xml:space="preserve"> odkysličováním a erozí pobřeží;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bere na vědomí rostoucí vědecké důkazy o příspěvku populací velryb ke zdravým oceánským ekosystémům a přirozeným procesům ukládání uhlíku;</w:t>
            </w:r>
            <w:r>
              <w:t xml:space="preserve"> </w:t>
            </w:r>
            <w:r>
              <w:rPr>
                <w:b/>
                <w:i/>
              </w:rPr>
              <w:t>se znepokojením konstatuje, že navzdory desetiletím úsilí o ochranu zůstává mnoho velryb ohrožených nebo zranitelných druhů a nadále čelí četným kumulativním tlakům způsobeným lidskou činností a změnou klimatu;</w:t>
            </w:r>
            <w:r>
              <w:t xml:space="preserve"> </w:t>
            </w:r>
            <w:r>
              <w:rPr>
                <w:b/>
                <w:i/>
              </w:rPr>
              <w:t>vyzývá smluvní strany, aby posílily ochranná opatření, snížily hrozby vyplývající z lodní dopravy, rybolovu a znečištění moří a podporovaly vědecky podložené iniciativy v oblasti ochrany zaměřené na obnovení příznivého stavu populací velryb z hlediska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zdůrazňuje zásadní význam mokřadů – včetně rašelinišť, mangrovových porostů a dalších pobřežních a vnitrozemských mokřadních ekosystémů – jako jedněch z nejúčinnějších přirozených propadů uhlíku na planetě;</w:t>
            </w:r>
            <w:r>
              <w:t xml:space="preserve"> </w:t>
            </w:r>
            <w:r>
              <w:rPr>
                <w:b/>
                <w:i/>
              </w:rPr>
              <w:t>vyzývá všechny smluvní strany, aby bezodkladně zvýšily své úsilí o zachování, udržitelné obhospodařování a obnovu mokřadů, představující klíčovou strategie pro zmírnění dopadů změny klimatu, přizpůsobení se této změně, ochranu biologické rozmanitosti a udržitelnost souvisejících sociálních a ekonomických aktivit;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zdůrazňuje, že půda je největším suchozemským úložištěm uhlíku a plní nepostradatelnou úlohu v globálním klimatickém cyklu;</w:t>
            </w:r>
            <w:r>
              <w:t xml:space="preserve"> </w:t>
            </w:r>
            <w:r>
              <w:rPr>
                <w:b/>
                <w:i/>
              </w:rPr>
              <w:t>vítá veškeré úsilí vlád i nevládních organizací o maximalizaci potenciálu půdy ke zmírňování změny klimatu a zlepšení dostupnosti vody;</w:t>
            </w:r>
            <w:r>
              <w:t xml:space="preserve"> </w:t>
            </w:r>
            <w:r>
              <w:rPr>
                <w:b/>
                <w:i/>
              </w:rPr>
              <w:t>v této souvislosti zdůrazňuje dohodu dosaženou na úrovni EU ohledně právního rámce pro monitorování půdy, jehož účelem je zlepšit kapacity členských států a pomoci EU s plněním jejích mezinárodních závazků;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zdůrazňuje, že důležitou roli v opatřeních v oblasti klimatu a při zmírňování změny klimatu hrají lesy;</w:t>
            </w:r>
            <w:r>
              <w:t xml:space="preserve"> </w:t>
            </w:r>
            <w:r>
              <w:rPr>
                <w:b/>
                <w:i/>
              </w:rPr>
              <w:t>podtrhuje význam celosvětového úsilí o boj proti odlesňování, neboť lesy zajišťují jeden z největších propadů uhlíku na světě a jsou zásadním rezervoárem z hlediska biologické rozmanitosti;</w:t>
            </w:r>
            <w:r>
              <w:t xml:space="preserve"> </w:t>
            </w:r>
            <w:r>
              <w:rPr>
                <w:b/>
                <w:i/>
              </w:rPr>
              <w:t>upozorňuje na naléhavou potřebu chránit nejdůležitější lesní území světa, jako je amazonský deštný prales, a to i v nejvzdálenějších regionech EU;</w:t>
            </w:r>
            <w:r>
              <w:t xml:space="preserve"> </w:t>
            </w:r>
            <w:r>
              <w:rPr>
                <w:b/>
                <w:i/>
              </w:rPr>
              <w:t>opětovně potvrzuje závazek EU k deklaraci světových vedoucích představitelů o lesích a využívání půdy z Glasgow (COP26);</w:t>
            </w:r>
            <w:r>
              <w:t xml:space="preserve"> </w:t>
            </w:r>
            <w:r>
              <w:rPr>
                <w:b/>
                <w:i/>
              </w:rPr>
              <w:t>vyzývá všechny smluvní strany, aby si stanovily cíle pro zvýšení čistého pohlcování ekvivalentu CO2 prostřednictvím činností zaměřených na využívání půdy, změny ve využívání půdy a lesnictví (LULUCF);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bojovat proti znečištění plasty; lituje, že se při jednáních o globální smlouvě o plastech opakovaně nepodařilo dosáhnout dohody;</w:t>
            </w:r>
          </w:p>
        </w:tc>
        <w:tc>
          <w:tcPr>
            <w:tcW w:w="4876" w:type="dxa"/>
            <w:tcBorders>
              <w:top w:val="nil"/>
              <w:left w:val="nil"/>
              <w:bottom w:val="nil"/>
              <w:right w:val="nil"/>
            </w:tcBorders>
          </w:tcPr>
          <w:p>
            <w:pPr>
              <w:pStyle w:val="Normal6a"/>
            </w:pPr>
            <w:r>
              <w:t>28.</w:t>
            </w:r>
            <w:r>
              <w:tab/>
            </w:r>
            <w:r>
              <w:t>zdůrazňuje, že je třeba bojovat proti znečištění plasty</w:t>
            </w:r>
            <w:r>
              <w:rPr>
                <w:b/>
                <w:i/>
              </w:rPr>
              <w:t>;</w:t>
            </w:r>
            <w:r>
              <w:t xml:space="preserve"> </w:t>
            </w:r>
            <w:r>
              <w:rPr>
                <w:b/>
                <w:i/>
              </w:rPr>
              <w:t>zdůrazňuje, že je třeba stanovit odpovídající ceny uhlíku u surovin, aby se výrazně snížilo využívání fosilních paliv v odvětví plastů</w:t>
            </w:r>
            <w:r>
              <w:t xml:space="preserve">; lituje, že se při jednáních o globální smlouvě o plastech opakovaně nepodařilo dosáhnout dohody; </w:t>
            </w:r>
            <w:r>
              <w:rPr>
                <w:b/>
                <w:i/>
              </w:rPr>
              <w:t>vyzývá k přijetí ambiciózní dohody, která se bude týkat všech fází výroby, spotřeby a nakládání s plastovým odpadem;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bojovat proti znečištění plasty; lituje, že se při jednáních o globální smlouvě o plastech opakovaně nepodařilo dosáhnout dohody;</w:t>
            </w:r>
          </w:p>
        </w:tc>
        <w:tc>
          <w:tcPr>
            <w:tcW w:w="4876" w:type="dxa"/>
            <w:tcBorders>
              <w:top w:val="nil"/>
              <w:left w:val="nil"/>
              <w:bottom w:val="nil"/>
              <w:right w:val="nil"/>
            </w:tcBorders>
          </w:tcPr>
          <w:p>
            <w:pPr>
              <w:pStyle w:val="Normal6a"/>
            </w:pPr>
            <w:r>
              <w:t>28.</w:t>
            </w:r>
            <w:r>
              <w:tab/>
            </w:r>
            <w:r>
              <w:t xml:space="preserve">zdůrazňuje, že je třeba bojovat proti znečištění plasty; lituje, že se při jednáních o globální smlouvě o plastech opakovaně nepodařilo dosáhnout dohody; </w:t>
            </w:r>
            <w:r>
              <w:rPr>
                <w:b/>
                <w:i/>
              </w:rPr>
              <w:t>vyzývá EU, aby navzdory neexistenci mezinárodní dohody ambiciózně prováděla opatření k předcházení znečištění plasty se zaměřením na stranu nabídky;</w:t>
            </w:r>
            <w:r>
              <w:t xml:space="preserve"> </w:t>
            </w:r>
            <w:r>
              <w:rPr>
                <w:b/>
                <w:i/>
              </w:rPr>
              <w:t>se zájmem očekává přezkum směrnice o plastech na jedno použití v roce 2027 a rozšíření jejích ambicí;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bojovat proti znečištění plasty; lituje, že se při jednáních o globální smlouvě o plastech opakovaně nepodařilo dosáhnout dohody;</w:t>
            </w:r>
          </w:p>
        </w:tc>
        <w:tc>
          <w:tcPr>
            <w:tcW w:w="4876" w:type="dxa"/>
            <w:tcBorders>
              <w:top w:val="nil"/>
              <w:left w:val="nil"/>
              <w:bottom w:val="nil"/>
              <w:right w:val="nil"/>
            </w:tcBorders>
          </w:tcPr>
          <w:p>
            <w:pPr>
              <w:pStyle w:val="Normal6a"/>
            </w:pPr>
            <w:r>
              <w:t>28.</w:t>
            </w:r>
            <w:r>
              <w:tab/>
            </w:r>
            <w:r>
              <w:t xml:space="preserve">zdůrazňuje, že je třeba bojovat proti znečištění plasty; lituje, že se při jednáních o globální smlouvě o plastech opakovaně nepodařilo dosáhnout dohody; </w:t>
            </w:r>
            <w:r>
              <w:rPr>
                <w:b/>
                <w:i/>
              </w:rPr>
              <w:t>zdůrazňuje, že je třeba stanovit ceny uhlíku v hodnotovém řetězci pro fosilní obsah ve výrobcích, zejména plastech;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zdůrazňuje, že je třeba bojovat proti znečištění plasty;</w:t>
            </w:r>
            <w:r>
              <w:t xml:space="preserve"> </w:t>
            </w:r>
            <w:r>
              <w:rPr>
                <w:b/>
                <w:i/>
              </w:rPr>
              <w:t>lituje</w:t>
            </w:r>
            <w:r>
              <w:t>, že se při jednáních o globální smlouvě o plastech opakovaně nepodařilo dosáhnout dohody;</w:t>
            </w:r>
          </w:p>
        </w:tc>
        <w:tc>
          <w:tcPr>
            <w:tcW w:w="4876" w:type="dxa"/>
            <w:tcBorders>
              <w:top w:val="nil"/>
              <w:left w:val="nil"/>
              <w:bottom w:val="nil"/>
              <w:right w:val="nil"/>
            </w:tcBorders>
          </w:tcPr>
          <w:p>
            <w:pPr>
              <w:pStyle w:val="Normal6a"/>
            </w:pPr>
            <w:r>
              <w:t>28.</w:t>
            </w:r>
            <w:r>
              <w:tab/>
            </w:r>
            <w:r>
              <w:rPr>
                <w:b/>
                <w:i/>
              </w:rPr>
              <w:t>konstatuje</w:t>
            </w:r>
            <w:r>
              <w:t>, že se při jednáních o globální smlouvě o plastech opakovaně nepodařilo dosáhnout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vyjadřuje politování nad vysokými náklady na chemické znečištění na celém světě, které zhoršuje klimatickou krizi a krizi biologické rozmanitosti;</w:t>
            </w:r>
            <w:r>
              <w:t xml:space="preserve"> </w:t>
            </w:r>
            <w:r>
              <w:rPr>
                <w:b/>
                <w:i/>
              </w:rPr>
              <w:t>vyzývá smluvní strany, aby zavedly opatření ke splnění strategických cílů a úkolů přijatých jako součást Globálního rámce OSN pro chemické látky;</w:t>
            </w:r>
            <w:r>
              <w:t xml:space="preserve"> </w:t>
            </w:r>
            <w:r>
              <w:rPr>
                <w:b/>
                <w:i/>
              </w:rPr>
              <w:t>zdůrazňuje, že je třeba, aby EU a její členské státy stály v čele celosvětového úsilí o boj proti chemickému znečištění, a to i tím, že v případě potřeby zrevidují své politiky týkající se chemických látek;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konstatuje, že na konferenci COP31 bude vydáno celosvětové prohlášení o ochraně volně žijících a planě rostoucích druhů v rámci opatření v oblasti klimatu, jehož cílem je formálně začlenit ochranu volně žijících a planě rostoucích druhů do globální politiky v oblasti klimatu;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konstatuje, že na konferenci COP31 bude vydáno celosvětové prohlášení o ochraně</w:t>
            </w:r>
            <w:r>
              <w:t xml:space="preserve"> volně žijících a planě rostoucích druhů </w:t>
            </w:r>
            <w:r>
              <w:rPr>
                <w:b/>
                <w:i/>
              </w:rPr>
              <w:t>v rámci opatření</w:t>
            </w:r>
            <w:r>
              <w:t xml:space="preserve"> v oblasti klimatu, jehož cílem je formálně začlenit ochranu volně žijících a planě rostoucích druhů do globální politiky v oblasti klimatu;</w:t>
            </w:r>
          </w:p>
        </w:tc>
        <w:tc>
          <w:tcPr>
            <w:tcW w:w="4876" w:type="dxa"/>
            <w:tcBorders>
              <w:top w:val="nil"/>
              <w:left w:val="nil"/>
              <w:bottom w:val="nil"/>
              <w:right w:val="nil"/>
            </w:tcBorders>
          </w:tcPr>
          <w:p>
            <w:pPr>
              <w:pStyle w:val="Normal6a"/>
            </w:pPr>
            <w:r>
              <w:t>29.</w:t>
            </w:r>
            <w:r>
              <w:tab/>
            </w:r>
            <w:r>
              <w:rPr>
                <w:b/>
                <w:i/>
              </w:rPr>
              <w:t>vítá závazek afrických zemí vyjádřený v rozhodnutí č. 5 Africké ministerské konference o životním prostředí</w:t>
            </w:r>
            <w:r>
              <w:rPr>
                <w:b/>
                <w:i/>
                <w:vertAlign w:val="superscript"/>
              </w:rPr>
              <w:t>1a</w:t>
            </w:r>
            <w:r>
              <w:t xml:space="preserve"> </w:t>
            </w:r>
            <w:r>
              <w:rPr>
                <w:b/>
                <w:i/>
              </w:rPr>
              <w:t>formálně začlenit ochranu</w:t>
            </w:r>
            <w:r>
              <w:t xml:space="preserve"> volně žijících a planě rostoucích druhů </w:t>
            </w:r>
            <w:r>
              <w:rPr>
                <w:b/>
                <w:i/>
              </w:rPr>
              <w:t>do globální politiky</w:t>
            </w:r>
            <w:r>
              <w:t xml:space="preserve"> v oblasti klimatu</w:t>
            </w:r>
            <w:r>
              <w:rPr>
                <w:b/>
                <w:i/>
              </w:rPr>
              <w:t>, což bude posíleno vyhlášením celosvětového prohlášení o opatřeních v oblasti ochrany volně žijících a planě rostoucích druhů pro klima na konferenci COP31</w:t>
            </w:r>
            <w:r>
              <w:t xml:space="preserve">, jehož cílem je formálně začlenit ochranu volně žijících a planě rostoucích druhů do globální politiky v oblasti klimatu; </w:t>
            </w:r>
            <w:r>
              <w:rPr>
                <w:b/>
                <w:i/>
              </w:rPr>
              <w:t>vybízí Unii a členské státy, aby tuto iniciativu aktivně podporovaly;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https://wedocs.unep.org/rest/api/core/bitstreams/71969a7c-0f97-4e7c-8dbd-48d944316cba/content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konstatuje</w:t>
            </w:r>
            <w:r>
              <w:t xml:space="preserve">, že na konferenci COP31 bude </w:t>
            </w:r>
            <w:r>
              <w:rPr>
                <w:b/>
                <w:i/>
              </w:rPr>
              <w:t>vydáno</w:t>
            </w:r>
            <w:r>
              <w:t xml:space="preserve"> celosvětové prohlášení o </w:t>
            </w:r>
            <w:r>
              <w:rPr>
                <w:b/>
                <w:i/>
              </w:rPr>
              <w:t>ochraně</w:t>
            </w:r>
            <w:r>
              <w:t xml:space="preserve"> volně žijících a planě rostoucích druhů </w:t>
            </w:r>
            <w:r>
              <w:rPr>
                <w:b/>
                <w:i/>
              </w:rPr>
              <w:t>v rámci opatření v oblasti klimatu</w:t>
            </w:r>
            <w:r>
              <w:t xml:space="preserve">, jehož cílem </w:t>
            </w:r>
            <w:r>
              <w:rPr>
                <w:b/>
                <w:i/>
              </w:rPr>
              <w:t>je</w:t>
            </w:r>
            <w:r>
              <w:t xml:space="preserve"> formálně začlenit ochranu volně žijících a planě rostoucích druhů do globální politiky v oblasti klimatu;</w:t>
            </w:r>
          </w:p>
        </w:tc>
        <w:tc>
          <w:tcPr>
            <w:tcW w:w="4876" w:type="dxa"/>
            <w:tcBorders>
              <w:top w:val="nil"/>
              <w:left w:val="nil"/>
              <w:bottom w:val="nil"/>
              <w:right w:val="nil"/>
            </w:tcBorders>
          </w:tcPr>
          <w:p>
            <w:pPr>
              <w:pStyle w:val="Normal6a"/>
            </w:pPr>
            <w:r>
              <w:t>29.</w:t>
            </w:r>
            <w:r>
              <w:tab/>
            </w:r>
            <w:r>
              <w:rPr>
                <w:b/>
                <w:i/>
              </w:rPr>
              <w:t>vítá skutečnost</w:t>
            </w:r>
            <w:r>
              <w:t xml:space="preserve">, že na konferenci COP31 bude </w:t>
            </w:r>
            <w:r>
              <w:rPr>
                <w:b/>
                <w:i/>
              </w:rPr>
              <w:t>vyhlášeno</w:t>
            </w:r>
            <w:r>
              <w:t xml:space="preserve"> celosvětové prohlášení o </w:t>
            </w:r>
            <w:r>
              <w:rPr>
                <w:b/>
                <w:i/>
              </w:rPr>
              <w:t>opatřeních v oblasti klimatu týkající se</w:t>
            </w:r>
            <w:r>
              <w:t xml:space="preserve"> volně žijících a planě rostoucích druhů, jehož cílem </w:t>
            </w:r>
            <w:r>
              <w:rPr>
                <w:b/>
                <w:i/>
              </w:rPr>
              <w:t>bude</w:t>
            </w:r>
            <w:r>
              <w:t xml:space="preserve"> formálně začlenit ochranu volně žijících a planě rostoucích druhů do globální politiky v oblasti klimatu</w:t>
            </w:r>
            <w:r>
              <w:rPr>
                <w:b/>
                <w:i/>
              </w:rPr>
              <w:t>, a vyzývá EU, aby tuto iniciativu podpořila</w:t>
            </w:r>
            <w:r>
              <w:t xml:space="preserve">; </w:t>
            </w:r>
            <w:r>
              <w:rPr>
                <w:b/>
                <w:i/>
              </w:rPr>
              <w:t>v této souvislosti zdůrazňuje význam volně žijících zvířat pro zachování klíčových funkcí ekosystému, které poskytují přírodě blízká řešení pro zmírňování změny klimatu a odolnost ekosystému;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připomíná, že je důležité zajistit, aby politiky v oblasti životního prostředí a klimatu byly navrhovány a prováděny v souladu s přístupem „jedno zdraví“, přičemž je třeba uznat vzájemnou závislost mezi lidským zdravím, zdravím zvířat a zdravím ekosystémů;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připomíná, že je důležité zajistit, aby politiky v oblasti životního prostředí a klimatu byly navrhovány a prováděny v souladu s přístupem „jedno zdraví“, přičemž je třeba uznat vzájemnou závislost mezi lidským zdravím, zdravím zvířat a zdravím ekosystémů;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Dílčí nadpis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Práva původních obyvatel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zdůrazňuje, že důležitou roli v opatřeních v oblasti klimatu a při zmírňování změny klimatu hrají lesy;</w:t>
            </w:r>
            <w:r>
              <w:t xml:space="preserve"> </w:t>
            </w:r>
            <w:r>
              <w:rPr>
                <w:b/>
                <w:i/>
              </w:rPr>
              <w:t>podtrhuje význam celosvětového úsilí o boj proti odlesňování, neboť lesy zajišťují jeden z největších propadů uhlíku na světě a jsou zásadním rezervoárem z hlediska biologické rozmanitosti;</w:t>
            </w:r>
            <w:r>
              <w:t xml:space="preserve"> </w:t>
            </w:r>
            <w:r>
              <w:rPr>
                <w:b/>
                <w:i/>
              </w:rPr>
              <w:t>zdůrazňuje, že je naléhavě nutné chránit nejdůležitější zalesněná území na světě a volně žijící populace zvířat, které tam žijí, a to i v nejvzdálenějších regionech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zdůrazňuje, že je zapotřebí chránit práva a zájmy původních obyvatel a místních komunit, jak je stanoveno v Deklaraci práv původního obyvatelstva OSN;</w:t>
            </w:r>
            <w:r>
              <w:t xml:space="preserve"> </w:t>
            </w:r>
            <w:r>
              <w:rPr>
                <w:b/>
                <w:i/>
              </w:rPr>
              <w:t>zdůrazňuje, že je třeba zajistit právo na svobodný, předchozí a informovaný souhlas;</w:t>
            </w:r>
            <w:r>
              <w:t xml:space="preserve"> </w:t>
            </w:r>
            <w:r>
              <w:rPr>
                <w:b/>
                <w:i/>
              </w:rPr>
              <w:t>zdůrazňuje, že všechny projekty podle článku 6, které se dotýkají území nebo komunit původních obyvatel, musejí tyto obyvatele přizvat k účasti a respektovat jejich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zdůrazňuje, že původní obyvatelé nejsou jen zúčastněnými stranami nebo zranitelnými skupinami, ale že jsou nositeli práv, jejichž uznání je zakotveno v preambuli Pařížské dohody;</w:t>
            </w:r>
            <w:r>
              <w:t xml:space="preserve"> </w:t>
            </w:r>
            <w:r>
              <w:rPr>
                <w:b/>
                <w:i/>
              </w:rPr>
              <w:t>zdůrazňuje potřebu politické účasti původních obyvatel na konferencích smluvních stran a dalších procesech Rámcové úmluvy OSN o změně klimatu (UNFCCC) v zájmu podpory jejich smysluplného zapojení do všech rozhodovacích orgánů;</w:t>
            </w:r>
            <w:r>
              <w:t xml:space="preserve"> </w:t>
            </w:r>
            <w:r>
              <w:rPr>
                <w:b/>
                <w:i/>
              </w:rPr>
              <w:t>uznává, že je třeba financovat a usnadnit účast původních obyvatel na konferencích smluvních stran a technických setkáních pomocných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29c.</w:t>
            </w:r>
            <w:r>
              <w:tab/>
            </w:r>
            <w:r>
              <w:rPr>
                <w:b/>
                <w:i/>
              </w:rPr>
              <w:t>zdůrazňuje zásadní význam mokřadů – včetně rašelinišť, mangrovových porostů a dalších pobřežních a vnitrozemských mokřadních ekosystémů – jako jedněch z nejúčinnějších přirozených propadů uhlíku na planetě;</w:t>
            </w:r>
            <w:r>
              <w:t xml:space="preserve"> </w:t>
            </w:r>
            <w:r>
              <w:rPr>
                <w:b/>
                <w:i/>
              </w:rPr>
              <w:t>vyzývá všechny smluvní strany, aby bezodkladně zvýšily své úsilí o zachování, udržitelné obhospodařování a obnovu mokřadů, představující klíčovou strategie pro zmírnění dopadů změny klimatu, přizpůsobení se této změně, ochranu biologické rozmanitosti a udržitelnost souvisejících sociálních a ekonomických aktivit;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29c.</w:t>
            </w:r>
            <w:r>
              <w:tab/>
            </w:r>
            <w:r>
              <w:rPr>
                <w:b/>
                <w:i/>
              </w:rPr>
              <w:t>uznává, že území původních obyvatel jsou ohnisky biologické rozmanitosti a že původní obyvatelé hrají zásadní roli v ochraně a udržitelném řízení zdrojů;</w:t>
            </w:r>
            <w:r>
              <w:t xml:space="preserve"> </w:t>
            </w:r>
            <w:r>
              <w:rPr>
                <w:b/>
                <w:i/>
              </w:rPr>
              <w:t>připomíná, že podle páté hodnotící zprávy IPCC jsou při adaptaci na změnu klimatu význam zdrojem domorodé, místní a tradiční formy znalostí významným zdrojem;</w:t>
            </w:r>
            <w:r>
              <w:t xml:space="preserve"> </w:t>
            </w:r>
            <w:r>
              <w:rPr>
                <w:b/>
                <w:i/>
              </w:rPr>
              <w:t>vyjadřuje politování nad tím, že znalosti původních obyvatel nejsou účinným způsobem využívány;</w:t>
            </w:r>
            <w:r>
              <w:t xml:space="preserve"> </w:t>
            </w:r>
            <w:r>
              <w:rPr>
                <w:b/>
                <w:i/>
              </w:rPr>
              <w:t>zdůrazňuje zejména úlohu těchto znalostí při předcházení špatné adaptaci;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29d.</w:t>
            </w:r>
            <w:r>
              <w:tab/>
            </w:r>
            <w:r>
              <w:rPr>
                <w:b/>
                <w:i/>
              </w:rPr>
              <w:t>zdůrazňuje, že je důležité identifikovat a maximalizovat potenciální synergie mezi opatřeními v oblasti biologické rozmanitosti a klimatu, mimo jiné upřednostňováním ochrany, obnovy a řízení ekosystémů a druhů důležitých pro koloběh uhlíku, jak bylo dohodnuto na konferenci COP16 v kolumbijském Cali;</w:t>
            </w:r>
            <w:r>
              <w:t xml:space="preserve"> </w:t>
            </w:r>
            <w:r>
              <w:rPr>
                <w:b/>
                <w:i/>
              </w:rPr>
              <w:t>zdůrazňuje, že je důležité začlenit otázky dobrých životních podmínek zvířat do vnitrostátních strategií, politik a plánů v oblasti klimatu a biologické rozmanitosti;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29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29d.</w:t>
            </w:r>
            <w:r>
              <w:tab/>
            </w:r>
            <w:r>
              <w:rPr>
                <w:b/>
                <w:i/>
              </w:rPr>
              <w:t>zdůrazňuje, že je třeba, aby původní obyvatelé měli přímý přístup k financování opatření v oblasti klimatu prostřednictvím mezinárodních fondů pro boj proti změně klimatu, jako je Zelený klimatický fond, Adaptační fond a fond pro kompenzaci ztrát a škod;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vítá skutečnost</w:t>
            </w:r>
            <w:r>
              <w:t>, že na zasedáních konference smluvních stran se věnuje zvýšená pozornost agendě klimatu, míru a bezpečnosti, což bylo patrné zejména na konferenci COP29, kde byla vyhlášena výzva z Baku o opatřeních v oblasti klimatu pro mír, pomoc a obnovu, na předchozí konferenci COP27 a její iniciativě Reakce na změnu klimatu pro udržení míru a na konferenci COP28 a jejím prohlášení o klimatu, pomoci, obnově a míru;</w:t>
            </w:r>
          </w:p>
        </w:tc>
        <w:tc>
          <w:tcPr>
            <w:tcW w:w="4876" w:type="dxa"/>
            <w:tcBorders>
              <w:top w:val="nil"/>
              <w:left w:val="nil"/>
              <w:bottom w:val="nil"/>
              <w:right w:val="nil"/>
            </w:tcBorders>
          </w:tcPr>
          <w:p>
            <w:pPr>
              <w:pStyle w:val="Normal6a"/>
            </w:pPr>
            <w:r>
              <w:t>30.</w:t>
            </w:r>
            <w:r>
              <w:tab/>
            </w:r>
            <w:r>
              <w:rPr>
                <w:b/>
                <w:i/>
              </w:rPr>
              <w:t>se znepokojením konstatuje</w:t>
            </w:r>
            <w:r>
              <w:t>, že na zasedáních konference smluvních stran se věnuje zvýšená pozornost agendě klimatu, míru a bezpečnosti, což bylo patrné zejména na konferenci COP29, kde byla vyhlášena výzva z Baku o opatřeních v oblasti klimatu pro mír, pomoc a obnovu, na předchozí konferenci COP27 a její iniciativě Reakce na změnu klimatu pro udržení míru a na konferenci COP28 a jejím prohlášení o klimatu, pomoci, obnově a míru;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Emma Wiesner, Martin Hojsík, Sigrid Friis,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uznává, že změna klimatu ohrožuje mezinárodní mír a bezpečnost, neboť její dopady, včetně extrémních povětrnostních jevů, sucha a nedostatku potravin a vody, mohou zhoršit stávající politické napětí, zvýšit konkurenci o přírodní zdroje a oslabit základy stabilní správy věcí veřejných, zejména v regionech, které jsou již zasaženy nestabilitou a konflikty;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zdůrazňuje, že je důležité dosáhnout „reálné nuly“ namísto „čisté nuly“, kdy jsou řešení, jako jsou uhlíkové kredity nebo zachycování a ukládání uhlíku, vnímána spíše jako dodatečná opatření než jako kompenzace za nedostatečné snížení emisí;</w:t>
            </w:r>
            <w:r>
              <w:t xml:space="preserve"> </w:t>
            </w:r>
            <w:r>
              <w:rPr>
                <w:b/>
                <w:i/>
              </w:rPr>
              <w:t>vyzývá EU, aby prozkoumala a řešila způsoby, kterými přispívá ke změně klimatu za svými hranicemi, například prostřednictvím nepříznivých dodavatelských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uznává souvislost mezi změnou klimatu, zhoršováním životního prostředí a otázkami míru, bezpečnosti a obrany;</w:t>
            </w:r>
            <w:r>
              <w:t xml:space="preserve"> </w:t>
            </w:r>
            <w:r>
              <w:rPr>
                <w:b/>
                <w:i/>
              </w:rPr>
              <w:t>zdůrazňuje, že je důležité řešit souvislost mezi klimatem a bezpečností;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Jorge Buxadé Villalba,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připomíná, že skladba zdrojů energie je určována požadavky na energetickou bezpečnost, průmyslovou suverenitu a hospodářskou soutěž;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zdůrazňuje, že změna klimatu a zhoršování </w:t>
            </w:r>
            <w:r>
              <w:rPr>
                <w:b/>
                <w:i/>
              </w:rPr>
              <w:t>stavu</w:t>
            </w:r>
            <w:r>
              <w:t xml:space="preserve"> životního prostředí </w:t>
            </w:r>
            <w:r>
              <w:rPr>
                <w:b/>
                <w:i/>
              </w:rPr>
              <w:t>představují</w:t>
            </w:r>
            <w:r>
              <w:t xml:space="preserve"> multiplikátory hrozeb, které mohou </w:t>
            </w:r>
            <w:r>
              <w:rPr>
                <w:b/>
                <w:i/>
              </w:rPr>
              <w:t>mít za následek nedostatek</w:t>
            </w:r>
            <w:r>
              <w:t xml:space="preserve"> přírodních zdrojů a potravin, </w:t>
            </w:r>
            <w:r>
              <w:rPr>
                <w:b/>
                <w:i/>
              </w:rPr>
              <w:t>mohou vést ke zvýšení</w:t>
            </w:r>
            <w:r>
              <w:t xml:space="preserve"> napětí v mezinárodních vztazích a </w:t>
            </w:r>
            <w:r>
              <w:rPr>
                <w:b/>
                <w:i/>
              </w:rPr>
              <w:t>k vyostření konfliktů</w:t>
            </w:r>
            <w:r>
              <w:t xml:space="preserve"> o přírodní zdroje </w:t>
            </w:r>
            <w:r>
              <w:rPr>
                <w:b/>
                <w:i/>
              </w:rPr>
              <w:t>a mohou způsobovat přírodní</w:t>
            </w:r>
            <w:r>
              <w:t xml:space="preserve"> katastrofy</w:t>
            </w:r>
            <w:r>
              <w:rPr>
                <w:b/>
                <w:i/>
              </w:rPr>
              <w:t>, přičemž toto vše patří k hlavním příčinám</w:t>
            </w:r>
            <w:r>
              <w:t xml:space="preserve"> vysídlování </w:t>
            </w:r>
            <w:r>
              <w:rPr>
                <w:b/>
                <w:i/>
              </w:rPr>
              <w:t>lidí a migračních toků</w:t>
            </w:r>
            <w:r>
              <w:t>;</w:t>
            </w:r>
          </w:p>
        </w:tc>
        <w:tc>
          <w:tcPr>
            <w:tcW w:w="4876" w:type="dxa"/>
            <w:tcBorders>
              <w:top w:val="nil"/>
              <w:left w:val="nil"/>
              <w:bottom w:val="nil"/>
              <w:right w:val="nil"/>
            </w:tcBorders>
          </w:tcPr>
          <w:p>
            <w:pPr>
              <w:pStyle w:val="Normal6a"/>
            </w:pPr>
            <w:r>
              <w:t>31.</w:t>
            </w:r>
            <w:r>
              <w:tab/>
            </w:r>
            <w:r>
              <w:t xml:space="preserve">zdůrazňuje, že změna klimatu a zhoršování životního prostředí </w:t>
            </w:r>
            <w:r>
              <w:rPr>
                <w:b/>
                <w:i/>
              </w:rPr>
              <w:t>jsou</w:t>
            </w:r>
            <w:r>
              <w:t xml:space="preserve"> multiplikátory hrozeb, které mohou </w:t>
            </w:r>
            <w:r>
              <w:rPr>
                <w:b/>
                <w:i/>
              </w:rPr>
              <w:t>vést k nedostatku</w:t>
            </w:r>
            <w:r>
              <w:t xml:space="preserve"> přírodních zdrojů a </w:t>
            </w:r>
            <w:r>
              <w:rPr>
                <w:b/>
                <w:i/>
              </w:rPr>
              <w:t>nedostatku</w:t>
            </w:r>
            <w:r>
              <w:t xml:space="preserve"> potravin, </w:t>
            </w:r>
            <w:r>
              <w:rPr>
                <w:b/>
                <w:i/>
              </w:rPr>
              <w:t>zvýšit</w:t>
            </w:r>
            <w:r>
              <w:t xml:space="preserve"> napětí v mezinárodních vztazích a </w:t>
            </w:r>
            <w:r>
              <w:rPr>
                <w:b/>
                <w:i/>
              </w:rPr>
              <w:t>konflikty</w:t>
            </w:r>
            <w:r>
              <w:t xml:space="preserve"> o přírodní zdroje</w:t>
            </w:r>
            <w:r>
              <w:rPr>
                <w:b/>
                <w:i/>
              </w:rPr>
              <w:t>, způsobit</w:t>
            </w:r>
            <w:r>
              <w:t xml:space="preserve"> katastrofy </w:t>
            </w:r>
            <w:r>
              <w:rPr>
                <w:b/>
                <w:i/>
              </w:rPr>
              <w:t>související s klimatem a životním prostředím a přispět k nestabilitě, nejistotě a rizikům konfliktů, mimo jiné zvýšením rizika</w:t>
            </w:r>
            <w:r>
              <w:t xml:space="preserve"> vysídlování </w:t>
            </w:r>
            <w:r>
              <w:rPr>
                <w:b/>
                <w:i/>
              </w:rPr>
              <w:t>a migrace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zdůrazňuje, že změna klimatu a zhoršování </w:t>
            </w:r>
            <w:r>
              <w:rPr>
                <w:b/>
                <w:i/>
              </w:rPr>
              <w:t>stavu</w:t>
            </w:r>
            <w:r>
              <w:t xml:space="preserve"> životního prostředí </w:t>
            </w:r>
            <w:r>
              <w:rPr>
                <w:b/>
                <w:i/>
              </w:rPr>
              <w:t>představují</w:t>
            </w:r>
            <w:r>
              <w:t xml:space="preserve"> multiplikátory hrozeb, které mohou </w:t>
            </w:r>
            <w:r>
              <w:rPr>
                <w:b/>
                <w:i/>
              </w:rPr>
              <w:t>mít za následek nedostatek</w:t>
            </w:r>
            <w:r>
              <w:t xml:space="preserve"> přírodních zdrojů a potravin, </w:t>
            </w:r>
            <w:r>
              <w:rPr>
                <w:b/>
                <w:i/>
              </w:rPr>
              <w:t>mohou vést ke zvýšení</w:t>
            </w:r>
            <w:r>
              <w:t xml:space="preserve"> napětí v mezinárodních vztazích a </w:t>
            </w:r>
            <w:r>
              <w:rPr>
                <w:b/>
                <w:i/>
              </w:rPr>
              <w:t>k vyostření konfliktů</w:t>
            </w:r>
            <w:r>
              <w:t xml:space="preserve"> o přírodní zdroje a </w:t>
            </w:r>
            <w:r>
              <w:rPr>
                <w:b/>
                <w:i/>
              </w:rPr>
              <w:t>mohou způsobovat</w:t>
            </w:r>
            <w:r>
              <w:t xml:space="preserve"> přírodní katastrofy</w:t>
            </w:r>
            <w:r>
              <w:rPr>
                <w:b/>
                <w:i/>
              </w:rPr>
              <w:t>, přičemž toto vše patří k hlavním příčinám</w:t>
            </w:r>
            <w:r>
              <w:t xml:space="preserve"> vysídlování lidí a migračních toků;</w:t>
            </w:r>
          </w:p>
        </w:tc>
        <w:tc>
          <w:tcPr>
            <w:tcW w:w="4876" w:type="dxa"/>
            <w:tcBorders>
              <w:top w:val="nil"/>
              <w:left w:val="nil"/>
              <w:bottom w:val="nil"/>
              <w:right w:val="nil"/>
            </w:tcBorders>
          </w:tcPr>
          <w:p>
            <w:pPr>
              <w:pStyle w:val="Normal6a"/>
            </w:pPr>
            <w:r>
              <w:t>31.</w:t>
            </w:r>
            <w:r>
              <w:tab/>
            </w:r>
            <w:r>
              <w:t xml:space="preserve">zdůrazňuje, že změna klimatu a zhoršování životního prostředí </w:t>
            </w:r>
            <w:r>
              <w:rPr>
                <w:b/>
                <w:i/>
              </w:rPr>
              <w:t>jsou</w:t>
            </w:r>
            <w:r>
              <w:t xml:space="preserve"> multiplikátory hrozeb, které </w:t>
            </w:r>
            <w:r>
              <w:rPr>
                <w:b/>
                <w:i/>
              </w:rPr>
              <w:t>ohrožují ekosystémové služby a</w:t>
            </w:r>
            <w:r>
              <w:t xml:space="preserve"> mohou </w:t>
            </w:r>
            <w:r>
              <w:rPr>
                <w:b/>
                <w:i/>
              </w:rPr>
              <w:t>vést k nedostatku</w:t>
            </w:r>
            <w:r>
              <w:t xml:space="preserve"> přírodních zdrojů a potravin, </w:t>
            </w:r>
            <w:r>
              <w:rPr>
                <w:b/>
                <w:i/>
              </w:rPr>
              <w:t>zvýšit</w:t>
            </w:r>
            <w:r>
              <w:t xml:space="preserve"> napětí v mezinárodních vztazích a </w:t>
            </w:r>
            <w:r>
              <w:rPr>
                <w:b/>
                <w:i/>
              </w:rPr>
              <w:t>konflikty</w:t>
            </w:r>
            <w:r>
              <w:t xml:space="preserve"> o přírodní zdroje a </w:t>
            </w:r>
            <w:r>
              <w:rPr>
                <w:b/>
                <w:i/>
              </w:rPr>
              <w:t>způsobit</w:t>
            </w:r>
            <w:r>
              <w:t xml:space="preserve"> přírodní katastrofy </w:t>
            </w:r>
            <w:r>
              <w:rPr>
                <w:b/>
                <w:i/>
              </w:rPr>
              <w:t>a mimořádné situace v oblasti zdraví, což jsou všechno hlavní příčiny</w:t>
            </w:r>
            <w:r>
              <w:t xml:space="preserve"> vysídlování lidí a migračních toků;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zdůrazňuje, že změna klimatu </w:t>
            </w:r>
            <w:r>
              <w:rPr>
                <w:b/>
                <w:i/>
              </w:rPr>
              <w:t>a zhoršování stavu životního prostředí představují multiplikátory hrozeb, které mohou</w:t>
            </w:r>
            <w:r>
              <w:t xml:space="preserve"> mít za následek nedostatek přírodních zdrojů a potravin, </w:t>
            </w:r>
            <w:r>
              <w:rPr>
                <w:b/>
                <w:i/>
              </w:rPr>
              <w:t>mohou</w:t>
            </w:r>
            <w:r>
              <w:t xml:space="preserve"> vést ke zvýšení napětí v mezinárodních vztazích a k vyostření konfliktů o přírodní zdroje a </w:t>
            </w:r>
            <w:r>
              <w:rPr>
                <w:b/>
                <w:i/>
              </w:rPr>
              <w:t>mohou</w:t>
            </w:r>
            <w:r>
              <w:t xml:space="preserve"> způsobovat přírodní katastrofy, přičemž toto vše patří k hlavním příčinám vysídlování lidí a migračních toků;</w:t>
            </w:r>
          </w:p>
        </w:tc>
        <w:tc>
          <w:tcPr>
            <w:tcW w:w="4876" w:type="dxa"/>
            <w:tcBorders>
              <w:top w:val="nil"/>
              <w:left w:val="nil"/>
              <w:bottom w:val="nil"/>
              <w:right w:val="nil"/>
            </w:tcBorders>
          </w:tcPr>
          <w:p>
            <w:pPr>
              <w:pStyle w:val="Normal6a"/>
            </w:pPr>
            <w:r>
              <w:t>31.</w:t>
            </w:r>
            <w:r>
              <w:tab/>
            </w:r>
            <w:r>
              <w:t xml:space="preserve">zdůrazňuje, že změna klimatu </w:t>
            </w:r>
            <w:r>
              <w:rPr>
                <w:b/>
                <w:i/>
              </w:rPr>
              <w:t>jakožto přírodní jev může</w:t>
            </w:r>
            <w:r>
              <w:t xml:space="preserve"> mít za následek nedostatek přírodních zdrojů a potravin, </w:t>
            </w:r>
            <w:r>
              <w:rPr>
                <w:b/>
                <w:i/>
              </w:rPr>
              <w:t>může</w:t>
            </w:r>
            <w:r>
              <w:t> vést ke zvýšení napětí v mezinárodních vztazích a k vyostření konfliktů o přírodní zdroje a </w:t>
            </w:r>
            <w:r>
              <w:rPr>
                <w:b/>
                <w:i/>
              </w:rPr>
              <w:t>může</w:t>
            </w:r>
            <w:r>
              <w:t> způsobovat přírodní katastrofy, přičemž toto vše patří k hlavním příčinám vysídlování lidí a migračních toků;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zdůrazňuje, že změna klimatu a zhoršování </w:t>
            </w:r>
            <w:r>
              <w:rPr>
                <w:b/>
                <w:i/>
              </w:rPr>
              <w:t>stavu</w:t>
            </w:r>
            <w:r>
              <w:t xml:space="preserve"> životního prostředí </w:t>
            </w:r>
            <w:r>
              <w:rPr>
                <w:b/>
                <w:i/>
              </w:rPr>
              <w:t>představují multiplikátory hrozeb, které</w:t>
            </w:r>
            <w:r>
              <w:t xml:space="preserve"> mohou </w:t>
            </w:r>
            <w:r>
              <w:rPr>
                <w:b/>
                <w:i/>
              </w:rPr>
              <w:t>mít za následek nedostatek přírodních zdrojů a potravin, mohou vést ke zvýšení napětí v mezinárodních vztazích a k vyostření</w:t>
            </w:r>
            <w:r>
              <w:t xml:space="preserve"> konfliktů </w:t>
            </w:r>
            <w:r>
              <w:rPr>
                <w:b/>
                <w:i/>
              </w:rPr>
              <w:t>o přírodní zdroje a mohou způsobovat přírodní katastrofy, přičemž toto vše patří k hlavním příčinám</w:t>
            </w:r>
            <w:r>
              <w:t xml:space="preserve"> vysídlování </w:t>
            </w:r>
            <w:r>
              <w:rPr>
                <w:b/>
                <w:i/>
              </w:rPr>
              <w:t>lidí a migračních toků</w:t>
            </w:r>
            <w:r>
              <w:t>;</w:t>
            </w:r>
          </w:p>
        </w:tc>
        <w:tc>
          <w:tcPr>
            <w:tcW w:w="4876" w:type="dxa"/>
            <w:tcBorders>
              <w:top w:val="nil"/>
              <w:left w:val="nil"/>
              <w:bottom w:val="nil"/>
              <w:right w:val="nil"/>
            </w:tcBorders>
          </w:tcPr>
          <w:p>
            <w:pPr>
              <w:pStyle w:val="Normal6a"/>
            </w:pPr>
            <w:r>
              <w:t>31.</w:t>
            </w:r>
            <w:r>
              <w:tab/>
            </w:r>
            <w:r>
              <w:t xml:space="preserve">zdůrazňuje, že změna klimatu a zhoršování životního prostředí mohou </w:t>
            </w:r>
            <w:r>
              <w:rPr>
                <w:b/>
                <w:i/>
              </w:rPr>
              <w:t>zhoršit stávající zranitelnost, ohrozit lidskou bezpečnost, ovlivnit přístup k přírodním zdrojům, potravinové zabezpečení a živobytí a přispět k nestabilitě, nedostatečné bezpečnosti a rizikům</w:t>
            </w:r>
            <w:r>
              <w:t xml:space="preserve"> konfliktů</w:t>
            </w:r>
            <w:r>
              <w:rPr>
                <w:b/>
                <w:i/>
              </w:rPr>
              <w:t>, mimo jiné zvýšením rizika</w:t>
            </w:r>
            <w:r>
              <w:t xml:space="preserve"> vysídlování </w:t>
            </w:r>
            <w:r>
              <w:rPr>
                <w:b/>
                <w:i/>
              </w:rPr>
              <w:t>a migrace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zdůrazňuje, že je třeba věnovat zvýšenou mezinárodní pozornost dopadům konfliktů na životní prostředí;</w:t>
            </w:r>
            <w:r>
              <w:t xml:space="preserve"> </w:t>
            </w:r>
            <w:r>
              <w:rPr>
                <w:b/>
                <w:i/>
              </w:rPr>
              <w:t>upozorňuje na devastaci životního prostředí způsobenou vojenskými útoky a operacemi po celém světě a vyzývá k ukončení těchto aktivit v souladu s mezinárodním právem;</w:t>
            </w:r>
            <w:r>
              <w:t xml:space="preserve"> </w:t>
            </w:r>
            <w:r>
              <w:rPr>
                <w:b/>
                <w:i/>
              </w:rPr>
              <w:t>zdůrazňuje, že probíhající konflikty kromě bezprostředního ničení a ztrát na lidských životech narušují ekosystémy, vyčerpávají přírodní zdroje, znečišťují životní prostředí a ohrožují zdraví naší planety pro další generace, přičemž podkopávají úsilí o zmírnění dopadů změny klimatu a přizpůsobení se této změně;</w:t>
            </w:r>
            <w:r>
              <w:t xml:space="preserve"> </w:t>
            </w:r>
            <w:r>
              <w:rPr>
                <w:b/>
                <w:i/>
              </w:rPr>
              <w:t>zdůrazňuje zejména nejnovější zprávy UNEP o děsivém rozsahu škod na životním prostředí způsobených konflikty na Ukrajině</w:t>
            </w:r>
            <w:r>
              <w:rPr>
                <w:b/>
                <w:i/>
                <w:vertAlign w:val="superscript"/>
              </w:rPr>
              <w:t>13c</w:t>
            </w:r>
            <w:r>
              <w:t xml:space="preserve"> </w:t>
            </w:r>
            <w:r>
              <w:rPr>
                <w:b/>
                <w:i/>
              </w:rPr>
              <w:t>a v Gaze</w:t>
            </w:r>
            <w:r>
              <w:rPr>
                <w:b/>
                <w:i/>
                <w:vertAlign w:val="superscript"/>
              </w:rPr>
              <w:t>13d</w:t>
            </w:r>
            <w:r>
              <w:rPr>
                <w:b/>
                <w:i/>
              </w:rPr>
              <w:t>;</w:t>
            </w:r>
            <w:r>
              <w:t xml:space="preserve"> </w:t>
            </w:r>
            <w:r>
              <w:rPr>
                <w:b/>
                <w:i/>
              </w:rPr>
              <w:t>připomíná také zprávu Společného výzkumného střediska o škodách na životním prostředí způsobených pokračující ruskou válečnou agresí na Ukrajině</w:t>
            </w:r>
            <w:r>
              <w:rPr>
                <w:b/>
                <w:i/>
                <w:vertAlign w:val="superscript"/>
              </w:rPr>
              <w:t>13e</w:t>
            </w:r>
            <w:r>
              <w:rPr>
                <w:b/>
                <w:i/>
              </w:rPr>
              <w:t>, která dokládá prudký nárůst toxického znečištění, degradaci půdy a narušení monitorovacích systémů;</w:t>
            </w:r>
            <w:r>
              <w:t xml:space="preserve"> </w:t>
            </w:r>
            <w:r>
              <w:rPr>
                <w:b/>
                <w:i/>
              </w:rPr>
              <w:t>je přesvědčen, že subjekty považované Mezinárodním soudním dvorem za strůjce těchto konfliktů musí nést rovněž odpovědnost za klimatické a environmentální náklady války a okupace, jakož i obnovy po skončení konfliktu;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13c</w:t>
            </w:r>
            <w:r>
              <w:t xml:space="preserve"> </w:t>
            </w:r>
            <w:r>
              <w:rPr>
                <w:b/>
                <w:i/>
              </w:rPr>
              <w:t>Program OSN pro životní prostředí, The Environmental Impact of the Conflict in Ukraine:</w:t>
            </w:r>
            <w:r>
              <w:t xml:space="preserve"> </w:t>
            </w:r>
            <w:r>
              <w:rPr>
                <w:b/>
                <w:i/>
              </w:rPr>
              <w:t>A Preliminary Review (Dopad konfliktu na Ukrajině na životní prostředí: předběžný přehled), 14. října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13d</w:t>
            </w:r>
            <w:r>
              <w:t xml:space="preserve"> </w:t>
            </w:r>
            <w:r>
              <w:rPr>
                <w:b/>
                <w:i/>
              </w:rPr>
              <w:t>Program OSN pro životní prostředí, The Environmental Impact of the Conflict in Gaza:</w:t>
            </w:r>
            <w:r>
              <w:t xml:space="preserve"> </w:t>
            </w:r>
            <w:r>
              <w:rPr>
                <w:b/>
                <w:i/>
              </w:rPr>
              <w:t>A Preliminary Review (Dopad konfliktu v Gaze na životní prostředí: předběžný přehled), 18. června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13e</w:t>
            </w:r>
            <w:r>
              <w:t xml:space="preserve"> </w:t>
            </w:r>
            <w:r>
              <w:rPr>
                <w:b/>
                <w:i/>
              </w:rPr>
              <w:t>Společné výzkumné středisko, Status of Environment and Climate in Ukraine (Stav životního prostředí a klimatu na Ukrajině),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vyjadřuje politování nad přetrvávajícím nedostatkem komplexního vykazování vojenských emisí ze strany většiny smluvních stran, což oslabuje úplnost a důvěryhodnost globálního klimatického účetnictví a hrozí výrazným podhodnocením celkových emisí;</w:t>
            </w:r>
            <w:r>
              <w:t xml:space="preserve"> </w:t>
            </w:r>
            <w:r>
              <w:rPr>
                <w:b/>
                <w:i/>
              </w:rPr>
              <w:t>zdůrazňuje, že celková uhlíková stopa celosvětových vojenských činností se odhaduje na přibližně 5,5 % celosvětových emisí</w:t>
            </w:r>
            <w:r>
              <w:rPr>
                <w:b/>
                <w:i/>
                <w:vertAlign w:val="superscript"/>
              </w:rPr>
              <w:t>1a</w:t>
            </w:r>
            <w:r>
              <w:rPr>
                <w:b/>
                <w:i/>
              </w:rPr>
              <w:t>;</w:t>
            </w:r>
            <w:r>
              <w:t xml:space="preserve"> </w:t>
            </w:r>
            <w:r>
              <w:rPr>
                <w:b/>
                <w:i/>
              </w:rPr>
              <w:t>vyzývá smluvní strany UNFCCC, aby urychleně odstranily stávající nedostatky v podávání zpráv o emisích skleníkových plynů z vojenských činností tím, že vytvoří standardizovaný, transparentní a srovnatelný rámec pro podávání zpráv, který bude zahrnovat přímé (oblast působnosti 1 a 2) i nepřímé (oblast působnosti 3) emise z ozbrojených sil, vojenských operací, zadávání veřejných zakázek, infrastruktury a činností souvisejících s konflikty, a zároveň zajistí, aby tyto zprávy byly v souladu s metodikami IPCC a byly začleněny do národních inventur skleníkových plynů;</w:t>
            </w:r>
            <w:r>
              <w:t xml:space="preserve"> </w:t>
            </w:r>
            <w:r>
              <w:rPr>
                <w:b/>
                <w:i/>
              </w:rPr>
              <w:t>dále vyzývá všechny členské státy, aby systematicky začleňovaly vojenské emise do svých výročních zpráv předkládaných UNFCCC a do rámce EU pro podávání zpráv o klimatu a aby za tímto účelem podporovaly vypracování pokynů v rámci pomocného orgánu UNFCCC pro vědecké a technologické poradenství (SBSTA);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Stuart Parkinson, Linsey Cottrell (2022), Estimating the Military’s Global Greenhouse Gas Emissions (Odhad celosvětových emisí skleníkových plynů ve vojenství), https://www.sgr.org.uk/sites/default/files/2022-11/SGR%2BCEOBS-Estimating_Global_MIlitary_GHG_Emissions_Nov22_rev.pdf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domnívá se, že podpora míru by měla být ústředním prvkem politiky EU v oblasti klimatu;</w:t>
            </w:r>
            <w:r>
              <w:t xml:space="preserve"> </w:t>
            </w:r>
            <w:r>
              <w:rPr>
                <w:b/>
                <w:i/>
              </w:rPr>
              <w:t>vyzývá proto EU a členské státy, aby na všech úrovních bránily mezinárodní právo a usilovaly o ukončení konfliktů;</w:t>
            </w:r>
            <w:r>
              <w:t xml:space="preserve"> </w:t>
            </w:r>
            <w:r>
              <w:rPr>
                <w:b/>
                <w:i/>
              </w:rPr>
              <w:t>upozorňuje zejména na případy genocidy v Gaze a na válku USA-Izrael proti Íránu, což jsou konflikty, v nichž vedoucí představitelé EU ani neodsoudili neodůvodněné a nezákonné vojenské agrese, včetně útoků na civilní obyvatelstvo;</w:t>
            </w:r>
            <w:r>
              <w:t xml:space="preserve"> </w:t>
            </w:r>
            <w:r>
              <w:rPr>
                <w:b/>
                <w:i/>
              </w:rPr>
              <w:t>s hlubokým znepokojením bere na vědomí dopad konfliktů na životní prostředí, mimo jiné na Ukrajině, v Gaze a Íránu, kdy dochází k útokům na infrastrukturu fosilních paliv a používání kontaminujících zbraní, což má trvalé dopady na životní prostředí a zdraví;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zdůrazňuje, že přetrvávající závislost na fosilních palivech představuje slabinu, a pokud je použita jako válečná zbraň, může způsobit narušení důležité infrastruktury a cenové šoky u energie a paliv, jak ukazuje současná geopolitická situace;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zdůrazňuje, že přetrvávající závislost na fosilních palivech představuje slabinu, a pokud je použita jako válečná zbraň, může způsobit narušení důležité infrastruktury a cenové šoky u energie a paliv, jak ukazuje současná geopolitická situace;</w:t>
            </w:r>
          </w:p>
        </w:tc>
        <w:tc>
          <w:tcPr>
            <w:tcW w:w="4876" w:type="dxa"/>
            <w:tcBorders>
              <w:top w:val="nil"/>
              <w:left w:val="nil"/>
              <w:bottom w:val="nil"/>
              <w:right w:val="nil"/>
            </w:tcBorders>
          </w:tcPr>
          <w:p>
            <w:pPr>
              <w:pStyle w:val="Normal6a"/>
            </w:pPr>
            <w:r>
              <w:t>32.</w:t>
            </w:r>
            <w:r>
              <w:tab/>
            </w:r>
            <w:r>
              <w:t xml:space="preserve">zdůrazňuje, že přetrvávající závislost na fosilních palivech představuje slabinu, a pokud je použita jako válečná zbraň, může způsobit narušení důležité infrastruktury a cenové šoky u energie a paliv, jak ukazuje současná geopolitická situace; </w:t>
            </w:r>
            <w:r>
              <w:rPr>
                <w:b/>
                <w:i/>
              </w:rPr>
              <w:t>zdůrazňuje, že urychlení zavádění energie z obnovitelných zdrojů, energetické účinnosti a elektrifikace přispívá nejen ke zmírňování změny klimatu, ale také k míru, bezpečnosti a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zdůrazňuje, že současná geopolitická situace podtrhuje naléhavost diverzifikace dodávek energie a potřebu podpořit zavádění nízkouhlíkových technologií;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konstatuje, že snížení závislosti na fosilních palivech </w:t>
            </w:r>
            <w:r>
              <w:rPr>
                <w:b/>
                <w:i/>
              </w:rPr>
              <w:t>je nejlepším způsobem, jak zmírnit inflační tlaky, a zároveň působí jako bezpečnostní opatření</w:t>
            </w:r>
            <w:r>
              <w:t>;</w:t>
            </w:r>
          </w:p>
        </w:tc>
        <w:tc>
          <w:tcPr>
            <w:tcW w:w="4876" w:type="dxa"/>
            <w:tcBorders>
              <w:top w:val="nil"/>
              <w:left w:val="nil"/>
              <w:bottom w:val="nil"/>
              <w:right w:val="nil"/>
            </w:tcBorders>
          </w:tcPr>
          <w:p>
            <w:pPr>
              <w:pStyle w:val="Normal6a"/>
            </w:pPr>
            <w:r>
              <w:t>33.</w:t>
            </w:r>
            <w:r>
              <w:tab/>
            </w:r>
            <w:r>
              <w:t xml:space="preserve">konstatuje, že snížení závislosti na fosilních palivech </w:t>
            </w:r>
            <w:r>
              <w:rPr>
                <w:b/>
                <w:i/>
              </w:rPr>
              <w:t>by mohlo přispět ke snížení inflačních tlaků;</w:t>
            </w:r>
            <w:r>
              <w:t xml:space="preserve"> </w:t>
            </w:r>
            <w:r>
              <w:rPr>
                <w:b/>
                <w:i/>
              </w:rPr>
              <w:t>zdůrazňuje, že budování kapacit v oblasti obnovitelných zdrojů energie a jaderné energie by mohlo zvýšit potenciál EU pro zvýšení její konkurenceschopnosti v celosvětovém měřítku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uznává, že ruská útočná válka proti Ukrajině, která nyní trvá déle než první světová válka, jasně ukázala strategickou zranitelnost, kterou energetická závislost na fosilních palivech představuje pro Evropskou unii a její občany;</w:t>
            </w:r>
            <w:r>
              <w:t xml:space="preserve"> </w:t>
            </w:r>
            <w:r>
              <w:rPr>
                <w:b/>
                <w:i/>
              </w:rPr>
              <w:t>zdůrazňuje, že systematické cílení na energetickou infrastrukturu na Ukrajině má katastrofální důsledky pro civilní obyvatelstvo a že tato skutečnost musí být podkladem pro přístup Evropské unie k energetické odolnosti v oblasti civilní obrany a ochrany kritické infrastruktury;</w:t>
            </w:r>
            <w:r>
              <w:t xml:space="preserve"> </w:t>
            </w:r>
            <w:r>
              <w:rPr>
                <w:b/>
                <w:i/>
              </w:rPr>
              <w:t>vyzývá Evropskou unii a její členské státy, aby začlenily energetickou odolnost do svých širších bezpečnostních a obranných rámců a uznaly, že ochrana energetických systémů je neoddělitelná od ochrany civilního života;</w:t>
            </w:r>
            <w:r>
              <w:t xml:space="preserve"> </w:t>
            </w:r>
            <w:r>
              <w:rPr>
                <w:b/>
                <w:i/>
              </w:rPr>
              <w:t>dále uznává, že výzkum související s obranou, včetně práce na syntetických palivech a alternativních nosičích energie vyvinutých ve vojenském kontextu, vytváří významné pozitivní externality pro civilní hospodářství, vytváří nové cesty pro přechod od fosilních paliv a přispívá k větší energetické bezpečnosti a odolnosti obyvatelstva jako celku;</w:t>
            </w:r>
            <w:r>
              <w:t xml:space="preserve"> </w:t>
            </w:r>
            <w:r>
              <w:rPr>
                <w:b/>
                <w:i/>
              </w:rPr>
              <w:t>zdůrazňuje, že investice do této oblasti by měly být uznány jako úsilí s dvojím přínosem, které podporuje jak program dekarbonizace, tak strategickou autonomii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zdůrazňuje, že přechod od fosilních paliv by měl být považován nejen za environmentální nutnost, ale také za dlouhodobou mírovou a bezpečnostní strategii, která je schopna snížit vystavení geopolitickému vydírání, šokům v oblasti cen energií a konfliktům spojeným s kontrolou nad fosilními zdroji;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zdůrazňuje, že posílení diplomacie v oblasti klimatu v rámci UNFCCC je klíčové jako příspěvek k multilateralismu, zejména v situaci rostoucího geopolitického napětí a klesající důvěry v globální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vyzývá EU, aby bojovala proti jakékoli závislosti na dovozu nízkouhlíkových technologií;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33b.</w:t>
            </w:r>
            <w:r>
              <w:tab/>
            </w:r>
            <w:r>
              <w:rPr>
                <w:b/>
                <w:i/>
              </w:rPr>
              <w:t>zdůrazňuje, že cílů v oblasti klimatu nelze dosáhnout bez podpory a zapojení veřejnosti;</w:t>
            </w:r>
            <w:r>
              <w:t xml:space="preserve"> </w:t>
            </w:r>
            <w:r>
              <w:rPr>
                <w:b/>
                <w:i/>
              </w:rPr>
              <w:t>vyzývá všechny smluvní strany, aby zvyšovaly povědomí o změně klimatu a souvisejících otázkách a jejich pochopení ze strany veřejnosti a spolupracovaly se zástupci veřejnosti s cílem získat pro opatření pro zmírňování změny klimatu a přizpůsobení se jí veřejnou podporu;</w:t>
            </w:r>
            <w:r>
              <w:t xml:space="preserve"> </w:t>
            </w:r>
            <w:r>
              <w:rPr>
                <w:b/>
                <w:i/>
              </w:rPr>
              <w:t>je znepokojen rostoucím šířením záměrně i nezáměrně zavádějících informací o klimatu, a to i ze strany státních subjektů, a naléhavě vyzývá všechny vlády, aby se touto problematikou urychleně zabývaly vzhledem k hrozbě, kterou představuje jak pro smysluplnou činnost v oblasti klimatu, tak pro demokracii;</w:t>
            </w:r>
            <w:r>
              <w:t xml:space="preserve"> </w:t>
            </w:r>
            <w:r>
              <w:rPr>
                <w:b/>
                <w:i/>
              </w:rPr>
              <w:t>zdůrazňuje význam přístupu k vědecky podloženým informacím a ochrany nezávislých médií;</w:t>
            </w:r>
            <w:r>
              <w:t xml:space="preserve"> </w:t>
            </w:r>
            <w:r>
              <w:rPr>
                <w:b/>
                <w:i/>
              </w:rPr>
              <w:t>vyzdvihuje důležitost práce, kterou vykonává Mezivládní panel pro změnu klimatu (IPCC) v oblasti poskytování spolehlivých vědeckých doporučení a údajů;</w:t>
            </w:r>
            <w:r>
              <w:t xml:space="preserve"> </w:t>
            </w:r>
            <w:r>
              <w:rPr>
                <w:b/>
                <w:i/>
              </w:rPr>
              <w:t>vyzývá UNFCCC k intenzivnějšímu úsilí v boji proti dezinformacím o klimatu;</w:t>
            </w:r>
            <w:r>
              <w:t xml:space="preserve"> </w:t>
            </w:r>
            <w:r>
              <w:rPr>
                <w:b/>
                <w:i/>
              </w:rPr>
              <w:t>vyzývá Komisi, aby se připojila ke globální iniciativě pro integritu informací o změně klimatu a bojovala proti dezinformacím o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33b.</w:t>
            </w:r>
            <w:r>
              <w:tab/>
            </w:r>
            <w:r>
              <w:rPr>
                <w:b/>
                <w:i/>
              </w:rPr>
              <w:t>zdůrazňuje, že turecké předsednictví COP31 chce stanovit celosvětový cíl elektrifikace ve výši 35 % do roku 2035 ve srovnání se současnými 20 %;</w:t>
            </w:r>
            <w:r>
              <w:t xml:space="preserve"> </w:t>
            </w:r>
            <w:r>
              <w:rPr>
                <w:b/>
                <w:i/>
              </w:rPr>
              <w:t>konstatuje, že k dosažení tohoto cíle se elektrifikace bude muset spoléhat na všechny nízkouhlíkové technologie;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zdůrazňuje, že ke snižování emisí skleníkových plynů musí přispívat všechna odvětví;</w:t>
            </w:r>
          </w:p>
        </w:tc>
        <w:tc>
          <w:tcPr>
            <w:tcW w:w="4876" w:type="dxa"/>
            <w:tcBorders>
              <w:top w:val="nil"/>
              <w:left w:val="nil"/>
              <w:bottom w:val="nil"/>
              <w:right w:val="nil"/>
            </w:tcBorders>
          </w:tcPr>
          <w:p>
            <w:pPr>
              <w:pStyle w:val="Normal6a"/>
            </w:pPr>
            <w:r>
              <w:t>34.</w:t>
            </w:r>
            <w:r>
              <w:tab/>
            </w:r>
            <w:r>
              <w:t xml:space="preserve">zdůrazňuje, že ke snižování emisí skleníkových plynů musí přispívat všechna odvětví; </w:t>
            </w:r>
            <w:r>
              <w:rPr>
                <w:b/>
                <w:i/>
              </w:rPr>
              <w:t>domnívá se, že dekarbonizace může poskytnout nesčetné příležitosti a mnoho pozitivních sociálních a hospodářských dopadů;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zdůrazňuje, že ke snižování emisí skleníkových plynů </w:t>
            </w:r>
            <w:r>
              <w:rPr>
                <w:b/>
                <w:i/>
              </w:rPr>
              <w:t>musí přispívat všechna odvětví</w:t>
            </w:r>
            <w:r>
              <w:t>;</w:t>
            </w:r>
          </w:p>
        </w:tc>
        <w:tc>
          <w:tcPr>
            <w:tcW w:w="4876" w:type="dxa"/>
            <w:tcBorders>
              <w:top w:val="nil"/>
              <w:left w:val="nil"/>
              <w:bottom w:val="nil"/>
              <w:right w:val="nil"/>
            </w:tcBorders>
          </w:tcPr>
          <w:p>
            <w:pPr>
              <w:pStyle w:val="Normal6a"/>
            </w:pPr>
            <w:r>
              <w:t>34.</w:t>
            </w:r>
            <w:r>
              <w:tab/>
            </w:r>
            <w:r>
              <w:t xml:space="preserve">zdůrazňuje, že </w:t>
            </w:r>
            <w:r>
              <w:rPr>
                <w:b/>
                <w:i/>
              </w:rPr>
              <w:t>všechna odvětví musí přispívat</w:t>
            </w:r>
            <w:r>
              <w:t xml:space="preserve"> ke snižování emisí skleníkových plynů </w:t>
            </w:r>
            <w:r>
              <w:rPr>
                <w:b/>
                <w:i/>
              </w:rPr>
              <w:t>a k dosažení klimatické neutrality v souladu s Pařížskou dohodou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zdůrazňuje, že </w:t>
            </w:r>
            <w:r>
              <w:rPr>
                <w:b/>
                <w:i/>
              </w:rPr>
              <w:t>ke snižování</w:t>
            </w:r>
            <w:r>
              <w:t xml:space="preserve"> emisí skleníkových plynů </w:t>
            </w:r>
            <w:r>
              <w:rPr>
                <w:b/>
                <w:i/>
              </w:rPr>
              <w:t>musí přispívat</w:t>
            </w:r>
            <w:r>
              <w:t xml:space="preserve"> všechna odvětví;</w:t>
            </w:r>
          </w:p>
        </w:tc>
        <w:tc>
          <w:tcPr>
            <w:tcW w:w="4876" w:type="dxa"/>
            <w:tcBorders>
              <w:top w:val="nil"/>
              <w:left w:val="nil"/>
              <w:bottom w:val="nil"/>
              <w:right w:val="nil"/>
            </w:tcBorders>
          </w:tcPr>
          <w:p>
            <w:pPr>
              <w:pStyle w:val="Normal6a"/>
            </w:pPr>
            <w:r>
              <w:t>34.</w:t>
            </w:r>
            <w:r>
              <w:tab/>
            </w:r>
            <w:r>
              <w:t xml:space="preserve">zdůrazňuje, že </w:t>
            </w:r>
            <w:r>
              <w:rPr>
                <w:b/>
                <w:i/>
              </w:rPr>
              <w:t>pokud je to technicky a ekonomicky proveditelné, mohla by ke snížení</w:t>
            </w:r>
            <w:r>
              <w:t xml:space="preserve"> emisí skleníkových plynů </w:t>
            </w:r>
            <w:r>
              <w:rPr>
                <w:b/>
                <w:i/>
              </w:rPr>
              <w:t>přispět</w:t>
            </w:r>
            <w:r>
              <w:t xml:space="preserve"> všechna odvětví;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zdůrazňuje, že ke snižování emisí skleníkových plynů </w:t>
            </w:r>
            <w:r>
              <w:rPr>
                <w:b/>
                <w:i/>
              </w:rPr>
              <w:t>musí přispívat všechna odvětví</w:t>
            </w:r>
            <w:r>
              <w:t>;</w:t>
            </w:r>
          </w:p>
        </w:tc>
        <w:tc>
          <w:tcPr>
            <w:tcW w:w="4876" w:type="dxa"/>
            <w:tcBorders>
              <w:top w:val="nil"/>
              <w:left w:val="nil"/>
              <w:bottom w:val="nil"/>
              <w:right w:val="nil"/>
            </w:tcBorders>
          </w:tcPr>
          <w:p>
            <w:pPr>
              <w:pStyle w:val="Normal6a"/>
            </w:pPr>
            <w:r>
              <w:t>34.</w:t>
            </w:r>
            <w:r>
              <w:tab/>
            </w:r>
            <w:r>
              <w:t xml:space="preserve">zdůrazňuje, že </w:t>
            </w:r>
            <w:r>
              <w:rPr>
                <w:b/>
                <w:i/>
              </w:rPr>
              <w:t>všechna odvětví musí přispívat</w:t>
            </w:r>
            <w:r>
              <w:t xml:space="preserve"> ke snižování emisí skleníkových plynů </w:t>
            </w:r>
            <w:r>
              <w:rPr>
                <w:b/>
                <w:i/>
              </w:rPr>
              <w:t>a k dosažení klimatické neutrality v souladu s Pařížskou dohodou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Sigrid Friis,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w:t>
            </w:r>
          </w:p>
        </w:tc>
        <w:tc>
          <w:tcPr>
            <w:tcW w:w="4876" w:type="dxa"/>
            <w:tcBorders>
              <w:top w:val="nil"/>
              <w:left w:val="nil"/>
              <w:bottom w:val="nil"/>
              <w:right w:val="nil"/>
            </w:tcBorders>
          </w:tcPr>
          <w:p>
            <w:pPr>
              <w:pStyle w:val="Normal6a"/>
            </w:pPr>
            <w:r>
              <w:t>35.</w:t>
            </w:r>
            <w:r>
              <w:tab/>
            </w:r>
            <w:r>
              <w:t xml:space="preserve">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 </w:t>
            </w:r>
            <w:r>
              <w:rPr>
                <w:b/>
                <w:i/>
              </w:rPr>
              <w:t>zdůrazňuje, že snížení emisí metanu z těžby ropy a zemního plynu je jedním z nejrychlejších, nákladově nejefektivnějších a okamžitě dostupných způsobů, jak snížit emise skleníkových plynů;</w:t>
            </w:r>
            <w:r>
              <w:t xml:space="preserve"> </w:t>
            </w:r>
            <w:r>
              <w:rPr>
                <w:b/>
                <w:i/>
              </w:rPr>
              <w:t>zdůrazňuje, že tato opatření rovněž posilují energetickou bezpečnost tím, že zlepšují transparentnost a sledovatelnost původu a výkonnosti dovozu energie z hlediska metanu, a doplňují tak plán REPowerEU tím, že vysílají jasný tržní signál, který podporuje postupný přechod k transparentnějším dodavatelům s nižšími emisemi;</w:t>
            </w:r>
            <w:r>
              <w:t xml:space="preserve"> </w:t>
            </w:r>
            <w:r>
              <w:rPr>
                <w:b/>
                <w:i/>
              </w:rPr>
              <w:t>zdůrazňuje, že účinné provádění nařízení EU o metanu má proto zásadní význam;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Mohammed Chahim,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w:t>
            </w:r>
          </w:p>
        </w:tc>
        <w:tc>
          <w:tcPr>
            <w:tcW w:w="4876" w:type="dxa"/>
            <w:tcBorders>
              <w:top w:val="nil"/>
              <w:left w:val="nil"/>
              <w:bottom w:val="nil"/>
              <w:right w:val="nil"/>
            </w:tcBorders>
          </w:tcPr>
          <w:p>
            <w:pPr>
              <w:pStyle w:val="Normal6a"/>
            </w:pPr>
            <w:r>
              <w:t>35.</w:t>
            </w:r>
            <w:r>
              <w:tab/>
            </w:r>
            <w:r>
              <w:rPr>
                <w:b/>
                <w:i/>
              </w:rPr>
              <w:t>připomíná, že metan má během prvních 20 let v atmosféře více než 80krát vyšší oteplovací schopnost než oxid uhličitý;</w:t>
            </w:r>
            <w:r>
              <w:t xml:space="preserve"> 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 </w:t>
            </w:r>
            <w:r>
              <w:rPr>
                <w:b/>
                <w:i/>
              </w:rPr>
              <w:t>zdůrazňuje účinnost iniciativ klubů kupujících, jako je například koalice First Movers Coalition (FMC), při snižování škodlivých emisí;</w:t>
            </w:r>
            <w:r>
              <w:t xml:space="preserve"> </w:t>
            </w:r>
            <w:r>
              <w:rPr>
                <w:b/>
                <w:i/>
              </w:rPr>
              <w:t>proto vyzývá Unii, aby se ujala vedení při zakládání klubu kupujících pro snižování emisí metanu, podobně jako je tomu v případě koalice First Movers Coalition, s cílem urychlit celosvětové snižování emisí metanu;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w:t>
            </w:r>
          </w:p>
        </w:tc>
        <w:tc>
          <w:tcPr>
            <w:tcW w:w="4876" w:type="dxa"/>
            <w:tcBorders>
              <w:top w:val="nil"/>
              <w:left w:val="nil"/>
              <w:bottom w:val="nil"/>
              <w:right w:val="nil"/>
            </w:tcBorders>
          </w:tcPr>
          <w:p>
            <w:pPr>
              <w:pStyle w:val="Normal6a"/>
            </w:pPr>
            <w:r>
              <w:t>35.</w:t>
            </w:r>
            <w:r>
              <w:tab/>
            </w:r>
            <w:r>
              <w:t xml:space="preserve">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 </w:t>
            </w:r>
            <w:r>
              <w:rPr>
                <w:b/>
                <w:i/>
              </w:rPr>
              <w:t>zdůrazňuje, že snížení emisí metanu z těžby ropy a zemního plynu je jedním z nejrychlejších, nákladově nejefektivnějších a okamžitě dostupných způsobů, jak snížit emise skleníkových plynů;</w:t>
            </w:r>
            <w:r>
              <w:t xml:space="preserve"> </w:t>
            </w:r>
            <w:r>
              <w:rPr>
                <w:b/>
                <w:i/>
              </w:rPr>
              <w:t>zdůrazňuje, že účinné provádění nařízení EU o metanu má zásadní význam;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w:t>
            </w:r>
          </w:p>
        </w:tc>
        <w:tc>
          <w:tcPr>
            <w:tcW w:w="4876" w:type="dxa"/>
            <w:tcBorders>
              <w:top w:val="nil"/>
              <w:left w:val="nil"/>
              <w:bottom w:val="nil"/>
              <w:right w:val="nil"/>
            </w:tcBorders>
          </w:tcPr>
          <w:p>
            <w:pPr>
              <w:pStyle w:val="Normal6a"/>
            </w:pPr>
            <w:r>
              <w:t>35.</w:t>
            </w:r>
            <w:r>
              <w:tab/>
            </w:r>
            <w:r>
              <w:t>vítá skutečnost, že téměř 160 zemí podepsalo Globální metanový závazek</w:t>
            </w:r>
            <w:r>
              <w:rPr>
                <w:b/>
                <w:i/>
              </w:rPr>
              <w:t>;</w:t>
            </w:r>
            <w:r>
              <w:t xml:space="preserve"> </w:t>
            </w:r>
            <w:r>
              <w:rPr>
                <w:b/>
                <w:i/>
              </w:rPr>
              <w:t>naléhavě vyzývá ty členské státy EU, které se k tomuto závazku dosud nepřipojily, aby tak učinily před konferencí COP31</w:t>
            </w:r>
            <w:r>
              <w:t xml:space="preserve">;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 </w:t>
            </w:r>
            <w:r>
              <w:rPr>
                <w:b/>
                <w:i/>
              </w:rPr>
              <w:t>vyzývá Komisi a členské státy, aby podnikly další kroky pro splnění cíle stanoveného v rámci metanového závazku;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w:t>
            </w:r>
          </w:p>
        </w:tc>
        <w:tc>
          <w:tcPr>
            <w:tcW w:w="4876" w:type="dxa"/>
            <w:tcBorders>
              <w:top w:val="nil"/>
              <w:left w:val="nil"/>
              <w:bottom w:val="nil"/>
              <w:right w:val="nil"/>
            </w:tcBorders>
          </w:tcPr>
          <w:p>
            <w:pPr>
              <w:pStyle w:val="Normal6a"/>
            </w:pPr>
            <w:r>
              <w:t>35.</w:t>
            </w:r>
            <w:r>
              <w:tab/>
            </w:r>
            <w:r>
              <w:t xml:space="preserve">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 </w:t>
            </w:r>
            <w:r>
              <w:rPr>
                <w:b/>
                <w:i/>
              </w:rPr>
              <w:t>vyzývá EU, aby navrhla právní předpisy a další iniciativy, jež by řešily emise metanu ze všech významných zdrojů, v souladu s plným prováděním strategie EU pro metan;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vítá skutečnost, že téměř 160 zemí podepsalo Globální metanový závazek; požaduje kvantifikované a vědecky podložené posouzení pokroku, jehož bylo dosaženo od přijetí tohoto závazku na konferenci COP26; vyzývá všechny smluvní strany, aby do svých vnitrostátně stanovených příspěvků zahrnuly konkrétní cíle týkající se snížení emisí metanu;</w:t>
            </w:r>
          </w:p>
        </w:tc>
        <w:tc>
          <w:tcPr>
            <w:tcW w:w="4876" w:type="dxa"/>
            <w:tcBorders>
              <w:top w:val="nil"/>
              <w:left w:val="nil"/>
              <w:bottom w:val="nil"/>
              <w:right w:val="nil"/>
            </w:tcBorders>
          </w:tcPr>
          <w:p>
            <w:pPr>
              <w:pStyle w:val="Normal6a"/>
            </w:pPr>
            <w:r>
              <w:t>35.</w:t>
            </w:r>
            <w:r>
              <w:tab/>
            </w:r>
            <w:r>
              <w:t xml:space="preserve">vítá skutečnost, že téměř 160 zemí podepsalo Globální metanový závazek; požaduje kvantifikované a vědecky podložené posouzení pokroku, jehož bylo dosaženo od přijetí tohoto závazku na konferenci COP26; </w:t>
            </w:r>
            <w:r>
              <w:rPr>
                <w:b/>
                <w:i/>
              </w:rPr>
              <w:t>naléhavě vyzývá všechny smluvní strany, aby podpořily výzvu generálního tajemníka OSN k přijetí opatření v oblasti metanu a urychlily úsilí o zmírnění emisí metanu;</w:t>
            </w:r>
            <w:r>
              <w:t xml:space="preserve"> vyzývá všechny smluvní strany, aby do svých vnitrostátně stanovených příspěvků zahrnuly konkrétní cíle týkající se snížení emisí metanu;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vítá</w:t>
            </w:r>
            <w:r>
              <w:t xml:space="preserve"> skutečnost, že téměř 160 zemí podepsalo Globální metanový závazek; požaduje kvantifikované a vědecky podložené posouzení pokroku, jehož bylo dosaženo od přijetí tohoto závazku na konferenci COP26; </w:t>
            </w:r>
            <w:r>
              <w:rPr>
                <w:b/>
                <w:i/>
              </w:rPr>
              <w:t>vyzývá všechny smluvní strany, aby do svých vnitrostátně stanovených příspěvků zahrnuly konkrétní cíle týkající se snížení emisí metanu;</w:t>
            </w:r>
          </w:p>
        </w:tc>
        <w:tc>
          <w:tcPr>
            <w:tcW w:w="4876" w:type="dxa"/>
            <w:tcBorders>
              <w:top w:val="nil"/>
              <w:left w:val="nil"/>
              <w:bottom w:val="nil"/>
              <w:right w:val="nil"/>
            </w:tcBorders>
          </w:tcPr>
          <w:p>
            <w:pPr>
              <w:pStyle w:val="Normal6a"/>
            </w:pPr>
            <w:r>
              <w:t>35.</w:t>
            </w:r>
            <w:r>
              <w:tab/>
            </w:r>
            <w:r>
              <w:rPr>
                <w:b/>
                <w:i/>
              </w:rPr>
              <w:t>bere na vědomí</w:t>
            </w:r>
            <w:r>
              <w:t xml:space="preserve"> skutečnost, že téměř 160 zemí podepsalo Globální metanový závazek; požaduje kvantifikované a vědecky podložené posouzení pokroku, jehož bylo dosaženo od přijetí tohoto závazku na konferenci COP26;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připomíná, že metan má během prvních 20 let v atmosféře více než 80krát vyšší oteplovací schopnost než oxid uhličitý, a zdůrazňuje proto, že je důležité snižování emisí metanu urychlit;</w:t>
            </w:r>
            <w:r>
              <w:t xml:space="preserve"> </w:t>
            </w:r>
            <w:r>
              <w:rPr>
                <w:b/>
                <w:i/>
              </w:rPr>
              <w:t>se znepokojením bere na vědomí závěry zprávy Mezinárodní energetické agentury (IEA) z roku 2025, která poukazuje na pokračující nárůst emisí metanu, nedostatečné plnění Globálního metanového závazku a na skutečnost, že země značně podceňují znečištění metanem, které pochází z energetického odvětví, protože podle odhadů IEA jsou tyto emise přibližně o 80 % vyšší než celkové emise uváděné vládami;</w:t>
            </w:r>
            <w:r>
              <w:t xml:space="preserve"> </w:t>
            </w:r>
            <w:r>
              <w:rPr>
                <w:b/>
                <w:i/>
              </w:rPr>
              <w:t>připomíná, že emise metanu z energetického odvětví jsou v globálním měřítku stále jednou z nejsnadněji a z hospodářského hlediska nejpřínosněji omezitelných kategorií emisí;</w:t>
            </w:r>
            <w:r>
              <w:t xml:space="preserve"> </w:t>
            </w:r>
            <w:r>
              <w:rPr>
                <w:b/>
                <w:i/>
              </w:rPr>
              <w:t>vyzývá EU, aby spolu s dalšími významnými dovozci fosilních paliv podpořila založení klubu kupujících pro snižování emisí metanu, inspirovaného koalicí First Movers, a aby přijala společnou maximální hodnotu intenzity metanu v souladu s nařízením (EU) 2024/1787, a urychlila tak snižování emisí metanu v celosvětovém měřítku;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se znepokojením konstatuje, že celosvětová poptávka po uhlí navzdory prognózám Mezinárodní energetické agentury nadále roste a že za tento nárůst jsou primárně odpovědné Čína, Indie a Spojené státy, které představují téměř 75 % celosvětové poptávky;</w:t>
            </w:r>
            <w:r>
              <w:t xml:space="preserve"> </w:t>
            </w:r>
            <w:r>
              <w:rPr>
                <w:b/>
                <w:i/>
              </w:rPr>
              <w:t>konstatuje, že snížení spotřeby uhlí v Evropě je do značné míry kompenzováno prudkým nárůstem celosvětové spotřeby, zejména při výrobě elektřiny;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připomíná nařízení (EU) 2024/1787 o snižování emisí metanu v odvětví energetiky, které se bude od 1. ledna 2027 vztahovat i na unijní dovozce ropy, zemního plynu a uhlí;</w:t>
            </w:r>
            <w:r>
              <w:t xml:space="preserve"> </w:t>
            </w:r>
            <w:r>
              <w:rPr>
                <w:b/>
                <w:i/>
              </w:rPr>
              <w:t>zdůrazňuje zásadní úlohu tohoto nařízení a jeho provádění při snižování emisí metanu v raných fázích výroby, zajištění důvěry investorů a stanovení celosvětových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uznává významný potenciál, jenž má pro snižování emisí skleníkových plynů zemědělství;</w:t>
            </w:r>
          </w:p>
        </w:tc>
        <w:tc>
          <w:tcPr>
            <w:tcW w:w="4876" w:type="dxa"/>
            <w:tcBorders>
              <w:top w:val="nil"/>
              <w:left w:val="nil"/>
              <w:bottom w:val="nil"/>
              <w:right w:val="nil"/>
            </w:tcBorders>
          </w:tcPr>
          <w:p>
            <w:pPr>
              <w:pStyle w:val="Normal6a"/>
            </w:pPr>
            <w:r>
              <w:t>36.</w:t>
            </w:r>
            <w:r>
              <w:tab/>
            </w:r>
            <w:r>
              <w:rPr>
                <w:b/>
                <w:i/>
              </w:rPr>
              <w:t>poznamenává, že v roce 2020 odpovídalo zemědělství za 10–12 % světových antropogenních emisí a za 11 % všech emisí v EU;</w:t>
            </w:r>
            <w:r>
              <w:t xml:space="preserve"> uznává významný potenciál, jenž má</w:t>
            </w:r>
            <w:r>
              <w:rPr>
                <w:b/>
                <w:i/>
              </w:rPr>
              <w:t> zemědělství</w:t>
            </w:r>
            <w:r>
              <w:t> pro snižování emisí skleníkových plynů</w:t>
            </w:r>
            <w:r>
              <w:rPr>
                <w:b/>
                <w:i/>
              </w:rPr>
              <w:t>;</w:t>
            </w:r>
            <w:r>
              <w:t xml:space="preserve"> </w:t>
            </w:r>
            <w:r>
              <w:rPr>
                <w:b/>
                <w:i/>
              </w:rPr>
              <w:t>zdůrazňuje, že zemědělci a zemědělské odvětví jsou vůči změně klimatu obzvláště zranitelní a že změna klimatu představuje významnou hrozbu pro potravinovou bezpečnost na celém světě;</w:t>
            </w:r>
            <w:r>
              <w:t xml:space="preserve"> </w:t>
            </w:r>
            <w:r>
              <w:rPr>
                <w:b/>
                <w:i/>
              </w:rPr>
              <w:t>zdůrazňuje, že politiky zaměřené na snižování emisí v</w:t>
            </w:r>
            <w:r>
              <w:t xml:space="preserve"> zemědělství </w:t>
            </w:r>
            <w:r>
              <w:rPr>
                <w:b/>
                <w:i/>
              </w:rPr>
              <w:t>by měly v maximální míře zajistit potravinové zabezpečení</w:t>
            </w:r>
            <w:r>
              <w:t xml:space="preserve">; </w:t>
            </w:r>
            <w:r>
              <w:rPr>
                <w:b/>
                <w:i/>
              </w:rPr>
              <w:t>zdůrazňuje, že je třeba zavést politický rámec, který by vytvářel pobídky pro udržitelné způsoby hospodaření a podporoval zemědělce, zejména drobné, v přechodu na odolné postupy a odměňoval zemědělce, kteří podporují úsilí o zmírnění dopadů změny klimatu a chrání biologickou rozmanitost;</w:t>
            </w:r>
            <w:r>
              <w:t xml:space="preserve"> </w:t>
            </w:r>
            <w:r>
              <w:rPr>
                <w:b/>
                <w:i/>
              </w:rPr>
              <w:t>poukazuje na environmentální přínosy obnovy odvodněných rašelinišť a na další opatření, která podporují biologickou rozmanitost, zdraví půdy a kvalitu vody v zemědělských podnicích a zároveň přispívají ke zmírňování změny klimatu a přizpůsobování se této změně;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uznává významný potenciál, jenž má pro snižování</w:t>
            </w:r>
            <w:r>
              <w:t xml:space="preserve"> emisí skleníkových plynů zemědělství;</w:t>
            </w:r>
          </w:p>
        </w:tc>
        <w:tc>
          <w:tcPr>
            <w:tcW w:w="4876" w:type="dxa"/>
            <w:tcBorders>
              <w:top w:val="nil"/>
              <w:left w:val="nil"/>
              <w:bottom w:val="nil"/>
              <w:right w:val="nil"/>
            </w:tcBorders>
          </w:tcPr>
          <w:p>
            <w:pPr>
              <w:pStyle w:val="Normal6a"/>
            </w:pPr>
            <w:r>
              <w:t>36.</w:t>
            </w:r>
            <w:r>
              <w:tab/>
            </w:r>
            <w:r>
              <w:rPr>
                <w:b/>
                <w:i/>
              </w:rPr>
              <w:t>domnívá se, že každý by měl mít možnost požívat lidského práva na bezpečné, udržitelné a kvalitní potraviny;</w:t>
            </w:r>
            <w:r>
              <w:t xml:space="preserve"> </w:t>
            </w:r>
            <w:r>
              <w:rPr>
                <w:b/>
                <w:i/>
              </w:rPr>
              <w:t>zdůrazňuje však, že současný průmyslový zemědělsko-potravinářský model je hlavní hnací silou</w:t>
            </w:r>
            <w:r>
              <w:t xml:space="preserve"> emisí skleníkových plynů</w:t>
            </w:r>
            <w:r>
              <w:rPr>
                <w:b/>
                <w:i/>
              </w:rPr>
              <w:t>, úbytku biologické rozmanitosti, degradace půdy a znečištění vody a je strukturálně v rozporu s cíli Pařížské dohody;</w:t>
            </w:r>
            <w:r>
              <w:t xml:space="preserve"> </w:t>
            </w:r>
            <w:r>
              <w:rPr>
                <w:b/>
                <w:i/>
              </w:rPr>
              <w:t>zdůrazňuje, že postupné zvyšování účinnosti je samo o sobě nedostatečné, a vyzývá proto k rychlému přechodu od výroby náročné na emise a závislosti na syntetických hnojivech k agroekologickým systémům zemědělství a jiným systémům ekologického</w:t>
            </w:r>
            <w:r>
              <w:t xml:space="preserve"> zemědělství; </w:t>
            </w:r>
            <w:r>
              <w:rPr>
                <w:b/>
                <w:i/>
              </w:rPr>
              <w:t>zdůrazňuje, že existují různé udržitelné zemědělské modely přispívající ke snižování emisí a podpoře biologické rozmanitosti, které vyžadují podporu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uznává významný potenciál, jenž má pro snižování emisí skleníkových plynů zemědělství;</w:t>
            </w:r>
          </w:p>
        </w:tc>
        <w:tc>
          <w:tcPr>
            <w:tcW w:w="4876" w:type="dxa"/>
            <w:tcBorders>
              <w:top w:val="nil"/>
              <w:left w:val="nil"/>
              <w:bottom w:val="nil"/>
              <w:right w:val="nil"/>
            </w:tcBorders>
          </w:tcPr>
          <w:p>
            <w:pPr>
              <w:pStyle w:val="Normal6a"/>
            </w:pPr>
            <w:r>
              <w:t>36.</w:t>
            </w:r>
            <w:r>
              <w:tab/>
            </w:r>
            <w:r>
              <w:t xml:space="preserve">uznává významný potenciál, jenž má pro snižování emisí skleníkových plynů zemědělství; </w:t>
            </w:r>
            <w:r>
              <w:rPr>
                <w:b/>
                <w:i/>
              </w:rPr>
              <w:t>zdůrazňuje, že půda je největším suchozemským úložištěm uhlíku a plní nepostradatelnou úlohu v globálním klimatickém cyklu;</w:t>
            </w:r>
            <w:r>
              <w:t xml:space="preserve"> </w:t>
            </w:r>
            <w:r>
              <w:rPr>
                <w:b/>
                <w:i/>
              </w:rPr>
              <w:t>vítá veškeré úsilí vlád i nevládních subjektů o maximalizaci potenciálu půdy k mitigaci změny klimatu a zlepšení dostupnosti vody;</w:t>
            </w:r>
            <w:r>
              <w:t xml:space="preserve"> </w:t>
            </w:r>
            <w:r>
              <w:rPr>
                <w:b/>
                <w:i/>
              </w:rPr>
              <w:t>bere na vědomí pokrok EU při provádění právního rámce pro monitorování půdy a spolupráci všech členských států při sdílení znalostí a zlepšování odolnosti půdy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uznává významný potenciál, jenž má pro snižování emisí skleníkových plynů zemědělství;</w:t>
            </w:r>
          </w:p>
        </w:tc>
        <w:tc>
          <w:tcPr>
            <w:tcW w:w="4876" w:type="dxa"/>
            <w:tcBorders>
              <w:top w:val="nil"/>
              <w:left w:val="nil"/>
              <w:bottom w:val="nil"/>
              <w:right w:val="nil"/>
            </w:tcBorders>
          </w:tcPr>
          <w:p>
            <w:pPr>
              <w:pStyle w:val="Normal6a"/>
            </w:pPr>
            <w:r>
              <w:t>36.</w:t>
            </w:r>
            <w:r>
              <w:tab/>
            </w:r>
            <w:r>
              <w:t xml:space="preserve">uznává významný potenciál, jenž má pro snižování emisí skleníkových plynů zemědělství; </w:t>
            </w:r>
            <w:r>
              <w:rPr>
                <w:b/>
                <w:i/>
              </w:rPr>
              <w:t>zdůrazňuje, že je třeba podporovat udržitelné způsoby hospodaření;</w:t>
            </w:r>
            <w:r>
              <w:t xml:space="preserve"> </w:t>
            </w:r>
            <w:r>
              <w:rPr>
                <w:b/>
                <w:i/>
              </w:rPr>
              <w:t>upozorňuje na potenciál například uhlíkového zemědělství, které může zemědělcům přinést příjem a zároveň přispět k úsilí EU v oblasti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uznává významný potenciál, jenž má pro snižování emisí skleníkových plynů</w:t>
            </w:r>
            <w:r>
              <w:t xml:space="preserve"> zemědělství;</w:t>
            </w:r>
          </w:p>
        </w:tc>
        <w:tc>
          <w:tcPr>
            <w:tcW w:w="4876" w:type="dxa"/>
            <w:tcBorders>
              <w:top w:val="nil"/>
              <w:left w:val="nil"/>
              <w:bottom w:val="nil"/>
              <w:right w:val="nil"/>
            </w:tcBorders>
          </w:tcPr>
          <w:p>
            <w:pPr>
              <w:pStyle w:val="Normal6a"/>
            </w:pPr>
            <w:r>
              <w:t>36.</w:t>
            </w:r>
            <w:r>
              <w:tab/>
            </w:r>
            <w:r>
              <w:rPr>
                <w:b/>
                <w:i/>
              </w:rPr>
              <w:t>bere na vědomí, že zemědělci jsou jedněmi z prvních, kdo trpí důsledky extrémních povětrnostních jevů, a že politiky EU by měly upřednostňovat posílení odolnosti a konkurenceschopnosti</w:t>
            </w:r>
            <w:r>
              <w:t xml:space="preserve"> zemědělství </w:t>
            </w:r>
            <w:r>
              <w:rPr>
                <w:b/>
                <w:i/>
              </w:rPr>
              <w:t>a současně zajišťovat potravinové zabezpečení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Jorge Buxadé Villalba,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uznává významný potenciál, jenž má pro snižování emisí skleníkových plynů zemědělství;</w:t>
            </w:r>
          </w:p>
        </w:tc>
        <w:tc>
          <w:tcPr>
            <w:tcW w:w="4876" w:type="dxa"/>
            <w:tcBorders>
              <w:top w:val="nil"/>
              <w:left w:val="nil"/>
              <w:bottom w:val="nil"/>
              <w:right w:val="nil"/>
            </w:tcBorders>
          </w:tcPr>
          <w:p>
            <w:pPr>
              <w:pStyle w:val="Normal6a"/>
            </w:pPr>
            <w:r>
              <w:t>36.</w:t>
            </w:r>
            <w:r>
              <w:tab/>
            </w:r>
            <w:r>
              <w:t xml:space="preserve">uznává významný potenciál, jenž má pro snižování emisí skleníkových plynů zemědělství; </w:t>
            </w:r>
            <w:r>
              <w:rPr>
                <w:b/>
                <w:i/>
              </w:rPr>
              <w:t>staví se proti jakémukoli rozšíření systému obchodování s emisemi na odvětví zemědělství;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uznává významný potenciál, jenž má pro snižování emisí skleníkových plynů zemědělství;</w:t>
            </w:r>
          </w:p>
        </w:tc>
        <w:tc>
          <w:tcPr>
            <w:tcW w:w="4876" w:type="dxa"/>
            <w:tcBorders>
              <w:top w:val="nil"/>
              <w:left w:val="nil"/>
              <w:bottom w:val="nil"/>
              <w:right w:val="nil"/>
            </w:tcBorders>
          </w:tcPr>
          <w:p>
            <w:pPr>
              <w:pStyle w:val="Normal6a"/>
            </w:pPr>
            <w:r>
              <w:t>36.</w:t>
            </w:r>
            <w:r>
              <w:tab/>
            </w:r>
            <w:r>
              <w:t xml:space="preserve">uznává významný potenciál, jenž má pro snižování emisí skleníkových plynů zemědělství; </w:t>
            </w:r>
            <w:r>
              <w:rPr>
                <w:b/>
                <w:i/>
              </w:rPr>
              <w:t>vyzývá EU, aby se ujala vedení a uvažovala o tom, že do své společné zemědělské politiky zařadí pobídky ke snižování emisí;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uznává významný potenciál, jenž má pro snižování emisí skleníkových plynů zemědělství;</w:t>
            </w:r>
          </w:p>
        </w:tc>
        <w:tc>
          <w:tcPr>
            <w:tcW w:w="4876" w:type="dxa"/>
            <w:tcBorders>
              <w:top w:val="nil"/>
              <w:left w:val="nil"/>
              <w:bottom w:val="nil"/>
              <w:right w:val="nil"/>
            </w:tcBorders>
          </w:tcPr>
          <w:p>
            <w:pPr>
              <w:pStyle w:val="Normal6a"/>
            </w:pPr>
            <w:r>
              <w:t>36.</w:t>
            </w:r>
            <w:r>
              <w:tab/>
            </w:r>
            <w:r>
              <w:t>uznává významný potenciál, jenž má pro snižování emisí skleníkových plynů zemědělství</w:t>
            </w:r>
            <w:r>
              <w:rPr>
                <w:b/>
                <w:i/>
              </w:rPr>
              <w:t>, zdůrazňuje však, že veškerá opatření by měla prioritně zohledňovat potravinové zabezpečení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zdůrazňuje potenciál pro snižování emisí, který existuje v zemědělsko-potravinářském odvětví, včetně potenciálu snižování emisí díky zamezení plýtvání potravinami;</w:t>
            </w:r>
            <w:r>
              <w:t xml:space="preserve"> </w:t>
            </w:r>
            <w:r>
              <w:rPr>
                <w:b/>
                <w:i/>
              </w:rPr>
              <w:t>vyzývá k pokroku v průlomové iniciativě proti plýtvání potravinami, která byla zahájena na konferenci COP30;</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zdůrazňuje potenciál pro snižování emisí</w:t>
            </w:r>
            <w:r>
              <w:rPr>
                <w:b/>
                <w:i/>
              </w:rPr>
              <w:t>, který existuje v zemědělsko-potravinářském odvětví, včetně potenciálu snižování emisí díky zamezení</w:t>
            </w:r>
            <w:r>
              <w:t xml:space="preserve"> plýtvání potravinami; vyzývá k pokroku v průlomové iniciativě proti plýtvání potravinami, která byla zahájena na konferenci COP30;</w:t>
            </w:r>
          </w:p>
        </w:tc>
        <w:tc>
          <w:tcPr>
            <w:tcW w:w="4876" w:type="dxa"/>
            <w:tcBorders>
              <w:top w:val="nil"/>
              <w:left w:val="nil"/>
              <w:bottom w:val="nil"/>
              <w:right w:val="nil"/>
            </w:tcBorders>
          </w:tcPr>
          <w:p>
            <w:pPr>
              <w:pStyle w:val="Normal6a"/>
            </w:pPr>
            <w:r>
              <w:t>37.</w:t>
            </w:r>
            <w:r>
              <w:tab/>
            </w:r>
            <w:r>
              <w:t xml:space="preserve">zdůrazňuje potenciál pro snižování emisí </w:t>
            </w:r>
            <w:r>
              <w:rPr>
                <w:b/>
                <w:i/>
              </w:rPr>
              <w:t>prostřednictvím boje proti</w:t>
            </w:r>
            <w:r>
              <w:t xml:space="preserve"> plýtvání potravinami; vyzývá k pokroku v průlomové iniciativě proti plýtvání potravinami, která byla zahájena na konferenci COP30;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Mohammed Chahim,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upozorňuje na rostoucí vědeckou a politickou pozornost, která je věnována přístupům klimatického inženýrství, včetně metod, jako je modifikace slunečního záření (SRM), jejichž cílem je uměle změnit klimatický systém Země pomocí technik, jako je vstřikování stratosférického aerosolu;</w:t>
            </w:r>
            <w:r>
              <w:t xml:space="preserve"> </w:t>
            </w:r>
            <w:r>
              <w:rPr>
                <w:b/>
                <w:i/>
              </w:rPr>
              <w:t>zdůrazňuje, že tyto přístupy neřeší základní příčiny změny klimatu, jako jsou emise skleníkových plynů, a že jejich potenciální dopady zůstávají velmi nejisté, což představuje vážné riziko pro integritu životního prostředí, lidská práva a globální geopolitickou stabilitu;</w:t>
            </w:r>
            <w:r>
              <w:t xml:space="preserve"> </w:t>
            </w:r>
            <w:r>
              <w:rPr>
                <w:b/>
                <w:i/>
              </w:rPr>
              <w:t>zdůrazňuje, že vzhledem k tomu, že neexistují spolehlivé vědecké důkazy o bezpečnosti, účinnosti a správě, musí se veškeré snahy o klimatické inženýrství řídit zásadou předběžné opatrnosti;</w:t>
            </w:r>
            <w:r>
              <w:t xml:space="preserve"> </w:t>
            </w:r>
            <w:r>
              <w:rPr>
                <w:b/>
                <w:i/>
              </w:rPr>
              <w:t>připomíná doporučení skupiny hlavních vědeckých poradců Evropské komise zveřejněná v prosinci 2024;</w:t>
            </w:r>
            <w:r>
              <w:t xml:space="preserve"> </w:t>
            </w:r>
            <w:r>
              <w:rPr>
                <w:b/>
                <w:i/>
              </w:rPr>
              <w:t>vyzývá Evropskou komisi, aby se aktivně zapojila do jednání o globálním správním rámci pro SRM, které bude vycházet z pevného postoje nezavádění těchto technologií, a aby posílila schopnost EU odhalovat a kvantifikovat jakékoli neohlášené zavádění technologií SRM;</w:t>
            </w:r>
            <w:r>
              <w:t xml:space="preserve"> </w:t>
            </w:r>
            <w:r>
              <w:rPr>
                <w:b/>
                <w:i/>
              </w:rPr>
              <w:t>dále vyzývá Evropskou komisi a členské státy, aby podporovaly odpovědný vědecký výzkum a komplexní mezinárodní posouzení účinků a dopadů těchto technologií a zajistily, aby jakékoli veřejné financování výzkumu SRM bylo doplňkem k veřejnému financování výzkumu v oblasti přizpůsobování se změně klimatu a jejího zmírňování, a nikoli jeho náhradou;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Emma Wiesner, Martin Hojsík, Sigrid Friis,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dále uznává, že podle UNFCCC představují potravinové ztráty a plýtvání potravinami 8 až 10 % ročních celosvětových emisí skleníkových plynů</w:t>
            </w:r>
            <w:r>
              <w:rPr>
                <w:b/>
                <w:i/>
                <w:vertAlign w:val="superscript"/>
              </w:rPr>
              <w:t>1a</w:t>
            </w:r>
            <w:r>
              <w:t xml:space="preserve"> </w:t>
            </w:r>
            <w:r>
              <w:rPr>
                <w:b/>
                <w:i/>
              </w:rPr>
              <w:t>a že prevence plýtvání potravinami představuje jednu z nákladově nejefektivnějších a nejokamžitějších možností zmírňování změny klimatu, která je ve všech odvětvích hospodářství k dispozici;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https://unfccc.int/news/food-loss-and-waste-account-for-8-10-of-annual-global-greenhouse-gas-emissions-cost-usd-1-trillion.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se znepokojením konstatuje, že odvětví dopravy je jediným odvětvím, v němž emise od roku 1990 na úrovni EU vzrostly, a že k dosažení cílů EU v oblasti klimatu bude zapotřebí prudšího snížení;</w:t>
            </w:r>
          </w:p>
        </w:tc>
        <w:tc>
          <w:tcPr>
            <w:tcW w:w="4876" w:type="dxa"/>
            <w:tcBorders>
              <w:top w:val="nil"/>
              <w:left w:val="nil"/>
              <w:bottom w:val="nil"/>
              <w:right w:val="nil"/>
            </w:tcBorders>
          </w:tcPr>
          <w:p>
            <w:pPr>
              <w:pStyle w:val="Normal6a"/>
            </w:pPr>
            <w:r>
              <w:t>38.</w:t>
            </w:r>
            <w:r>
              <w:tab/>
            </w:r>
            <w:r>
              <w:t xml:space="preserve">se znepokojením konstatuje, že odvětví dopravy je jediným odvětvím, v němž emise od roku 1990 na úrovni EU vzrostly, a že k dosažení cílů EU v oblasti klimatu bude zapotřebí prudšího snížení; </w:t>
            </w:r>
            <w:r>
              <w:rPr>
                <w:b/>
                <w:i/>
              </w:rPr>
              <w:t>zdůrazňuje význam dalších opatření na podporu elektrifikace silniční dopravy jako způsobu – spolu s rozšiřováním železniční dopravy – jak snížit emise ze silniční dopravy, a to ve spojení s dalšími opatřeními na podporu přechodu na jiný druh dopravy, intermodální dopravy a veřejné dopravy obecně;</w:t>
            </w:r>
            <w:r>
              <w:t xml:space="preserve"> </w:t>
            </w:r>
            <w:r>
              <w:rPr>
                <w:b/>
                <w:i/>
              </w:rPr>
              <w:t>vyzývá Komisi, aby do vnitrostátně stanovených příspěvků zahrnula emise z mezinárodní dopravy;</w:t>
            </w:r>
            <w:r>
              <w:t xml:space="preserve"> </w:t>
            </w:r>
            <w:r>
              <w:rPr>
                <w:b/>
                <w:i/>
              </w:rPr>
              <w:t>je znepokojen skutečností, že hodnotící zpráva Komise z roku 2025 týkající se vnitrostátních plánů v oblasti energetiky a klimatu ukázala, že některé členské státy stále mají režimy podpory pro vozidla na fosilní paliva, a vyzývá tyto členské státy, aby je postupně zrušily;</w:t>
            </w:r>
            <w:r>
              <w:t xml:space="preserve"> </w:t>
            </w:r>
            <w:r>
              <w:rPr>
                <w:b/>
                <w:i/>
              </w:rPr>
              <w:t>se znepokojením konstatuje, že se předpokládá, že emise EU z mezinárodní letecké a námořní dopravy budou i nadále narůstat;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se znepokojením</w:t>
            </w:r>
            <w:r>
              <w:t xml:space="preserve"> konstatuje, že odvětví dopravy je jediným odvětvím, v němž emise od roku 1990 na úrovni EU vzrostly</w:t>
            </w:r>
            <w:r>
              <w:rPr>
                <w:b/>
                <w:i/>
              </w:rPr>
              <w:t>, a že k dosažení cílů EU v oblasti klimatu bude zapotřebí prudšího</w:t>
            </w:r>
            <w:r>
              <w:t xml:space="preserve"> snížení;</w:t>
            </w:r>
          </w:p>
        </w:tc>
        <w:tc>
          <w:tcPr>
            <w:tcW w:w="4876" w:type="dxa"/>
            <w:tcBorders>
              <w:top w:val="nil"/>
              <w:left w:val="nil"/>
              <w:bottom w:val="nil"/>
              <w:right w:val="nil"/>
            </w:tcBorders>
          </w:tcPr>
          <w:p>
            <w:pPr>
              <w:pStyle w:val="Normal6a"/>
            </w:pPr>
            <w:r>
              <w:t>38.</w:t>
            </w:r>
            <w:r>
              <w:tab/>
            </w:r>
            <w:r>
              <w:t>konstatuje, že odvětví dopravy je jediným odvětvím, v němž emise od roku 1990 na úrovni EU vzrostly</w:t>
            </w:r>
            <w:r>
              <w:rPr>
                <w:b/>
                <w:i/>
              </w:rPr>
              <w:t>;</w:t>
            </w:r>
            <w:r>
              <w:t xml:space="preserve"> </w:t>
            </w:r>
            <w:r>
              <w:rPr>
                <w:b/>
                <w:i/>
              </w:rPr>
              <w:t>žádá, aby veškerá opatření ke</w:t>
            </w:r>
            <w:r>
              <w:t xml:space="preserve"> snížení </w:t>
            </w:r>
            <w:r>
              <w:rPr>
                <w:b/>
                <w:i/>
              </w:rPr>
              <w:t>emisí v tomto odvětví byla zajištěna prostřednictvím technologicky neutrálního přístupu a zároveň zohledňovala veškeré potenciální negativní dopady na průmysl a zaměstnance, jakož i na inflační rizika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se znepokojením konstatuje, že odvětví dopravy je jediným odvětvím, v němž emise od roku 1990 na úrovni EU vzrostly, a že k dosažení cílů EU v oblasti klimatu bude zapotřebí prudšího snížení;</w:t>
            </w:r>
          </w:p>
        </w:tc>
        <w:tc>
          <w:tcPr>
            <w:tcW w:w="4876" w:type="dxa"/>
            <w:tcBorders>
              <w:top w:val="nil"/>
              <w:left w:val="nil"/>
              <w:bottom w:val="nil"/>
              <w:right w:val="nil"/>
            </w:tcBorders>
          </w:tcPr>
          <w:p>
            <w:pPr>
              <w:pStyle w:val="Normal6a"/>
            </w:pPr>
            <w:r>
              <w:t>38.</w:t>
            </w:r>
            <w:r>
              <w:tab/>
            </w:r>
            <w:r>
              <w:t xml:space="preserve">se znepokojením konstatuje, že odvětví dopravy je jediným odvětvím, v němž emise od roku 1990 na úrovni EU vzrostly, a že k dosažení cílů EU v oblasti klimatu bude zapotřebí prudšího snížení; </w:t>
            </w:r>
            <w:r>
              <w:rPr>
                <w:b/>
                <w:i/>
              </w:rPr>
              <w:t>zdůrazňuje potřebu účinných opatření, pokud jde o cílení na emise v odvětví dopravy a stanovování jejich cen;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se znepokojením konstatuje, že odvětví</w:t>
            </w:r>
            <w:r>
              <w:t xml:space="preserve"> dopravy </w:t>
            </w:r>
            <w:r>
              <w:rPr>
                <w:b/>
                <w:i/>
              </w:rPr>
              <w:t>je jediným odvětvím, v němž emise od roku 1990 na úrovni EU vzrostly, a že k dosažení cílů EU v oblasti klimatu bude zapotřebí prudšího snížení</w:t>
            </w:r>
            <w:r>
              <w:t>;</w:t>
            </w:r>
          </w:p>
        </w:tc>
        <w:tc>
          <w:tcPr>
            <w:tcW w:w="4876" w:type="dxa"/>
            <w:tcBorders>
              <w:top w:val="nil"/>
              <w:left w:val="nil"/>
              <w:bottom w:val="nil"/>
              <w:right w:val="nil"/>
            </w:tcBorders>
          </w:tcPr>
          <w:p>
            <w:pPr>
              <w:pStyle w:val="Normal6a"/>
            </w:pPr>
            <w:r>
              <w:t>38.</w:t>
            </w:r>
            <w:r>
              <w:tab/>
            </w:r>
            <w:r>
              <w:rPr>
                <w:b/>
                <w:i/>
              </w:rPr>
              <w:t>zdůrazňuje, že je třeba urychlit dekarbonizaci</w:t>
            </w:r>
            <w:r>
              <w:t xml:space="preserve"> dopravy </w:t>
            </w:r>
            <w:r>
              <w:rPr>
                <w:b/>
                <w:i/>
              </w:rPr>
              <w:t>prostřednictvím nákladově efektivních a technologicky neutrálních řešení a zároveň zachovat cenově dostupnou mobilitu a konkurenceschopnost průmyslu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zdůrazňuje, že je naléhavě nutné, aby bylo odvětví letectví uvedeno v soulad s globálními cíli v oblasti klimatu, zejména s cílem 1,5 °C stanoveným v Pařížské dohodě;</w:t>
            </w:r>
            <w:r>
              <w:t xml:space="preserve"> </w:t>
            </w:r>
            <w:r>
              <w:rPr>
                <w:b/>
                <w:i/>
              </w:rPr>
              <w:t>je znepokojen pomalým pokrokem Mezinárodní organizace pro civilní letectví (ICAO) při řešení emisí z mezinárodní letecké dopravy;</w:t>
            </w:r>
            <w:r>
              <w:t xml:space="preserve"> </w:t>
            </w:r>
            <w:r>
              <w:rPr>
                <w:b/>
                <w:i/>
              </w:rPr>
              <w:t>zdůrazňuje, že ambicióznost programu kompenzace a snižování emisí oxidu uhličitého v mezinárodním civilním letectví (CORSIA) není v souladu s trajektorií 1,5 °C;</w:t>
            </w:r>
            <w:r>
              <w:t xml:space="preserve"> </w:t>
            </w:r>
            <w:r>
              <w:rPr>
                <w:b/>
                <w:i/>
              </w:rPr>
              <w:t>připomíná, že pokud ICAO nedosáhne snížení emisí v souladu s Pařížskou dohodou, má Komise povinnost rozšířit oblast působnosti systému ETS EU na lety mířící na letiště mimo Evropský hospodářský prostor v souladu s ustanoveními směrnice o systému 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vítá dohodu dosaženou na 83. zasedání Výboru pro ochranu mořského prostředí IMO (MEPC 83) v dubnu 2025, která poprvé zavedla globální mechanismus stanovování cen uhlíku pro mezinárodní lodní dopravu prostřednictvím rámce IMO pro nulové čisté emise, jenž kombinuje normu pro emise skleníkových plynů z paliv s mechanismem stanovování cen a odměňování;</w:t>
            </w:r>
            <w:r>
              <w:t xml:space="preserve"> </w:t>
            </w:r>
            <w:r>
              <w:rPr>
                <w:b/>
                <w:i/>
              </w:rPr>
              <w:t>vyjadřuje však hluboké politování nad tím, že na mimořádném zasedání MEPC v říjnu 2025 nebyl rámec formálně přijat;</w:t>
            </w:r>
            <w:r>
              <w:t xml:space="preserve"> </w:t>
            </w:r>
            <w:r>
              <w:rPr>
                <w:b/>
                <w:i/>
              </w:rPr>
              <w:t>vyzývá členské státy EU, aby usilovaly o bezodkladné přijetí tohoto rámce;</w:t>
            </w:r>
            <w:r>
              <w:t xml:space="preserve"> </w:t>
            </w:r>
            <w:r>
              <w:rPr>
                <w:b/>
                <w:i/>
              </w:rPr>
              <w:t>v této souvislosti zdůrazňuje úlohu systému EU pro obchodování s emisemi (ETS), který se od roku 2025 postupně vztahuje i na námořní dopravu;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se znepokojením bere na vědomí pokračující vysoké a narůstající emise spojené se soukromou leteckou dopravou, zejména se soukromými tryskovými letadly, která patří k uhlíkově nejnáročnějším druhům dopravy na osobokilometr;</w:t>
            </w:r>
            <w:r>
              <w:t xml:space="preserve"> </w:t>
            </w:r>
            <w:r>
              <w:rPr>
                <w:b/>
                <w:i/>
              </w:rPr>
              <w:t>poukazuje na to, jak nespravedlivé je pro občany, že soukromá trysková letadla jsou z velké části vyňata dokonce i ze systému obchodování s emisemi;</w:t>
            </w:r>
            <w:r>
              <w:t xml:space="preserve"> </w:t>
            </w:r>
            <w:r>
              <w:rPr>
                <w:b/>
                <w:i/>
              </w:rPr>
              <w:t>vyzývá k tomu, aby byla soukromá trysková letadla zakázána ve všech jurisdikcích a jejich použití bylo povoleno pouze ve výjimečných, státem schválených případech;</w:t>
            </w:r>
            <w:r>
              <w:t xml:space="preserve"> </w:t>
            </w:r>
            <w:r>
              <w:rPr>
                <w:b/>
                <w:i/>
              </w:rPr>
              <w:t>důrazně varuje vedoucí představitele EU před používáním soukromých tryskových letadel k cestám na konferenci smluvních stran;</w:t>
            </w:r>
            <w:r>
              <w:t xml:space="preserve"> </w:t>
            </w:r>
            <w:r>
              <w:rPr>
                <w:b/>
                <w:i/>
              </w:rPr>
              <w:t>konstatuje, že podle indexu uhlíkového nebe provedla soukromá trysková letadla v dubnu v Evropě 23 462 odletů, což je o 10 % více než v březnu;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38b.</w:t>
            </w:r>
            <w:r>
              <w:tab/>
            </w:r>
            <w:r>
              <w:rPr>
                <w:b/>
                <w:i/>
              </w:rPr>
              <w:t>znovu opakuje svou výzvu Komisi, aby zajistila sociální spravedlnost opatření v oblasti dekarbonizace dopravy, a to mimo jiné tím, že do politik EU v oblasti klimatu začlení emise z velkých jachet, soukromých tryskových letadel a obchodních letadel;</w:t>
            </w:r>
            <w:r>
              <w:t xml:space="preserve"> </w:t>
            </w:r>
            <w:r>
              <w:rPr>
                <w:b/>
                <w:i/>
              </w:rPr>
              <w:t>opětovně také vyzývá všechny smluvní strany, včetně členských států EU, aby přijaly opatření odrazující od používání soukromých tryskových letadel;</w:t>
            </w:r>
            <w:r>
              <w:t xml:space="preserve"> </w:t>
            </w:r>
            <w:r>
              <w:rPr>
                <w:b/>
                <w:i/>
              </w:rPr>
              <w:t>poukazuje na nepřiměřeně vysoké klimatické dopady soukromých tryskových letadel, která produkují až 14krát větší znečištění na jednoho cestujícího než komerční lety;</w:t>
            </w:r>
            <w:r>
              <w:t xml:space="preserve"> </w:t>
            </w:r>
            <w:r>
              <w:rPr>
                <w:b/>
                <w:i/>
              </w:rPr>
              <w:t>zdůrazňuje, že je důležité jít příkladem, a naléhavě vyzývá všechny účastníky konference COP31, včetně zástupců orgánů EU, aby namísto soukromých tryskových letadel cestovali způsobem, který nejméně znečistí životní prostředí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Usnesení Evropského parlamentu ze dne 14. listopadu 2024 o Konferenci OSN o změně klimatu 2024 v Baku, Ázerbájdžán (COP29), (Úř. věst. C, C/2025/808, 11.2.2025, ELI: http://data.europa.eu/eli/C/2025/808/oj).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38b.</w:t>
            </w:r>
            <w:r>
              <w:tab/>
            </w:r>
            <w:r>
              <w:rPr>
                <w:b/>
                <w:i/>
              </w:rPr>
              <w:t>připomíná, že klimatické dopady leteckých činností, které nesouvisejí s CO</w:t>
            </w:r>
            <w:r>
              <w:rPr>
                <w:b/>
                <w:i/>
                <w:vertAlign w:val="subscript"/>
              </w:rPr>
              <w:t>2</w:t>
            </w:r>
            <w:r>
              <w:rPr>
                <w:b/>
                <w:i/>
              </w:rPr>
              <w:t>, jsou podle odhadů dvakrát vyšší než dopad v podobě samotných emisí CO</w:t>
            </w:r>
            <w:r>
              <w:rPr>
                <w:b/>
                <w:i/>
                <w:vertAlign w:val="subscript"/>
              </w:rPr>
              <w:t>2</w:t>
            </w:r>
            <w:r>
              <w:rPr>
                <w:b/>
                <w:i/>
              </w:rPr>
              <w:t>;</w:t>
            </w:r>
            <w:r>
              <w:t xml:space="preserve"> </w:t>
            </w:r>
            <w:r>
              <w:rPr>
                <w:b/>
                <w:i/>
              </w:rPr>
              <w:t>vyzývá Komisi, aby do nadcházející revize směrnice o systému ETS zahrnula dopady leteckých činností nesouvisejících s CO</w:t>
            </w:r>
            <w:r>
              <w:rPr>
                <w:b/>
                <w:i/>
                <w:vertAlign w:val="subscript"/>
              </w:rPr>
              <w:t>2</w:t>
            </w:r>
            <w:r>
              <w:t xml:space="preserve"> </w:t>
            </w:r>
            <w:r>
              <w:rPr>
                <w:b/>
                <w:i/>
              </w:rPr>
              <w:t>na klima;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38c.</w:t>
            </w:r>
            <w:r>
              <w:tab/>
            </w:r>
            <w:r>
              <w:rPr>
                <w:b/>
                <w:i/>
              </w:rPr>
              <w:t>vyjadřuje hluboké politování nad hrozbami a tlakem, který vyvíjela vláda Spojených států na delegáty z jiných zemí, včetně zástupců Evropské unie, na 83. zasedání Výboru pro ochranu mořského prostředí, a nad odkladem přijetí rámce IMO pro nulové čisté emise;</w:t>
            </w:r>
            <w:r>
              <w:t xml:space="preserve"> </w:t>
            </w:r>
            <w:r>
              <w:rPr>
                <w:b/>
                <w:i/>
              </w:rPr>
              <w:t>žádá, aby byl tento rámec urychleně a beze změn přijat na 85. zasedání Výboru pro ochranu mořského prostředí, přičemž zdůrazňuje, že daný rámec zůstává nedostatečný, pokud jde o sladění mezinárodních námořních činností s trajektorií 1,5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38d.</w:t>
            </w:r>
            <w:r>
              <w:tab/>
            </w:r>
            <w:r>
              <w:rPr>
                <w:b/>
                <w:i/>
              </w:rPr>
              <w:t>vyzývá k rozšíření systému EU ETS na lodě o hrubé prostornosti od 400 do 5 000 tun s cílem poskytnout pobídku pro zavádění již komerčně dostupných technologií, které jsou vhodné pro tyto typy plavidel, jako je pohon na baterii nebo vodíkový pohon, a podpořit tak evropské subjekty působící v oblasti čistých technologií, jež tyto technologie vyrábějí;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38e.</w:t>
            </w:r>
            <w:r>
              <w:tab/>
            </w:r>
            <w:r>
              <w:rPr>
                <w:b/>
                <w:i/>
              </w:rPr>
              <w:t>znovu opakuje svou výzvu Komisi, aby zajistila sociální spravedlnost opatření v oblasti dekarbonizace dopravy, a to mimo jiné tím, že do politik EU v oblasti klimatu začlení emise z velkých jachet, soukromých tryskových letadel a obchodních letadel;</w:t>
            </w:r>
            <w:r>
              <w:t xml:space="preserve"> </w:t>
            </w:r>
            <w:r>
              <w:rPr>
                <w:b/>
                <w:i/>
              </w:rPr>
              <w:t>opětovně také vyzývá všechny smluvní strany, včetně členských států EU, aby přijaly opatření odrazující od používání soukromých tryskových letadel;</w:t>
            </w:r>
            <w:r>
              <w:t xml:space="preserve"> </w:t>
            </w:r>
            <w:r>
              <w:rPr>
                <w:b/>
                <w:i/>
              </w:rPr>
              <w:t>poukazuje na nepřiměřeně vysoké klimatické dopady soukromých tryskových letadel, která produkují až 14krát větší znečištění na jednoho cestujícího než komerční lety;</w:t>
            </w:r>
            <w:r>
              <w:t xml:space="preserve"> </w:t>
            </w:r>
            <w:r>
              <w:rPr>
                <w:b/>
                <w:i/>
              </w:rPr>
              <w:t>zdůrazňuje, že je důležité jít příkladem, a naléhavě vyzývá všechny účastníky konference COP31, včetně zástupců orgánů EU, aby namísto soukromých tryskových letadel cestovali způsobem, který nejméně znečistí životní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38f.</w:t>
            </w:r>
            <w:r>
              <w:tab/>
            </w:r>
            <w:r>
              <w:rPr>
                <w:b/>
                <w:i/>
              </w:rPr>
              <w:t>vítá skutečnost, že podle Světové banky se nyní ceny uhlíku vztahují na 28 % celosvětových emisí</w:t>
            </w:r>
            <w:r>
              <w:rPr>
                <w:b/>
                <w:i/>
                <w:vertAlign w:val="superscript"/>
              </w:rPr>
              <w:t>1a</w:t>
            </w:r>
            <w:r>
              <w:rPr>
                <w:b/>
                <w:i/>
              </w:rPr>
              <w:t>;</w:t>
            </w:r>
            <w:r>
              <w:t xml:space="preserve"> </w:t>
            </w:r>
            <w:r>
              <w:rPr>
                <w:b/>
                <w:i/>
              </w:rPr>
              <w:t>vyjadřuje však politování nad tím, že pokrytí i průměrné ceny jsou stále příliš nízké na to, aby mohly být naplněny cíle Pařížské dohody;</w:t>
            </w:r>
            <w:r>
              <w:t xml:space="preserve"> </w:t>
            </w:r>
            <w:r>
              <w:rPr>
                <w:b/>
                <w:i/>
              </w:rPr>
              <w:t>zdůrazňuje, že stanovování cen uhlíku je zdrojem příjmů, které by měly být použity na opatření v oblasti klimatu a spravedlivou transformaci;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Světová banka, State and Trends of Carbon Pricing 2025 (Stav a trendy v oblasti stanovování cen uhlíku v roce 2025), Světová banka, Washington DC, květen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38g.</w:t>
            </w:r>
            <w:r>
              <w:tab/>
            </w:r>
            <w:r>
              <w:rPr>
                <w:b/>
                <w:i/>
              </w:rPr>
              <w:t>zdůrazňuje účinnost systému EU ETS jako klimatického opatření, které rovněž zajišťuje bezpečnost investic pro průkopníky ekologické transformace a posiluje globální konkurenceschopnost EU;</w:t>
            </w:r>
            <w:r>
              <w:t xml:space="preserve"> </w:t>
            </w:r>
            <w:r>
              <w:rPr>
                <w:b/>
                <w:i/>
              </w:rPr>
              <w:t>vyzývá Komisi, aby dále vybízela a podporovala další strany, aby zavedly nebo zlepšily mechanismy stanovování cen uhlíku, a aby prozkoumala propojení a další formy spolupráce se stávajícími mechanismy stanovování cen uhlíku mimo EU;</w:t>
            </w:r>
            <w:r>
              <w:t xml:space="preserve"> </w:t>
            </w:r>
            <w:r>
              <w:rPr>
                <w:b/>
                <w:i/>
              </w:rPr>
              <w:t>vyzývá Komisi, aby v této souvislosti zajistila, že veškerá propojení s EU ETS budou i nadále přinášet dodatečné a trvalé příspěvky ke zmírňování změny klimatu a nebudou oslabovat domácí závazky Unie týkající se emisí skleníkových plynů;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38h.</w:t>
            </w:r>
            <w:r>
              <w:tab/>
            </w:r>
            <w:r>
              <w:rPr>
                <w:b/>
                <w:i/>
              </w:rPr>
              <w:t>zdůrazňuje, že globální hodnocení ukazuje význam přechodu na udržitelný životní styl a udržitelné vzorce spotřeby a výroby, a to i v podobě intenzivnějšího oběhového hospodářství;</w:t>
            </w:r>
            <w:r>
              <w:t xml:space="preserve"> </w:t>
            </w:r>
            <w:r>
              <w:rPr>
                <w:b/>
                <w:i/>
              </w:rPr>
              <w:t>zdůrazňuje, že je třeba zintenzivnit úsilí o rozvoj a zlepšení oběhového hospodářství EU;</w:t>
            </w:r>
            <w:r>
              <w:t xml:space="preserve"> </w:t>
            </w:r>
            <w:r>
              <w:rPr>
                <w:b/>
                <w:i/>
              </w:rPr>
              <w:t>vyzývá Komisi, aby v souladu se závazkem 8. akčního programu pro životní prostředí co nejdříve na základě posouzení dopadů navrhla cíl pro materiálovou a spotřební stopu EU do roku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38i.</w:t>
            </w:r>
            <w:r>
              <w:tab/>
            </w:r>
            <w:r>
              <w:rPr>
                <w:b/>
                <w:i/>
              </w:rPr>
              <w:t>zdůrazňuje, že je třeba řešit klimatické a environmentální dopady textilního odvětví, které je odpovědné za přibližně 8–10 % celosvětových emisí skleníkových plynů a za značnou spotřebu zdrojů, zejména vody a energií;</w:t>
            </w:r>
            <w:r>
              <w:t xml:space="preserve"> </w:t>
            </w:r>
            <w:r>
              <w:rPr>
                <w:b/>
                <w:i/>
              </w:rPr>
              <w:t>opakuje, že textilní průmysl musí hrát v rámci přechodu na oběhové hospodářství důležitou roli a že musí řešit výzvy související s předcházením vzniku odpadů, nakládáním s odpady, vylučováním mikroplastů, spotřebou vody, nadprodukcí, produkcí pro potřeby ultrarychlé a rychlé módy, celkovou trvanlivostí a netoxičností výrobního procesu a recyklovatelností v textilním odvětví;</w:t>
            </w:r>
            <w:r>
              <w:t xml:space="preserve"> </w:t>
            </w:r>
            <w:r>
              <w:rPr>
                <w:b/>
                <w:i/>
              </w:rPr>
              <w:t>v této souvislosti podtrhuje důležitost nedávné novely rámcové směrnice EU o odpadech;</w:t>
            </w:r>
            <w:r>
              <w:t xml:space="preserve"> </w:t>
            </w:r>
            <w:r>
              <w:rPr>
                <w:b/>
                <w:i/>
              </w:rPr>
              <w:t>zdůrazňuje, že v celém textilním hodnotovém řetězci je třeba urychleně zlepšit standardy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38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38j.</w:t>
            </w:r>
            <w:r>
              <w:tab/>
            </w:r>
            <w:r>
              <w:rPr>
                <w:b/>
                <w:i/>
              </w:rPr>
              <w:t>zdůrazňuje dopad klimatické krize na odvětví cestovního ruchu, které je jak přispívajícím, tak zranitelným odvětvím, a potřebu, aby se destinace přizpůsobily klimatickým rizikům a rozvíjely cestovní ruch odolný vůči klimatu;</w:t>
            </w:r>
            <w:r>
              <w:t xml:space="preserve"> </w:t>
            </w:r>
            <w:r>
              <w:rPr>
                <w:b/>
                <w:i/>
              </w:rPr>
              <w:t>vyzývá k podpoře přechodu k udržitelnějšímu cestovnímu ruchu, ve kterém by se uplatňovaly ekologicky odpovědné a nízkouhlíkové postupy;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zdůrazňuje, že přechod na nízkouhlíkové hospodářství může stimulovat inovace, podpořit vznik nových průmyslových ekosystémů, vytvořit pracovní místa s vysokou hodnotou a podpořit dlouhodobý udržitelný růst v celé EU;</w:t>
            </w:r>
          </w:p>
        </w:tc>
        <w:tc>
          <w:tcPr>
            <w:tcW w:w="4876" w:type="dxa"/>
            <w:tcBorders>
              <w:top w:val="nil"/>
              <w:left w:val="nil"/>
              <w:bottom w:val="nil"/>
              <w:right w:val="nil"/>
            </w:tcBorders>
          </w:tcPr>
          <w:p>
            <w:pPr>
              <w:pStyle w:val="Normal6a"/>
            </w:pPr>
            <w:r>
              <w:t>39.</w:t>
            </w:r>
            <w:r>
              <w:tab/>
            </w:r>
            <w:r>
              <w:t>zdůrazňuje, že přechod na nízkouhlíkové hospodářství může stimulovat inovace, podpořit vznik nových průmyslových ekosystémů, vytvořit pracovní místa s vysokou hodnotou a podpořit dlouhodobý udržitelný růst v celé EU</w:t>
            </w:r>
            <w:r>
              <w:rPr>
                <w:b/>
                <w:i/>
              </w:rPr>
              <w:t>.</w:t>
            </w:r>
            <w:r>
              <w:t xml:space="preserve"> </w:t>
            </w:r>
            <w:r>
              <w:rPr>
                <w:b/>
                <w:i/>
              </w:rPr>
              <w:t>Zdůrazňuje rovněž, že ambice v oblasti klimatu by měly být doprovázeny opatřeními na podporu konkurenceschopnosti průmyslu, investiční jistoty a předcházení úniku uhlíku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zdůrazňuje, že přechod na nízkouhlíkové hospodářství může stimulovat inovace, podpořit vznik nových průmyslových ekosystémů, vytvořit pracovní místa s vysokou hodnotou a podpořit dlouhodobý udržitelný růst v celé EU;</w:t>
            </w:r>
          </w:p>
        </w:tc>
        <w:tc>
          <w:tcPr>
            <w:tcW w:w="4876" w:type="dxa"/>
            <w:tcBorders>
              <w:top w:val="nil"/>
              <w:left w:val="nil"/>
              <w:bottom w:val="nil"/>
              <w:right w:val="nil"/>
            </w:tcBorders>
          </w:tcPr>
          <w:p>
            <w:pPr>
              <w:pStyle w:val="Normal6a"/>
            </w:pPr>
            <w:r>
              <w:t>39.</w:t>
            </w:r>
            <w:r>
              <w:tab/>
            </w:r>
            <w:r>
              <w:t xml:space="preserve">zdůrazňuje, že přechod na nízkouhlíkové </w:t>
            </w:r>
            <w:r>
              <w:rPr>
                <w:b/>
                <w:i/>
              </w:rPr>
              <w:t>oběhové</w:t>
            </w:r>
            <w:r>
              <w:t xml:space="preserve"> hospodářství může stimulovat inovace, podpořit vznik nových průmyslových ekosystémů</w:t>
            </w:r>
            <w:r>
              <w:rPr>
                <w:b/>
                <w:i/>
              </w:rPr>
              <w:t>, zmírnit závislosti</w:t>
            </w:r>
            <w:r>
              <w:t>, vytvořit pracovní místa s vysokou hodnotou a podpořit dlouhodobý udržitelný růst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zdůrazňuje, že přechod na nízkouhlíkové hospodářství může stimulovat inovace</w:t>
            </w:r>
            <w:r>
              <w:rPr>
                <w:b/>
                <w:i/>
              </w:rPr>
              <w:t>,</w:t>
            </w:r>
            <w:r>
              <w:t xml:space="preserve"> podpořit vznik nových průmyslových ekosystémů</w:t>
            </w:r>
            <w:r>
              <w:rPr>
                <w:b/>
                <w:i/>
              </w:rPr>
              <w:t>, vytvořit pracovní místa</w:t>
            </w:r>
            <w:r>
              <w:t xml:space="preserve"> s vysokou hodnotou </w:t>
            </w:r>
            <w:r>
              <w:rPr>
                <w:b/>
                <w:i/>
              </w:rPr>
              <w:t>a podpořit dlouhodobý udržitelný růst v celé</w:t>
            </w:r>
            <w:r>
              <w:t xml:space="preserve"> EU;</w:t>
            </w:r>
          </w:p>
        </w:tc>
        <w:tc>
          <w:tcPr>
            <w:tcW w:w="4876" w:type="dxa"/>
            <w:tcBorders>
              <w:top w:val="nil"/>
              <w:left w:val="nil"/>
              <w:bottom w:val="nil"/>
              <w:right w:val="nil"/>
            </w:tcBorders>
          </w:tcPr>
          <w:p>
            <w:pPr>
              <w:pStyle w:val="Normal6a"/>
            </w:pPr>
            <w:r>
              <w:t>39.</w:t>
            </w:r>
            <w:r>
              <w:tab/>
            </w:r>
            <w:r>
              <w:t xml:space="preserve">zdůrazňuje, že </w:t>
            </w:r>
            <w:r>
              <w:rPr>
                <w:b/>
                <w:i/>
              </w:rPr>
              <w:t>pragmatický a spravedlivý</w:t>
            </w:r>
            <w:r>
              <w:t xml:space="preserve"> přechod na nízkouhlíkové hospodářství může stimulovat inovace </w:t>
            </w:r>
            <w:r>
              <w:rPr>
                <w:b/>
                <w:i/>
              </w:rPr>
              <w:t>a</w:t>
            </w:r>
            <w:r>
              <w:t xml:space="preserve"> podpořit vznik nových průmyslových ekosystémů </w:t>
            </w:r>
            <w:r>
              <w:rPr>
                <w:b/>
                <w:i/>
              </w:rPr>
              <w:t>a mohl by přispět k vytvoření pracovních míst</w:t>
            </w:r>
            <w:r>
              <w:t xml:space="preserve"> s vysokou hodnotou </w:t>
            </w:r>
            <w:r>
              <w:rPr>
                <w:b/>
                <w:i/>
              </w:rPr>
              <w:t>v</w:t>
            </w:r>
            <w:r>
              <w:t xml:space="preserv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Oceány a moře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uznává, že oceány jsou největším přírodním spojencem planety v boji proti změně klimatu, neboť již pohltily přibližně 30 % emisí uhlíku od průmyslové revoluce a přibližně 90 % přebytečného tepla vyprodukovaného emisemi skleníkových plynů;</w:t>
            </w:r>
            <w:r>
              <w:t xml:space="preserve"> </w:t>
            </w:r>
            <w:r>
              <w:rPr>
                <w:b/>
                <w:i/>
              </w:rPr>
              <w:t>zdůrazňuje však, že tato kapacita má své limity a že oteplování vod, acidifikace, úbytek kyslíku, znečištění plasty a ničení přírodních stanovišť probíhají souběžně, což vyžaduje komplexní přístup, který půjde daleko nad rámec tradičního úsilí o zachování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vítá rostoucí uznání souvislosti mezi oceány a klimatem v mezinárodních jednáních o klimatu, včetně pokroku dosaženého prostřednictvím dialogu UNFCCC o oceánech a změně klimatu, a začlenění oceánů a pobřeží jako tematického pilíře do akčního programu COP30 a prvního ministerského zasedání na vysoké úrovni o oceánech, které se konalo v Belému;</w:t>
            </w:r>
            <w:r>
              <w:t xml:space="preserve"> </w:t>
            </w:r>
            <w:r>
              <w:rPr>
                <w:b/>
                <w:i/>
              </w:rPr>
              <w:t>žádá, aby tato dynamika pokračovala a byla prohloubena na konferenci COP31 v Antalyi;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zdůrazňuje, že ambiciózní provádění cílů udržitelného rozvoje je klíčové pro dosažení spravedlivé celosvětové dekarbonizace;</w:t>
            </w:r>
            <w:r>
              <w:t xml:space="preserve"> </w:t>
            </w:r>
            <w:r>
              <w:rPr>
                <w:b/>
                <w:i/>
              </w:rPr>
              <w:t>opakuje svou výzvu k vypracování komplexní strategie EU pro zbývající roky provádění cílů udržitelného rozvoje s cílem usilovat o plné dosažení cílů udržitelného rozvoje prostřednictvím konkrétních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zdůrazňuje, že je důležité bojovat proti chemickému znečištění;</w:t>
            </w:r>
            <w:r>
              <w:t xml:space="preserve"> </w:t>
            </w:r>
            <w:r>
              <w:rPr>
                <w:b/>
                <w:i/>
              </w:rPr>
              <w:t>v této souvislosti vyzývá EU a její členské státy, aby stály v čele celosvětového úsilí o boj proti chemickému znečištění, včetně znečištění PFAS;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39b.</w:t>
            </w:r>
            <w:r>
              <w:tab/>
            </w:r>
            <w:r>
              <w:rPr>
                <w:b/>
                <w:i/>
              </w:rPr>
              <w:t>vyjadřuje znepokojení nad rychle rostoucí poptávkou po energiích a souvisejícími emisemi skleníkových plynů z datových center a digitální infrastruktury, které jsou způsobeny urychlenou digitalizací, zaváděním umělé inteligence a rostoucími potřebami v oblasti ukládání a zpracování údajů;</w:t>
            </w:r>
            <w:r>
              <w:t xml:space="preserve"> </w:t>
            </w:r>
            <w:r>
              <w:rPr>
                <w:b/>
                <w:i/>
              </w:rPr>
              <w:t>zdůrazňuje, že bez důrazných regulačních opatření hrozí, že zvýšení účinnosti a zavádění energií z obnovitelných zdrojů bude zastíněno absolutním nárůstem spotřeby elektřiny, jak se předpokládá v řadě členských států;</w:t>
            </w:r>
            <w:r>
              <w:t xml:space="preserve"> </w:t>
            </w:r>
            <w:r>
              <w:rPr>
                <w:b/>
                <w:i/>
              </w:rPr>
              <w:t>žádá, aby bylo zavádění datových center podmíněno dostupností dodatečné kapacity elektřiny z obnovitelných zdrojů, přísnými omezeními záložní výroby energie z fosilních zdrojů, upřednostněním přístupu k rozvodné síti pro nové bydlení a sociální služby, transparentností informací, pokud jde o dopad jednotlivých datových center na životní prostředí, a uplatňováním zásady „znečišťovatel platí“ s cílem zajistit internalizaci veškerých environmentálních nákladů digitální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39b.</w:t>
            </w:r>
            <w:r>
              <w:tab/>
            </w:r>
            <w:r>
              <w:rPr>
                <w:b/>
                <w:i/>
              </w:rPr>
              <w:t>zdůrazňuje, že rozšíření transformačních řešení v oblasti klimatu a oceánů, včetně dekarbonizace celosvětové lodní a námořní dopravy, energie z obnovitelných zdrojů na moři, udržitelných „modrých potravin“ a ochrany a obnovy ekosystémů modrého uhlíku, by mohlo zajistit až 35% snížení emisí potřebné ke splnění cílů Pařížské dohody a udržení oteplování pod 1,5 °C;</w:t>
            </w:r>
            <w:r>
              <w:t xml:space="preserve"> </w:t>
            </w:r>
            <w:r>
              <w:rPr>
                <w:b/>
                <w:i/>
              </w:rPr>
              <w:t>vyjadřuje politování nad tím, že řešení v oblasti klimatu založená na oceánech jsou v celosvětové politice a financování v oblasti klimatu stále velmi nedostatečně zastoupena, a vyzývá k urychlenému řešení této nerovnováhy;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39c.</w:t>
            </w:r>
            <w:r>
              <w:tab/>
            </w:r>
            <w:r>
              <w:rPr>
                <w:b/>
                <w:i/>
              </w:rPr>
              <w:t>podporuje výzvu týkající se modrého vnitrostátně stanoveného příspěvku a její cíl povzbudit země, aby začlenily řešení v oblasti klimatu založená na oceánech do svých aktualizovaných vnitrostátně stanovených příspěvků, a vítá zřízení pracovní skupiny pro provádění modrého vnitrostátně stanoveného příspěvku jako konkrétní krok k převedení politických ambicí do podoby vnitrostátních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39d.</w:t>
            </w:r>
            <w:r>
              <w:tab/>
            </w:r>
            <w:r>
              <w:rPr>
                <w:b/>
                <w:i/>
              </w:rPr>
              <w:t>vyzývá předsednictví COP31, aby zajistilo, aby byly oceány pevně zařazeny do všech příslušných bodů pořadu jednání v Antalyi, a aby jmenovalo „Ocean Champions“ s cílem dosáhnout konsensu a posílit odvětví oceánů v celém akčním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39e.</w:t>
            </w:r>
            <w:r>
              <w:tab/>
            </w:r>
            <w:r>
              <w:rPr>
                <w:b/>
                <w:i/>
              </w:rPr>
              <w:t>zdůrazňuje, že je důležité dosáhnout celosvětového cíle ochrany 30 x 30, který usiluje o to, aby bylo do roku 2030 účinně chráněno alespoň 30 % pevninských a mořských oblastí na světě, a vyzývá k zavedení odpovídajících a předvídatelných mechanismů financování na podporu jeho provádění, zejména v zemích nejvíce závislých na oceánech a ohrožených změnou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38f.</w:t>
            </w:r>
            <w:r>
              <w:tab/>
            </w:r>
            <w:r>
              <w:rPr>
                <w:b/>
                <w:i/>
              </w:rPr>
              <w:t>vyzývá k přijetí rozhodných opatření s cílem řešit znečištění plasty coby propojenou hrozbu pro zdraví oceánů a odolnost vůči změně klimatu a opakuje, že podporuje uzavření silné a právně závazné celosvětové dohody o znečištění plasty;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39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zdůrazňuje význam genderových hledisek a inkluzivních přístupů v procesu UNFCCC, včetně pracovního programu pro spravedlivou transformaci;</w:t>
            </w:r>
            <w:r>
              <w:t xml:space="preserve"> </w:t>
            </w:r>
            <w:r>
              <w:rPr>
                <w:b/>
                <w:i/>
              </w:rPr>
              <w:t>vyzývá všechny smluvní strany, včetně EU a jejích členských států, aby zvýšily úsilí o začlenění rovnosti žen a mužů do svých revidovaných vnitrostátně stanovených příspěvků a národních adaptačních plánů a do svých politik v oblasti klimatu a životního prostředí, zejména těch, které se týkají zmírňování změny klimatu, přizpůsobování se této změně a ztrát a škod;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40.</w:t>
            </w:r>
            <w:r>
              <w:tab/>
            </w:r>
            <w:r>
              <w:rPr>
                <w:b/>
                <w:i/>
              </w:rPr>
              <w:t>uznává, že změna klimatu má na ženy a dívky neúměrně větší dopad, který prohlubuje stávající genderové nerovnosti a představuje zcela specifické hrozby pro způsoby jejich obživy, zdraví a bezpečnost;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uznává, že změna klimatu má </w:t>
            </w:r>
            <w:r>
              <w:rPr>
                <w:b/>
                <w:i/>
              </w:rPr>
              <w:t>na ženy a dívky</w:t>
            </w:r>
            <w:r>
              <w:t xml:space="preserve"> neúměrně větší dopad</w:t>
            </w:r>
            <w:r>
              <w:rPr>
                <w:b/>
                <w:i/>
              </w:rPr>
              <w:t>, který prohlubuje</w:t>
            </w:r>
            <w:r>
              <w:t xml:space="preserve"> stávající genderové nerovnosti a </w:t>
            </w:r>
            <w:r>
              <w:rPr>
                <w:b/>
                <w:i/>
              </w:rPr>
              <w:t>představuje</w:t>
            </w:r>
            <w:r>
              <w:t xml:space="preserve"> zcela specifické hrozby pro způsoby </w:t>
            </w:r>
            <w:r>
              <w:rPr>
                <w:b/>
                <w:i/>
              </w:rPr>
              <w:t>jejich</w:t>
            </w:r>
            <w:r>
              <w:t xml:space="preserve"> obživy, zdraví a bezpečnost;</w:t>
            </w:r>
          </w:p>
        </w:tc>
        <w:tc>
          <w:tcPr>
            <w:tcW w:w="4876" w:type="dxa"/>
            <w:tcBorders>
              <w:top w:val="nil"/>
              <w:left w:val="nil"/>
              <w:bottom w:val="nil"/>
              <w:right w:val="nil"/>
            </w:tcBorders>
          </w:tcPr>
          <w:p>
            <w:pPr>
              <w:pStyle w:val="Normal6a"/>
            </w:pPr>
            <w:r>
              <w:t>40.</w:t>
            </w:r>
            <w:r>
              <w:tab/>
            </w:r>
            <w:r>
              <w:t xml:space="preserve">uznává, že změna klimatu má neúměrně větší dopad </w:t>
            </w:r>
            <w:r>
              <w:rPr>
                <w:b/>
                <w:i/>
              </w:rPr>
              <w:t>na ženy a dívky v celé jejich rozmanitosti;</w:t>
            </w:r>
            <w:r>
              <w:t xml:space="preserve"> </w:t>
            </w:r>
            <w:r>
              <w:rPr>
                <w:b/>
                <w:i/>
              </w:rPr>
              <w:t>zdůrazňuje, že hlavní příčinou tohoto nepřiměřeného dopadu je nerovnost žen a mužů, neboť omezuje fyzickou a ekonomickou mobilitu žen, jakož i jejich účast na politickém životě;</w:t>
            </w:r>
            <w:r>
              <w:t xml:space="preserve"> </w:t>
            </w:r>
            <w:r>
              <w:rPr>
                <w:b/>
                <w:i/>
              </w:rPr>
              <w:t>zdůrazňuje, že dopady změny klimatu zároveň prohlubují</w:t>
            </w:r>
            <w:r>
              <w:t xml:space="preserve"> stávající genderové nerovnosti a </w:t>
            </w:r>
            <w:r>
              <w:rPr>
                <w:b/>
                <w:i/>
              </w:rPr>
              <w:t>představují</w:t>
            </w:r>
            <w:r>
              <w:t xml:space="preserve"> zcela specifické hrozby pro způsoby obživy, zdraví a bezpečnost </w:t>
            </w:r>
            <w:r>
              <w:rPr>
                <w:b/>
                <w:i/>
              </w:rPr>
              <w:t>žen</w:t>
            </w:r>
            <w:r>
              <w:t xml:space="preserve">; </w:t>
            </w:r>
            <w:r>
              <w:rPr>
                <w:b/>
                <w:i/>
              </w:rPr>
              <w:t>zdůrazňuje, že tyto hrozby se prohlubují u domorodých žen, černošek, žen s hnědou barvou pleti a žen z marginalizovaných komunit v důsledku prolínajících se dopadů rasismu, kolonialismu a nerovnosti;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uznává, že změna klimatu má na ženy a dívky neúměrně větší dopad, který prohlubuje stávající genderové nerovnosti a představuje zcela specifické hrozby pro způsoby jejich obživy, zdraví a bezpečnost;</w:t>
            </w:r>
          </w:p>
        </w:tc>
        <w:tc>
          <w:tcPr>
            <w:tcW w:w="4876" w:type="dxa"/>
            <w:tcBorders>
              <w:top w:val="nil"/>
              <w:left w:val="nil"/>
              <w:bottom w:val="nil"/>
              <w:right w:val="nil"/>
            </w:tcBorders>
          </w:tcPr>
          <w:p>
            <w:pPr>
              <w:pStyle w:val="Normal6a"/>
            </w:pPr>
            <w:r>
              <w:t>40.</w:t>
            </w:r>
            <w:r>
              <w:tab/>
            </w:r>
            <w:r>
              <w:t xml:space="preserve">uznává, že změna klimatu má na ženy a dívky neúměrně větší dopad, který prohlubuje stávající genderové nerovnosti a představuje zcela specifické hrozby pro způsoby jejich obživy, zdraví a bezpečnost; </w:t>
            </w:r>
            <w:r>
              <w:rPr>
                <w:b/>
                <w:i/>
              </w:rPr>
              <w:t>opětovně zdůrazňuje, že je třeba urychlit opatření ke snižování rizika katastrof, která by zohledňovala genderové aspekty, a tím i k uplatňování sendajského rámce, které tyto aspekty zohlední;</w:t>
            </w:r>
            <w:r>
              <w:t xml:space="preserve"> </w:t>
            </w:r>
            <w:r>
              <w:rPr>
                <w:b/>
                <w:i/>
              </w:rPr>
              <w:t>vyzývá k tomu, aby bylo vyvinuto další úsilí v souvislosti se stanovením priorit a zohledněním genderových aspektů v oblasti připravenosti na katastrofy, zejména tím, že se budou používat rozčleněné soubory údajů o snižování rizika katastrof;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uznává, že změna klimatu má na ženy a dívky neúměrně větší dopad, který prohlubuje stávající genderové nerovnosti a představuje zcela specifické hrozby pro způsoby jejich obživy, zdraví a bezpečnost;</w:t>
            </w:r>
          </w:p>
        </w:tc>
        <w:tc>
          <w:tcPr>
            <w:tcW w:w="4876" w:type="dxa"/>
            <w:tcBorders>
              <w:top w:val="nil"/>
              <w:left w:val="nil"/>
              <w:bottom w:val="nil"/>
              <w:right w:val="nil"/>
            </w:tcBorders>
          </w:tcPr>
          <w:p>
            <w:pPr>
              <w:pStyle w:val="Normal6a"/>
            </w:pPr>
            <w:r>
              <w:t>40.</w:t>
            </w:r>
            <w:r>
              <w:tab/>
            </w:r>
            <w:r>
              <w:t xml:space="preserve">uznává, že změna klimatu má na ženy a dívky neúměrně větší dopad, který prohlubuje stávající genderové nerovnosti a představuje zcela specifické hrozby pro způsoby jejich obživy, zdraví a bezpečnost; </w:t>
            </w:r>
            <w:r>
              <w:rPr>
                <w:b/>
                <w:i/>
              </w:rPr>
              <w:t>zdůrazňuje, že je důležité získávat poznatky o tomto diferencovaném dopadu a systematicky jej analyzovat;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uznává, že změna klimatu má </w:t>
            </w:r>
            <w:r>
              <w:rPr>
                <w:b/>
                <w:i/>
              </w:rPr>
              <w:t>na ženy a dívky</w:t>
            </w:r>
            <w:r>
              <w:t xml:space="preserve"> neúměrně větší dopad</w:t>
            </w:r>
            <w:r>
              <w:rPr>
                <w:b/>
                <w:i/>
              </w:rPr>
              <w:t>, který prohlubuje</w:t>
            </w:r>
            <w:r>
              <w:t xml:space="preserve"> stávající genderové nerovnosti a představuje zcela specifické hrozby pro způsoby jejich obživy, zdraví a bezpečnost;</w:t>
            </w:r>
          </w:p>
        </w:tc>
        <w:tc>
          <w:tcPr>
            <w:tcW w:w="4876" w:type="dxa"/>
            <w:tcBorders>
              <w:top w:val="nil"/>
              <w:left w:val="nil"/>
              <w:bottom w:val="nil"/>
              <w:right w:val="nil"/>
            </w:tcBorders>
          </w:tcPr>
          <w:p>
            <w:pPr>
              <w:pStyle w:val="Normal6a"/>
            </w:pPr>
            <w:r>
              <w:t>40.</w:t>
            </w:r>
            <w:r>
              <w:tab/>
            </w:r>
            <w:r>
              <w:t>uznává, že změna klimatu má neúměrně větší dopad</w:t>
            </w:r>
            <w:r>
              <w:rPr>
                <w:b/>
                <w:i/>
              </w:rPr>
              <w:t> na ženy a dívky, zejména na jejich zdraví a přístup ke vzdělání, což zhoršuje</w:t>
            </w:r>
            <w:r>
              <w:t xml:space="preserve"> stávající genderové nerovnosti a představuje zcela specifické hrozby pro způsoby jejich obživy, zdraví a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naléhavě vyzývá členské státy a Komisi, aby zvýšily úsilí o dosažení cílů stanovených v Akčním plánu EU pro rovnost žen a mužů III;</w:t>
            </w:r>
            <w:r>
              <w:t xml:space="preserve"> </w:t>
            </w:r>
            <w:r>
              <w:rPr>
                <w:b/>
                <w:i/>
              </w:rPr>
              <w:t>vyzývá k účelovému a předvídatelnému financování plánu GAP a k poskytování souvisejícího financování v oblasti klimatu s ohledem na rovnost žen a mužů;</w:t>
            </w:r>
            <w:r>
              <w:t xml:space="preserve"> </w:t>
            </w:r>
            <w:r>
              <w:rPr>
                <w:b/>
                <w:i/>
              </w:rPr>
              <w:t>konstatuje, že pouze malá část celosvětového financování v oblasti klimatu je výslovně zaměřena na rovnost žen a mužů coby hlavní cíl;</w:t>
            </w:r>
            <w:r>
              <w:t xml:space="preserve"> </w:t>
            </w:r>
            <w:r>
              <w:rPr>
                <w:b/>
                <w:i/>
              </w:rPr>
              <w:t>vyzývá k vyčlenění finančních prostředků na iniciativy vedené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opětovně zdůrazňuje, že adaptační kapacita a zranitelnost se liší podle pohlaví, věku, schopností, rasy a profese;</w:t>
            </w:r>
            <w:r>
              <w:t xml:space="preserve"> </w:t>
            </w:r>
            <w:r>
              <w:rPr>
                <w:b/>
                <w:i/>
              </w:rPr>
              <w:t>vyzývá proto všechny smluvní strany, aby v rámci svých vnitrostátních adaptačních plánů, sdělení o přizpůsobení se změně klimatu a vnitrostátně stanovených příspěvků posuzovaly potřeby zranitelných skupin obyvatelstva, reagovaly na ně a upřednostňovaly 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zdůrazňuje význam rovnosti žen a mužů jako průřezového tématu napříč intervencemi v oblasti klimatu a vyzdvihuje, jak důležitý je genderově citlivý přístup k politice v oblasti klimatu, který zohledňuje, jaký dopad mohou mít rozhodnutí na ženy a muže, chlapce a dívky;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zdůrazňuje význam posílení politického postavení žen pro přijetí ambiciózních politik v oblasti klimatu;</w:t>
            </w:r>
            <w:r>
              <w:t xml:space="preserve"> </w:t>
            </w:r>
            <w:r>
              <w:rPr>
                <w:b/>
                <w:i/>
              </w:rPr>
              <w:t>zdůrazňuje, že vyšší procento účasti žen v politice souvisí s nižšími emisemi skleníkových plynů</w:t>
            </w:r>
            <w:r>
              <w:rPr>
                <w:b/>
                <w:i/>
                <w:vertAlign w:val="superscript"/>
              </w:rPr>
              <w:t>1a</w:t>
            </w:r>
            <w:r>
              <w:rPr>
                <w:b/>
                <w:i/>
              </w:rPr>
              <w:t>, větším počtem politik na ochranu přírody</w:t>
            </w:r>
            <w:r>
              <w:rPr>
                <w:b/>
                <w:i/>
                <w:vertAlign w:val="superscript"/>
              </w:rPr>
              <w:t>1b</w:t>
            </w:r>
            <w:r>
              <w:t xml:space="preserve"> </w:t>
            </w:r>
            <w:r>
              <w:rPr>
                <w:b/>
                <w:i/>
              </w:rPr>
              <w:t>a větším odhodláním bojovat proti změně klimatu</w:t>
            </w:r>
            <w:r>
              <w:rPr>
                <w:b/>
                <w:i/>
                <w:vertAlign w:val="superscript"/>
              </w:rPr>
              <w:t>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Z.</w:t>
            </w:r>
            <w:r>
              <w:t xml:space="preserve"> </w:t>
            </w:r>
            <w:r>
              <w:rPr>
                <w:b/>
                <w:i/>
              </w:rPr>
              <w:t>Lv., C.</w:t>
            </w:r>
            <w:r>
              <w:t xml:space="preserve"> </w:t>
            </w:r>
            <w:r>
              <w:rPr>
                <w:b/>
                <w:i/>
              </w:rPr>
              <w:t>Deng, Does women's political empowerment matter for improving the environment?</w:t>
            </w:r>
            <w:r>
              <w:t xml:space="preserve"> </w:t>
            </w:r>
            <w:r>
              <w:rPr>
                <w:b/>
                <w:i/>
              </w:rPr>
              <w:t>A heterogeneous dynamic panel analysis.</w:t>
            </w:r>
            <w:r>
              <w:t xml:space="preserve"> </w:t>
            </w:r>
            <w:r>
              <w:rPr>
                <w:b/>
                <w:i/>
              </w:rPr>
              <w:t>Sustainable Development,</w:t>
            </w:r>
            <w:r>
              <w:t xml:space="preserve"> </w:t>
            </w:r>
            <w:r>
              <w:rPr>
                <w:b/>
                <w:i/>
              </w:rPr>
              <w:t>2019, 27: 603–612, https://doi.org/10.1002/sd.1926.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C.</w:t>
            </w:r>
            <w:r>
              <w:t xml:space="preserve"> </w:t>
            </w:r>
            <w:r>
              <w:rPr>
                <w:b/>
                <w:i/>
              </w:rPr>
              <w:t>Nugent a J. M. Shandra (2009), „State Environmental Protection Efforts, Women’s Status, and World Polity: A Cross-National Analysis“, Organization &amp; Environment 22(2), s. 208–229.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A.</w:t>
            </w:r>
            <w:r>
              <w:t xml:space="preserve"> </w:t>
            </w:r>
            <w:r>
              <w:rPr>
                <w:b/>
                <w:i/>
              </w:rPr>
              <w:t>Mavisakalyan a Y.</w:t>
            </w:r>
            <w:r>
              <w:t xml:space="preserve"> </w:t>
            </w:r>
            <w:r>
              <w:rPr>
                <w:b/>
                <w:i/>
              </w:rPr>
              <w:t>Tarverdi (2019), „Gender and climate change: Do female parliamentarians make difference?“, European Journal of Political Economy, svazek 56, s. 151–164.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zdůrazňuje, že je třeba zajistit plnou, smysluplnou a rovnou účast žen a dívek na rozhodování;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40c.</w:t>
            </w:r>
            <w:r>
              <w:tab/>
            </w:r>
            <w:r>
              <w:rPr>
                <w:b/>
                <w:i/>
              </w:rPr>
              <w:t>zdůrazňuje zvláštní úlohu obránkyň životního prostředí v boji proti ničení biologicky rozmanitých stanovišť, které způsobují těžební projekty;</w:t>
            </w:r>
            <w:r>
              <w:t xml:space="preserve"> </w:t>
            </w:r>
            <w:r>
              <w:rPr>
                <w:b/>
                <w:i/>
              </w:rPr>
              <w:t>bere na vědomí konkrétní dopady těchto těžebních projektů na ženy a dívky, k nimž patří větší vystavení genderově podmíněnému násilí;</w:t>
            </w:r>
            <w:r>
              <w:t xml:space="preserve"> </w:t>
            </w:r>
            <w:r>
              <w:rPr>
                <w:b/>
                <w:i/>
              </w:rPr>
              <w:t>vyzývá smluvní strany, aby se soustředily na ženy a dívky při vytváření politik a procesů týkajících se pozemkových práv, svobodného, předchozího a informovaného souhlasu a účasti veřejnosti;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vítá Belémský akční plán pro genderovou rovnost na období 2026–2034 a jeho nový rámec pro politiku v oblasti klimatu zohledňující genderové hledisko a vyzývá všechny smluvní strany, aby </w:t>
            </w:r>
            <w:r>
              <w:rPr>
                <w:b/>
                <w:i/>
              </w:rPr>
              <w:t>plnily</w:t>
            </w:r>
            <w:r>
              <w:t xml:space="preserve"> závazky v něm obsažené;</w:t>
            </w:r>
          </w:p>
        </w:tc>
        <w:tc>
          <w:tcPr>
            <w:tcW w:w="4876" w:type="dxa"/>
            <w:tcBorders>
              <w:top w:val="nil"/>
              <w:left w:val="nil"/>
              <w:bottom w:val="nil"/>
              <w:right w:val="nil"/>
            </w:tcBorders>
          </w:tcPr>
          <w:p>
            <w:pPr>
              <w:pStyle w:val="Normal6a"/>
            </w:pPr>
            <w:r>
              <w:t>41.</w:t>
            </w:r>
            <w:r>
              <w:tab/>
            </w:r>
            <w:r>
              <w:t xml:space="preserve">vítá Belémský akční plán pro genderovou rovnost na období 2026–2034 a jeho nový rámec pro politiku v oblasti klimatu zohledňující genderové hledisko a vyzývá všechny smluvní strany, aby </w:t>
            </w:r>
            <w:r>
              <w:rPr>
                <w:b/>
                <w:i/>
              </w:rPr>
              <w:t>přijaly konkrétní opatření s cílem plnit</w:t>
            </w:r>
            <w:r>
              <w:t xml:space="preserve"> závazky v něm obsažené; </w:t>
            </w:r>
            <w:r>
              <w:rPr>
                <w:b/>
                <w:i/>
              </w:rPr>
              <w:t>naléhavě vyzývá členské státy a Komisi, aby zvýšily úsilí o dosažení cílů stanovených v Akčním plánu EU pro rovnost žen a mužů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rPr>
                <w:b/>
                <w:i/>
              </w:rPr>
              <w:t>vítá</w:t>
            </w:r>
            <w:r>
              <w:t xml:space="preserve"> Belémský akční plán pro genderovou rovnost na období 2026–2034 </w:t>
            </w:r>
            <w:r>
              <w:rPr>
                <w:b/>
                <w:i/>
              </w:rPr>
              <w:t>a jeho</w:t>
            </w:r>
            <w:r>
              <w:t xml:space="preserve"> nový rámec pro politiku v oblasti klimatu zohledňující genderové hledisko </w:t>
            </w:r>
            <w:r>
              <w:rPr>
                <w:b/>
                <w:i/>
              </w:rPr>
              <w:t>a vyzývá všechny smluvní strany, aby plnily závazky v něm obsažené</w:t>
            </w:r>
            <w:r>
              <w:t>;</w:t>
            </w:r>
          </w:p>
        </w:tc>
        <w:tc>
          <w:tcPr>
            <w:tcW w:w="4876" w:type="dxa"/>
            <w:tcBorders>
              <w:top w:val="nil"/>
              <w:left w:val="nil"/>
              <w:bottom w:val="nil"/>
              <w:right w:val="nil"/>
            </w:tcBorders>
          </w:tcPr>
          <w:p>
            <w:pPr>
              <w:pStyle w:val="Normal6a"/>
            </w:pPr>
            <w:r>
              <w:t>41.</w:t>
            </w:r>
            <w:r>
              <w:tab/>
            </w:r>
            <w:r>
              <w:rPr>
                <w:b/>
                <w:i/>
              </w:rPr>
              <w:t>konstatuje, že</w:t>
            </w:r>
            <w:r>
              <w:t xml:space="preserve"> Belémský akční plán pro genderovou rovnost na období 2026–2034 </w:t>
            </w:r>
            <w:r>
              <w:rPr>
                <w:b/>
                <w:i/>
              </w:rPr>
              <w:t>zřizuje</w:t>
            </w:r>
            <w:r>
              <w:t xml:space="preserve"> nový rámec pro politiku v oblasti klimatu zohledňující genderové hledisko;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opakuje, že je nutné rozšířit a usnadnit přístup žen k financování inkluzivních opatření v oblasti klimatu, a konstatuje, že ženy mají mnohem omezenější přístup k finančním zdrojům na projekty v oblasti přizpůsobování se změně klimatu a jejího zmírňování;</w:t>
            </w:r>
            <w:r>
              <w:t xml:space="preserve"> </w:t>
            </w:r>
            <w:r>
              <w:rPr>
                <w:b/>
                <w:i/>
              </w:rPr>
              <w:t>naléhavě vyzývá EU a její členské státy, aby podávaly zprávy o tom, zda jejich příspěvky na financování opatření v oblasti klimatu zohledňují rovnost žen a mužů, a aby posílily soudržnost mezi podporou rovnosti žen a mužů a podporou klimatu prostřednictvím nástrojů vnější činnosti a Evropské investiční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41b.</w:t>
            </w:r>
            <w:r>
              <w:tab/>
            </w:r>
            <w:r>
              <w:rPr>
                <w:b/>
                <w:i/>
              </w:rPr>
              <w:t>opětovně zdůrazňuje, že je důležité zvýšit účast žen na rozhodování v kontextu diplomatické činnosti v oblasti klimatu, včetně delegací COP a vedení na všech úrovních opatření v oblasti klimatu;</w:t>
            </w:r>
            <w:r>
              <w:t xml:space="preserve"> </w:t>
            </w:r>
            <w:r>
              <w:rPr>
                <w:b/>
                <w:i/>
              </w:rPr>
              <w:t>vyzývá všechny smluvní strany, aby usilovaly o rovné zastoupení žen a mužů ve svých delegacích a na všech úrovních rozhodování a jednání o změně klimatu;</w:t>
            </w:r>
            <w:r>
              <w:t xml:space="preserve"> </w:t>
            </w:r>
            <w:r>
              <w:rPr>
                <w:b/>
                <w:i/>
              </w:rPr>
              <w:t>naléhavě vyzývá všechny smluvní strany, aby určily vnitrostátní kontaktní místa pro otázky rovnosti žen a mužů a změny klimatu a aby navýšily příslušné zdroje, odbornou přípravu a podporu, a to i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Dílčí nadpis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Střet zájmů, transparentnost </w:t>
            </w:r>
            <w:r>
              <w:rPr>
                <w:b/>
                <w:i/>
              </w:rPr>
              <w:t>a</w:t>
            </w:r>
            <w:r>
              <w:t xml:space="preserve"> integrita</w:t>
            </w:r>
          </w:p>
        </w:tc>
        <w:tc>
          <w:tcPr>
            <w:tcW w:w="4876" w:type="dxa"/>
            <w:tcBorders>
              <w:top w:val="nil"/>
              <w:left w:val="nil"/>
              <w:bottom w:val="nil"/>
              <w:right w:val="nil"/>
            </w:tcBorders>
          </w:tcPr>
          <w:p>
            <w:pPr>
              <w:pStyle w:val="Normal6a"/>
            </w:pPr>
            <w:r>
              <w:t>Střet zájmů, transparentnost</w:t>
            </w:r>
            <w:r>
              <w:rPr>
                <w:b/>
                <w:i/>
              </w:rPr>
              <w:t>,</w:t>
            </w:r>
            <w:r>
              <w:t xml:space="preserve"> integrita </w:t>
            </w:r>
            <w:r>
              <w:rPr>
                <w:b/>
                <w:i/>
              </w:rPr>
              <w:t>a dezinformace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apeluje na UNFCCC a smluvní strany, aby na základě modelu ochrany, kterou v souvislosti s tabákovým průmyslem poskytuje Rámcová úmluva WHO o kontrole tabáku, iniciovaly navržení ambiciózního rámce odpovědnosti, který by chránil práci UNFCCC před nepatřičným ovlivňováním;</w:t>
            </w:r>
          </w:p>
        </w:tc>
        <w:tc>
          <w:tcPr>
            <w:tcW w:w="4876" w:type="dxa"/>
            <w:tcBorders>
              <w:top w:val="nil"/>
              <w:left w:val="nil"/>
              <w:bottom w:val="nil"/>
              <w:right w:val="nil"/>
            </w:tcBorders>
          </w:tcPr>
          <w:p>
            <w:pPr>
              <w:pStyle w:val="Normal6a"/>
            </w:pPr>
            <w:r>
              <w:t>42.</w:t>
            </w:r>
            <w:r>
              <w:tab/>
            </w:r>
            <w:r>
              <w:rPr>
                <w:b/>
                <w:i/>
              </w:rPr>
              <w:t>vyjadřuje znepokojení nad tím, že na konferenci COP29 bylo akreditováno více než 1 600 lobbistů za fosilní paliva;</w:t>
            </w:r>
            <w:r>
              <w:t xml:space="preserve"> </w:t>
            </w:r>
            <w:r>
              <w:rPr>
                <w:b/>
                <w:i/>
              </w:rPr>
              <w:t>vyzývá UNFCCC a smluvní strany, aby zajistily ochranu rozhodovacího procesu před zájmy, které jsou v rozporu s cíli Pařížské dohody;</w:t>
            </w:r>
            <w:r>
              <w:t xml:space="preserve"> apeluje na UNFCCC a smluvní strany, aby na základě modelu ochrany, kterou v souvislosti s tabákovým průmyslem poskytuje Rámcová úmluva WHO o kontrole tabáku, iniciovaly navržení ambiciózního rámce odpovědnosti, který by chránil práci UNFCCC před nepatřičným ovlivňováním; </w:t>
            </w:r>
            <w:r>
              <w:rPr>
                <w:b/>
                <w:i/>
              </w:rPr>
              <w:t>vyzývá všechny smluvní strany, aby se v kontextu tohoto rámce dohodly na definici „střetu zájmů“ za účelem zpřísnění požadavků na zveřejňování;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apeluje na UNFCCC a smluvní strany, aby na základě modelu ochrany, kterou v souvislosti s tabákovým průmyslem poskytuje Rámcová úmluva WHO o kontrole tabáku, iniciovaly navržení ambiciózního rámce odpovědnosti, který by chránil práci UNFCCC před nepatřičným ovlivňováním;</w:t>
            </w:r>
          </w:p>
        </w:tc>
        <w:tc>
          <w:tcPr>
            <w:tcW w:w="4876" w:type="dxa"/>
            <w:tcBorders>
              <w:top w:val="nil"/>
              <w:left w:val="nil"/>
              <w:bottom w:val="nil"/>
              <w:right w:val="nil"/>
            </w:tcBorders>
          </w:tcPr>
          <w:p>
            <w:pPr>
              <w:pStyle w:val="Normal6a"/>
            </w:pPr>
            <w:r>
              <w:t>42.</w:t>
            </w:r>
            <w:r>
              <w:tab/>
            </w:r>
            <w:r>
              <w:t xml:space="preserve">apeluje na UNFCCC a smluvní strany, aby na základě modelu ochrany, kterou v souvislosti s tabákovým průmyslem poskytuje Rámcová úmluva WHO o kontrole tabáku, iniciovaly navržení ambiciózního rámce odpovědnosti, který by chránil práci UNFCCC před nepatřičným ovlivňováním; </w:t>
            </w:r>
            <w:r>
              <w:rPr>
                <w:b/>
                <w:i/>
              </w:rPr>
              <w:t>oceňuje pokrok, kterého v tomto ohledu dosáhla Evropská komise, která lobbistům za fosilní paliva během konferencí COP29 a COP30 nepřidělila žádné průkazy ke vstupu, a žádá, aby toto úsilí pokračovalo i na konferenci COP31;</w:t>
            </w:r>
            <w:r>
              <w:t xml:space="preserve"> </w:t>
            </w:r>
            <w:r>
              <w:rPr>
                <w:b/>
                <w:i/>
              </w:rPr>
              <w:t>vyzývá členské státy, aby tento příklad následovaly a nezahrnuly lobbisty za fosilní paliva nebo lobbisty za průmyslová sdružení zastupující odvětví fosilních paliv do svých národních delegací na COP31;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apeluje na UNFCCC a smluvní strany, aby </w:t>
            </w:r>
            <w:r>
              <w:rPr>
                <w:b/>
                <w:i/>
              </w:rPr>
              <w:t>na základě modelu ochrany, kterou v souvislosti s tabákovým průmyslem poskytuje Rámcová úmluva WHO o kontrole tabáku,</w:t>
            </w:r>
            <w:r>
              <w:t xml:space="preserve"> iniciovaly navržení </w:t>
            </w:r>
            <w:r>
              <w:rPr>
                <w:b/>
                <w:i/>
              </w:rPr>
              <w:t>ambiciózního</w:t>
            </w:r>
            <w:r>
              <w:t xml:space="preserve"> rámce odpovědnosti</w:t>
            </w:r>
            <w:r>
              <w:rPr>
                <w:b/>
                <w:i/>
              </w:rPr>
              <w:t>, který by chránil práci UNFCCC před nepatřičným ovlivňováním</w:t>
            </w:r>
            <w:r>
              <w:t>;</w:t>
            </w:r>
          </w:p>
        </w:tc>
        <w:tc>
          <w:tcPr>
            <w:tcW w:w="4876" w:type="dxa"/>
            <w:tcBorders>
              <w:top w:val="nil"/>
              <w:left w:val="nil"/>
              <w:bottom w:val="nil"/>
              <w:right w:val="nil"/>
            </w:tcBorders>
          </w:tcPr>
          <w:p>
            <w:pPr>
              <w:pStyle w:val="Normal6a"/>
            </w:pPr>
            <w:r>
              <w:t>42.</w:t>
            </w:r>
            <w:r>
              <w:tab/>
            </w:r>
            <w:r>
              <w:t xml:space="preserve">apeluje na UNFCCC a smluvní strany, aby iniciovaly navržení </w:t>
            </w:r>
            <w:r>
              <w:rPr>
                <w:b/>
                <w:i/>
              </w:rPr>
              <w:t>transparentního</w:t>
            </w:r>
            <w:r>
              <w:t xml:space="preserve"> rámce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Emma Wiesner, Martin Hojsík, Sigrid Friis,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je znepokojen rostoucím šířením záměrně i nezáměrně zavádějících informací o klimatu, a to i ze strany státních subjektů, a naléhavě vyzývá všechny vlády, aby se touto problematikou urychleně zabývaly vzhledem k hrozbě, kterou představuje jak pro smysluplnou činnost v oblasti klimatu, tak pro demokracii;</w:t>
            </w:r>
            <w:r>
              <w:t xml:space="preserve"> </w:t>
            </w:r>
            <w:r>
              <w:rPr>
                <w:b/>
                <w:i/>
              </w:rPr>
              <w:t>zdůrazňuje význam přístupu k vědecky podloženým informacím a ochrany nezávislých médií;</w:t>
            </w:r>
            <w:r>
              <w:t xml:space="preserve"> </w:t>
            </w:r>
            <w:r>
              <w:rPr>
                <w:b/>
                <w:i/>
              </w:rPr>
              <w:t>vyzdvihuje důležitost práce, kterou vykonává Mezivládní panel pro změnu klimatu (IPCC) v oblasti poskytování spolehlivých vědeckých doporučení a údajů;</w:t>
            </w:r>
            <w:r>
              <w:t xml:space="preserve"> </w:t>
            </w:r>
            <w:r>
              <w:rPr>
                <w:b/>
                <w:i/>
              </w:rPr>
              <w:t>vyzývá UNFCCC k intenzivnějšímu úsilí v boji proti dezinformacím o klimatu;</w:t>
            </w:r>
            <w:r>
              <w:t xml:space="preserve"> </w:t>
            </w:r>
            <w:r>
              <w:rPr>
                <w:b/>
                <w:i/>
              </w:rPr>
              <w:t>vyzývá Komisi, aby se připojila ke globální iniciativě pro integritu informací o změně klimatu a bojovala proti dezinformacím o klimatu;</w:t>
            </w:r>
            <w:r>
              <w:t xml:space="preserve"> </w:t>
            </w:r>
            <w:r>
              <w:rPr>
                <w:b/>
                <w:i/>
              </w:rPr>
              <w:t>vyzývá smluvní strany, aby navýšily finanční prostředky pro Mezivládní panel pro změnu klimatu (IPCC) a Rámcovou úmluvu Organizace spojených národů o změně klimatu (UNFCCC) s cílem bojovat proti dezinformacím a zavádějícím informacím o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poukazuje na rozsáhlé praní špinavých peněz a sponzorství ze strany podniků, k němuž na konferenci smluvních stran každoročně zbytečně dochází, a domnívá se, že to spolu s dalšími otázkami střetu zájmů ohrožuje integritu jednání UNFCCC a její vnímání;</w:t>
            </w:r>
            <w:r>
              <w:t xml:space="preserve"> </w:t>
            </w:r>
            <w:r>
              <w:rPr>
                <w:b/>
                <w:i/>
              </w:rPr>
              <w:t>vyzývá k tomu, aby konference COP30 vyloučila pavilony, fóra a doprovodné akce, v nichž dominují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vítá skutečnost, že na konferenci COP30 se poprvé od všech nevládních účastníků očekávalo, že zveřejní, kdo jejich účast financuje, a potvrdí, že jejich individuální cíle jsou v souladu s cíli UNFCCC;</w:t>
            </w:r>
            <w:r>
              <w:t xml:space="preserve"> </w:t>
            </w:r>
            <w:r>
              <w:rPr>
                <w:b/>
                <w:i/>
              </w:rPr>
              <w:t>vyjadřuje však politování nad tím, že se tento požadavek nevztahoval na nevládní účastníky, kteří obdrželi vládní průkazy;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42b.</w:t>
            </w:r>
            <w:r>
              <w:tab/>
            </w:r>
            <w:r>
              <w:rPr>
                <w:b/>
                <w:i/>
              </w:rPr>
              <w:t>vítá skutečnost, že Komise neposkytla akreditaci lobbistům za fosilní paliva k účasti na COP30, a vyzývá k pokračování této praxe;</w:t>
            </w:r>
            <w:r>
              <w:t xml:space="preserve"> </w:t>
            </w:r>
            <w:r>
              <w:rPr>
                <w:b/>
                <w:i/>
              </w:rPr>
              <w:t>vyjadřuje politování nad tím, že na konferenci COP30 bylo členskými státy EU akreditováno 80 lobbistů za fosilní paliva, a vyzývá všechny členské státy, aby pro účast na konferenci COP31 ani na žádné další konferenci COP neposkytovaly akreditaci žádným lobbistům za fosilní paliva;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připomíná, že je důležité zapojit do rozhodovacího procesu UNFCCC v plné míře všechny smluvní strany;</w:t>
            </w:r>
          </w:p>
        </w:tc>
        <w:tc>
          <w:tcPr>
            <w:tcW w:w="4876" w:type="dxa"/>
            <w:tcBorders>
              <w:top w:val="nil"/>
              <w:left w:val="nil"/>
              <w:bottom w:val="nil"/>
              <w:right w:val="nil"/>
            </w:tcBorders>
          </w:tcPr>
          <w:p>
            <w:pPr>
              <w:pStyle w:val="Normal6a"/>
            </w:pPr>
            <w:r>
              <w:t>43.</w:t>
            </w:r>
            <w:r>
              <w:tab/>
            </w:r>
            <w:r>
              <w:t xml:space="preserve">připomíná, že je důležité zapojit do rozhodovacího procesu UNFCCC v plné míře všechny smluvní strany </w:t>
            </w:r>
            <w:r>
              <w:rPr>
                <w:b/>
                <w:i/>
              </w:rPr>
              <w:t>v duchu upřímné spolupráce, a uznává, že základem odpovědnosti a transparentnosti je ochrana prostoru pro občanskou společnost a subjekty na místní a regionální úrovni, aby mohly působit a podílet se na správě klimatu</w:t>
            </w:r>
            <w:r>
              <w:t xml:space="preserve">; </w:t>
            </w:r>
            <w:r>
              <w:rPr>
                <w:b/>
                <w:i/>
              </w:rPr>
              <w:t>uznává, že existuje mnoho překážek, které brání účasti organizací občanské společnosti na konferencích smluvních stran;</w:t>
            </w:r>
            <w:r>
              <w:t xml:space="preserve"> </w:t>
            </w:r>
            <w:r>
              <w:rPr>
                <w:b/>
                <w:i/>
              </w:rPr>
              <w:t>zdůrazňuje, že občanská společnost a aktéři na místní a regionální úrovni hrají zásadní roli v pokroku při provádění vnitrostátně stanovených příspěvků tím, že zajišťují, aby opatření byla účinná, přizpůsobená místním podmínkám a reagovala na potřeby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připomíná, že je důležité zapojit do rozhodovacího procesu UNFCCC v plné míře všechny smluvní strany;</w:t>
            </w:r>
          </w:p>
        </w:tc>
        <w:tc>
          <w:tcPr>
            <w:tcW w:w="4876" w:type="dxa"/>
            <w:tcBorders>
              <w:top w:val="nil"/>
              <w:left w:val="nil"/>
              <w:bottom w:val="nil"/>
              <w:right w:val="nil"/>
            </w:tcBorders>
          </w:tcPr>
          <w:p>
            <w:pPr>
              <w:pStyle w:val="Normal6a"/>
            </w:pPr>
            <w:r>
              <w:t>43.</w:t>
            </w:r>
            <w:r>
              <w:tab/>
            </w:r>
            <w:r>
              <w:t>připomíná, že je důležité zapojit do rozhodovacího procesu UNFCCC v plné míře všechny smluvní strany</w:t>
            </w:r>
            <w:r>
              <w:rPr>
                <w:b/>
                <w:i/>
              </w:rPr>
              <w:t>, a připomíná i význam smysluplné účasti původních obyvatel, organizací občanské společnosti, mladých lidí, migrantů, vysídlených osob a sociálních partnerů</w:t>
            </w:r>
            <w:r>
              <w:t xml:space="preserve">; </w:t>
            </w:r>
            <w:r>
              <w:rPr>
                <w:b/>
                <w:i/>
              </w:rPr>
              <w:t>vyzývá turecké orgány, aby během konference o klimatu zaručily právo na svobodné a pokojné shromažďování;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připomíná, že je důležité zapojit do rozhodovacího procesu UNFCCC v plné míře všechny smluvní strany;</w:t>
            </w:r>
          </w:p>
        </w:tc>
        <w:tc>
          <w:tcPr>
            <w:tcW w:w="4876" w:type="dxa"/>
            <w:tcBorders>
              <w:top w:val="nil"/>
              <w:left w:val="nil"/>
              <w:bottom w:val="nil"/>
              <w:right w:val="nil"/>
            </w:tcBorders>
          </w:tcPr>
          <w:p>
            <w:pPr>
              <w:pStyle w:val="Normal6a"/>
            </w:pPr>
            <w:r>
              <w:t>43.</w:t>
            </w:r>
            <w:r>
              <w:tab/>
            </w:r>
            <w:r>
              <w:t xml:space="preserve">připomíná, že je důležité zapojit do rozhodovacího procesu UNFCCC v plné míře všechny smluvní </w:t>
            </w:r>
            <w:r>
              <w:rPr>
                <w:b/>
                <w:i/>
              </w:rPr>
              <w:t>a zúčastněné</w:t>
            </w:r>
            <w:r>
              <w:t xml:space="preserve">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vyzývá předsednictví COP31 a budoucí předsednictví, aby usnadňovala účast rozvojových zemí a delegátů z nejméně rozvinutých zemí a aby k tomuto účelu vyčlenila dodatečné zdroje;</w:t>
            </w:r>
            <w:r>
              <w:t xml:space="preserve"> </w:t>
            </w:r>
            <w:r>
              <w:rPr>
                <w:b/>
                <w:i/>
              </w:rPr>
              <w:t>vybízí smluvní strany, aby do svých delegací zahrnuly mladé lidi s cílem zajistit, aby budoucí generace hrály aktivní úlohu při utváření rozhodnutí týkajících se jejich budoucnosti;</w:t>
            </w:r>
            <w:r>
              <w:t xml:space="preserve"> </w:t>
            </w:r>
            <w:r>
              <w:rPr>
                <w:b/>
                <w:i/>
              </w:rPr>
              <w:t>vítá zřízení funkce mládežnického klimatického šampiona na konferenci COP28 jako krok k většímu zapojení mladých lidí do procesu UNFCCC;</w:t>
            </w:r>
            <w:r>
              <w:t xml:space="preserve"> </w:t>
            </w:r>
            <w:r>
              <w:rPr>
                <w:b/>
                <w:i/>
              </w:rPr>
              <w:t>vyzývá konferenci COP31, aby institucionalizovala smysluplnou účast dětí a mladých lidí, a to i prostřednictvím mechanismů strukturovaného dialogu a oficiálního zastoupení;</w:t>
            </w:r>
            <w:r>
              <w:t xml:space="preserve"> </w:t>
            </w:r>
            <w:r>
              <w:rPr>
                <w:b/>
                <w:i/>
              </w:rPr>
              <w:t>vyzývá k většímu využívání virtuálních platforem na konferencích smluvních stran s cílem posílit globální inkluzivnost a účast delegátů a zástupců občanské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vyjadřuje znepokojení nad tím, jak bylo s organizacemi občanské společnosti zacházeno na předchozích konferencích COP;</w:t>
            </w:r>
            <w:r>
              <w:t xml:space="preserve"> </w:t>
            </w:r>
            <w:r>
              <w:rPr>
                <w:b/>
                <w:i/>
              </w:rPr>
              <w:t>považuje za zásadní zajistit občanské společnosti prostor a přístup pro dobré fungování procesu UNFCCC a zvýšit transparentnost a odpovědnost;</w:t>
            </w:r>
            <w:r>
              <w:t xml:space="preserve"> </w:t>
            </w:r>
            <w:r>
              <w:rPr>
                <w:b/>
                <w:i/>
              </w:rPr>
              <w:t>uznává, že existuje mnoho překážek bránících účasti organizací občanské společnosti na konferenci COP, včetně omezené akreditace a přemrštěných nákladů na ubytování;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poukazuje na to, že COP31 se musí vyznačovat transparentností, inkluzivností a předvídatelností;</w:t>
            </w:r>
            <w:r>
              <w:t xml:space="preserve"> </w:t>
            </w:r>
            <w:r>
              <w:rPr>
                <w:b/>
                <w:i/>
              </w:rPr>
              <w:t>vyjadřuje hluboké politování nad tím, že Turecko vyloučilo z přípravné schůze v New Yorku v březnu 2026 Kypr;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43b.</w:t>
            </w:r>
            <w:r>
              <w:tab/>
            </w:r>
            <w:r>
              <w:rPr>
                <w:b/>
                <w:i/>
              </w:rPr>
              <w:t>požaduje – stejně jako na předchozích konferencích COP –, aby organizátoři všech budoucích konferencí COP zajistili, aby ve všech dohodách s hostitelskou zemí byly plně zakotveny a zaručeny lidská práva, základní svobody, plná a neomezená účast občanů a organizací občanské společnosti a rovný přístup k těmto i budoucím konferencím smluvních stran, a vyzývá, aby tyto dohody byly zveřejňovány co nejdříve po jejich podpisu;</w:t>
            </w:r>
            <w:r>
              <w:t xml:space="preserve"> </w:t>
            </w:r>
            <w:r>
              <w:rPr>
                <w:b/>
                <w:i/>
              </w:rPr>
              <w:t>opakuje svou výzvu sekretariátu UNFCCC, aby vypracoval lidskoprávní kritéria, k jejichž splnění se musí země pořádající budoucí konference COP v rámci hostitelské dohody zavázat, a naléhavě vyzývá Komisi a členské státy, aby v tomto procesu převzaly vedoucí úlohu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21. listopadu 2023, Konference OSN o změně klimatu 2023 v Dubaji, Spojené arabské emiráty (COP28).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43b.</w:t>
            </w:r>
            <w:r>
              <w:tab/>
            </w:r>
            <w:r>
              <w:rPr>
                <w:b/>
                <w:i/>
              </w:rPr>
              <w:t>požaduje, aby organizátoři konferencí smluvních stran zajistili, aby lidská práva, základní svobody, včetně svobody projevu, plná a neomezená účast občanů a organizací občanské společnosti, včetně práva na pokojné shromažďování a sdružování, a rovný přístup k těmto i budoucím konferencím smluvních stran byly plně zakotveny a zaručeny v dohodě s hostitelskou zemí, která by měla být zveřejněna co nejdříve po podpisu;</w:t>
            </w:r>
            <w:r>
              <w:t xml:space="preserve"> </w:t>
            </w:r>
            <w:r>
              <w:rPr>
                <w:b/>
                <w:i/>
              </w:rPr>
              <w:t>vyzývá sekretariát UNFCCC, aby sledoval dodržování pravidel a v případě porušení těchto kritérií v oblasti lidských práv přijal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43c.</w:t>
            </w:r>
            <w:r>
              <w:tab/>
            </w:r>
            <w:r>
              <w:rPr>
                <w:b/>
                <w:i/>
              </w:rPr>
              <w:t>domnívá se, že výběr hostitelského města pro budoucí zasedání konference COP by měl zohlednit soubor předem stanovených podmínek, včetně logistické a organizační kapacity, bezpečnosti a ochrany, jakož i environmentálních, ekonomických a sociálních dopadů organizace akce;</w:t>
            </w:r>
            <w:r>
              <w:t xml:space="preserve"> </w:t>
            </w:r>
            <w:r>
              <w:rPr>
                <w:b/>
                <w:i/>
              </w:rPr>
              <w:t>zdůrazňuje důležitost udržitelné organizace konference COP31;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Předběžný 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Předběžný 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domnívá se, že Parlament by měl na konferenci COP31 tvořit nedílnou součást delegace </w:t>
            </w:r>
            <w:r>
              <w:rPr>
                <w:b/>
                <w:i/>
              </w:rPr>
              <w:t>EU, neboť při uzavírání mezinárodních dohod je nutný jeho souhlas a jako jeden ze spolunormotvůrců hraje ústřední úlohu při provádění Pařížské dohody v</w:t>
            </w:r>
            <w:r>
              <w:t xml:space="preserve"> EU; očekává proto, že mu bude umožněno, aby se na konferenci COP31 v Antalyi účastnil koordinačních schůzek EU, a že bude mít zaručen včasný přístup ke všem přípravným dokumentům; zavazuje se, že bude jednat nezávisle a bez střetu zájmů;</w:t>
            </w:r>
          </w:p>
        </w:tc>
        <w:tc>
          <w:tcPr>
            <w:tcW w:w="4876" w:type="dxa"/>
            <w:tcBorders>
              <w:top w:val="nil"/>
              <w:left w:val="nil"/>
              <w:bottom w:val="nil"/>
              <w:right w:val="nil"/>
            </w:tcBorders>
          </w:tcPr>
          <w:p>
            <w:pPr>
              <w:pStyle w:val="Normal6a"/>
            </w:pPr>
            <w:r>
              <w:t>44.</w:t>
            </w:r>
            <w:r>
              <w:tab/>
            </w:r>
            <w:r>
              <w:t>domnívá se, že Parlament by měl na konferenci COP31 tvořit nedílnou součást delegace EU; očekává proto, že mu bude umožněno, aby se na konferenci COP31 v Antalyi účastnil koordinačních schůzek EU, a že bude mít zaručen včasný přístup ke všem přípravným dokumentům; zavazuje se, že bude jednat nezávisle a bez střetu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94</w:t>
    </w:r>
    <w:r>
      <w:fldChar w:fldCharType="end"/>
    </w:r>
    <w:r>
      <w:t>/</w:t>
    </w:r>
    <w:r>
      <w:fldChar w:fldCharType="begin"/>
    </w:r>
    <w:r>
      <w:instrText xml:space="preserve"> NUMPAGES </w:instrText>
    </w:r>
    <w:r>
      <w:fldChar w:fldCharType="separate"/>
    </w:r>
    <w:r>
      <w:t>95</w:t>
    </w:r>
    <w:r>
      <w:fldChar w:fldCharType="end"/>
    </w:r>
    <w:r>
      <w:tab/>
    </w:r>
    <w:r>
      <w:rPr>
        <w:rStyle w:val="HideTWBExt"/>
      </w:rPr>
      <w:t>&lt;PathFdR&gt;</w:t>
    </w:r>
    <w:r>
      <w:t>AM\1346741CS.docx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AM\1346741CS.docx</w:t>
    </w:r>
    <w:r>
      <w:rPr>
        <w:rStyle w:val="HideTWBExt"/>
      </w:rPr>
      <w:t>&lt;/PathFdR&gt;</w:t>
    </w:r>
    <w:r>
      <w:tab/>
    </w:r>
    <w:r>
      <w:fldChar w:fldCharType="begin"/>
    </w:r>
    <w:r>
      <w:instrText xml:space="preserve"> PAGE </w:instrText>
    </w:r>
    <w:r>
      <w:fldChar w:fldCharType="separate"/>
    </w:r>
    <w:r>
      <w:t>95</w:t>
    </w:r>
    <w:r>
      <w:fldChar w:fldCharType="end"/>
    </w:r>
    <w:r>
      <w:t>/</w:t>
    </w:r>
    <w:r>
      <w:fldChar w:fldCharType="begin"/>
    </w:r>
    <w:r>
      <w:instrText xml:space="preserve"> NUMPAGES </w:instrText>
    </w:r>
    <w:r>
      <w:fldChar w:fldCharType="separate"/>
    </w:r>
    <w:r>
      <w:t>95</w:t>
    </w:r>
    <w:r>
      <w:fldChar w:fldCharType="end"/>
    </w:r>
    <w:r>
      <w:tab/>
    </w:r>
    <w:r>
      <w:t>PE</w:t>
    </w:r>
    <w:r>
      <w:rPr>
        <w:rStyle w:val="HideTWBExt"/>
      </w:rPr>
      <w:t>&lt;NoPE&gt;</w:t>
    </w:r>
    <w:r>
      <w:t>790.214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AM\1346741CS.docx</w:t>
    </w:r>
    <w:r>
      <w:rPr>
        <w:rStyle w:val="HideTWBExt"/>
      </w:rPr>
      <w:t>&lt;/PathFdR&gt;</w:t>
    </w:r>
    <w:r>
      <w:tab/>
    </w:r>
    <w:r>
      <w:tab/>
    </w:r>
    <w:r>
      <w:t>PE</w:t>
    </w:r>
    <w:r>
      <w:rPr>
        <w:rStyle w:val="HideTWBExt"/>
      </w:rPr>
      <w:t>&lt;NoPE&gt;</w:t>
    </w:r>
    <w:r>
      <w:t>790.214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95</Pages>
  <Words>17521</Words>
  <Characters>107428</Characters>
  <Application>Microsoft Office Word</Application>
  <DocSecurity>0</DocSecurity>
  <Lines>1</Lines>
  <Paragraphs>1549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1346741</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572686</vt:lpwstr>
  </property>
  <property fmtid="{D5CDD505-2E9C-101B-9397-08002B2CF9AE}" pid="7" name="dmxml.render.traceId">
    <vt:lpwstr>6a54bea9c346e02b2e07f6b1a23cd5e8</vt:lpwstr>
  </property>
  <property fmtid="{D5CDD505-2E9C-101B-9397-08002B2CF9AE}" pid="8" name="FooterPath">
    <vt:lpwstr>AM\1346741CS.docx</vt:lpwstr>
  </property>
  <property fmtid="{D5CDD505-2E9C-101B-9397-08002B2CF9AE}" pid="9" name="PE Number">
    <vt:lpwstr>790.214</vt:lpwstr>
  </property>
  <property fmtid="{D5CDD505-2E9C-101B-9397-08002B2CF9AE}" pid="10" name="UID">
    <vt:lpwstr>eu.europa.europarl-DIN1-2026-0000192974_01.01-cs-01.00_text-xml</vt:lpwstr>
  </property>
</Properties>
</file>