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{ENVI}</w:t>
      </w:r>
      <w:r>
        <w:t>Aplinkos, klimato ir maisto saugos komitetas</w:t>
      </w:r>
      <w:r>
        <w:rPr>
          <w:rStyle w:val="HideTWBExt"/>
        </w:rPr>
        <w:t>&lt;/Commission&gt;</w:t>
      </w:r>
    </w:p>
    <w:p>
      <w:pPr>
        <w:pStyle w:val="LineBottom"/>
      </w:pPr>
      <w:r>
        <w:t xml:space="preserve"> </w:t>
      </w:r>
    </w:p>
    <w:p>
      <w:pPr>
        <w:pStyle w:val="CoverReference"/>
      </w:pPr>
      <w:r>
        <w:rPr>
          <w:rStyle w:val="HideTWBExt"/>
        </w:rPr>
        <w:t>&lt;RefProc&gt;</w:t>
      </w:r>
      <w:r>
        <w:t>2025/0395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{03/07/2026}</w:t>
      </w:r>
      <w:r>
        <w:t>3.7.2026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17</w:t>
      </w:r>
      <w:r>
        <w:t xml:space="preserve"> - </w:t>
      </w:r>
      <w:r>
        <w:t>94</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Ingeborg Ter Laak</w:t>
      </w:r>
      <w:r>
        <w:rPr>
          <w:rStyle w:val="HideTWBExt"/>
        </w:rPr>
        <w:t>&lt;/Rapporteur&gt;</w:t>
      </w:r>
    </w:p>
    <w:p>
      <w:pPr>
        <w:pStyle w:val="CoverNormal24a"/>
      </w:pPr>
      <w:r>
        <w:rPr>
          <w:rStyle w:val="HideTWBExt"/>
        </w:rPr>
        <w:t>&lt;DocRefPE&gt;</w:t>
      </w:r>
      <w:r>
        <w:t>(PE788.916v01-00)</w:t>
      </w:r>
      <w:r>
        <w:rPr>
          <w:rStyle w:val="HideTWBExt"/>
        </w:rPr>
        <w:t>&lt;/DocRefPE&gt;</w:t>
      </w:r>
    </w:p>
    <w:p>
      <w:pPr>
        <w:pStyle w:val="CoverNormal24a"/>
      </w:pPr>
      <w:r>
        <w:rPr>
          <w:rStyle w:val="HideTWBExt"/>
        </w:rPr>
        <w:t>&lt;Titre&gt;</w:t>
      </w:r>
      <w:r>
        <w:t>Įgaliotųjų atstovų didesnės gamintojo atsakomybės klausimams, susijusiems su baterijomis ir baterijų atliekomis ir su pakuotėmis ir pakuočių atliekomis, skyrimo taisyklių taikymo sustabdymas</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(COM(2025)0982 – 2025/0395(COD))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Emma Fourreau, Sebastian Everding,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Pasiūlymas atmesti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Europos Parlamentas atmeta [Komisijos pasiūlymą].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antraštinė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Pasiūlymas</w:t>
            </w:r>
            <w:r>
              <w:br/>
            </w:r>
            <w:r>
              <w:t>EUROPOS PARLAMENTO IR TARYBOS REGLAMENTAS</w:t>
            </w:r>
            <w:r>
              <w:br/>
            </w:r>
            <w:r>
              <w:t xml:space="preserve">kuriuo sustabdomas įgaliotųjų atstovų didesnės gamintojo atsakomybės klausimams, susijusiems su </w:t>
            </w:r>
            <w:r>
              <w:rPr>
                <w:b/>
                <w:i/>
              </w:rPr>
              <w:t>baterijomis ir baterijų atliekomis ir su</w:t>
            </w:r>
            <w:r>
              <w:t xml:space="preserve"> pakuotėmis ir pakuočių atliekomis, skyrimo taisyklių taikymas</w:t>
            </w:r>
            <w:r>
              <w:br/>
            </w:r>
            <w:r>
              <w:t>(Tekstas svarbus EEE)</w:t>
            </w:r>
          </w:p>
        </w:tc>
        <w:tc>
          <w:tcPr>
            <w:tcW w:w="4876" w:type="dxa"/>
            <w:tcBorders>
              <w:top w:val="nil"/>
              <w:left w:val="nil"/>
              <w:bottom w:val="nil"/>
              <w:right w:val="nil"/>
            </w:tcBorders>
          </w:tcPr>
          <w:p>
            <w:pPr>
              <w:pStyle w:val="Normal6a"/>
            </w:pPr>
            <w:r>
              <w:t>Pasiūlymas</w:t>
            </w:r>
            <w:r>
              <w:br/>
            </w:r>
            <w:r>
              <w:t>EUROPOS PARLAMENTO IR TARYBOS REGLAMENTAS</w:t>
            </w:r>
            <w:r>
              <w:br/>
            </w:r>
            <w:r>
              <w:t>kuriuo sustabdomas įgaliotųjų atstovų didesnės gamintojo atsakomybės klausimams, susijusiems su pakuotėmis ir pakuočių atliekomis, skyrimo taisyklių taikymas</w:t>
            </w:r>
            <w:r>
              <w:br/>
            </w:r>
            <w:r>
              <w:t>(Tekstas svarbus EEE)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(Šis pakeitimas taikomas visam tekstui – visos nuorodos į baterijas ir baterijų atliekas turėtų būti išbrauktos.)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Netikslinga sustabdyti teisės aktų nuostatų, kurios jau visapusiškai taikomos, taikymą.</w:t>
      </w:r>
      <w:r>
        <w:t xml:space="preserve"> </w:t>
      </w:r>
      <w:r>
        <w:t>Baterijų reglamento nuostatos dėl didesnės gamintojo atsakomybės naujoms didesnės gamintojo atsakomybės sistemoms taikomos nuo 2024 m. vasario 18 d. (o didesnės gamintojo atsakomybės sistemoms, kurios buvo sukurtos iki 2018 m. liepos 4 d., – nuo 2025 m. rugpjūčio 18 d.).</w:t>
      </w:r>
      <w:r>
        <w:t xml:space="preserve"> </w:t>
      </w:r>
      <w:r>
        <w:t>Sustabdymas turėtų būti taikomas tik kaip procedūros sustabdymas dėl didesnės gamintojo atsakomybės nuostatų, kurios dar netaikomos.</w:t>
      </w:r>
      <w:r>
        <w:t xml:space="preserve"> </w:t>
      </w:r>
      <w:r>
        <w:t>Todėl nuoroda į Baterijų reglamentą turėtų būti išbraukta.</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Komisijos 2024–2029 m. kadencijos politinėse gairėse</w:t>
            </w:r>
            <w:r>
              <w:rPr>
                <w:b/>
                <w:i/>
                <w:vertAlign w:val="superscript"/>
              </w:rPr>
              <w:t>3</w:t>
            </w:r>
            <w:r>
              <w:rPr>
                <w:b/>
                <w:i/>
              </w:rPr>
              <w:t>nurodomas tikslas supaprastinti, konsoliduoti ir kodifikuoti teisės aktus, kad būtų išvengta bet kokio dubliavimosi ir prieštaravimų, kartu išlaikant aukštus standartus ir nenukrypstant nuo tikslų, nustatytų Europos žaliojo kurso komunikate;</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Europos pasirinkimas.</w:t>
            </w:r>
            <w:r>
              <w:t xml:space="preserve"> </w:t>
            </w:r>
            <w:r>
              <w:rPr>
                <w:b/>
                <w:i/>
              </w:rPr>
              <w:t>Kitos kadencijos Europos Komisijos politinės gairės (2024−2029 m.), Ursula von der Leyen.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Komisijos 2024–2029 m. kadencijos politinėse gairėse</w:t>
            </w:r>
            <w:r>
              <w:rPr>
                <w:vertAlign w:val="superscript"/>
              </w:rPr>
              <w:t>3</w:t>
            </w:r>
            <w:r>
              <w:t xml:space="preserve">nurodomas tikslas supaprastinti, konsoliduoti ir kodifikuoti teisės aktus, kad būtų išvengta bet kokio dubliavimosi ir prieštaravimų, </w:t>
            </w:r>
            <w:r>
              <w:rPr>
                <w:b/>
                <w:i/>
              </w:rPr>
              <w:t>kartu išlaikant aukštus standartus ir nenukrypstant nuo tikslų, nustatytų Europos žaliojo kurso komunikate</w:t>
            </w:r>
            <w:r>
              <w:t>;</w:t>
            </w:r>
          </w:p>
        </w:tc>
        <w:tc>
          <w:tcPr>
            <w:tcW w:w="4876" w:type="dxa"/>
            <w:tcBorders>
              <w:top w:val="nil"/>
              <w:left w:val="nil"/>
              <w:bottom w:val="nil"/>
              <w:right w:val="nil"/>
            </w:tcBorders>
          </w:tcPr>
          <w:p>
            <w:pPr>
              <w:pStyle w:val="Normal6a"/>
            </w:pPr>
            <w:r>
              <w:t>(1)</w:t>
            </w:r>
            <w:r>
              <w:tab/>
            </w:r>
            <w:r>
              <w:t>Komisijos 2024–2029 m. kadencijos politinėse gairėse</w:t>
            </w:r>
            <w:r>
              <w:rPr>
                <w:vertAlign w:val="superscript"/>
              </w:rPr>
              <w:t>3</w:t>
            </w:r>
            <w:r>
              <w:t xml:space="preserve"> nurodomas tikslas supaprastinti, konsoliduoti ir kodifikuoti teisės aktus, kad būtų išvengta bet kokio dubliavimosi ir prieštaravimų, </w:t>
            </w:r>
            <w:r>
              <w:rPr>
                <w:b/>
                <w:i/>
              </w:rPr>
              <w:t>siekiant sumažinti administracinę naštą įmonėms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Europos pasirinkimas. Kitos kadencijos Europos Komisijos politinės gairės (2024−2029 m.), Ursula von der Leyen.</w:t>
            </w:r>
          </w:p>
        </w:tc>
        <w:tc>
          <w:tcPr>
            <w:tcW w:w="4876" w:type="dxa"/>
            <w:tcBorders>
              <w:top w:val="nil"/>
              <w:left w:val="nil"/>
              <w:bottom w:val="nil"/>
              <w:right w:val="nil"/>
            </w:tcBorders>
          </w:tcPr>
          <w:p>
            <w:pPr>
              <w:pStyle w:val="Normal6a"/>
            </w:pPr>
            <w:r>
              <w:rPr>
                <w:vertAlign w:val="superscript"/>
              </w:rPr>
              <w:t>3</w:t>
            </w:r>
            <w:r>
              <w:t xml:space="preserve"> </w:t>
            </w:r>
            <w:r>
              <w:t>Europos pasirinkimas. Kitos kadencijos Europos Komisijos politinės gairės (2024−2029 m.), Ursula von der Leyen.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Komunikate „Paprastesnė ir greitesnė Europa. Komunikatas dėl įgyvendinimo ir supaprastinimo“</w:t>
            </w:r>
            <w:r>
              <w:rPr>
                <w:b/>
                <w:i/>
                <w:vertAlign w:val="superscript"/>
              </w:rPr>
              <w:t>4</w:t>
            </w:r>
            <w:r>
              <w:rPr>
                <w:b/>
                <w:i/>
              </w:rPr>
              <w:t>Europos Komisija išdėstė įgyvendinimo ir supaprastinimo darbotvarkės, lemsiančios greitus ir pastebimus žmonėms ir verslui svarbius teigiamus praktinius pokyčius, viziją.</w:t>
            </w:r>
            <w:r>
              <w:t xml:space="preserve"> </w:t>
            </w:r>
            <w:r>
              <w:rPr>
                <w:b/>
                <w:i/>
              </w:rPr>
              <w:t>Tam tikslui įgyvendinti pamažu didinti pastangas nepakanka – reikia, kad Sąjunga imtųsi drąsių veiksmų jam pasiekti.</w:t>
            </w:r>
            <w:r>
              <w:t xml:space="preserve"> </w:t>
            </w:r>
            <w:r>
              <w:rPr>
                <w:b/>
                <w:i/>
              </w:rPr>
              <w:t>Europos Parlamentas, Taryba, Komisija, visų lygmenų valstybių narių valdžios institucijos ir suinteresuotosios šalys turi bendromis jėgomis siekti racionalizuoti ir supaprastinti Sąjungos, nacionalines ir regionines taisykles ir veiksmingiau įgyvendinti politiką;</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2025 m. vasario 11 d.</w:t>
            </w:r>
            <w:r>
              <w:t xml:space="preserve"> </w:t>
            </w:r>
            <w:r>
              <w:rPr>
                <w:b/>
                <w:i/>
              </w:rPr>
              <w:t>Komisijos komunikatas Europos Parlamentui, Tarybai, Europos ekonomikos ir socialinių reikalų komitetui ir Regionų komitetui „Paprastesnė ir greitesnė Europa. Komunikatas dėl įgyvendinimo ir supaprastinimo“, COM(2025) 47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savo Komunikate dėl bendrosios rinkos strategijos</w:t>
            </w:r>
            <w:r>
              <w:rPr>
                <w:b/>
                <w:i/>
                <w:vertAlign w:val="superscript"/>
              </w:rPr>
              <w:t>5</w:t>
            </w:r>
            <w:r>
              <w:rPr>
                <w:b/>
                <w:i/>
              </w:rPr>
              <w:t>kaip kliūtį vidaus rinkai Komisija įvardijo tai, kad įmonės susiduria su nenuosekliomis nacionalinėmis taisyklėmis, dėl kurių sunkiau parduoti prekes ir paslaugas, didinti jų pardavimo mastą arba jas vežti į kitas valstybes.</w:t>
            </w:r>
            <w:r>
              <w:t xml:space="preserve"> </w:t>
            </w:r>
            <w:r>
              <w:rPr>
                <w:b/>
                <w:i/>
              </w:rPr>
              <w:t>Komisija įsipareigojo pirmenybę teikti dešimčiai žalingiausių kliūčių.</w:t>
            </w:r>
            <w:r>
              <w:t xml:space="preserve"> </w:t>
            </w:r>
            <w:r>
              <w:rPr>
                <w:b/>
                <w:i/>
              </w:rPr>
              <w:t>Komunikate nustatyta, kad tam tikri didesnės gamintojo atsakomybės sistemų ypatumai yra viena iš kliūčių, apie kurias dažniausiai praneša tarpvalstybinę veiklą Sąjungoje vykdančios įmonės.</w:t>
            </w:r>
            <w:r>
              <w:t xml:space="preserve"> </w:t>
            </w:r>
            <w:r>
              <w:rPr>
                <w:b/>
                <w:i/>
              </w:rPr>
              <w:t>Nors didesnės gamintojo atsakomybės sistemos grindžiamos Sąjungos teisės aktais, principų ir reikalavimų nevienodumas lemia didelę valstybėse narėse sukurtų didesnės gamintojo atsakomybės sistemų įvairovę, reglamentavimo sudėtingumą ir didelę administracinę naštą įmonėms.</w:t>
            </w:r>
            <w:r>
              <w:t xml:space="preserve"> </w:t>
            </w:r>
            <w:r>
              <w:rPr>
                <w:b/>
                <w:i/>
              </w:rPr>
              <w:t>Šis reglamentas yra pirmas žingsnis siekiant iš esmės supaprastinti didesnės gamintojo atsakomybės sistemas atliekų srityje, o tolesnis supaprastinimas turėtų būti numatytas būsimame žiedinės ekonomikos akte;</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Komisijos komunikatas Europos Parlamentui, Tarybai, Europos ekonomikos ir socialinių reikalų komitetui ir Regionų komitetui „Bendroji rinka – Europos vidaus rinka neapibrėžtame pasaulyje. Strategija, kurią įgyvendinant siekiama bendrosios rinkos paprastumo, vientisumo ir tvirtumo Europos vidaus rinka neapibrėžtame pasaulyje“, COM(2025) 500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savo Komunikate dėl bendrosios rinkos strategijos</w:t>
            </w:r>
            <w:r>
              <w:rPr>
                <w:vertAlign w:val="superscript"/>
              </w:rPr>
              <w:t>5</w:t>
            </w:r>
            <w:r>
              <w:t>kaip kliūtį vidaus rinkai Komisija įvardijo tai, kad įmonės susiduria su nenuosekliomis nacionalinėmis taisyklėmis, dėl kurių sunkiau parduoti prekes ir paslaugas, didinti jų pardavimo mastą arba jas vežti į kitas valstybes. Komisija įsipareigojo pirmenybę teikti dešimčiai žalingiausių kliūčių. Komunikate nustatyta, kad tam tikri didesnės gamintojo atsakomybės sistemų ypatumai yra viena iš kliūčių, apie kurias dažniausiai praneša tarpvalstybinę veiklą Sąjungoje vykdančios įmonės. Nors didesnės gamintojo atsakomybės sistemos grindžiamos Sąjungos teisės aktais, principų ir reikalavimų nevienodumas lemia didelę valstybėse narėse sukurtų didesnės gamintojo atsakomybės sistemų įvairovę, reglamentavimo sudėtingumą ir didelę administracinę naštą įmonėms. Šis reglamentas yra pirmas žingsnis siekiant iš esmės supaprastinti didesnės gamintojo atsakomybės sistemas atliekų srityje, o tolesnis supaprastinimas turėtų būti numatytas būsimame žiedinės ekonomikos akte;</w:t>
            </w:r>
          </w:p>
        </w:tc>
        <w:tc>
          <w:tcPr>
            <w:tcW w:w="4876" w:type="dxa"/>
            <w:tcBorders>
              <w:top w:val="nil"/>
              <w:left w:val="nil"/>
              <w:bottom w:val="nil"/>
              <w:right w:val="nil"/>
            </w:tcBorders>
          </w:tcPr>
          <w:p>
            <w:pPr>
              <w:pStyle w:val="Normal6a"/>
            </w:pPr>
            <w:r>
              <w:t>(3)</w:t>
            </w:r>
            <w:r>
              <w:tab/>
            </w:r>
            <w:r>
              <w:t>savo Komunikate dėl bendrosios rinkos strategijos</w:t>
            </w:r>
            <w:r>
              <w:rPr>
                <w:vertAlign w:val="superscript"/>
              </w:rPr>
              <w:t>5</w:t>
            </w:r>
            <w:r>
              <w:t xml:space="preserve"> kaip kliūtį vidaus rinkai Komisija įvardijo tai, kad įmonės susiduria su nenuosekliomis nacionalinėmis taisyklėmis, dėl kurių sunkiau parduoti prekes ir paslaugas, didinti jų pardavimo mastą arba jas vežti į kitas valstybes. Komisija įsipareigojo pirmenybę teikti dešimčiai žalingiausių kliūčių. Komunikate nustatyta, kad tam tikri didesnės gamintojo atsakomybės sistemų ypatumai yra viena iš kliūčių, apie kurias dažniausiai praneša tarpvalstybinę veiklą Sąjungoje vykdančios įmonės. Nors didesnės gamintojo atsakomybės sistemos grindžiamos Sąjungos teisės aktais, principų ir reikalavimų nevienodumas lemia didelę valstybėse narėse sukurtų didesnės gamintojo atsakomybės sistemų įvairovę, reglamentavimo sudėtingumą ir didelę administracinę naštą įmonėms. Šis reglamentas yra pirmas žingsnis siekiant iš esmės supaprastinti didesnės gamintojo atsakomybės sistemas atliekų srityje, o tolesnis supaprastinimas turėtų būti numatytas būsimame žiedinės ekonomikos akte</w:t>
            </w:r>
            <w:r>
              <w:rPr>
                <w:b/>
                <w:i/>
              </w:rPr>
              <w:t>, kartu atsižvelgiant į konkrečias narės aplinkybes kiekvienoje valstybėje narėje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Komisijos komunikatas Europos Parlamentui, Tarybai, Europos ekonomikos ir socialinių reikalų komitetui ir Regionų komitetui „Bendroji rinka – Europos vidaus rinka neapibrėžtame pasaulyje</w:t>
            </w:r>
            <w:r>
              <w:rPr>
                <w:b/>
                <w:i/>
              </w:rPr>
              <w:t>.</w:t>
            </w:r>
            <w:r>
              <w:t xml:space="preserve"> Strategija, kurią įgyvendinant siekiama bendrosios rinkos paprastumo, vientisumo ir tvirtumo </w:t>
            </w:r>
            <w:r>
              <w:rPr>
                <w:b/>
                <w:i/>
              </w:rPr>
              <w:t>Europos vidaus rinka neapibrėžtame pasaulyje</w:t>
            </w:r>
            <w:r>
              <w:t>“, COM(2025) 500 final.</w:t>
            </w:r>
          </w:p>
        </w:tc>
        <w:tc>
          <w:tcPr>
            <w:tcW w:w="4876" w:type="dxa"/>
            <w:tcBorders>
              <w:top w:val="nil"/>
              <w:left w:val="nil"/>
              <w:bottom w:val="nil"/>
              <w:right w:val="nil"/>
            </w:tcBorders>
          </w:tcPr>
          <w:p>
            <w:pPr>
              <w:pStyle w:val="Normal6a"/>
            </w:pPr>
            <w:r>
              <w:rPr>
                <w:vertAlign w:val="superscript"/>
              </w:rPr>
              <w:t>5</w:t>
            </w:r>
            <w:r>
              <w:t xml:space="preserve"> </w:t>
            </w:r>
            <w:r>
              <w:t>Komisijos komunikatas Europos Parlamentui, Tarybai, Europos ekonomikos ir socialinių reikalų komitetui ir Regionų komitetui „Bendroji rinka – Europos vidaus rinka neapibrėžtame pasaulyje Strategija, kurią įgyvendinant siekiama bendrosios rinkos paprastumo, vientisumo ir tvirtumo“, COM(2025) 500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daugelyje valstybių narių didesnės gamintojo atsakomybės už baterijas sistemos jau yra sukurtos ir veikia.</w:t>
            </w:r>
            <w:r>
              <w:t xml:space="preserve"> </w:t>
            </w:r>
            <w:r>
              <w:rPr>
                <w:b/>
                <w:i/>
              </w:rPr>
              <w:t>Bet koks susijusių reikalavimų laikymosi pareigų sustabdymas arba pakeitimas turėtų būti atliekamas tik atlikus tinkamus poveikio vertinimus, kad nekiltų pavojus, jog bus pakenkta nusistovėjusioms finansavimo ir vykdymo užtikrinimo struktūroms.</w:t>
            </w:r>
            <w:r>
              <w:t xml:space="preserve"> </w:t>
            </w:r>
            <w:r>
              <w:rPr>
                <w:b/>
                <w:i/>
              </w:rPr>
              <w:t>Kita vertus, didesnės gamintojo atsakomybės sistemos, taikomos pakuotėms ir pakuočių atliekoms, vis dar nėra visapusiškai įgyvendintos arba yra toliau plėtojamos visoje Sąjungoje.</w:t>
            </w:r>
            <w:r>
              <w:t xml:space="preserve"> </w:t>
            </w:r>
            <w:r>
              <w:rPr>
                <w:b/>
                <w:i/>
              </w:rPr>
              <w:t>Todėl tikslinės ir proporcingos pereinamojo laikotarpio priemonės gali būti tinkamos siekiant palengvinti labai mažų įmonių dalyvavimą rinkoje nesutrikdant sistemų veikimo.</w:t>
            </w:r>
            <w:r>
              <w:t xml:space="preserve"> </w:t>
            </w:r>
            <w:r>
              <w:rPr>
                <w:b/>
                <w:i/>
              </w:rPr>
              <w:t>Todėl šiame reglamente tikslinga bet kokį laikiną pareigos paskirti įgaliotąjį atstovą sustabdymą taikyti tik Sąjungoje įsisteigusioms labai mažoms įmonėms ir produktų sritims, kuriose didesnės gamintojo atsakomybės sistemos Sąjungos lygmeniu dar neveikia visu pajėgumu, t. y. pakuotėms ir supakuotiems produktams, kartu išlaikant esamus reikalavimus sektoriams, turintiems nustatytas ir veikiančias didesnės gamintojo atsakomybės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gamintojams, pateikiantiems gaminius rinkai keliose valstybėse narėse, šiuo metu taikomos skirtingos registracijos procedūros, pranešimų teikimo formatai ir informavimo reikalavimai pagal didesnės gamintojų atsakomybės sistemas.</w:t>
            </w:r>
            <w:r>
              <w:t xml:space="preserve"> </w:t>
            </w:r>
            <w:r>
              <w:rPr>
                <w:b/>
                <w:i/>
              </w:rPr>
              <w:t>Toks susiskaidymas sukuria nereikalingą administracinę naštą ir reikalavimų laikymosi išlaidas ir gali kliudyti tinkamam vidaus rinkos funkcionavimui.</w:t>
            </w:r>
            <w:r>
              <w:t xml:space="preserve"> </w:t>
            </w:r>
            <w:r>
              <w:rPr>
                <w:b/>
                <w:i/>
              </w:rPr>
              <w:t>Siekdamos remti laisvą prekių judėjimą, kartu užtikrinant veiksmingą didesnės gamintojų atsakomybės pareigų įgyvendinimą ir vykdymo užtikrinimą, valstybės narės turėtų sudaryti palankesnes sąlygas keitimuisi informacija apie gamintojų registraciją, reikalavimų laikymosi statusą ir vykdymo užtikrinimo veiksmus.</w:t>
            </w:r>
            <w:r>
              <w:t xml:space="preserve"> </w:t>
            </w:r>
            <w:r>
              <w:rPr>
                <w:b/>
                <w:i/>
              </w:rPr>
              <w:t>Be to, Sąjunga turėtų skatinti sąveikias skaitmenines sistemas ir bendrus pranešimų teikimo reikalavimus, dėl kurių gamintojai galėtų įgyvendinti pareigas visoje Sąjungoje, naudodamiesi supaprastintomis ir suderintomis procedūromis;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šiame reglamente nustatytos supaprastinimo taisyklės turėtų apimti tik tuos Sąjungos teisės aktus, kuriuose numatyta pareiga įdiegti didesnės gamintojų atsakomybės sistemas, tačiau nebuvo reikalaujama kad jos būtų nustatytos iki 2025 m. gruodžio 10 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Suspending rules with regard to the appointment of authorised representatives for economic operators placing products on the market in a country in which they are not established in the context of EXISTING EPR schemes (such as for batteries) risks undermining the proper financing of EPR schemes, creating problems of enforcement, increasing the risk of free-riders and thus penalizing economic operators established in that country.</w:t>
      </w:r>
      <w:r>
        <w:t xml:space="preserve"> </w:t>
      </w:r>
      <w:r>
        <w:t>It is not appropriate to suspend provisions of laws which are already fully applicable.</w:t>
      </w:r>
      <w:r>
        <w:t xml:space="preserve"> </w:t>
      </w:r>
      <w:r>
        <w:t>It would only make things worse pending the adoption of a new system under the Circular Economy Act.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šiuo reglamentu nustatytos supaprastinimo priemonės turėtų likti laikinos, taikomos iki tol, kol bus pradėtas taikyti būsimas Žiedinės ekonomikos aktas, kaip paskelbta 2026 m. Komisijos darbo programoje.</w:t>
            </w:r>
            <w:r>
              <w:t xml:space="preserve"> </w:t>
            </w:r>
            <w:r>
              <w:rPr>
                <w:b/>
                <w:i/>
              </w:rPr>
              <w:t>Tikimasi, kad Žiedinės ekonomikos aktu bus nustatyta išsami, nuosekli ir teisinga horizontalioji didesnės gamintojo atsakomybės sistema, be kita ko, susijusi su pareiga paskirti įgaliotąjį atstovą valstybėse narėse, kuriose įmonė nėra įsisteigusi.</w:t>
            </w:r>
            <w:r>
              <w:t xml:space="preserve"> </w:t>
            </w:r>
            <w:r>
              <w:rPr>
                <w:b/>
                <w:i/>
              </w:rPr>
              <w:t>Tai geriausiai būtų galima pasiekti taikant ES masto skaitmeninę vieno langelio principu veikiančią sistemą arba sukuriant ES masto aprėpties sąveikias nacionalines sistemas, grindžiamas suderintais duomenų formatais.</w:t>
            </w:r>
            <w:r>
              <w:t xml:space="preserve"> </w:t>
            </w:r>
            <w:r>
              <w:rPr>
                <w:b/>
                <w:i/>
              </w:rPr>
              <w:t>Todėl, siekiant užtikrinti teisinį nuoseklumą, šis reglamentas turėtų būti nebetaikomas, kai bus pradėta taikyti platesnė horizontalioji sistema.</w:t>
            </w:r>
            <w:r>
              <w:t xml:space="preserve"> </w:t>
            </w:r>
            <w:r>
              <w:rPr>
                <w:b/>
                <w:i/>
              </w:rPr>
              <w:t>Šio reglamento taikymo sritis neturėtų daryti poveikio pareigos skirti įgaliotąjį atstovą pagal Žiedinės ekonomikos aktą taikymo sričiai;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Sustabdymas turi būti taikomas tik iki tol, kol bus pradėta taikyti peržiūrėta sistema.</w:t>
      </w:r>
      <w:r>
        <w:t xml:space="preserve"> </w:t>
      </w:r>
      <w:r>
        <w:t>EP turėtų pasinaudoti galimybe pasisakyti, kaip šis klausimas galėtų ir (arba) turėtų būti sprendžiamas atsižvelgiant į Žiedinės ekonomikos aktą.</w:t>
      </w:r>
      <w:r>
        <w:t xml:space="preserve"> </w:t>
      </w:r>
      <w:r>
        <w:t>Atsižvelgiant į tai, svarbu pabrėžti, kad šio stabdomojo akto taikymo sritis atitinkamų subjektų atžvilgiu neturėtų daryti poveikio pareigos paskirti įgaliotąjį atstovą pagal Žiedinės ekonomikos aktą taikymo sričiai.</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ypač dėl šio nepakankamo suderinimo, visų pirma dabartinių sektorinių teisės aktų nuostatų dėl įgaliotųjų atstovų didesnės gamintojo atsakomybės klausimams skyrimo, su skyrimu susijusių pareigų vykdymas gali lemti nereikalingą administracinę naštą gamintojams, vykdantiems veiklą keliose valstybėse narėse, kuriose jie nėra įsisteigę.</w:t>
            </w:r>
            <w:r>
              <w:t xml:space="preserve"> </w:t>
            </w:r>
            <w:r>
              <w:rPr>
                <w:b/>
                <w:i/>
              </w:rPr>
              <w:t>Prievolė paskirti įgaliotuosius atstovus atskirai kiekvienoje valstybėje narėje, kurioje gamintojas pateikia gaminius rinkai, išlaidų požiūriu yra ypač didelis iššūkis mažosioms ir vidutinėms įmonėms.</w:t>
            </w:r>
            <w:r>
              <w:t xml:space="preserve"> </w:t>
            </w:r>
            <w:r>
              <w:rPr>
                <w:b/>
                <w:i/>
              </w:rPr>
              <w:t>Siekiant užtikrinti vienodas sąlygas Sąjungoje įsisteigusiems gamintojams, svarbu, kad visose valstybėse narėse gamintojams būtų taikomos vienodos įgaliotojo atstovo didesnės gamintojo atsakomybės klausimams skyrimo taisyklės.</w:t>
            </w:r>
            <w:r>
              <w:t xml:space="preserve"> </w:t>
            </w:r>
            <w:r>
              <w:rPr>
                <w:b/>
                <w:i/>
              </w:rPr>
              <w:t>Dėl šiuo metu suskaidytos įvairiems produktams taikomos teisinės sistemos ir administracinės naštos, susijusios su reikalavimu paskirti įgaliotąjį atstovą didesnės gamintojo atsakomybės klausimams valstybėse narėse, kurių gali būti iki 26, nukenčia Sąjungoje įsisteigusių gamintojų konkurencingumas.</w:t>
            </w:r>
            <w:r>
              <w:t xml:space="preserve"> </w:t>
            </w:r>
            <w:r>
              <w:rPr>
                <w:b/>
                <w:i/>
              </w:rPr>
              <w:t>Todėl labai svarbu galiojančias taisykles suderinti veiksmingai ir greitai, taip sumažinant susijusią naštą minėtiems gamintojams.</w:t>
            </w:r>
            <w:r>
              <w:t xml:space="preserve"> </w:t>
            </w:r>
            <w:r>
              <w:rPr>
                <w:b/>
                <w:i/>
              </w:rPr>
              <w:t>Dėl to Komisija šiuo metu peržiūri pareigos paskirti įgaliotuosius atstovus, kaip apsaugos priemonės, kuria užtikrinama, kad gamintojai laikytųsi principo „teršėjas moka“, veiksmingumą, su ja susijusią administracinę naštą ir nenumatytas kliūtis vidaus rinkai.</w:t>
            </w:r>
            <w:r>
              <w:t xml:space="preserve"> </w:t>
            </w:r>
            <w:r>
              <w:rPr>
                <w:b/>
                <w:i/>
              </w:rPr>
              <w:t>Tikėtina, kad atlikus šią peržiūrą bus rasta alternatyvių sprendimų, kurie bus veiksmingesni ir mažiau apsunkinantys;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ypač dėl šio nepakankamo suderinimo, visų pirma dabartinių sektorinių teisės aktų nuostatų dėl</w:t>
            </w:r>
            <w:r>
              <w:t xml:space="preserve"> įgaliotųjų atstovų didesnės gamintojo atsakomybės </w:t>
            </w:r>
            <w:r>
              <w:rPr>
                <w:b/>
                <w:i/>
              </w:rPr>
              <w:t>klausimams skyrimo, su skyrimu susijusių pareigų vykdymas gali lemti</w:t>
            </w:r>
            <w:r>
              <w:t xml:space="preserve"> nereikalingą administracinę naštą </w:t>
            </w:r>
            <w:r>
              <w:rPr>
                <w:b/>
                <w:i/>
              </w:rPr>
              <w:t>gamintojams, vykdantiems veiklą keliose valstybėse narėse, kuriose jie nėra įsisteigę.</w:t>
            </w:r>
            <w:r>
              <w:t xml:space="preserve"> </w:t>
            </w:r>
            <w:r>
              <w:rPr>
                <w:b/>
                <w:i/>
              </w:rPr>
              <w:t>Prievolė paskirti</w:t>
            </w:r>
            <w:r>
              <w:t xml:space="preserve"> įgaliotuosius atstovus </w:t>
            </w:r>
            <w:r>
              <w:rPr>
                <w:b/>
                <w:i/>
              </w:rPr>
              <w:t>atskirai kiekvienoje valstybėje narėje, kurioje gamintojas pateikia gaminius rinkai</w:t>
            </w:r>
            <w:r>
              <w:t xml:space="preserve">, </w:t>
            </w:r>
            <w:r>
              <w:rPr>
                <w:b/>
                <w:i/>
              </w:rPr>
              <w:t>išlaidų požiūriu yra ypač didelis iššūkis</w:t>
            </w:r>
            <w:r>
              <w:t xml:space="preserve"> mažosioms </w:t>
            </w:r>
            <w:r>
              <w:rPr>
                <w:b/>
                <w:i/>
              </w:rPr>
              <w:t>ir</w:t>
            </w:r>
            <w:r>
              <w:t xml:space="preserve"> vidutinėms įmonėms</w:t>
            </w:r>
            <w:r>
              <w:rPr>
                <w:b/>
                <w:i/>
              </w:rPr>
              <w:t>.</w:t>
            </w:r>
            <w:r>
              <w:t xml:space="preserve"> </w:t>
            </w:r>
            <w:r>
              <w:rPr>
                <w:b/>
                <w:i/>
              </w:rPr>
              <w:t>Siekiant užtikrinti vienodas sąlygas Sąjungoje įsisteigusiems gamintojams, svarbu, kad visose valstybėse narėse gamintojams būtų taikomos vienodos įgaliotojo atstovo didesnės gamintojo atsakomybės klausimams skyrimo taisyklės</w:t>
            </w:r>
            <w:r>
              <w:t xml:space="preserve">. </w:t>
            </w:r>
            <w:r>
              <w:rPr>
                <w:b/>
                <w:i/>
              </w:rPr>
              <w:t>Dėl šiuo metu suskaidytos įvairiems produktams taikomos teisinės sistemos ir administracinės naštos, susijusios su reikalavimu paskirti įgaliotąjį atstovą didesnės gamintojo atsakomybės klausimams valstybėse narėse, kurių gali būti iki 26, nukenčia Sąjungoje įsisteigusių gamintojų konkurencingumas.</w:t>
            </w:r>
            <w:r>
              <w:t xml:space="preserve"> </w:t>
            </w:r>
            <w:r>
              <w:rPr>
                <w:b/>
                <w:i/>
              </w:rPr>
              <w:t>Todėl labai svarbu galiojančias taisykles suderinti veiksmingai ir greitai, taip sumažinant susijusią naštą minėtiems gamintojams.</w:t>
            </w:r>
            <w:r>
              <w:t xml:space="preserve"> </w:t>
            </w:r>
            <w:r>
              <w:rPr>
                <w:b/>
                <w:i/>
              </w:rPr>
              <w:t>Dėl to Komisija šiuo metu peržiūri pareigos paskirti įgaliotuosius atstovus, kaip apsaugos priemonės, kuria užtikrinama, kad gamintojai laikytųsi principo „teršėjas moka“, veiksmingumą, su ja susijusią administracinę naštą ir nenumatytas kliūtis vidaus</w:t>
            </w:r>
            <w:r>
              <w:t xml:space="preserve"> rinkai</w:t>
            </w:r>
            <w:r>
              <w:rPr>
                <w:b/>
                <w:i/>
              </w:rPr>
              <w:t>.</w:t>
            </w:r>
            <w:r>
              <w:t xml:space="preserve"> </w:t>
            </w:r>
            <w:r>
              <w:rPr>
                <w:b/>
                <w:i/>
              </w:rPr>
              <w:t>Tikėtina, kad atlikus šią peržiūrą bus rasta alternatyvių sprendimų, kurie bus veiksmingesni ir mažiau apsunkinantys</w:t>
            </w:r>
            <w:r>
              <w:t>;</w:t>
            </w:r>
          </w:p>
        </w:tc>
        <w:tc>
          <w:tcPr>
            <w:tcW w:w="4876" w:type="dxa"/>
            <w:tcBorders>
              <w:top w:val="nil"/>
              <w:left w:val="nil"/>
              <w:bottom w:val="nil"/>
              <w:right w:val="nil"/>
            </w:tcBorders>
          </w:tcPr>
          <w:p>
            <w:pPr>
              <w:pStyle w:val="Normal6a"/>
            </w:pPr>
            <w:r>
              <w:t>(4)</w:t>
            </w:r>
            <w:r>
              <w:tab/>
            </w:r>
            <w:r>
              <w:rPr>
                <w:b/>
                <w:i/>
              </w:rPr>
              <w:t>Administracinė našta, susijusi su</w:t>
            </w:r>
            <w:r>
              <w:t xml:space="preserve"> įgaliotųjų atstovų didesnės gamintojo atsakomybės </w:t>
            </w:r>
            <w:r>
              <w:rPr>
                <w:b/>
                <w:i/>
              </w:rPr>
              <w:t>pareigoms vykdyti paskyrimu, gali būti neproporcingai didelė labai mažoms įmonėms, vykdančioms tarpvalstybinę veiklą Sąjungoje, dėl jų ribotų administracinių ir finansinių pajėgumų.</w:t>
            </w:r>
            <w:r>
              <w:t xml:space="preserve"> </w:t>
            </w:r>
            <w:r>
              <w:rPr>
                <w:b/>
                <w:i/>
              </w:rPr>
              <w:t>Nors labai mažos įmonės sudaro didžiausią Sąjungos rinkoje veikiančių įmonių skaičių, jos tiekia tik labai nedidelę viso rinkai tiekiamų pakuočių kiekio dalį.</w:t>
            </w:r>
            <w:r>
              <w:t xml:space="preserve"> </w:t>
            </w:r>
            <w:r>
              <w:rPr>
                <w:b/>
                <w:i/>
              </w:rPr>
              <w:t>Todėl tikslinis ir laikinas labai mažų įmonių pareigos skirti įgaliotąjį atstovą sustabdymas su sąlyga, kad jos pateikia tik ribotą pakuočių kiekį valstybių, kuriose jos nėra įsisteigusios, rinkai, turėtų padėti sumažinti</w:t>
            </w:r>
            <w:r>
              <w:t xml:space="preserve"> nereikalingą administracinę naštą </w:t>
            </w:r>
            <w:r>
              <w:rPr>
                <w:b/>
                <w:i/>
              </w:rPr>
              <w:t>tais atvejais, kai ji yra didžiausia, kartu išlaikant pareigą skirti</w:t>
            </w:r>
            <w:r>
              <w:t xml:space="preserve"> įgaliotuosius atstovus </w:t>
            </w:r>
            <w:r>
              <w:rPr>
                <w:b/>
                <w:i/>
              </w:rPr>
              <w:t>didesnėms įmonėms, pavyzdžiui</w:t>
            </w:r>
            <w:r>
              <w:t>, mažosioms</w:t>
            </w:r>
            <w:r>
              <w:rPr>
                <w:b/>
                <w:i/>
              </w:rPr>
              <w:t>,</w:t>
            </w:r>
            <w:r>
              <w:t xml:space="preserve"> vidutinėms </w:t>
            </w:r>
            <w:r>
              <w:rPr>
                <w:b/>
                <w:i/>
              </w:rPr>
              <w:t>ir didelėms</w:t>
            </w:r>
            <w:r>
              <w:t xml:space="preserve"> įmonėms</w:t>
            </w:r>
            <w:r>
              <w:rPr>
                <w:b/>
                <w:i/>
              </w:rPr>
              <w:t>, kurios savo ruožtu tiekia daugiau nei 90 proc</w:t>
            </w:r>
            <w:r>
              <w:t xml:space="preserve">. rinkai </w:t>
            </w:r>
            <w:r>
              <w:rPr>
                <w:b/>
                <w:i/>
              </w:rPr>
              <w:t>tiekiamų pakuočių kiekio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Labai mažos įmonės sudaro daugiau kaip 90 proc. įmonių, tiekiančių rinkai pakuotes pagal įmonių skaičių, tačiau tik 2–5 proc. pagal pakuočių kiekį.</w:t>
      </w:r>
      <w:r>
        <w:t xml:space="preserve"> </w:t>
      </w:r>
      <w:r>
        <w:t>Mažosios įmonės sudaro apie 5 proc. visų įmonių, tiekiančių rinkai pakuotes, tačiau jos tiekia 8–15 proc. pakuočių kiekio.</w:t>
      </w:r>
      <w:r>
        <w:t xml:space="preserve"> </w:t>
      </w:r>
      <w:r>
        <w:t>Todėl būtų priimtina laikinai taikyti išimtį labai mažoms įmonėms, bet ne mažosioms įmonėms, nes jų tiekiamas kiekis yra didelis, tačiau jų yra gerokai mažiau, palyginti su labai mažų įmonių skaičiumi [DI grindžiamų tyrimų diagramos].</w:t>
      </w:r>
      <w:r>
        <w:t xml:space="preserve"> </w:t>
      </w:r>
      <w:r>
        <w:t>Tačiau labai mažoms įmonėms taikomai išimčiai taip pat turėtų būti taikoma kiekio tonomis riba.</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ypač dėl šio nepakankamo suderinimo, visų pirma dabartinių sektorinių teisės aktų nuostatų dėl įgaliotųjų atstovų didesnės gamintojo atsakomybės klausimams skyrimo, su skyrimu susijusių pareigų vykdymas gali lemti nereikalingą administracinę naštą gamintojams, vykdantiems veiklą keliose valstybėse narėse, kuriose jie nėra įsisteigę. Prievolė paskirti įgaliotuosius atstovus atskirai kiekvienoje valstybėje narėje, kurioje gamintojas pateikia gaminius rinkai, išlaidų požiūriu yra ypač didelis iššūkis </w:t>
            </w:r>
            <w:r>
              <w:rPr>
                <w:b/>
                <w:i/>
              </w:rPr>
              <w:t>mažosioms ir vidutinėms</w:t>
            </w:r>
            <w:r>
              <w:t xml:space="preserve"> įmonėms. </w:t>
            </w:r>
            <w:r>
              <w:rPr>
                <w:b/>
                <w:i/>
              </w:rPr>
              <w:t>Siekiant užtikrinti vienodas sąlygas Sąjungoje įsisteigusiems gamintojams, svarbu, kad visose valstybėse narėse gamintojams būtų taikomos vienodos įgaliotojo atstovo didesnės gamintojo atsakomybės klausimams skyrimo taisyklės</w:t>
            </w:r>
            <w:r>
              <w:t xml:space="preserve">. Dėl šiuo metu suskaidytos įvairiems produktams taikomos teisinės sistemos ir administracinės naštos, susijusios su reikalavimu paskirti įgaliotąjį atstovą didesnės gamintojo atsakomybės klausimams valstybėse narėse, kurių gali būti iki 26, </w:t>
            </w:r>
            <w:r>
              <w:rPr>
                <w:b/>
                <w:i/>
              </w:rPr>
              <w:t>nukenčia</w:t>
            </w:r>
            <w:r>
              <w:t xml:space="preserve"> Sąjungoje įsisteigusių gamintojų konkurencingumas. Todėl labai svarbu galiojančias taisykles suderinti veiksmingai ir greitai, taip sumažinant susijusią naštą </w:t>
            </w:r>
            <w:r>
              <w:rPr>
                <w:b/>
                <w:i/>
              </w:rPr>
              <w:t>minėtiems gamintojams</w:t>
            </w:r>
            <w:r>
              <w:t>. Dėl to Komisija šiuo metu peržiūri pareigos paskirti įgaliotuosius atstovus, kaip apsaugos priemonės, kuria užtikrinama, kad gamintojai laikytųsi principo „teršėjas moka“, veiksmingumą, su ja susijusią administracinę naštą ir nenumatytas kliūtis vidaus rinkai. Tikėtina, kad atlikus šią peržiūrą bus rasta alternatyvių sprendimų, kurie bus veiksmingesni ir mažiau apsunkinantys;</w:t>
            </w:r>
          </w:p>
        </w:tc>
        <w:tc>
          <w:tcPr>
            <w:tcW w:w="4876" w:type="dxa"/>
            <w:tcBorders>
              <w:top w:val="nil"/>
              <w:left w:val="nil"/>
              <w:bottom w:val="nil"/>
              <w:right w:val="nil"/>
            </w:tcBorders>
          </w:tcPr>
          <w:p>
            <w:pPr>
              <w:pStyle w:val="Normal6a"/>
            </w:pPr>
            <w:r>
              <w:t>(4)</w:t>
            </w:r>
            <w:r>
              <w:tab/>
            </w:r>
            <w:r>
              <w:t xml:space="preserve">ypač dėl šio nepakankamo suderinimo, visų pirma dabartinių sektorinių teisės aktų nuostatų dėl įgaliotųjų atstovų didesnės gamintojo atsakomybės klausimams skyrimo, su skyrimu susijusių pareigų vykdymas gali lemti nereikalingą administracinę naštą gamintojams, vykdantiems veiklą keliose valstybėse narėse, kuriose jie nėra įsisteigę. Prievolė paskirti įgaliotuosius atstovus atskirai kiekvienoje valstybėje narėje, kurioje gamintojas pateikia gaminius rinkai, išlaidų požiūriu yra ypač didelis iššūkis </w:t>
            </w:r>
            <w:r>
              <w:rPr>
                <w:b/>
                <w:i/>
              </w:rPr>
              <w:t>labai mažoms</w:t>
            </w:r>
            <w:r>
              <w:t xml:space="preserve"> įmonėms. </w:t>
            </w:r>
            <w:r>
              <w:rPr>
                <w:b/>
                <w:i/>
              </w:rPr>
              <w:t>Tos labai mažos įmonės turėtų būti suprantamos atsižvelgiant į naujausias ribas, taikomas labai mažoms įmonėms, t. y. įmonėms, neviršijančioms bent dviejų iš šių trijų kriterijų:</w:t>
            </w:r>
            <w:r>
              <w:t xml:space="preserve"> </w:t>
            </w:r>
            <w:r>
              <w:rPr>
                <w:b/>
                <w:i/>
              </w:rPr>
              <w:t>bendra balanso suma – 450 000 EUR, grynoji apyvarta – 900 000 EUR ir vidutinis darbuotojų skaičius per finansinius metus – 10 darbuotojų, kaip apibrėžta Direktyvos 2013/34/ES 3 straipsnio 1 dalyje su pakeitimais, padarytais Komisijos deleguotosios direktyvos (ES) 2023/2775 1 straipsnio 1 dalimi</w:t>
            </w:r>
            <w:r>
              <w:t xml:space="preserve">. Dėl šiuo metu suskaidytos įvairiems produktams taikomos teisinės sistemos ir administracinės naštos, susijusios su reikalavimu paskirti įgaliotąjį atstovą didesnės gamintojo atsakomybės klausimams valstybėse narėse, kurių gali būti iki 26, </w:t>
            </w:r>
            <w:r>
              <w:rPr>
                <w:b/>
                <w:i/>
              </w:rPr>
              <w:t>gali nukentėti</w:t>
            </w:r>
            <w:r>
              <w:t xml:space="preserve"> Sąjungoje įsisteigusių gamintojų konkurencingumas. Todėl labai svarbu galiojančias taisykles suderinti veiksmingai ir greitai, taip sumažinant susijusią naštą </w:t>
            </w:r>
            <w:r>
              <w:rPr>
                <w:b/>
                <w:i/>
              </w:rPr>
              <w:t>tokioms labai mažoms įmonėms</w:t>
            </w:r>
            <w:r>
              <w:t>. Dėl to Komisija šiuo metu peržiūri pareigos paskirti įgaliotuosius atstovus, kaip apsaugos priemonės, kuria užtikrinama, kad gamintojai laikytųsi principo „teršėjas moka“, veiksmingumą, su ja susijusią administracinę naštą ir nenumatytas kliūtis vidaus rinkai. Tikėtina, kad atlikus šią peržiūrą bus rasta alternatyvių sprendimų, kurie bus veiksmingesni ir mažiau apsunkinantys;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ypač dėl šio nepakankamo suderinimo, </w:t>
            </w:r>
            <w:r>
              <w:rPr>
                <w:b/>
                <w:i/>
              </w:rPr>
              <w:t>visų pirma dabartinių sektorinių teisės aktų nuostatų dėl</w:t>
            </w:r>
            <w:r>
              <w:t xml:space="preserve"> įgaliotųjų atstovų didesnės gamintojo atsakomybės klausimams </w:t>
            </w:r>
            <w:r>
              <w:rPr>
                <w:b/>
                <w:i/>
              </w:rPr>
              <w:t>skyrimo, su</w:t>
            </w:r>
            <w:r>
              <w:t xml:space="preserve"> skyrimu susijusių pareigų vykdymas gali lemti nereikalingą administracinę naštą </w:t>
            </w:r>
            <w:r>
              <w:rPr>
                <w:b/>
                <w:i/>
              </w:rPr>
              <w:t>gamintojams, vykdantiems</w:t>
            </w:r>
            <w:r>
              <w:t xml:space="preserve"> veiklą keliose valstybėse narėse, kuriose jie nėra įsisteigę</w:t>
            </w:r>
            <w:r>
              <w:rPr>
                <w:b/>
                <w:i/>
              </w:rPr>
              <w:t>.</w:t>
            </w:r>
            <w:r>
              <w:t xml:space="preserve"> </w:t>
            </w:r>
            <w:r>
              <w:rPr>
                <w:b/>
                <w:i/>
              </w:rPr>
              <w:t>Prievolė paskirti įgaliotuosius atstovus atskirai kiekvienoje valstybėje narėje, kurioje gamintojas pateikia gaminius rinkai, išlaidų požiūriu yra ypač didelis iššūkis mažosioms ir vidutinėms įmonėms</w:t>
            </w:r>
            <w:r>
              <w:t>. Siekiant užtikrinti vienodas sąlygas Sąjungoje įsisteigusiems gamintojams, svarbu, kad visose valstybėse narėse gamintojams būtų taikomos vienodos įgaliotojo atstovo didesnės gamintojo atsakomybės klausimams skyrimo taisyklės. Dėl šiuo metu suskaidytos įvairiems produktams taikomos teisinės sistemos ir administracinės naštos, susijusios su reikalavimu paskirti įgaliotąjį atstovą didesnės gamintojo atsakomybės klausimams valstybėse narėse, kurių gali būti iki 26, nukenčia Sąjungoje įsisteigusių gamintojų konkurencingumas. Todėl labai svarbu galiojančias taisykles suderinti veiksmingai ir greitai, taip sumažinant susijusią naštą minėtiems gamintojams. Dėl to Komisija šiuo metu peržiūri pareigos paskirti įgaliotuosius atstovus, kaip apsaugos priemonės, kuria užtikrinama, kad gamintojai laikytųsi principo „teršėjas moka“, veiksmingumą</w:t>
            </w:r>
            <w:r>
              <w:rPr>
                <w:b/>
                <w:i/>
              </w:rPr>
              <w:t>, su ja susijusią administracinę naštą ir nenumatytas kliūtis vidaus rinkai.</w:t>
            </w:r>
            <w:r>
              <w:t xml:space="preserve"> </w:t>
            </w:r>
            <w:r>
              <w:rPr>
                <w:b/>
                <w:i/>
              </w:rPr>
              <w:t>Tikėtina, kad atlikus šią peržiūrą bus rasta</w:t>
            </w:r>
            <w:r>
              <w:t xml:space="preserve"> alternatyvių sprendimų, kurie </w:t>
            </w:r>
            <w:r>
              <w:rPr>
                <w:b/>
                <w:i/>
              </w:rPr>
              <w:t>bus</w:t>
            </w:r>
            <w:r>
              <w:t xml:space="preserve"> veiksmingesni </w:t>
            </w:r>
            <w:r>
              <w:rPr>
                <w:b/>
                <w:i/>
              </w:rPr>
              <w:t>ir</w:t>
            </w:r>
            <w:r>
              <w:t xml:space="preserve"> mažiau apsunkinantys;</w:t>
            </w:r>
          </w:p>
        </w:tc>
        <w:tc>
          <w:tcPr>
            <w:tcW w:w="4876" w:type="dxa"/>
            <w:tcBorders>
              <w:top w:val="nil"/>
              <w:left w:val="nil"/>
              <w:bottom w:val="nil"/>
              <w:right w:val="nil"/>
            </w:tcBorders>
          </w:tcPr>
          <w:p>
            <w:pPr>
              <w:pStyle w:val="Normal6a"/>
            </w:pPr>
            <w:r>
              <w:t>(4)</w:t>
            </w:r>
            <w:r>
              <w:tab/>
            </w:r>
            <w:r>
              <w:t xml:space="preserve">ypač dėl šio nepakankamo suderinimo, </w:t>
            </w:r>
            <w:r>
              <w:rPr>
                <w:b/>
                <w:i/>
              </w:rPr>
              <w:t>su</w:t>
            </w:r>
            <w:r>
              <w:t xml:space="preserve"> įgaliotųjų atstovų didesnės gamintojo atsakomybės klausimams skyrimu susijusių pareigų vykdymas gali lemti nereikalingą administracinę </w:t>
            </w:r>
            <w:r>
              <w:rPr>
                <w:b/>
                <w:i/>
              </w:rPr>
              <w:t>ir finansinę</w:t>
            </w:r>
            <w:r>
              <w:t xml:space="preserve"> naštą </w:t>
            </w:r>
            <w:r>
              <w:rPr>
                <w:b/>
                <w:i/>
              </w:rPr>
              <w:t>labai mažoms ir mažosioms įmonėms, vykdančioms</w:t>
            </w:r>
            <w:r>
              <w:t xml:space="preserve"> veiklą keliose valstybėse narėse, kuriose jie nėra įsisteigę. Siekiant užtikrinti vienodas sąlygas Sąjungoje įsisteigusiems gamintojams, svarbu, kad visose valstybėse narėse gamintojams būtų taikomos vienodos įgaliotojo atstovo didesnės gamintojo atsakomybės klausimams skyrimo taisyklės. Dėl šiuo metu suskaidytos įvairiems produktams taikomos teisinės sistemos ir administracinės naštos, susijusios su reikalavimu paskirti įgaliotąjį atstovą didesnės gamintojo atsakomybės klausimams valstybėse narėse, kurių gali būti iki 26, nukenčia Sąjungoje įsisteigusių gamintojų konkurencingumas. Todėl labai svarbu galiojančias taisykles suderinti veiksmingai ir greitai, taip sumažinant susijusią naštą minėtiems gamintojams. Dėl to </w:t>
            </w:r>
            <w:r>
              <w:rPr>
                <w:b/>
                <w:i/>
              </w:rPr>
              <w:t xml:space="preserve">tikslinis ir laikinas pareigos skirti įgaliotąjį atstovą taikymo sustabdymas turėtų padėti sumažinti administracinę naštą ir reikalavimų laikymosi išlaidas tais atvejais, kai jos yra didžiausios, visų pirma Sąjungoje įsisteigusioms labai mažoms ir mažosioms įmonėms, kartu išlaikant tinkamas apsaugos priemones, kad būtų užtikrintas atsekamumas, veiksmingas vykdymo užtikrinimas ir didesnės gamintojo atsakomybės reikalavimų laikymasis. </w:t>
            </w:r>
            <w:r>
              <w:t xml:space="preserve"> Komisija šiuo metu peržiūri pareigos paskirti įgaliotuosius atstovus</w:t>
            </w:r>
            <w:r>
              <w:rPr>
                <w:b/>
                <w:i/>
              </w:rPr>
              <w:t>, su ja susijusios administracinės naštos ir galimas nenumatytas kliūtis vidaus rinkai</w:t>
            </w:r>
            <w:r>
              <w:t>, kaip apsaugos priemonės, kuria užtikrinama, kad gamintojai laikytųsi principo „teršėjas moka“, veiksmingumą</w:t>
            </w:r>
            <w:r>
              <w:rPr>
                <w:b/>
                <w:i/>
              </w:rPr>
              <w:t>.</w:t>
            </w:r>
            <w:r>
              <w:t xml:space="preserve"> </w:t>
            </w:r>
            <w:r>
              <w:rPr>
                <w:b/>
                <w:i/>
              </w:rPr>
              <w:t>Šia peržiūra turėtų būti remiamas</w:t>
            </w:r>
            <w:r>
              <w:t xml:space="preserve"> alternatyvių sprendimų, kurie </w:t>
            </w:r>
            <w:r>
              <w:rPr>
                <w:b/>
                <w:i/>
              </w:rPr>
              <w:t>būtų</w:t>
            </w:r>
            <w:r>
              <w:t xml:space="preserve"> veiksmingesni</w:t>
            </w:r>
            <w:r>
              <w:rPr>
                <w:b/>
                <w:i/>
              </w:rPr>
              <w:t>,</w:t>
            </w:r>
            <w:r>
              <w:t xml:space="preserve"> mažiau apsunkinantys </w:t>
            </w:r>
            <w:r>
              <w:rPr>
                <w:b/>
                <w:i/>
              </w:rPr>
              <w:t>ir labiau pritaikyti tam, kad palengvintų tarpvalstybinę ekonominę veiklą Sąjungoje, nustatymą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su didesne gamintojo atsakomybe susijusios administracinės pareigos daro neproporcingą poveikį mažosioms ir vidutinėms įmonėms, kurios yra esminė Europos ekonominės struktūros dalis, visų pirma dėl jų turimų išteklių ir gamybos apimties.</w:t>
            </w:r>
            <w:r>
              <w:t xml:space="preserve"> </w:t>
            </w:r>
            <w:r>
              <w:rPr>
                <w:b/>
                <w:i/>
              </w:rPr>
              <w:t>Tokia administracinė našta turi būti vertinama atsižvelgiant į bendrą kontekstą, kuris yra ypač nepalankus mūsų įmonių konkurencingumui ir kurį daugiausia lemia žalingi žaliojo kurso standartai;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siekiant supaprastinti gamintojams taikomus reikalavimus ir sumažinti administracinę naštą, baterijų gamintojai ir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w:t>
            </w:r>
            <w:r>
              <w:t xml:space="preserve"> </w:t>
            </w:r>
            <w:r>
              <w:rPr>
                <w:b/>
                <w:i/>
              </w:rPr>
              <w:t>Taip sudaromos sąlygos įgaliotąjį atstovą didesnės gamintojo atsakomybės klausimams jau paskyrusiems gamintojams išlaikyti savo esamą tvarką, kartu nedelsiant sumažinant išlaidas ir administracinę naštą gamintojams, nenorintiems skirti įgaliotojo atstovo didesnės gamintojo atsakomybės klausimams;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siekiant supaprastinti gamintojams taikomus reikalavimus ir sumažinti administracinę naštą, </w:t>
            </w:r>
            <w:r>
              <w:rPr>
                <w:b/>
                <w:i/>
              </w:rPr>
              <w:t>baterijų gamintojai ir</w:t>
            </w:r>
            <w:r>
              <w:t xml:space="preserve"> pakuočių ar supakuotų produktų </w:t>
            </w:r>
            <w:r>
              <w:rPr>
                <w:b/>
                <w:i/>
              </w:rPr>
              <w:t>gamintojai</w:t>
            </w:r>
            <w:r>
              <w:t xml:space="preserve"> (toliau – pakuočių gamintojai)</w:t>
            </w:r>
            <w:r>
              <w:rPr>
                <w:b/>
                <w:i/>
              </w:rPr>
              <w:t>, tiekiantys</w:t>
            </w:r>
            <w:r>
              <w:t xml:space="preserve"> produktus kitos valstybės narės, kurioje jie nėra įsisteigę, rinkai</w:t>
            </w:r>
            <w:r>
              <w:rPr>
                <w:b/>
                <w:i/>
              </w:rPr>
              <w:t>, turėtų turėti galimybę pasirinkti, ar paskirti įgaliotąjį atstovą didesnės gamintojo atsakomybės klausimams ar ne ir toks paskyrimas turėtų būti neprivalomas</w:t>
            </w:r>
            <w:r>
              <w:t>. Taip sudaromos sąlygos įgaliotąjį atstovą didesnės gamintojo atsakomybės klausimams jau paskyrusiems gamintojams išlaikyti savo esamą tvarką, kartu nedelsiant sumažinant išlaidas ir administracinę naštą gamintojams, nenorintiems skirti įgaliotojo atstovo didesnės gamintojo atsakomybės klausimams;</w:t>
            </w:r>
          </w:p>
        </w:tc>
        <w:tc>
          <w:tcPr>
            <w:tcW w:w="4876" w:type="dxa"/>
            <w:tcBorders>
              <w:top w:val="nil"/>
              <w:left w:val="nil"/>
              <w:bottom w:val="nil"/>
              <w:right w:val="nil"/>
            </w:tcBorders>
          </w:tcPr>
          <w:p>
            <w:pPr>
              <w:pStyle w:val="Normal6a"/>
            </w:pPr>
            <w:r>
              <w:t>(5)</w:t>
            </w:r>
            <w:r>
              <w:tab/>
            </w:r>
            <w:r>
              <w:t xml:space="preserve">Siekiant supaprastinti gamintojams taikomus reikalavimus ir sumažinti administracinę naštą, </w:t>
            </w:r>
            <w:r>
              <w:rPr>
                <w:b/>
                <w:i/>
              </w:rPr>
              <w:t>tik labai mažos įmonės, kaip apibrėžta Europos Parlamento ir Tarybos direktyvos 2013/34/ES 3 straipsnio 1 dalyje, tarp</w:t>
            </w:r>
            <w:r>
              <w:t xml:space="preserve"> pakuočių ar supakuotų produktų </w:t>
            </w:r>
            <w:r>
              <w:rPr>
                <w:b/>
                <w:i/>
              </w:rPr>
              <w:t>gamintojų</w:t>
            </w:r>
            <w:r>
              <w:t xml:space="preserve"> (toliau – pakuočių gamintojai) </w:t>
            </w:r>
            <w:r>
              <w:rPr>
                <w:b/>
                <w:i/>
              </w:rPr>
              <w:t>turėtų laikinai galėti pasirinkti, ar paskirti savo įgaliotąjį atstovą didesnės gamintojo atsakomybės klausimams, kai jie tiekia</w:t>
            </w:r>
            <w:r>
              <w:t xml:space="preserve"> produktus kitos valstybės narės, kurioje jie nėra įsisteigę, rinkai. Taip sudaromos sąlygos įgaliotąjį atstovą didesnės gamintojo atsakomybės klausimams jau paskyrusiems gamintojams</w:t>
            </w:r>
            <w:r>
              <w:rPr>
                <w:b/>
                <w:i/>
              </w:rPr>
              <w:t>, kurie yra labai mažos įmonės,</w:t>
            </w:r>
            <w:r>
              <w:t xml:space="preserve"> išlaikyti savo esamą tvarką, kartu nedelsiant sumažinant išlaidas ir administracinę naštą gamintojams, </w:t>
            </w:r>
            <w:r>
              <w:rPr>
                <w:b/>
                <w:i/>
              </w:rPr>
              <w:t>kurie yra labai mažos įmonės,</w:t>
            </w:r>
            <w:r>
              <w:t xml:space="preserve"> nenorintiems skirti įgaliotojo atstovo didesnės gamintojo atsakomybės klausimams</w:t>
            </w:r>
            <w:r>
              <w:rPr>
                <w:b/>
                <w:i/>
              </w:rPr>
              <w:t>.</w:t>
            </w:r>
            <w:r>
              <w:t xml:space="preserve"> </w:t>
            </w:r>
            <w:r>
              <w:rPr>
                <w:b/>
                <w:i/>
              </w:rPr>
              <w:t>Be to, ne Sąjungoje įsisteigusiems gamintojams turėtų būti taikoma pareiga paskirti įgaliotąjį atstovą, kad būtų užtikrintas veiksmingas didesnės gamintojo atsakomybės reikalavimų vykdymas, teisinė atskaitomybė, veiksminga rinkos priežiūra ir vienodos sąlygos visoje Sąjungoje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The proposed exemption should remain strictly targeted and proportionate.</w:t>
      </w:r>
      <w:r>
        <w:t xml:space="preserve"> </w:t>
      </w:r>
      <w:r>
        <w:t>Extended producer responsibility schemes for batteries are already operational and functioning in many Member States.</w:t>
      </w:r>
      <w:r>
        <w:t xml:space="preserve"> </w:t>
      </w:r>
      <w:r>
        <w:t>Any suspension or modification of related compliance obligations should only be undertaken with proper impact assessments to not risk undermining established financing and enforcement structures.</w:t>
      </w:r>
      <w:r>
        <w:t xml:space="preserve"> </w:t>
      </w:r>
      <w:r>
        <w:t>By contrast, EPR systems for textiles are still in the process of being fully implemented or further developed across the Union and therefore targeted and proportionate transitional measures may be appropriate to facilitate market participation for micro enterprises without disrupting functioning systems.</w:t>
      </w:r>
      <w:r>
        <w:t xml:space="preserve"> </w:t>
      </w:r>
      <w:r>
        <w:t>While the administrative and compliance costs linked to the appointment of an authorised representative may represent a disproportionate burden for micro enterprises, this is generally not the case for bigger economic operators active in cross-border trade.</w:t>
      </w:r>
      <w:r>
        <w:t xml:space="preserve"> </w:t>
      </w:r>
      <w:r>
        <w:t>It is therefore appropriate to limit any temporary suspension of the obligation to appoint an authorised representative strictly to micro enterprises established in the Union and to product areas where EPR systems are not yet fully operational at Union level.</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siekiant supaprastinti gamintojams taikomus reikalavimus ir sumažinti administracinę naštą, </w:t>
            </w:r>
            <w:r>
              <w:rPr>
                <w:b/>
                <w:i/>
              </w:rPr>
              <w:t>baterijų gamintojai ir</w:t>
            </w:r>
            <w:r>
              <w:t xml:space="preserve">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 Taip sudaromos sąlygos įgaliotąjį atstovą didesnės gamintojo atsakomybės klausimams jau paskyrusiems gamintojams išlaikyti savo esamą tvarką, kartu nedelsiant sumažinant išlaidas ir administracinę naštą gamintojams, nenorintiems skirti įgaliotojo atstovo didesnės gamintojo atsakomybės klausimams;</w:t>
            </w:r>
          </w:p>
        </w:tc>
        <w:tc>
          <w:tcPr>
            <w:tcW w:w="4876" w:type="dxa"/>
            <w:tcBorders>
              <w:top w:val="nil"/>
              <w:left w:val="nil"/>
              <w:bottom w:val="nil"/>
              <w:right w:val="nil"/>
            </w:tcBorders>
          </w:tcPr>
          <w:p>
            <w:pPr>
              <w:pStyle w:val="Normal6a"/>
            </w:pPr>
            <w:r>
              <w:t>(5)</w:t>
            </w:r>
            <w:r>
              <w:tab/>
            </w:r>
            <w:r>
              <w:t xml:space="preserve">Siekiant supaprastinti gamintojams taikomus reikalavimus ir sumažinti administracinę naštą, </w:t>
            </w:r>
            <w:r>
              <w:rPr>
                <w:b/>
                <w:i/>
              </w:rPr>
              <w:t>tam tikri labai maži</w:t>
            </w:r>
            <w:r>
              <w:t xml:space="preserve">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 Taip sudaromos sąlygos įgaliotąjį atstovą didesnės gamintojo atsakomybės klausimams jau paskyrusiems </w:t>
            </w:r>
            <w:r>
              <w:rPr>
                <w:b/>
                <w:i/>
              </w:rPr>
              <w:t>labai mažiems</w:t>
            </w:r>
            <w:r>
              <w:t xml:space="preserve"> gamintojams išlaikyti savo esamą tvarką, kartu nedelsiant sumažinant išlaidas ir administracinę naštą </w:t>
            </w:r>
            <w:r>
              <w:rPr>
                <w:b/>
                <w:i/>
              </w:rPr>
              <w:t>tam tikriems labai mažiems</w:t>
            </w:r>
            <w:r>
              <w:t xml:space="preserve"> gamintojams, nenorintiems skirti įgaliotojo atstovo didesnės gamintojo atsakomybės klausimams</w:t>
            </w:r>
            <w:r>
              <w:rPr>
                <w:b/>
                <w:i/>
              </w:rPr>
              <w:t>.</w:t>
            </w:r>
            <w:r>
              <w:t xml:space="preserve"> </w:t>
            </w:r>
            <w:r>
              <w:rPr>
                <w:b/>
                <w:i/>
              </w:rPr>
              <w:t>Tai turėtų būti taikoma tik labai mažiems gamintojams, kurie tiekia tik ribotą pakuočių ar supakuotų produktų kiekį kitos valstybės narės, kurioje jie nėra įsisteigę, rinkai.</w:t>
            </w:r>
            <w:r>
              <w:t xml:space="preserve"> </w:t>
            </w:r>
            <w:r>
              <w:rPr>
                <w:b/>
                <w:i/>
              </w:rPr>
              <w:t>Komisijai turėtų būti suteikti įgaliojimai deleguotuoju aktu keisti kiekio tonomis ribą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siekiant supaprastinti gamintojams taikomus reikalavimus ir sumažinti administracinę naštą, baterijų gamintojai ir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 Taip sudaromos sąlygos įgaliotąjį atstovą didesnės gamintojo atsakomybės klausimams jau paskyrusiems gamintojams išlaikyti savo esamą tvarką, kartu nedelsiant sumažinant išlaidas ir administracinę naštą gamintojams, nenorintiems skirti įgaliotojo atstovo didesnės gamintojo atsakomybės klausimams</w:t>
            </w:r>
            <w:r>
              <w:rPr>
                <w:b/>
                <w:i/>
              </w:rPr>
              <w:t>;</w:t>
            </w:r>
          </w:p>
        </w:tc>
        <w:tc>
          <w:tcPr>
            <w:tcW w:w="4876" w:type="dxa"/>
            <w:tcBorders>
              <w:top w:val="nil"/>
              <w:left w:val="nil"/>
              <w:bottom w:val="nil"/>
              <w:right w:val="nil"/>
            </w:tcBorders>
          </w:tcPr>
          <w:p>
            <w:pPr>
              <w:pStyle w:val="Normal6a"/>
            </w:pPr>
            <w:r>
              <w:t>(5)</w:t>
            </w:r>
            <w:r>
              <w:tab/>
            </w:r>
            <w:r>
              <w:t xml:space="preserve">Siekiant supaprastinti </w:t>
            </w:r>
            <w:r>
              <w:rPr>
                <w:b/>
                <w:i/>
              </w:rPr>
              <w:t>Sąjungoje įsisteigusiems</w:t>
            </w:r>
            <w:r>
              <w:t xml:space="preserve"> gamintojams taikomus reikalavimus ir sumažinti administracinę naštą, </w:t>
            </w:r>
            <w:r>
              <w:rPr>
                <w:b/>
                <w:i/>
              </w:rPr>
              <w:t>ypač maži ir mažieji</w:t>
            </w:r>
            <w:r>
              <w:t xml:space="preserve"> baterijų gamintojai ir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 Taip sudaromos sąlygos įgaliotąjį atstovą didesnės gamintojo atsakomybės klausimams jau paskyrusiems gamintojams išlaikyti savo esamą tvarką, kartu nedelsiant sumažinant išlaidas ir administracinę naštą </w:t>
            </w:r>
            <w:r>
              <w:rPr>
                <w:b/>
                <w:i/>
              </w:rPr>
              <w:t>labai mažiems ir mažiesiems</w:t>
            </w:r>
            <w:r>
              <w:t xml:space="preserve"> gamintojams, nenorintiems skirti įgaliotojo atstovo didesnės gamintojo atsakomybės klausimams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siekiant supaprastinti gamintojams taikomus reikalavimus ir sumažinti administracinę naštą, baterijų gamintojai ir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 Taip sudaromos sąlygos įgaliotąjį atstovą didesnės gamintojo atsakomybės klausimams jau paskyrusiems gamintojams išlaikyti savo esamą tvarką, kartu nedelsiant sumažinant išlaidas ir administracinę naštą gamintojams, nenorintiems skirti įgaliotojo atstovo didesnės gamintojo atsakomybės klausimams</w:t>
            </w:r>
            <w:r>
              <w:rPr>
                <w:b/>
                <w:i/>
              </w:rPr>
              <w:t>;</w:t>
            </w:r>
          </w:p>
        </w:tc>
        <w:tc>
          <w:tcPr>
            <w:tcW w:w="4876" w:type="dxa"/>
            <w:tcBorders>
              <w:top w:val="nil"/>
              <w:left w:val="nil"/>
              <w:bottom w:val="nil"/>
              <w:right w:val="nil"/>
            </w:tcBorders>
          </w:tcPr>
          <w:p>
            <w:pPr>
              <w:pStyle w:val="Normal6a"/>
            </w:pPr>
            <w:r>
              <w:t>(5)</w:t>
            </w:r>
            <w:r>
              <w:tab/>
            </w:r>
            <w:r>
              <w:t xml:space="preserve">Siekiant supaprastinti gamintojams taikomus reikalavimus ir sumažinti administracinę naštą, </w:t>
            </w:r>
            <w:r>
              <w:rPr>
                <w:b/>
                <w:i/>
              </w:rPr>
              <w:t>ypač mažieji ir vidutiniai</w:t>
            </w:r>
            <w:r>
              <w:t xml:space="preserve"> baterijų gamintojai ir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 Taip sudaromos sąlygos įgaliotąjį atstovą didesnės gamintojo atsakomybės klausimams jau paskyrusiems </w:t>
            </w:r>
            <w:r>
              <w:rPr>
                <w:b/>
                <w:i/>
              </w:rPr>
              <w:t>mažiesiems ir vidutiniams</w:t>
            </w:r>
            <w:r>
              <w:t xml:space="preserve"> gamintojams išlaikyti savo esamą tvarką, kartu nedelsiant sumažinant išlaidas ir administracinę naštą gamintojams, nenorintiems skirti įgaliotojo atstovo didesnės gamintojo atsakomybės klausimams</w:t>
            </w:r>
            <w:r>
              <w:rPr>
                <w:b/>
                <w:i/>
              </w:rP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siekiant supaprastinti gamintojams taikomus reikalavimus ir sumažinti administracinę naštą, baterijų gamintojai ir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 Taip sudaromos sąlygos įgaliotąjį atstovą didesnės gamintojo atsakomybės klausimams jau paskyrusiems gamintojams išlaikyti savo esamą tvarką, kartu nedelsiant sumažinant išlaidas ir administracinę naštą gamintojams, nenorintiems skirti įgaliotojo atstovo didesnės gamintojo atsakomybės klausimams</w:t>
            </w:r>
            <w:r>
              <w:rPr>
                <w:b/>
                <w:i/>
              </w:rPr>
              <w:t>;</w:t>
            </w:r>
          </w:p>
        </w:tc>
        <w:tc>
          <w:tcPr>
            <w:tcW w:w="4876" w:type="dxa"/>
            <w:tcBorders>
              <w:top w:val="nil"/>
              <w:left w:val="nil"/>
              <w:bottom w:val="nil"/>
              <w:right w:val="nil"/>
            </w:tcBorders>
          </w:tcPr>
          <w:p>
            <w:pPr>
              <w:pStyle w:val="Normal6a"/>
            </w:pPr>
            <w:r>
              <w:t>(5)</w:t>
            </w:r>
            <w:r>
              <w:tab/>
            </w:r>
            <w:r>
              <w:t xml:space="preserve">Siekiant supaprastinti gamintojams taikomus reikalavimus ir sumažinti administracinę naštą, </w:t>
            </w:r>
            <w:r>
              <w:rPr>
                <w:b/>
                <w:i/>
              </w:rPr>
              <w:t>labai maži ir mažieji</w:t>
            </w:r>
            <w:r>
              <w:t xml:space="preserve"> baterijų gamintojai ir pakuočių ar supakuotų produktų gamintojai (toliau – pakuočių gamintojai), tiekiantys produktus kitos valstybės narės, kurioje jie nėra įsisteigę, rinkai, turėtų turėti galimybę pasirinkti, ar paskirti įgaliotąjį atstovą didesnės gamintojo atsakomybės klausimams ar ne ir toks paskyrimas turėtų būti neprivalomas. Taip sudaromos sąlygos įgaliotąjį atstovą didesnės gamintojo atsakomybės klausimams jau paskyrusiems gamintojams išlaikyti savo esamą tvarką, kartu nedelsiant sumažinant išlaidas ir administracinę naštą </w:t>
            </w:r>
            <w:r>
              <w:rPr>
                <w:b/>
                <w:i/>
              </w:rPr>
              <w:t>labai mažiems ir mažiesiems</w:t>
            </w:r>
            <w:r>
              <w:t xml:space="preserve"> gamintojams, nenorintiems skirti įgaliotojo atstovo didesnės gamintojo atsakomybės klausimams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Sąjungoje įsisteigusių gamintojų pareigos paskirti įgaliotąjį atstovą sustabdymas turėtų išlikti laikinas, kol nebus pradėtas taikyti būsimas Žiedinės ekonomikos aktas, ir dėl jo neturėtų sumažėti atsekamumas, vykdymo užtikrinimo pajėgumai ar didesnės gamintojo atsakomybės laikymasis.</w:t>
            </w:r>
            <w:r>
              <w:t xml:space="preserve"> </w:t>
            </w:r>
            <w:r>
              <w:rPr>
                <w:b/>
                <w:i/>
              </w:rPr>
              <w:t>Komisija turėtų pasinaudoti sustabdymo laikotarpiu, kad parengtų priemones pagal būsimą Žiedinės ekonomikos aktą, kuriomis siekiama pagerinti nacionalinių didesnės gamintojo atsakomybės sistemų sąveikumą, sudaryti palankesnes sąlygas tarpvalstybinei atitikčiai ir stiprinti stebėseną bei vykdymo užtikrinimą Sąjungos mastu, be kita ko, vertinant alternatyvius atitikties, atsekamumo ir vykdymo užtikrinimo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w:t>
            </w:r>
            <w:r>
              <w:t xml:space="preserve"> </w:t>
            </w:r>
            <w:r>
              <w:rPr>
                <w:b/>
                <w:i/>
              </w:rPr>
              <w:t>Todėl dabartinės nuostatos dėl įgaliotojo atstovo didesnės gamintojo atsakomybės klausimams paskyrimo trečiosiose valstybėse įsisteigusiems gamintojams turėtų būti išlaikytos.</w:t>
            </w:r>
            <w:r>
              <w:t xml:space="preserve"> </w:t>
            </w:r>
            <w:r>
              <w:rPr>
                <w:b/>
                <w:i/>
              </w:rPr>
              <w:t>Todėl Europos Parlamento ir Tarybos reglamento (ES) 2025/40</w:t>
            </w:r>
            <w:r>
              <w:rPr>
                <w:b/>
                <w:i/>
                <w:vertAlign w:val="superscript"/>
              </w:rPr>
              <w:t>6</w:t>
            </w:r>
            <w:r>
              <w:rPr>
                <w:b/>
                <w:i/>
              </w:rPr>
              <w:t>nuostata, kurioje nustatyta, kad valstybės narės gali nustatyti, kad trečiosiose valstybėse įsisteigę gamintojai, pirmą kartą tiekdami pakuotes ar supakuotus produktus jų teritorijoje, turi paskirti įgaliotąjį atstovą didesnės gamintojo atsakomybės klausimams, turėtų būti toliau taikoma.</w:t>
            </w:r>
            <w:r>
              <w:t xml:space="preserve"> </w:t>
            </w:r>
            <w:r>
              <w:rPr>
                <w:b/>
                <w:i/>
              </w:rPr>
              <w:t>Vis dėlto valstybėms narėms turėtų būti leidžiama atsekamumą ir reikalavimų vykdymą trečiosiose valstybėse įsisteigusių pakuočių gamintojų atžvilgiu užtikrinti alternatyviomis priemonėmis.</w:t>
            </w:r>
            <w:r>
              <w:t xml:space="preserve"> </w:t>
            </w:r>
            <w:r>
              <w:rPr>
                <w:b/>
                <w:i/>
              </w:rPr>
              <w:t>Taip pat Europos Parlamento ir Tarybos reglamento (ES) 2023/1542</w:t>
            </w:r>
            <w:r>
              <w:rPr>
                <w:b/>
                <w:i/>
                <w:vertAlign w:val="superscript"/>
              </w:rPr>
              <w:t>7</w:t>
            </w:r>
            <w:r>
              <w:rPr>
                <w:b/>
                <w:i/>
              </w:rPr>
              <w:t>nuostata, kurioje nustatyta, kad Sąjungoje arba trečiosiose valstybėse įsisteigę baterijų gamintojai, tiekiantys baterijas valstybės narės teritorijoje pagal nuotolinės prekybos sutartis, turi paskirti įgaliotąjį atstovą, turėtų būti toliau taikoma trečiosiose valstybėse įsisteigusiems gamintojams.</w:t>
            </w:r>
            <w:r>
              <w:t xml:space="preserve"> </w:t>
            </w:r>
            <w:r>
              <w:rPr>
                <w:b/>
                <w:i/>
              </w:rPr>
              <w:t>Vis dėlto iš valstybių narių turėtų būti reikalaujama atsekamumą ir reikalavimų vykdymą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2024 m. gruodžio 19 d.</w:t>
            </w:r>
            <w:r>
              <w:t xml:space="preserve"> </w:t>
            </w:r>
            <w:r>
              <w:rPr>
                <w:b/>
                <w:i/>
              </w:rPr>
              <w:t>Europos Parlamento ir Tarybos reglamentas (ES) 2025/40 dėl pakuočių ir pakuočių atliekų, kuriuo iš dalies keičiamas Reglamentas (ES) 2019/1020 ir Direktyva (ES) 2019/904 ir panaikinama Direktyva 94/62/EB, (OL L, 2025/40, p.</w:t>
            </w:r>
            <w:r>
              <w:t xml:space="preserve"> </w:t>
            </w:r>
            <w:r>
              <w:rPr>
                <w:b/>
                <w:i/>
              </w:rPr>
              <w:t>2025 1 22, ELI: http://data.europa.eu/eli/reg/2025/40/oj).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2023 m. liepos 12 d.</w:t>
            </w:r>
            <w:r>
              <w:t xml:space="preserve"> </w:t>
            </w:r>
            <w:r>
              <w:rPr>
                <w:b/>
                <w:i/>
              </w:rPr>
              <w:t>Europos Parlamento ir Tarybos reglamentas (ES) 2023/1542 dėl baterijų ir baterijų atliekų, kuriuo iš dalies keičiama Direktyva 2008/98/EB bei Reglamentas (ES) 2019/1020 ir panaikinama Direktyva 2006/66/EB, (OL L 191, 2023 7 28, p.</w:t>
            </w:r>
            <w:r>
              <w:t xml:space="preserve"> </w:t>
            </w:r>
            <w:r>
              <w:rPr>
                <w:b/>
                <w:i/>
              </w:rPr>
              <w:t>1, ELI: http://data.europa.eu/eli/reg/2023/1542/oj).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 Todėl </w:t>
            </w:r>
            <w:r>
              <w:rPr>
                <w:b/>
                <w:i/>
              </w:rPr>
              <w:t>dabartinės nuostatos dėl įgaliotojo atstovo didesnės gamintojo atsakomybės klausimams paskyrimo</w:t>
            </w:r>
            <w:r>
              <w:t xml:space="preserve"> trečiosiose valstybėse įsisteigusiems gamintojams turėtų būti </w:t>
            </w:r>
            <w:r>
              <w:rPr>
                <w:b/>
                <w:i/>
              </w:rPr>
              <w:t>išlaikytos.</w:t>
            </w:r>
            <w:r>
              <w:t xml:space="preserve"> </w:t>
            </w:r>
            <w:r>
              <w:rPr>
                <w:b/>
                <w:i/>
              </w:rPr>
              <w:t>Todėl</w:t>
            </w:r>
            <w:r>
              <w:t xml:space="preserve"> Europos Parlamento ir Tarybos </w:t>
            </w:r>
            <w:r>
              <w:rPr>
                <w:b/>
                <w:i/>
              </w:rPr>
              <w:t>reglamento (ES) 2025/40</w:t>
            </w:r>
            <w:r>
              <w:rPr>
                <w:vertAlign w:val="superscript"/>
              </w:rPr>
              <w:t>6</w:t>
            </w:r>
            <w:r>
              <w:rPr>
                <w:b/>
                <w:i/>
              </w:rPr>
              <w:t>nuostata, kurioje</w:t>
            </w:r>
            <w:r>
              <w:t xml:space="preserve"> nustatyta, kad valstybės narės gali </w:t>
            </w:r>
            <w:r>
              <w:rPr>
                <w:b/>
                <w:i/>
              </w:rPr>
              <w:t>nustatyti</w:t>
            </w:r>
            <w:r>
              <w:t>, kad trečiosiose valstybėse įsisteigę gamintojai, pirmą kartą tiekdami pakuotes ar supakuotus produktus jų teritorijoje, turi paskirti įgaliotąjį atstovą didesnės gamintojo atsakomybės klausimams</w:t>
            </w:r>
            <w:r>
              <w:rPr>
                <w:b/>
                <w:i/>
              </w:rPr>
              <w:t>, turėtų būti toliau taikoma.</w:t>
            </w:r>
            <w:r>
              <w:t xml:space="preserve"> </w:t>
            </w:r>
            <w:r>
              <w:rPr>
                <w:b/>
                <w:i/>
              </w:rPr>
              <w:t>Vis dėlto valstybėms narėms turėtų būti leidžiama atsekamumą ir reikalavimų vykdymą trečiosiose valstybėse įsisteigusių pakuočių gamintojų atžvilgiu užtikrinti alternatyviomis priemonėmis</w:t>
            </w:r>
            <w:r>
              <w:t xml:space="preserve">. Taip pat Europos Parlamento ir Tarybos </w:t>
            </w:r>
            <w:r>
              <w:rPr>
                <w:b/>
                <w:i/>
              </w:rPr>
              <w:t>reglamento</w:t>
            </w:r>
            <w:r>
              <w:t xml:space="preserve"> (ES) 2023/1542</w:t>
            </w:r>
            <w:r>
              <w:rPr>
                <w:vertAlign w:val="superscript"/>
              </w:rPr>
              <w:t>7</w:t>
            </w:r>
            <w:r>
              <w:rPr>
                <w:b/>
                <w:i/>
              </w:rPr>
              <w:t>nuostata, kurioje</w:t>
            </w:r>
            <w:r>
              <w:t xml:space="preserve"> nustatyta, kad Sąjungoje arba trečiosiose valstybėse įsisteigę baterijų gamintojai, tiekiantys baterijas valstybės narės teritorijoje pagal nuotolinės prekybos sutartis, turi paskirti įgaliotąjį atstovą</w:t>
            </w:r>
            <w:r>
              <w:rPr>
                <w:b/>
                <w:i/>
              </w:rPr>
              <w:t>, turėtų būti toliau taikoma trečiosiose valstybėse įsisteigusiems gamintojams.</w:t>
            </w:r>
            <w:r>
              <w:t xml:space="preserve"> </w:t>
            </w:r>
            <w:r>
              <w:rPr>
                <w:b/>
                <w:i/>
              </w:rPr>
              <w:t>Vis dėlto iš valstybių narių turėtų būti reikalaujama atsekamumą ir reikalavimų vykdymą trečiosiose valstybėse įsisteigusių baterijų gamintojų atžvilgiu užtikrinti alternatyviomis priemonėmis</w:t>
            </w:r>
            <w:r>
              <w:t>;</w:t>
            </w:r>
          </w:p>
        </w:tc>
        <w:tc>
          <w:tcPr>
            <w:tcW w:w="4876" w:type="dxa"/>
            <w:tcBorders>
              <w:top w:val="nil"/>
              <w:left w:val="nil"/>
              <w:bottom w:val="nil"/>
              <w:right w:val="nil"/>
            </w:tcBorders>
          </w:tcPr>
          <w:p>
            <w:pPr>
              <w:pStyle w:val="Normal6a"/>
            </w:pPr>
            <w:r>
              <w:t>(6)</w:t>
            </w:r>
            <w:r>
              <w:tab/>
            </w:r>
            <w:r>
              <w:t xml:space="preserve">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 Todėl trečiosiose valstybėse įsisteigusiems gamintojams </w:t>
            </w:r>
            <w:r>
              <w:rPr>
                <w:b/>
                <w:i/>
              </w:rPr>
              <w:t>paskirti įgaliotąjį atstovą didesnės gamintojo atsakomybės klausimams</w:t>
            </w:r>
            <w:r>
              <w:t xml:space="preserve"> turėtų būti </w:t>
            </w:r>
            <w:r>
              <w:rPr>
                <w:b/>
                <w:i/>
              </w:rPr>
              <w:t>privaloma.</w:t>
            </w:r>
            <w:r>
              <w:t xml:space="preserve"> </w:t>
            </w:r>
            <w:r>
              <w:rPr>
                <w:b/>
                <w:i/>
              </w:rPr>
              <w:t>Taigi,</w:t>
            </w:r>
            <w:r>
              <w:t xml:space="preserve"> Europos Parlamento ir Tarybos </w:t>
            </w:r>
            <w:r>
              <w:rPr>
                <w:b/>
                <w:i/>
              </w:rPr>
              <w:t>reglamente (ES) 2025/406</w:t>
            </w:r>
            <w:r>
              <w:rPr>
                <w:vertAlign w:val="superscript"/>
              </w:rPr>
              <w:t>6</w:t>
            </w:r>
            <w:r>
              <w:t xml:space="preserve"> </w:t>
            </w:r>
            <w:r>
              <w:rPr>
                <w:b/>
                <w:i/>
              </w:rPr>
              <w:t>turėtų būti</w:t>
            </w:r>
            <w:r>
              <w:t xml:space="preserve"> nustatyta, kad valstybės narės gali </w:t>
            </w:r>
            <w:r>
              <w:rPr>
                <w:b/>
                <w:i/>
              </w:rPr>
              <w:t>nustatyta</w:t>
            </w:r>
            <w:r>
              <w:t xml:space="preserve">, kad trečiosiose valstybėse įsisteigę gamintojai, pirmą kartą tiekdami pakuotes ar supakuotus produktus jų teritorijoje, turi paskirti įgaliotąjį atstovą didesnės gamintojo atsakomybės klausimams. Taip pat Europos Parlamento ir Tarybos </w:t>
            </w:r>
            <w:r>
              <w:rPr>
                <w:b/>
                <w:i/>
              </w:rPr>
              <w:t>reglamente</w:t>
            </w:r>
            <w:r>
              <w:t xml:space="preserve"> (ES) 2023/1542</w:t>
            </w:r>
            <w:r>
              <w:rPr>
                <w:vertAlign w:val="superscript"/>
              </w:rPr>
              <w:t>7</w:t>
            </w:r>
            <w:r>
              <w:t xml:space="preserve"> </w:t>
            </w:r>
            <w:r>
              <w:rPr>
                <w:b/>
                <w:i/>
              </w:rPr>
              <w:t>turėtų būti</w:t>
            </w:r>
            <w:r>
              <w:t xml:space="preserve"> nustatyta, kad Sąjungoje arba trečiosiose valstybėse įsisteigę baterijų gamintojai, tiekiantys baterijas valstybės narės teritorijoje pagal nuotolinės prekybos sutartis, turi paskirti įgaliotąjį atstovą </w:t>
            </w:r>
            <w:r>
              <w:rPr>
                <w:b/>
                <w:i/>
              </w:rPr>
              <w:t>ir turi būti nustatyta, kad tie gamintojai tokį įgaliotąjį atstovą paskirti privalėtų</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2024 m. gruodžio 19 d. Europos Parlamento ir Tarybos reglamentas (ES) 2025/40 dėl pakuočių ir pakuočių atliekų, kuriuo iš dalies keičiamas Reglamentas (ES) 2019/1020 ir Direktyva (ES) 2019/904 ir panaikinama Direktyva 94/62/EB</w:t>
            </w:r>
            <w:r>
              <w:rPr>
                <w:b/>
                <w:i/>
              </w:rPr>
              <w:t>,</w:t>
            </w:r>
            <w:r>
              <w:t xml:space="preserve"> (OL L, 2025/40, </w:t>
            </w:r>
            <w:r>
              <w:rPr>
                <w:b/>
                <w:i/>
              </w:rPr>
              <w:t>p.</w:t>
            </w:r>
            <w:r>
              <w:t xml:space="preserve"> </w:t>
            </w:r>
            <w:r>
              <w:rPr>
                <w:b/>
                <w:i/>
              </w:rPr>
              <w:t>2025 1 22</w:t>
            </w:r>
            <w:r>
              <w:t>,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 xml:space="preserve">2024 m. gruodžio 19 d. Europos Parlamento ir Tarybos reglamentas (ES) 2025/40 dėl pakuočių ir pakuočių atliekų, kuriuo iš dalies keičiamas Reglamentas (ES) 2019/1020 ir Direktyva (ES) 2019/904 ir panaikinama Direktyva 94/62/EB (OL L, 2025/40, </w:t>
            </w:r>
            <w:r>
              <w:rPr>
                <w:b/>
                <w:i/>
              </w:rPr>
              <w:t>2025 1 22</w:t>
            </w:r>
            <w:r>
              <w:t>,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2023 m. liepos 12 d. Europos Parlamento ir Tarybos reglamentas (ES) 2023/1542 dėl baterijų ir baterijų atliekų, kuriuo iš dalies keičiama Direktyva 2008/98/EB bei Reglamentas (ES) 2019/1020 ir panaikinama Direktyva 2006/66/EB</w:t>
            </w:r>
            <w:r>
              <w:rPr>
                <w:b/>
                <w:i/>
              </w:rPr>
              <w:t>,</w:t>
            </w:r>
            <w:r>
              <w:t xml:space="preserve"> (OL L 191, 2023 7 28, p.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2023 m. liepos 12 d. Europos Parlamento ir Tarybos reglamentas (ES) 2023/1542 dėl baterijų ir baterijų atliekų, kuriuo iš dalies keičiama Direktyva 2008/98/EB bei Reglamentas (ES) 2019/1020 ir panaikinama Direktyva 2006/66/EB (OL L 191, 2023 7 28, p.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 Todėl dabartinės nuostatos dėl įgaliotojo atstovo didesnės gamintojo atsakomybės klausimams paskyrimo trečiosiose valstybėse įsisteigusiems gamintojams turėtų būti išlaikytos. Todėl Europos Parlamento ir Tarybos reglamento (ES) 2025/40</w:t>
            </w:r>
            <w:r>
              <w:rPr>
                <w:vertAlign w:val="superscript"/>
              </w:rPr>
              <w:t>6</w:t>
            </w:r>
            <w:r>
              <w:t xml:space="preserve">nuostata, kurioje nustatyta, kad valstybės narės gali nustatyti, kad trečiosiose valstybėse įsisteigę gamintojai, pirmą kartą tiekdami pakuotes ar supakuotus produktus jų teritorijoje, turi paskirti įgaliotąjį atstovą didesnės gamintojo atsakomybės klausimams, turėtų būti toliau taikoma. </w:t>
            </w:r>
            <w:r>
              <w:rPr>
                <w:b/>
                <w:i/>
              </w:rPr>
              <w:t>Vis dėlto valstybėms narėms turėtų būti leidžiama atsekamumą ir reikalavimų vykdymą trečiosiose valstybėse įsisteigusių pakuočių gamintojų atžvilgiu užtikrinti alternatyviomis priemonėmis.</w:t>
            </w:r>
            <w:r>
              <w:t xml:space="preserve"> Taip pat Europos Parlamento ir Tarybos reglamento (ES) 2023/1542</w:t>
            </w:r>
            <w:r>
              <w:rPr>
                <w:vertAlign w:val="superscript"/>
              </w:rPr>
              <w:t>7</w:t>
            </w:r>
            <w:r>
              <w:t xml:space="preserve">nuostata, kurioje nustatyta, kad Sąjungoje arba trečiosiose valstybėse įsisteigę baterijų gamintojai, tiekiantys baterijas valstybės narės teritorijoje pagal nuotolinės prekybos sutartis, turi paskirti įgaliotąjį atstovą, turėtų būti toliau taikoma trečiosiose valstybėse įsisteigusiems gamintojams. </w:t>
            </w:r>
            <w:r>
              <w:rPr>
                <w:b/>
                <w:i/>
              </w:rPr>
              <w:t>Vis dėlto iš valstybių narių turėtų būti reikalaujama atsekamumą ir reikalavimų vykdymą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r>
              <w:t>(6)</w:t>
            </w:r>
            <w:r>
              <w:tab/>
            </w:r>
            <w:r>
              <w:t>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 Todėl</w:t>
            </w:r>
            <w:r>
              <w:rPr>
                <w:b/>
                <w:i/>
              </w:rPr>
              <w:t>, siekiant užtikrinti vienodas sąlygas su Sąjungoje įsisteigusiomis bendrovėmis,</w:t>
            </w:r>
            <w:r>
              <w:t xml:space="preserve"> dabartinės nuostatos dėl įgaliotojo atstovo didesnės gamintojo atsakomybės klausimams paskyrimo trečiosiose valstybėse įsisteigusiems gamintojams turėtų būti išlaikytos. Todėl Europos Parlamento ir Tarybos reglamento (ES) 2025/40</w:t>
            </w:r>
            <w:r>
              <w:rPr>
                <w:vertAlign w:val="superscript"/>
              </w:rPr>
              <w:t>6</w:t>
            </w:r>
            <w:r>
              <w:t xml:space="preserve"> nuostata, kurioje nustatyta, kad valstybės narės gali nustatyti, kad trečiosiose valstybėse įsisteigę gamintojai, pirmą kartą tiekdami pakuotes ar supakuotus produktus jų teritorijoje, turi paskirti įgaliotąjį atstovą didesnės gamintojo atsakomybės klausimams, turėtų būti toliau taikoma. Taip pat Europos Parlamento ir Tarybos reglamento (ES) 2023/1542</w:t>
            </w:r>
            <w:r>
              <w:rPr>
                <w:vertAlign w:val="superscript"/>
              </w:rPr>
              <w:t>7</w:t>
            </w:r>
            <w:r>
              <w:t xml:space="preserve"> nuostata, kurioje nustatyta, kad Sąjungoje arba trečiosiose valstybėse įsisteigę baterijų gamintojai, tiekiantys baterijas valstybės narės teritorijoje pagal nuotolinės prekybos sutartis, turi paskirti įgaliotąjį atstovą, turėtų būti toliau taikoma trečiosiose valstybėse įsisteigusiems gamintojams.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2024 m. gruodžio 19 d. Europos Parlamento ir Tarybos reglamentas (ES) 2025/40 dėl pakuočių ir pakuočių atliekų, kuriuo iš dalies keičiamas Reglamentas (ES) 2019/1020 ir Direktyva (ES) 2019/904 ir panaikinama Direktyva 94/62/EB</w:t>
            </w:r>
            <w:r>
              <w:rPr>
                <w:b/>
                <w:i/>
              </w:rPr>
              <w:t>,</w:t>
            </w:r>
            <w:r>
              <w:t xml:space="preserve"> (OL L, 2025/40, </w:t>
            </w:r>
            <w:r>
              <w:rPr>
                <w:b/>
                <w:i/>
              </w:rPr>
              <w:t>p.</w:t>
            </w:r>
            <w:r>
              <w:t xml:space="preserve"> </w:t>
            </w:r>
            <w:r>
              <w:rPr>
                <w:b/>
                <w:i/>
              </w:rPr>
              <w:t>2025 1 22</w:t>
            </w:r>
            <w:r>
              <w:t>,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 xml:space="preserve">2024 m. gruodžio 19 d. Europos Parlamento ir Tarybos reglamentas (ES) 2025/40 dėl pakuočių ir pakuočių atliekų, kuriuo iš dalies keičiamas Reglamentas (ES) 2019/1020 ir Direktyva (ES) 2019/904 ir panaikinama Direktyva 94/62/EB (OL L, 2025/40, </w:t>
            </w:r>
            <w:r>
              <w:rPr>
                <w:b/>
                <w:i/>
              </w:rPr>
              <w:t>2025 1 22</w:t>
            </w:r>
            <w:r>
              <w:t>,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2023 m. liepos 12 d. Europos Parlamento ir Tarybos reglamentas (ES) 2023/1542 dėl baterijų ir baterijų atliekų, kuriuo iš dalies keičiama Direktyva 2008/98/EB bei Reglamentas (ES) 2019/1020 ir panaikinama Direktyva 2006/66/EB</w:t>
            </w:r>
            <w:r>
              <w:rPr>
                <w:b/>
                <w:i/>
              </w:rPr>
              <w:t>,</w:t>
            </w:r>
            <w:r>
              <w:t xml:space="preserve"> (OL L 191, 2023 7 28, p.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2023 m. liepos 12 d. Europos Parlamento ir Tarybos reglamentas (ES) 2023/1542 dėl baterijų ir baterijų atliekų, kuriuo iš dalies keičiama Direktyva 2008/98/EB bei Reglamentas (ES) 2019/1020 ir panaikinama Direktyva 2006/66/EB (OL L 191, 2023 7 28, p</w:t>
            </w:r>
            <w:r>
              <w:rPr>
                <w:b/>
                <w:i/>
              </w:rPr>
              <w:t>.</w:t>
            </w:r>
            <w:r>
              <w:t xml:space="preserve"> . 1, ELI: http://data.europa.eu/eli/reg/2023/1542/oj).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 Todėl dabartinės nuostatos dėl įgaliotojo atstovo didesnės gamintojo atsakomybės klausimams paskyrimo trečiosiose valstybėse įsisteigusiems gamintojams turėtų būti išlaikytos. Todėl Europos Parlamento ir Tarybos reglamento (ES) 2025/40</w:t>
            </w:r>
            <w:r>
              <w:rPr>
                <w:vertAlign w:val="superscript"/>
              </w:rPr>
              <w:t>6</w:t>
            </w:r>
            <w:r>
              <w:t xml:space="preserve">nuostata, kurioje nustatyta, kad valstybės narės gali nustatyti, kad trečiosiose valstybėse įsisteigę gamintojai, pirmą kartą tiekdami pakuotes ar supakuotus produktus jų teritorijoje, turi paskirti įgaliotąjį atstovą didesnės gamintojo atsakomybės klausimams, turėtų būti toliau taikoma. </w:t>
            </w:r>
            <w:r>
              <w:rPr>
                <w:b/>
                <w:i/>
              </w:rPr>
              <w:t>Vis dėlto valstybėms narėms turėtų būti leidžiama atsekamumą ir reikalavimų vykdymą trečiosiose valstybėse įsisteigusių pakuočių gamintojų atžvilgiu užtikrinti alternatyviomis priemonėmis.</w:t>
            </w:r>
            <w:r>
              <w:t xml:space="preserve"> Taip pat Europos Parlamento ir Tarybos reglamento (ES) 2023/1542</w:t>
            </w:r>
            <w:r>
              <w:rPr>
                <w:vertAlign w:val="superscript"/>
              </w:rPr>
              <w:t>7</w:t>
            </w:r>
            <w:r>
              <w:t xml:space="preserve">nuostata, kurioje nustatyta, kad Sąjungoje arba trečiosiose valstybėse įsisteigę baterijų gamintojai, tiekiantys baterijas valstybės narės teritorijoje pagal nuotolinės prekybos sutartis, turi paskirti įgaliotąjį atstovą, turėtų būti toliau taikoma trečiosiose valstybėse įsisteigusiems gamintojams. </w:t>
            </w:r>
            <w:r>
              <w:rPr>
                <w:b/>
                <w:i/>
              </w:rPr>
              <w:t>Vis dėlto iš valstybių narių turėtų būti reikalaujama atsekamumą ir reikalavimų vykdymą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r>
              <w:t>(6)</w:t>
            </w:r>
            <w:r>
              <w:tab/>
            </w:r>
            <w:r>
              <w:t>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 Todėl dabartinės nuostatos dėl įgaliotojo atstovo didesnės gamintojo atsakomybės klausimams paskyrimo trečiosiose valstybėse įsisteigusiems gamintojams turėtų būti išlaikytos. Todėl Europos Parlamento ir Tarybos reglamento (ES) 2025/40</w:t>
            </w:r>
            <w:r>
              <w:rPr>
                <w:vertAlign w:val="superscript"/>
              </w:rPr>
              <w:t>6</w:t>
            </w:r>
            <w:r>
              <w:t xml:space="preserve"> nuostata, kurioje nustatyta, kad valstybės narės gali nustatyti, kad trečiosiose valstybėse įsisteigę gamintojai, pirmą kartą tiekdami pakuotes ar supakuotus produktus jų teritorijoje, turi paskirti įgaliotąjį atstovą didesnės gamintojo atsakomybės klausimams, turėtų būti toliau taikoma. Taip pat Europos Parlamento ir Tarybos reglamento (ES) 2023/1542</w:t>
            </w:r>
            <w:r>
              <w:rPr>
                <w:vertAlign w:val="superscript"/>
              </w:rPr>
              <w:t>7</w:t>
            </w:r>
            <w:r>
              <w:t xml:space="preserve"> nuostata, kurioje nustatyta, kad Sąjungoje arba trečiosiose valstybėse įsisteigę baterijų gamintojai, tiekiantys baterijas valstybės narės teritorijoje pagal nuotolinės prekybos sutartis, turi paskirti įgaliotąjį atstovą, turėtų būti toliau taikoma trečiosiose valstybėse įsisteigusiems gamintojams.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2024 m. gruodžio 19 d. Europos Parlamento ir Tarybos reglamentas (ES) 2025/40 dėl pakuočių ir pakuočių atliekų, kuriuo iš dalies keičiamas Reglamentas (ES) 2019/1020 ir Direktyva (ES) 2019/904 ir panaikinama Direktyva 94/62/EB</w:t>
            </w:r>
            <w:r>
              <w:rPr>
                <w:b/>
                <w:i/>
              </w:rPr>
              <w:t>,</w:t>
            </w:r>
            <w:r>
              <w:t xml:space="preserve"> (OL L, 2025/40, </w:t>
            </w:r>
            <w:r>
              <w:rPr>
                <w:b/>
                <w:i/>
              </w:rPr>
              <w:t>p.</w:t>
            </w:r>
            <w:r>
              <w:t xml:space="preserve"> </w:t>
            </w:r>
            <w:r>
              <w:rPr>
                <w:b/>
                <w:i/>
              </w:rPr>
              <w:t>2025 1 22</w:t>
            </w:r>
            <w:r>
              <w:t>,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 xml:space="preserve">2024 m. gruodžio 19 d. Europos Parlamento ir Tarybos reglamentas (ES) 2025/40 dėl pakuočių ir pakuočių atliekų, kuriuo iš dalies keičiamas Reglamentas (ES) 2019/1020 ir Direktyva (ES) 2019/904 ir panaikinama Direktyva 94/62/EB (OL L, 2025/40, </w:t>
            </w:r>
            <w:r>
              <w:rPr>
                <w:b/>
                <w:i/>
              </w:rPr>
              <w:t>2025 1 22</w:t>
            </w:r>
            <w:r>
              <w:t>,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2023 m. liepos 12 d. Europos Parlamento ir Tarybos reglamentas (ES) 2023/1542 dėl baterijų ir baterijų atliekų, kuriuo iš dalies keičiama Direktyva 2008/98/EB bei Reglamentas (ES) 2019/1020 ir panaikinama Direktyva 2006/66/EB</w:t>
            </w:r>
            <w:r>
              <w:rPr>
                <w:b/>
                <w:i/>
              </w:rPr>
              <w:t>,</w:t>
            </w:r>
            <w:r>
              <w:t xml:space="preserve"> (OL L 191, 2023 7 28, p.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2023 m. liepos 12 d. Europos Parlamento ir Tarybos reglamentas (ES) 2023/1542 dėl baterijų ir baterijų atliekų, kuriuo iš dalies keičiama Direktyva 2008/98/EB bei Reglamentas (ES) 2019/1020 ir panaikinama Direktyva 2006/66/EB (OL L 191, 2023 7 28, p.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 Todėl dabartinės nuostatos dėl įgaliotojo atstovo didesnės gamintojo atsakomybės klausimams paskyrimo trečiosiose valstybėse įsisteigusiems gamintojams turėtų būti išlaikytos. Todėl Europos Parlamento ir Tarybos reglamento (ES) 2025/40</w:t>
            </w:r>
            <w:r>
              <w:rPr>
                <w:vertAlign w:val="superscript"/>
              </w:rPr>
              <w:t>6</w:t>
            </w:r>
            <w:r>
              <w:t xml:space="preserve">nuostata, kurioje nustatyta, kad valstybės narės gali nustatyti, kad trečiosiose valstybėse įsisteigę gamintojai, pirmą kartą tiekdami pakuotes ar supakuotus produktus jų teritorijoje, turi paskirti įgaliotąjį atstovą didesnės gamintojo atsakomybės klausimams, turėtų būti toliau taikoma. </w:t>
            </w:r>
            <w:r>
              <w:rPr>
                <w:b/>
                <w:i/>
              </w:rPr>
              <w:t>Vis dėlto valstybėms narėms turėtų būti leidžiama atsekamumą ir reikalavimų vykdymą trečiosiose valstybėse įsisteigusių pakuočių gamintojų atžvilgiu užtikrinti alternatyviomis priemonėmis.</w:t>
            </w:r>
            <w:r>
              <w:t xml:space="preserve"> Taip pat Europos Parlamento ir Tarybos reglamento (ES) 2023/1542</w:t>
            </w:r>
            <w:r>
              <w:rPr>
                <w:vertAlign w:val="superscript"/>
              </w:rPr>
              <w:t>7</w:t>
            </w:r>
            <w:r>
              <w:t xml:space="preserve">nuostata, kurioje nustatyta, kad Sąjungoje arba trečiosiose valstybėse įsisteigę baterijų gamintojai, tiekiantys baterijas valstybės narės teritorijoje pagal nuotolinės prekybos sutartis, turi paskirti įgaliotąjį atstovą, turėtų būti toliau taikoma trečiosiose valstybėse įsisteigusiems gamintojams. </w:t>
            </w:r>
            <w:r>
              <w:rPr>
                <w:b/>
                <w:i/>
              </w:rPr>
              <w:t>Vis dėlto iš valstybių narių turėtų būti reikalaujama atsekamumą ir reikalavimų vykdymą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r>
              <w:t>(6)</w:t>
            </w:r>
            <w:r>
              <w:tab/>
            </w:r>
            <w:r>
              <w:t>užtikrinti atsekamumą ir reikalavimų vykdymą trečiosiose valstybėse įsisteigusių baterijų ir pakuočių gamintojų atžvilgiu yra sudėtingiau nei Sąjungoje veikiančių gamintojų atveju, nes tokie gamintojai nepatenka į valstybių narių vykdymo užtikrinimo įgaliojimų teritorinę taikymo sritį ir jiems netaikomi Sąjungos administracinio ir teisminio bendradarbiavimo mechanizmai, kuriais sudaromos sąlygos užtikrinti pareigų ir teismo sprendimų vykdymą vidaus rinkoje. Todėl dabartinės nuostatos dėl įgaliotojo atstovo didesnės gamintojo atsakomybės klausimams paskyrimo trečiosiose valstybėse įsisteigusiems gamintojams turėtų būti išlaikytos. Todėl Europos Parlamento ir Tarybos reglamento (ES) 2025/40</w:t>
            </w:r>
            <w:r>
              <w:rPr>
                <w:vertAlign w:val="superscript"/>
              </w:rPr>
              <w:t>6</w:t>
            </w:r>
            <w:r>
              <w:t xml:space="preserve"> nuostata, kurioje nustatyta, kad valstybės narės gali nustatyti, kad trečiosiose valstybėse įsisteigę gamintojai, pirmą kartą tiekdami pakuotes ar supakuotus produktus jų teritorijoje, turi paskirti įgaliotąjį atstovą didesnės gamintojo atsakomybės klausimams, turėtų būti toliau taikoma. Taip pat Europos Parlamento ir Tarybos reglamento (ES) 2023/1542</w:t>
            </w:r>
            <w:r>
              <w:rPr>
                <w:vertAlign w:val="superscript"/>
              </w:rPr>
              <w:t>7</w:t>
            </w:r>
            <w:r>
              <w:t xml:space="preserve"> nuostata, kurioje nustatyta, kad Sąjungoje arba trečiosiose valstybėse įsisteigę baterijų gamintojai, tiekiantys baterijas valstybės narės teritorijoje pagal nuotolinės prekybos sutartis, turi paskirti įgaliotąjį atstovą, turėtų būti toliau taikoma trečiosiose valstybėse įsisteigusiems gamintojams.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2024 m. gruodžio 19 d. Europos Parlamento ir Tarybos reglamentas (ES) 2025/40 dėl pakuočių ir pakuočių atliekų, kuriuo iš dalies keičiamas Reglamentas (ES) 2019/1020 ir Direktyva (ES) 2019/904 ir panaikinama Direktyva 94/62/EB</w:t>
            </w:r>
            <w:r>
              <w:rPr>
                <w:b/>
                <w:i/>
              </w:rPr>
              <w:t>,</w:t>
            </w:r>
            <w:r>
              <w:t xml:space="preserve"> (OL L, 2025/40, </w:t>
            </w:r>
            <w:r>
              <w:rPr>
                <w:b/>
                <w:i/>
              </w:rPr>
              <w:t>p.</w:t>
            </w:r>
            <w:r>
              <w:t xml:space="preserve"> </w:t>
            </w:r>
            <w:r>
              <w:rPr>
                <w:b/>
                <w:i/>
              </w:rPr>
              <w:t>2025 1 22</w:t>
            </w:r>
            <w:r>
              <w:t>,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 xml:space="preserve">2024 m. gruodžio 19 d. Europos Parlamento ir Tarybos reglamentas (ES) 2025/40 dėl pakuočių ir pakuočių atliekų, kuriuo iš dalies keičiamas Reglamentas (ES) 2019/1020 ir Direktyva (ES) 2019/904 ir panaikinama Direktyva 94/62/EB (OL L, 2025/40, </w:t>
            </w:r>
            <w:r>
              <w:rPr>
                <w:b/>
                <w:i/>
              </w:rPr>
              <w:t>2025 1 22</w:t>
            </w:r>
            <w:r>
              <w:t>,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2023 m. liepos 12 d. Europos Parlamento ir Tarybos reglamentas (ES) 2023/1542 dėl baterijų ir baterijų atliekų, kuriuo iš dalies keičiama Direktyva 2008/98/EB bei Reglamentas (ES) 2019/1020 ir panaikinama Direktyva 2006/66/EB</w:t>
            </w:r>
            <w:r>
              <w:rPr>
                <w:b/>
                <w:i/>
              </w:rPr>
              <w:t>,</w:t>
            </w:r>
            <w:r>
              <w:t xml:space="preserve"> (OL L 191, 2023 7 28, p.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2023 m. liepos 12 d. Europos Parlamento ir Tarybos reglamentas (ES) 2023/1542 dėl baterijų ir baterijų atliekų, kuriuo iš dalies keičiama Direktyva 2008/98/EB bei Reglamentas (ES) 2019/1020 ir panaikinama Direktyva 2006/66/EB (OL L 191, 2023 7 28, p.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Reglamento (ES) 2023/1542 nuostatos, pagal kurią Sąjungoje įsisteigę gamintojai, parduodantys baterijas tiesiogiai galutiniams naudotojams kitoje valstybėje narėje pagal nuotolinės prekybos sutartis, privalo paskirti įgaliotąjį atstovą didesnės gamintojo atsakomybės klausimams, taikymas turėtų būti sustabdytas iki 2035 m. sausio 1 d.;</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Netikslinga sustabdyti teisės aktų nuostatų, kurios jau visapusiškai taikomos, taikymą.</w:t>
      </w:r>
      <w:r>
        <w:t xml:space="preserve"> </w:t>
      </w:r>
      <w:r>
        <w:t>Baterijų reglamento nuostatos dėl didesnės gamintojo atsakomybės naujoms didesnės gamintojo atsakomybės sistemoms taikomos nuo 2024 m. vasario 18 d. (o didesnės gamintojo atsakomybės sistemoms, kurios buvo sukurtos iki 2018 m. liepos 4 d., – nuo 2025 m. rugpjūčio 18 d.).</w:t>
      </w:r>
      <w:r>
        <w:t xml:space="preserve"> </w:t>
      </w:r>
      <w:r>
        <w:t>Sustabdymas turėtų būti taikomas tik kaip procedūros sustabdymas dėl didesnės gamintojo atsakomybės nuostatų, kurios dar netaikomos.</w:t>
      </w:r>
      <w:r>
        <w:t xml:space="preserve"> </w:t>
      </w:r>
      <w:r>
        <w:t>Todėl nuoroda į Baterijų reglamentą turėtų būti išbraukta.</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Reglamento (ES) 2023/1542 nuostatos, pagal kurią Sąjungoje įsisteigę gamintojai, parduodantys baterijas tiesiogiai galutiniams naudotojams kitoje valstybėje narėje pagal nuotolinės prekybos sutartis, privalo paskirti įgaliotąjį atstovą didesnės gamintojo atsakomybės klausimams, taikymas turėtų būti sustabdytas iki 2035 m. sausio 1 d.;</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Reglamento (ES) 2023/1542 nuostatos, pagal kurią Sąjungoje įsisteigę gamintojai, parduodantys baterijas tiesiogiai galutiniams naudotojams kitoje valstybėje narėje pagal nuotolinės prekybos sutartis, privalo paskirti įgaliotąjį atstovą didesnės gamintojo atsakomybės klausimams, taikymas turėtų būti sustabdytas iki 2035 m. sausio 1 d.;</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Reglamento (ES) 2023/1542 nuostatos, pagal kurią Sąjungoje įsisteigę gamintojai, parduodantys baterijas tiesiogiai galutiniams naudotojams kitoje valstybėje narėje pagal nuotolinės prekybos sutartis, privalo paskirti įgaliotąjį atstovą didesnės gamintojo atsakomybės klausimams, taikymas turėtų būti sustabdytas </w:t>
            </w:r>
            <w:r>
              <w:rPr>
                <w:b/>
                <w:i/>
              </w:rPr>
              <w:t>iki 2035 m. sausio 1 d.</w:t>
            </w:r>
            <w:r>
              <w:t>;</w:t>
            </w:r>
          </w:p>
        </w:tc>
        <w:tc>
          <w:tcPr>
            <w:tcW w:w="4876" w:type="dxa"/>
            <w:tcBorders>
              <w:top w:val="nil"/>
              <w:left w:val="nil"/>
              <w:bottom w:val="nil"/>
              <w:right w:val="nil"/>
            </w:tcBorders>
          </w:tcPr>
          <w:p>
            <w:pPr>
              <w:pStyle w:val="Normal6a"/>
            </w:pPr>
            <w:r>
              <w:t>(7)</w:t>
            </w:r>
            <w:r>
              <w:tab/>
            </w:r>
            <w:r>
              <w:t xml:space="preserve">Reglamento (ES) 2023/1542 nuostatos, pagal kurią Sąjungoje įsisteigę </w:t>
            </w:r>
            <w:r>
              <w:rPr>
                <w:b/>
                <w:i/>
              </w:rPr>
              <w:t>mažieji ir vidutiniai</w:t>
            </w:r>
            <w:r>
              <w:t xml:space="preserve"> gamintojai, parduodantys baterijas tiesiogiai galutiniams naudotojams kitoje valstybėje narėje pagal nuotolinės prekybos sutartis, privalo paskirti įgaliotąjį atstovą didesnės gamintojo atsakomybės klausimams, taikymas turėtų būti sustabdytas</w:t>
            </w:r>
            <w:r>
              <w:rPr>
                <w:b/>
                <w:i/>
              </w:rPr>
              <w:t>, kol nebus pradėtas taikyti [Žiedinės ekonomikos aktas XXX]</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Reglamento (ES) 2023/1542 nuostatos, pagal kurią Sąjungoje įsisteigę gamintojai, parduodantys baterijas tiesiogiai galutiniams naudotojams kitoje valstybėje narėje pagal nuotolinės prekybos sutartis, privalo paskirti įgaliotąjį atstovą didesnės gamintojo atsakomybės klausimams, taikymas turėtų būti sustabdytas iki 2035 m. sausio 1 d.;</w:t>
            </w:r>
          </w:p>
        </w:tc>
        <w:tc>
          <w:tcPr>
            <w:tcW w:w="4876" w:type="dxa"/>
            <w:tcBorders>
              <w:top w:val="nil"/>
              <w:left w:val="nil"/>
              <w:bottom w:val="nil"/>
              <w:right w:val="nil"/>
            </w:tcBorders>
          </w:tcPr>
          <w:p>
            <w:pPr>
              <w:pStyle w:val="Normal6a"/>
            </w:pPr>
            <w:r>
              <w:t>(7)</w:t>
            </w:r>
            <w:r>
              <w:tab/>
            </w:r>
            <w:r>
              <w:t xml:space="preserve">Reglamento (ES) 2023/1542 nuostatos, pagal kurią Sąjungoje įsisteigę gamintojai, parduodantys baterijas tiesiogiai galutiniams naudotojams kitoje valstybėje narėje pagal nuotolinės prekybos sutartis, privalo paskirti įgaliotąjį atstovą didesnės gamintojo atsakomybės klausimams, taikymas turėtų būti sustabdytas iki 2035 m. sausio 1 d. </w:t>
            </w:r>
            <w:r>
              <w:rPr>
                <w:b/>
                <w:i/>
              </w:rPr>
              <w:t>arba [Žiedinės ekonomikos akto XXX] taikymo pradžios dienos, atsižvelgiant į tai, kuri data ankstesnė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Reglamento (ES) 2025/40 nuostatos, pagal kurią Sąjungoje įsisteigę gamintojai, pirmą kartą tiekiantys pakuotes ar supakuotus produktus tiesiogiai galutiniams naudotojams kitos valstybės narės teritorijoje, privalo paskirti įgaliotąjį atstovą didesnės gamintojo atsakomybės klausimams, taikymas turėtų būti sustabdytas iki 2035 m. sausio 1 d.;</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Reglamento (ES) 2025/40 nuostatos, pagal kurią Sąjungoje įsisteigę gamintojai, pirmą kartą tiekiantys pakuotes ar supakuotus produktus tiesiogiai galutiniams naudotojams kitos valstybės narės teritorijoje, privalo paskirti įgaliotąjį atstovą didesnės gamintojo atsakomybės klausimams, taikymas turėtų būti sustabdytas iki </w:t>
            </w:r>
            <w:r>
              <w:rPr>
                <w:b/>
                <w:i/>
              </w:rPr>
              <w:t>2035 m. sausio 1 d.</w:t>
            </w:r>
            <w:r>
              <w:t>;</w:t>
            </w:r>
          </w:p>
        </w:tc>
        <w:tc>
          <w:tcPr>
            <w:tcW w:w="4876" w:type="dxa"/>
            <w:tcBorders>
              <w:top w:val="nil"/>
              <w:left w:val="nil"/>
              <w:bottom w:val="nil"/>
              <w:right w:val="nil"/>
            </w:tcBorders>
          </w:tcPr>
          <w:p>
            <w:pPr>
              <w:pStyle w:val="Normal6a"/>
            </w:pPr>
            <w:r>
              <w:t>(8)</w:t>
            </w:r>
            <w:r>
              <w:tab/>
            </w:r>
            <w:r>
              <w:t xml:space="preserve">Reglamento (ES) 2025/40 nuostatos, pagal kurią Sąjungoje įsisteigę gamintojai, pirmą kartą tiekiantys pakuotes ar supakuotus produktus tiesiogiai galutiniams naudotojams kitos valstybės narės teritorijoje, privalo paskirti įgaliotąjį atstovą didesnės gamintojo atsakomybės klausimams, taikymas </w:t>
            </w:r>
            <w:r>
              <w:rPr>
                <w:b/>
                <w:i/>
              </w:rPr>
              <w:t>labai mažoms įmonėms, kaip apibrėžta Europos Parlamento ir Tarybos direktyvos 2013/34/ES 3 straipsnio 1 dalyje,</w:t>
            </w:r>
            <w:r>
              <w:t xml:space="preserve"> turėtų būti sustabdytas iki </w:t>
            </w:r>
            <w:r>
              <w:rPr>
                <w:b/>
                <w:i/>
              </w:rPr>
              <w:t>2029 m. gruodžio 31 d. arba iki Sąjungos teisės akto, kuriuo nustatoma horizontalioji didesnės gamintojo atsakomybės sistema, įskaitant taisykles dėl įgaliotųjų atstovų, taikymo pradžios dienos, atsižvelgiant į tai, kuri data ankstesnė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Reglamento (ES) 2025/40 nuostatos, pagal kurią Sąjungoje įsisteigę gamintojai, pirmą kartą tiekiantys pakuotes ar supakuotus produktus tiesiogiai galutiniams naudotojams kitos valstybės narės teritorijoje, privalo paskirti įgaliotąjį atstovą didesnės gamintojo atsakomybės klausimams, taikymas turėtų būti sustabdytas iki </w:t>
            </w:r>
            <w:r>
              <w:rPr>
                <w:b/>
                <w:i/>
              </w:rPr>
              <w:t>2035</w:t>
            </w:r>
            <w:r>
              <w:t xml:space="preserve"> m. sausio 1 d.;</w:t>
            </w:r>
          </w:p>
        </w:tc>
        <w:tc>
          <w:tcPr>
            <w:tcW w:w="4876" w:type="dxa"/>
            <w:tcBorders>
              <w:top w:val="nil"/>
              <w:left w:val="nil"/>
              <w:bottom w:val="nil"/>
              <w:right w:val="nil"/>
            </w:tcBorders>
          </w:tcPr>
          <w:p>
            <w:pPr>
              <w:pStyle w:val="Normal6a"/>
            </w:pPr>
            <w:r>
              <w:t>(8)</w:t>
            </w:r>
            <w:r>
              <w:tab/>
            </w:r>
            <w:r>
              <w:t xml:space="preserve">Reglamento (ES) 2025/40 nuostatos, pagal kurią Sąjungoje įsisteigę gamintojai, pirmą kartą tiekiantys pakuotes ar supakuotus produktus tiesiogiai galutiniams naudotojams kitos valstybės narės teritorijoje, privalo paskirti įgaliotąjį atstovą didesnės gamintojo atsakomybės klausimams, taikymas </w:t>
            </w:r>
            <w:r>
              <w:rPr>
                <w:b/>
                <w:i/>
              </w:rPr>
              <w:t>tam tikriems labai mažiems gamintojams</w:t>
            </w:r>
            <w:r>
              <w:t xml:space="preserve"> turėtų būti sustabdytas iki </w:t>
            </w:r>
            <w:r>
              <w:rPr>
                <w:b/>
                <w:i/>
              </w:rPr>
              <w:t>2030</w:t>
            </w:r>
            <w:r>
              <w:t xml:space="preserve"> m. sausio 1 d. </w:t>
            </w:r>
            <w:r>
              <w:rPr>
                <w:b/>
                <w:i/>
              </w:rPr>
              <w:t>arba [Žiedinės ekonomikos akto XXX] taikymo pradžios, atsižvelgiant į tai, kuri data ankstesnė</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Konstatuojamojoje dalyje turėtų būti aiškiai nurodyta, kad taikymo sritis apima tik labai mažas įmones.</w:t>
      </w:r>
      <w:r>
        <w:t xml:space="preserve"> </w:t>
      </w:r>
      <w:r>
        <w:t>Sustabdymas iki 2035 m. yra perteklinis.</w:t>
      </w:r>
      <w:r>
        <w:t xml:space="preserve"> </w:t>
      </w:r>
      <w:r>
        <w:t>Sustabdymas turėtų būti taikomas tik iki 2030 m., kad būtų daromas spaudimas Komisijai ir abiems teisėkūros institucijoms laiku parengti naują, teisingą ir paprastą sistemą Žiedinės ekonomikos akto kontekste.</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Reglamento (ES) 2025/40 nuostatos, pagal kurią Sąjungoje įsisteigę gamintojai, pirmą kartą tiekiantys pakuotes ar supakuotus produktus tiesiogiai galutiniams naudotojams kitos valstybės narės teritorijoje, privalo paskirti įgaliotąjį atstovą didesnės gamintojo atsakomybės klausimams, taikymas turėtų būti sustabdytas iki </w:t>
            </w:r>
            <w:r>
              <w:rPr>
                <w:b/>
                <w:i/>
              </w:rPr>
              <w:t>2035 m. sausio 1 d.</w:t>
            </w:r>
            <w:r>
              <w:t>;</w:t>
            </w:r>
          </w:p>
        </w:tc>
        <w:tc>
          <w:tcPr>
            <w:tcW w:w="4876" w:type="dxa"/>
            <w:tcBorders>
              <w:top w:val="nil"/>
              <w:left w:val="nil"/>
              <w:bottom w:val="nil"/>
              <w:right w:val="nil"/>
            </w:tcBorders>
          </w:tcPr>
          <w:p>
            <w:pPr>
              <w:pStyle w:val="Normal6a"/>
            </w:pPr>
            <w:r>
              <w:t>(8)</w:t>
            </w:r>
            <w:r>
              <w:tab/>
            </w:r>
            <w:r>
              <w:t xml:space="preserve">Reglamento (ES) 2025/40 nuostatos, pagal kurią Sąjungoje įsisteigę </w:t>
            </w:r>
            <w:r>
              <w:rPr>
                <w:b/>
                <w:i/>
              </w:rPr>
              <w:t>mažieji ir vidutiniai</w:t>
            </w:r>
            <w:r>
              <w:t xml:space="preserve"> gamintojai, pirmą kartą tiekiantys pakuotes ar supakuotus produktus tiesiogiai galutiniams naudotojams kitos valstybės narės teritorijoje, privalo paskirti įgaliotąjį atstovą didesnės gamintojo atsakomybės klausimams, taikymas turėtų būti sustabdytas iki </w:t>
            </w:r>
            <w:r>
              <w:rPr>
                <w:b/>
                <w:i/>
              </w:rPr>
              <w:t>[Žiedinės ekonomikos akto XXX] taikymo pradžios dienos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Reglamento (ES) 2025/40 nuostatos, pagal kurią Sąjungoje įsisteigę gamintojai, pirmą kartą tiekiantys pakuotes ar supakuotus produktus tiesiogiai galutiniams naudotojams kitos valstybės narės teritorijoje, privalo paskirti įgaliotąjį atstovą didesnės gamintojo atsakomybės klausimams, taikymas turėtų būti sustabdytas iki 2035 m. sausio 1 d.;</w:t>
            </w:r>
          </w:p>
        </w:tc>
        <w:tc>
          <w:tcPr>
            <w:tcW w:w="4876" w:type="dxa"/>
            <w:tcBorders>
              <w:top w:val="nil"/>
              <w:left w:val="nil"/>
              <w:bottom w:val="nil"/>
              <w:right w:val="nil"/>
            </w:tcBorders>
          </w:tcPr>
          <w:p>
            <w:pPr>
              <w:pStyle w:val="Normal6a"/>
            </w:pPr>
            <w:r>
              <w:t>(8)</w:t>
            </w:r>
            <w:r>
              <w:tab/>
            </w:r>
            <w:r>
              <w:t xml:space="preserve">Reglamento (ES) 2025/40 nuostatos, pagal kurią Sąjungoje įsisteigę gamintojai, pirmą kartą tiekiantys pakuotes ar supakuotus produktus tiesiogiai galutiniams naudotojams kitos valstybės narės teritorijoje, privalo paskirti įgaliotąjį atstovą didesnės gamintojo atsakomybės klausimams, taikymas turėtų būti sustabdytas iki 2035 m. sausio 1 d. </w:t>
            </w:r>
            <w:r>
              <w:rPr>
                <w:b/>
                <w:i/>
              </w:rPr>
              <w:t>arba [Žiedinės ekonomikos akto XXX] taikymo pradžios dienos, atsižvelgiant į tai, kuri data ankstesnė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Komisija rengia pasiūlymą dėl teisėkūros procedūra priimamo akto dėl išsamios didesnės gamintojo atsakomybės sistemos reformos.</w:t>
            </w:r>
            <w:r>
              <w:t xml:space="preserve"> </w:t>
            </w:r>
            <w:r>
              <w:rPr>
                <w:b/>
                <w:i/>
              </w:rPr>
              <w:t>Remiantis Komisijos darbo programa, tikimasi, kad pasiūlymą ji pateiks 2026 m.</w:t>
            </w:r>
            <w:r>
              <w:t xml:space="preserve"> </w:t>
            </w:r>
            <w:r>
              <w:rPr>
                <w:b/>
                <w:i/>
              </w:rPr>
              <w:t>Pasiūlymui dėl teisėkūros procedūra priimamo akto bus taikoma įprasta teisėkūros procedūra ir, jei Europos Parlamentas ir Taryba jį priims, valstybės narės ir gamintojai turės imtis būtinų priemonių, kad savo reguliavimo ir organizacines priemones bei savo elgesį, susijusius su didesne gamintojo atsakomybe, pritaikytų prie naujų taisyklių;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Komisija rengia pasiūlymą dėl teisėkūros procedūra priimamo akto dėl išsamios didesnės gamintojo atsakomybės sistemos reformos. Remiantis Komisijos darbo programa, tikimasi, kad pasiūlymą ji pateiks 2026 m. Pasiūlymui dėl teisėkūros procedūra priimamo akto bus taikoma įprasta teisėkūros procedūra ir, jei Europos Parlamentas ir Taryba jį priims, valstybės narės ir gamintojai turės imtis būtinų priemonių, kad savo reguliavimo ir organizacines priemones bei savo elgesį, susijusius su didesne gamintojo atsakomybe, pritaikytų prie naujų taisyklių;</w:t>
            </w:r>
          </w:p>
        </w:tc>
        <w:tc>
          <w:tcPr>
            <w:tcW w:w="4876" w:type="dxa"/>
            <w:tcBorders>
              <w:top w:val="nil"/>
              <w:left w:val="nil"/>
              <w:bottom w:val="nil"/>
              <w:right w:val="nil"/>
            </w:tcBorders>
          </w:tcPr>
          <w:p>
            <w:pPr>
              <w:pStyle w:val="Normal6a"/>
            </w:pPr>
            <w:r>
              <w:t>(9)</w:t>
            </w:r>
            <w:r>
              <w:tab/>
            </w:r>
            <w:r>
              <w:t xml:space="preserve">Komisija rengia pasiūlymą dėl teisėkūros procedūra priimamo akto dėl išsamios didesnės gamintojo atsakomybės sistemos reformos. Remiantis Komisijos darbo programa, tikimasi, kad pasiūlymą ji pateiks 2026 m. Pasiūlymui dėl teisėkūros procedūra priimamo akto bus taikoma įprasta teisėkūros procedūra ir, jei Europos Parlamentas ir Taryba jį priims, valstybės narės ir gamintojai turės imtis būtinų priemonių, kad savo reguliavimo ir organizacines priemones bei savo elgesį, susijusius su didesne gamintojo atsakomybe, pritaikytų prie naujų taisyklių; </w:t>
            </w:r>
            <w:r>
              <w:rPr>
                <w:b/>
                <w:i/>
              </w:rPr>
              <w:t>Todėl šiame reglamente nustatytos supaprastinimo priemonės ir toliau turėtų būti taikomos laikinai, kol bus pradėta taikyti išsamesnė reforma.</w:t>
            </w:r>
            <w:r>
              <w:t xml:space="preserve"> </w:t>
            </w:r>
            <w:r>
              <w:rPr>
                <w:b/>
                <w:i/>
              </w:rPr>
              <w:t>Išsamia reforma turėtų būti nustatyta suderinta didesnės gamintojo atsakomybės sistema ir šalinamos pagrindinės susiskaldymo priežastys, nustatant suderintas apibrėžtis, bendrus minimalius didesnės gamintojo atsakomybės sistemų reikalavimus, grindžiamus dabartine geriausia praktika, suderintos mokesčių struktūros, standartizuoti pranešimų teikimo bei duomenų formatai ir Sąjungos masto vieno langelio principu grindžiama gamintojų registracija ir reikalavimų laikymasis;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Reikalavimo, kad vienoje iš valstybių narių įsisteigę baterijų ir pakuočių gamintojai, tiekdami baterijas arba pakuotes ar supakuotus produktus kitoje valstybėje narėje, paskirtų įgaliotuosius atstovus didesnės gamintojo atsakomybės klausimams, taikymo sustabdymas yra preliminari priemonė, kuria iš karto sumažinama gamintojams tenkanti našta ir kuriamos sąlygos visapusiškai didesnės gamintojo atsakomybės sistemos reformai įgyvendinti;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Reikalavimo, kad vienoje iš valstybių narių įsisteigę </w:t>
            </w:r>
            <w:r>
              <w:rPr>
                <w:b/>
                <w:i/>
              </w:rPr>
              <w:t>baterijų ir</w:t>
            </w:r>
            <w:r>
              <w:t xml:space="preserve"> pakuočių gamintojai, tiekdami </w:t>
            </w:r>
            <w:r>
              <w:rPr>
                <w:b/>
                <w:i/>
              </w:rPr>
              <w:t>baterijas arba</w:t>
            </w:r>
            <w:r>
              <w:t xml:space="preserve"> pakuotes ar supakuotus produktus kitoje valstybėje narėje, paskirtų įgaliotuosius atstovus didesnės gamintojo atsakomybės klausimams, taikymo sustabdymas yra preliminari priemonė, kuria iš karto sumažinama </w:t>
            </w:r>
            <w:r>
              <w:rPr>
                <w:b/>
                <w:i/>
              </w:rPr>
              <w:t>gamintojams tenkanti</w:t>
            </w:r>
            <w:r>
              <w:t xml:space="preserve"> našta </w:t>
            </w:r>
            <w:r>
              <w:rPr>
                <w:b/>
                <w:i/>
              </w:rPr>
              <w:t>ir</w:t>
            </w:r>
            <w:r>
              <w:t xml:space="preserve"> kuriamos sąlygos visapusiškai didesnės gamintojo atsakomybės sistemos reformai įgyvendinti;</w:t>
            </w:r>
          </w:p>
        </w:tc>
        <w:tc>
          <w:tcPr>
            <w:tcW w:w="4876" w:type="dxa"/>
            <w:tcBorders>
              <w:top w:val="nil"/>
              <w:left w:val="nil"/>
              <w:bottom w:val="nil"/>
              <w:right w:val="nil"/>
            </w:tcBorders>
          </w:tcPr>
          <w:p>
            <w:pPr>
              <w:pStyle w:val="Normal6a"/>
            </w:pPr>
            <w:r>
              <w:t>(10)</w:t>
            </w:r>
            <w:r>
              <w:tab/>
            </w:r>
            <w:r>
              <w:t xml:space="preserve">reikalavimo, kad vienoje iš valstybių narių įsisteigę pakuočių gamintojai, tiekdami pakuotes ar supakuotus produktus kitoje valstybėje narėje, paskirtų įgaliotuosius atstovus didesnės gamintojo atsakomybės klausimams </w:t>
            </w:r>
            <w:r>
              <w:rPr>
                <w:b/>
                <w:i/>
              </w:rPr>
              <w:t>spręsti</w:t>
            </w:r>
            <w:r>
              <w:t xml:space="preserve">, taikymo sustabdymas </w:t>
            </w:r>
            <w:r>
              <w:rPr>
                <w:b/>
                <w:i/>
              </w:rPr>
              <w:t>labai mažoms įmonėms, kaip apibrėžta Europos Parlamento ir Tarybos direktyvos 2013/34/ES 3 straipsnio 1 dalyje,</w:t>
            </w:r>
            <w:r>
              <w:t xml:space="preserve"> yra preliminari priemonė, kuria iš karto sumažinama </w:t>
            </w:r>
            <w:r>
              <w:rPr>
                <w:b/>
                <w:i/>
              </w:rPr>
              <w:t>našta, kai ta</w:t>
            </w:r>
            <w:r>
              <w:t xml:space="preserve"> našta </w:t>
            </w:r>
            <w:r>
              <w:rPr>
                <w:b/>
                <w:i/>
              </w:rPr>
              <w:t>yra neproporcinga, ir kuria</w:t>
            </w:r>
            <w:r>
              <w:t xml:space="preserve"> kuriamos sąlygos visapusiškai didesnės gamintojo atsakomybės sistemos reformai įgyvendinti;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Reikalavimo, kad vienoje iš valstybių narių įsisteigę </w:t>
            </w:r>
            <w:r>
              <w:rPr>
                <w:b/>
                <w:i/>
              </w:rPr>
              <w:t>baterijų ir</w:t>
            </w:r>
            <w:r>
              <w:t xml:space="preserve"> pakuočių gamintojai, tiekdami </w:t>
            </w:r>
            <w:r>
              <w:rPr>
                <w:b/>
                <w:i/>
              </w:rPr>
              <w:t>baterijas arba</w:t>
            </w:r>
            <w:r>
              <w:t xml:space="preserve"> pakuotes ar supakuotus produktus kitoje valstybėje narėje, paskirtų įgaliotuosius atstovus didesnės gamintojo atsakomybės klausimams, taikymo sustabdymas yra preliminari priemonė, kuria iš karto sumažinama gamintojams tenkanti našta ir kuriamos sąlygos visapusiškai didesnės gamintojo atsakomybės sistemos reformai įgyvendinti;</w:t>
            </w:r>
          </w:p>
        </w:tc>
        <w:tc>
          <w:tcPr>
            <w:tcW w:w="4876" w:type="dxa"/>
            <w:tcBorders>
              <w:top w:val="nil"/>
              <w:left w:val="nil"/>
              <w:bottom w:val="nil"/>
              <w:right w:val="nil"/>
            </w:tcBorders>
          </w:tcPr>
          <w:p>
            <w:pPr>
              <w:pStyle w:val="Normal6a"/>
            </w:pPr>
            <w:r>
              <w:t>(10)</w:t>
            </w:r>
            <w:r>
              <w:tab/>
            </w:r>
            <w:r>
              <w:t xml:space="preserve">Reikalavimo, kad vienoje iš valstybių narių įsisteigę </w:t>
            </w:r>
            <w:r>
              <w:rPr>
                <w:b/>
                <w:i/>
              </w:rPr>
              <w:t>tam tikri labai maži</w:t>
            </w:r>
            <w:r>
              <w:t xml:space="preserve"> pakuočių gamintojai, tiekdami pakuotes ar supakuotus produktus kitoje valstybėje narėje, paskirtų įgaliotuosius atstovus didesnės gamintojo atsakomybės klausimams, taikymo sustabdymas yra preliminari priemonė, kuria iš karto sumažinama gamintojams tenkanti našta ir kuriamos sąlygos visapusiškai didesnės gamintojo atsakomybės sistemos reformai įgyvendinti;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Reikalavimo, kad vienoje iš valstybių narių įsisteigę baterijų ir pakuočių gamintojai, tiekdami baterijas arba pakuotes ar supakuotus produktus kitoje valstybėje narėje, paskirtų įgaliotuosius atstovus didesnės gamintojo atsakomybės klausimams, taikymo sustabdymas yra preliminari priemonė, kuria iš karto sumažinama gamintojams tenkanti našta ir kuriamos sąlygos visapusiškai didesnės gamintojo atsakomybės sistemos reformai įgyvendinti;</w:t>
            </w:r>
          </w:p>
        </w:tc>
        <w:tc>
          <w:tcPr>
            <w:tcW w:w="4876" w:type="dxa"/>
            <w:tcBorders>
              <w:top w:val="nil"/>
              <w:left w:val="nil"/>
              <w:bottom w:val="nil"/>
              <w:right w:val="nil"/>
            </w:tcBorders>
          </w:tcPr>
          <w:p>
            <w:pPr>
              <w:pStyle w:val="Normal6a"/>
            </w:pPr>
            <w:r>
              <w:t>(10)</w:t>
            </w:r>
            <w:r>
              <w:tab/>
            </w:r>
            <w:r>
              <w:t xml:space="preserve">reikalavimo, kad vienoje iš valstybių narių įsisteigę </w:t>
            </w:r>
            <w:r>
              <w:rPr>
                <w:b/>
                <w:i/>
              </w:rPr>
              <w:t>labai maži ir mažieji</w:t>
            </w:r>
            <w:r>
              <w:t xml:space="preserve"> baterijų ir pakuočių gamintojai, tiekdami baterijas arba pakuotes ar supakuotus produktus kitoje valstybėje narėje, paskirtų įgaliotuosius atstovus didesnės gamintojo atsakomybės klausimams, taikymo sustabdymas yra preliminari priemonė, kuria iš karto sumažinama </w:t>
            </w:r>
            <w:r>
              <w:rPr>
                <w:b/>
                <w:i/>
              </w:rPr>
              <w:t>labai tiems</w:t>
            </w:r>
            <w:r>
              <w:t xml:space="preserve"> gamintojams tenkanti našta ir kuriamos sąlygos visapusiškai didesnės gamintojo atsakomybės sistemos reformai įgyvendinti;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Reikalavimo, kad vienoje iš valstybių narių įsisteigę baterijų ir pakuočių gamintojai, tiekdami baterijas arba pakuotes ar supakuotus produktus kitoje valstybėje narėje, paskirtų įgaliotuosius atstovus didesnės gamintojo atsakomybės klausimams, taikymo sustabdymas yra preliminari priemonė, kuria iš karto sumažinama gamintojams tenkanti našta ir kuriamos sąlygos visapusiškai didesnės gamintojo atsakomybės sistemos reformai įgyvendinti;</w:t>
            </w:r>
          </w:p>
        </w:tc>
        <w:tc>
          <w:tcPr>
            <w:tcW w:w="4876" w:type="dxa"/>
            <w:tcBorders>
              <w:top w:val="nil"/>
              <w:left w:val="nil"/>
              <w:bottom w:val="nil"/>
              <w:right w:val="nil"/>
            </w:tcBorders>
          </w:tcPr>
          <w:p>
            <w:pPr>
              <w:pStyle w:val="Normal6a"/>
            </w:pPr>
            <w:r>
              <w:t>(10)</w:t>
            </w:r>
            <w:r>
              <w:tab/>
            </w:r>
            <w:r>
              <w:t xml:space="preserve">reikalavimo, kad vienoje iš valstybių narių įsisteigę </w:t>
            </w:r>
            <w:r>
              <w:rPr>
                <w:b/>
                <w:i/>
              </w:rPr>
              <w:t>mažieji ir vidutiniai</w:t>
            </w:r>
            <w:r>
              <w:t xml:space="preserve"> baterijų ir pakuočių gamintojai, tiekdami baterijas arba pakuotes ar supakuotus produktus kitoje valstybėje narėje, paskirtų įgaliotuosius atstovus didesnės gamintojo atsakomybės klausimams, taikymo sustabdymas yra preliminari priemonė, kuria iš karto sumažinama </w:t>
            </w:r>
            <w:r>
              <w:rPr>
                <w:b/>
                <w:i/>
              </w:rPr>
              <w:t>labai mažiesiems ir vidutiniams</w:t>
            </w:r>
            <w:r>
              <w:t xml:space="preserve"> gamintojams tenkanti našta ir kuriamos sąlygos visapusiškai didesnės gamintojo atsakomybės sistemos reformai įgyvendinti</w:t>
            </w:r>
            <w:r>
              <w:rPr>
                <w:b/>
                <w:i/>
              </w:rPr>
              <w:t>, siekiant sumažinti įmonėms tenkančią administracinę naštą</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kadangi šio reglamento tikslų, t. y. suteikti Sąjungoje įsisteigusiems gamintojams lankstumo sprendžiant, ar paskirti įgaliotąjį atstovą didesnės gamintojo atsakomybės klausimams, valstybės narės negali deramai pasiekti, o dėl veiksmo masto ir poveikio tų tikslų būtų geriau siekti Sąjungos lygmeniu, laikydamasi Europos Sąjungos sutarties 5 straipsnyje nustatyto subsidiarumo principo Sąjunga gali patvirtinti priemones.</w:t>
            </w:r>
            <w:r>
              <w:t xml:space="preserve"> </w:t>
            </w:r>
            <w:r>
              <w:rPr>
                <w:b/>
                <w:i/>
              </w:rPr>
              <w:t>Pagal tame straipsnyje nustatytą proporcingumo principą šiuo reglamentu neviršijama to, kas būtina nurodytiems tikslams pasiekti,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Reglamento (ES) 2023/1542 56 straipsnio 3 dalies taikymo sustabdymas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Reglamento (ES) 2023/1542 56 straipsnio 3 dalies taikymas sustabdomas iki 2035 m. sausio 1 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 valstybės narės iš trečiosiose valstybėse įsisteigusių baterijų gamintojų nereikalauja paskirti įgaliotojo atstovo didesnės gamintojo atsakomybės klausimams, jos turi atsekamumą ir vykdymo užtikrinimą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Netikslinga sustabdyti teisės aktų nuostatų, kurios jau visapusiškai taikomos, taikymą.</w:t>
      </w:r>
      <w:r>
        <w:t xml:space="preserve"> </w:t>
      </w:r>
      <w:r>
        <w:t>Baterijų reglamento nuostatos dėl didesnės gamintojo atsakomybės naujoms didesnės gamintojo atsakomybės sistemoms taikomos nuo 2024 m. vasario 18 d. (o didesnės gamintojo atsakomybės sistemoms, kurios buvo sukurtos iki 2018 m. liepos 4 d., – nuo 2025 m. rugpjūčio 18 d.).</w:t>
      </w:r>
      <w:r>
        <w:t xml:space="preserve"> </w:t>
      </w:r>
      <w:r>
        <w:t>Sustabdymas turėtų būti taikomas tik kaip procedūros sustabdymas dėl didesnės gamintojo atsakomybės nuostatų, kurios dar netaikomos.</w:t>
      </w:r>
      <w:r>
        <w:t xml:space="preserve"> </w:t>
      </w:r>
      <w:r>
        <w:t>Todėl nuoroda į Baterijų reglamentą turėtų būti išbraukta.</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Reglamento (ES) 2023/1542 56 straipsnio 3 dalies taikymo sustabdymas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Reglamento (ES) 2023/1542 56 straipsnio 3 dalies taikymas sustabdomas iki 2035 m. sausio 1 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 valstybės narės iš trečiosiose valstybėse įsisteigusių baterijų gamintojų nereikalauja paskirti įgaliotojo atstovo didesnės gamintojo atsakomybės klausimams, jos turi atsekamumą ir vykdymo užtikrinimą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Reglamento (ES) 2023/1542 56 straipsnio 3 dalies taikymas sustabdomas iki 2035 m. sausio 1 d.</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Reglamento (ES) 2023/1542 56 straipsnio 3 dalies taikymas sustabdomas iki 2035 m. sausio 1 d.</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Reglamento (ES) 2023/1542 56 straipsnio 3 dalies taikymas sustabdomas iki 2035 m. sausio 1 d.</w:t>
            </w:r>
          </w:p>
        </w:tc>
        <w:tc>
          <w:tcPr>
            <w:tcW w:w="4876" w:type="dxa"/>
            <w:tcBorders>
              <w:top w:val="nil"/>
              <w:left w:val="nil"/>
              <w:bottom w:val="nil"/>
              <w:right w:val="nil"/>
            </w:tcBorders>
          </w:tcPr>
          <w:p>
            <w:pPr>
              <w:pStyle w:val="Normal6a"/>
            </w:pPr>
            <w:r>
              <w:t xml:space="preserve">Reglamento (ES) 2023/1542 56 straipsnio 3 dalies taikymas </w:t>
            </w:r>
            <w:r>
              <w:rPr>
                <w:b/>
                <w:i/>
              </w:rPr>
              <w:t>Sąjungoje įsisteigusiems labai mažiems ir mažiesiems gamintojams</w:t>
            </w:r>
            <w:r>
              <w:t xml:space="preserve"> sustabdomas iki 2035 m. sausio 1 d. </w:t>
            </w:r>
            <w:r>
              <w:rPr>
                <w:b/>
                <w:i/>
              </w:rPr>
              <w:t>arba iki [Žiedinės ekonomikos akto XXX] taikymo pradžios dienos, atsižvelgiant į tai, kuri data ankstesnė.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Reglamento (ES) 2023/1542 56 straipsnio 3 dalies taikymas sustabdomas iki </w:t>
            </w:r>
            <w:r>
              <w:rPr>
                <w:b/>
                <w:i/>
              </w:rPr>
              <w:t>2035 m. sausio 1 d</w:t>
            </w:r>
            <w:r>
              <w:t>.</w:t>
            </w:r>
          </w:p>
        </w:tc>
        <w:tc>
          <w:tcPr>
            <w:tcW w:w="4876" w:type="dxa"/>
            <w:tcBorders>
              <w:top w:val="nil"/>
              <w:left w:val="nil"/>
              <w:bottom w:val="nil"/>
              <w:right w:val="nil"/>
            </w:tcBorders>
          </w:tcPr>
          <w:p>
            <w:pPr>
              <w:pStyle w:val="Normal6a"/>
            </w:pPr>
            <w:r>
              <w:t xml:space="preserve">Reglamento (ES) 2023/1542 56 straipsnio 3 dalies taikymas sustabdomas iki </w:t>
            </w:r>
            <w:r>
              <w:rPr>
                <w:b/>
                <w:i/>
              </w:rPr>
              <w:t>[Žiedinės ekonomikos akto XXX] taikymo pradžios dienos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Šis reglamentas taikomas tik gamintojams, kurie yra įdarbinę mažiau kaip 250 asmenų ir kurių metinė apyvarta neviršija 50 mln. EUR arba kurių bendras metinis balansas neviršija 43 mln. EUR.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Šis reglamentas turėtų būti taikomas tik tiems gamintojams, kurie gali būti laikomi mažosiomis ir vidutinėmis įmonėmis, kaip apibrėžta Komisijos rekomendacijos 2003/361/EB priedo 2 straipsnio 1 ir 2 dalyse.</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 valstybės narės iš trečiosiose valstybėse įsisteigusių baterijų gamintojų nereikalauja paskirti įgaliotojo atstovo didesnės gamintojo atsakomybės klausimams, jos turi atsekamumą ir vykdymo užtikrinimą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 valstybės narės iš trečiosiose valstybėse įsisteigusių baterijų gamintojų nereikalauja paskirti įgaliotojo atstovo didesnės gamintojo atsakomybės klausimams, jos turi atsekamumą ir vykdymo užtikrinimą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 valstybės narės iš trečiosiose valstybėse įsisteigusių baterijų gamintojų nereikalauja paskirti įgaliotojo atstovo didesnės gamintojo atsakomybės klausimams, jos turi atsekamumą ir vykdymo užtikrinimą trečiosiose valstybėse įsisteigusių baterijų gamintojų atžvilgiu užtikrinti alternatyviomis priemonėmis.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w:t>
            </w:r>
            <w:r>
              <w:t xml:space="preserve"> valstybės narės iš trečiosiose valstybėse įsisteigusių baterijų gamintojų </w:t>
            </w:r>
            <w:r>
              <w:rPr>
                <w:b/>
                <w:i/>
              </w:rPr>
              <w:t>nereikalauja</w:t>
            </w:r>
            <w:r>
              <w:t xml:space="preserve"> paskirti </w:t>
            </w:r>
            <w:r>
              <w:rPr>
                <w:b/>
                <w:i/>
              </w:rPr>
              <w:t>įgaliotojo atstovo</w:t>
            </w:r>
            <w:r>
              <w:t xml:space="preserve"> didesnės gamintojo atsakomybės klausimams</w:t>
            </w:r>
            <w:r>
              <w:rPr>
                <w:b/>
                <w:i/>
              </w:rPr>
              <w:t>, jos turi atsekamumą ir vykdymo užtikrinimą trečiosiose valstybėse įsisteigusių baterijų gamintojų atžvilgiu užtikrinti alternatyviomis priemonėmis</w:t>
            </w:r>
            <w:r>
              <w:t>.</w:t>
            </w:r>
          </w:p>
        </w:tc>
        <w:tc>
          <w:tcPr>
            <w:tcW w:w="4876" w:type="dxa"/>
            <w:tcBorders>
              <w:top w:val="nil"/>
              <w:left w:val="nil"/>
              <w:bottom w:val="nil"/>
              <w:right w:val="nil"/>
            </w:tcBorders>
          </w:tcPr>
          <w:p>
            <w:pPr>
              <w:pStyle w:val="Normal6a"/>
            </w:pPr>
            <w:r>
              <w:rPr>
                <w:b/>
                <w:i/>
              </w:rPr>
              <w:t>Siekiant užtikrinti atsekamumą ir vykdymo užtikrinimą,</w:t>
            </w:r>
            <w:r>
              <w:t xml:space="preserve"> valstybės narės iš trečiosiose valstybėse įsisteigusių baterijų gamintojų </w:t>
            </w:r>
            <w:r>
              <w:rPr>
                <w:b/>
                <w:i/>
              </w:rPr>
              <w:t>reikalauja</w:t>
            </w:r>
            <w:r>
              <w:t xml:space="preserve"> paskirti </w:t>
            </w:r>
            <w:r>
              <w:rPr>
                <w:b/>
                <w:i/>
              </w:rPr>
              <w:t>įgaliotąjį atstovą</w:t>
            </w:r>
            <w:r>
              <w:t xml:space="preserve"> didesnės gamintojo atsakomybės klausimams.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Jei valstybės narės iš</w:t>
            </w:r>
            <w:r>
              <w:t xml:space="preserve"> trečiosiose valstybėse įsisteigusių baterijų gamintojų </w:t>
            </w:r>
            <w:r>
              <w:rPr>
                <w:b/>
                <w:i/>
              </w:rPr>
              <w:t>nereikalauja</w:t>
            </w:r>
            <w:r>
              <w:t xml:space="preserve"> paskirti </w:t>
            </w:r>
            <w:r>
              <w:rPr>
                <w:b/>
                <w:i/>
              </w:rPr>
              <w:t>įgaliotojo atstovo</w:t>
            </w:r>
            <w:r>
              <w:t xml:space="preserve"> didesnės gamintojo atsakomybės klausimams</w:t>
            </w:r>
            <w:r>
              <w:rPr>
                <w:b/>
                <w:i/>
              </w:rPr>
              <w:t>, jos turi atsekamumą ir vykdymo užtikrinimą trečiosiose valstybėse įsisteigusių baterijų gamintojų atžvilgiu užtikrinti alternatyviomis priemonėmis</w:t>
            </w:r>
            <w:r>
              <w:t>.</w:t>
            </w:r>
          </w:p>
        </w:tc>
        <w:tc>
          <w:tcPr>
            <w:tcW w:w="4876" w:type="dxa"/>
            <w:tcBorders>
              <w:top w:val="nil"/>
              <w:left w:val="nil"/>
              <w:bottom w:val="nil"/>
              <w:right w:val="nil"/>
            </w:tcBorders>
          </w:tcPr>
          <w:p>
            <w:pPr>
              <w:pStyle w:val="Normal6a"/>
            </w:pPr>
            <w:r>
              <w:t xml:space="preserve">Trečiosiose valstybėse įsisteigusių baterijų gamintojų </w:t>
            </w:r>
            <w:r>
              <w:rPr>
                <w:b/>
                <w:i/>
              </w:rPr>
              <w:t>atveju, siekiant užtikrinti atsekamumą ir vykdymo užtikrinimą, valstybėje narėje, kurioje jie tiekia gaminius rinkai, privaloma</w:t>
            </w:r>
            <w:r>
              <w:t xml:space="preserve"> paskirti </w:t>
            </w:r>
            <w:r>
              <w:rPr>
                <w:b/>
                <w:i/>
              </w:rPr>
              <w:t>įgaliotąjį atstovą</w:t>
            </w:r>
            <w:r>
              <w:t xml:space="preserve"> didesnės gamintojo atsakomybės klausimams.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2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Reglamento (ES) 2025/40 45 straipsnio 3 dalies taikymo sustabdymas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Reglamento (ES) 2025/40 45 straipsnio 3 dalies taikymas sustabdomas iki 2035 m. sausio 1 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Valstybės narės gali nustatyti, kad trečiosiose valstybėse įsisteigę gamintojai, pirmą kartą tiekdami pakuotes ar supakuotus produktus jų teritorijoje, turi rašytiniu įgaliojimu paskirti įgaliotąjį atstovą didesnės gamintojo atsakomybės klausimams, arba jos gali atsekamumą ir vykdymo užtikrinimą trečiosiose valstybėse įsisteigusių pakuočių gamintojų atžvilgiu užtikrinti alternatyviomis priemonėmis.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Reglamento (ES) 2025/40 45 straipsnio 3 dalies taikymas sustabdomas iki 2035 m. sausio 1 d.</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Reglamento (ES) 2025/40 45 straipsnio 3 dalies taikymas sustabdomas iki </w:t>
            </w:r>
            <w:r>
              <w:rPr>
                <w:b/>
                <w:i/>
              </w:rPr>
              <w:t>2035</w:t>
            </w:r>
            <w:r>
              <w:t xml:space="preserve"> m. sausio 1 d.</w:t>
            </w:r>
          </w:p>
        </w:tc>
        <w:tc>
          <w:tcPr>
            <w:tcW w:w="4876" w:type="dxa"/>
            <w:tcBorders>
              <w:top w:val="nil"/>
              <w:left w:val="nil"/>
              <w:bottom w:val="nil"/>
              <w:right w:val="nil"/>
            </w:tcBorders>
          </w:tcPr>
          <w:p>
            <w:pPr>
              <w:pStyle w:val="Normal6a"/>
            </w:pPr>
            <w:r>
              <w:t xml:space="preserve">Reglamento (ES) 2025/40 45 straipsnio 3 dalies taikymas </w:t>
            </w:r>
            <w:r>
              <w:rPr>
                <w:b/>
                <w:i/>
              </w:rPr>
              <w:t>labai mažoms įmonėms, kaip apibrėžta Komisijos rekomendacijoje 2003/361/EB,</w:t>
            </w:r>
            <w:r>
              <w:t xml:space="preserve"> sustabdomas iki </w:t>
            </w:r>
            <w:r>
              <w:rPr>
                <w:b/>
                <w:i/>
              </w:rPr>
              <w:t>2030</w:t>
            </w:r>
            <w:r>
              <w:t xml:space="preserve"> m. sausio 1 d. </w:t>
            </w:r>
            <w:r>
              <w:rPr>
                <w:b/>
                <w:i/>
              </w:rPr>
              <w:t>arba [Žiedinės ekonomikos akto XXX] įsigaliojimo, atsižvelgiant į tai, kuri data ankstesnė, tiek, kiek ji taikoma Sąjungoje įsisteigusiems gamintojams.</w:t>
            </w:r>
            <w:r>
              <w:t xml:space="preserve"> </w:t>
            </w:r>
            <w:r>
              <w:rPr>
                <w:b/>
                <w:i/>
              </w:rPr>
              <w:t>Sustabdymas galioja tik labai mažoms įmonėms tose šalyse, kuriose jos nėra įsisteigusios, tačiau kuriose jos per metus tiekia rinkai mažiau nei 1 toną pakavimo medžiagos kaip tokios arba kaip supakuotų produktų dalies.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Komisija pagal 38a straipsnį gali priimti deleguotuosius aktus, kuriais keičiamas šis reglamentas pakeičiant ankstesnėje pastraipoje nurodytą kiekio tonomis ribą.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 suspension should only be given for microenterprises, and only until 2030 so as to put pressure on the Commission and on the co-legislators to deliver a new, fair and simple system in the context of the Circular Economy Act in time.</w:t>
      </w:r>
      <w:r>
        <w:t xml:space="preserve"> </w:t>
      </w:r>
      <w:r>
        <w:t>As micro companies can also put significant amount of packaging materials on the market, a tonnage threshold should be set for this.</w:t>
      </w:r>
      <w:r>
        <w:t xml:space="preserve"> </w:t>
      </w:r>
      <w:r>
        <w:t>Depending on the packaging material, current EPR fees for packaging materials vary between 20 to 450 Euro per ton.</w:t>
      </w:r>
      <w:r>
        <w:t xml:space="preserve"> </w:t>
      </w:r>
      <w:r>
        <w:t>At the same time, costs for an authorised representative are between 200-400 €/year.</w:t>
      </w:r>
      <w:r>
        <w:t xml:space="preserve"> </w:t>
      </w:r>
      <w:r>
        <w:t>It is thus reasonable to set a tonnage threshold at 1 ton/year (= cut-off where the annual cost for an authorised representative matches the median EPR fee).</w:t>
      </w:r>
      <w:r>
        <w:t xml:space="preserve"> </w:t>
      </w:r>
      <w:r>
        <w:t>The Commission should be empowered to modify this threshold.</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Reglamento (ES) 2025/40 45 straipsnio 3 dalies taikymas sustabdomas iki </w:t>
            </w:r>
            <w:r>
              <w:rPr>
                <w:b/>
                <w:i/>
              </w:rPr>
              <w:t>2035</w:t>
            </w:r>
            <w:r>
              <w:t xml:space="preserve"> m. sausio </w:t>
            </w:r>
            <w:r>
              <w:rPr>
                <w:b/>
                <w:i/>
              </w:rPr>
              <w:t>1 d.</w:t>
            </w:r>
          </w:p>
        </w:tc>
        <w:tc>
          <w:tcPr>
            <w:tcW w:w="4876" w:type="dxa"/>
            <w:tcBorders>
              <w:top w:val="nil"/>
              <w:left w:val="nil"/>
              <w:bottom w:val="nil"/>
              <w:right w:val="nil"/>
            </w:tcBorders>
          </w:tcPr>
          <w:p>
            <w:pPr>
              <w:pStyle w:val="Normal6a"/>
            </w:pPr>
            <w:r>
              <w:t xml:space="preserve">Reglamento (ES) 2025/40 45 straipsnio 3 dalies taikymas </w:t>
            </w:r>
            <w:r>
              <w:rPr>
                <w:b/>
                <w:i/>
              </w:rPr>
              <w:t>labai mažoms įmonėms, kaip apibrėžta Europos Parlamento ir Tarybos direktyvos 2013/34/ES 3 straipsnio 1 dalyje,</w:t>
            </w:r>
            <w:r>
              <w:t xml:space="preserve"> sustabdomas iki </w:t>
            </w:r>
            <w:r>
              <w:rPr>
                <w:b/>
                <w:i/>
              </w:rPr>
              <w:t>2029</w:t>
            </w:r>
            <w:r>
              <w:t xml:space="preserve"> m. sausio </w:t>
            </w:r>
            <w:r>
              <w:rPr>
                <w:b/>
                <w:i/>
              </w:rPr>
              <w:t>31 d. arba iki Sąjungos teisės akto, kuriuo nustatoma horizontalioji didesnės gamintojo atsakomybės sistema, įskaitant taisyklės dėl įgaliotojo atstovo, taikymo pradžios dienos, atsižvelgiant į tai, kuri data ankstesnė.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Reglamento (ES) 2025/40 45 straipsnio 3 dalies taikymas sustabdomas iki 2035 m. sausio 1 d.</w:t>
            </w:r>
          </w:p>
        </w:tc>
        <w:tc>
          <w:tcPr>
            <w:tcW w:w="4876" w:type="dxa"/>
            <w:tcBorders>
              <w:top w:val="nil"/>
              <w:left w:val="nil"/>
              <w:bottom w:val="nil"/>
              <w:right w:val="nil"/>
            </w:tcBorders>
          </w:tcPr>
          <w:p>
            <w:pPr>
              <w:pStyle w:val="Normal6a"/>
            </w:pPr>
            <w:r>
              <w:t xml:space="preserve">Reglamento (ES) 2025/40 45 straipsnio 3 dalies taikymas </w:t>
            </w:r>
            <w:r>
              <w:rPr>
                <w:b/>
                <w:i/>
              </w:rPr>
              <w:t>Sąjungoje įsisteigusiems labai mažiems ir mažiesiems gamintojams</w:t>
            </w:r>
            <w:r>
              <w:t xml:space="preserve"> sustabdomas iki 2035 m. sausio 1 d. </w:t>
            </w:r>
            <w:r>
              <w:rPr>
                <w:b/>
                <w:i/>
              </w:rPr>
              <w:t>arba iki [Žiedinės ekonomikos akto XXX] taikymo pradžios dienos, atsižvelgiant į tai, kuri data ankstesnė.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Reglamento (ES) 2025/40 45 straipsnio 3 dalies taikymas sustabdomas iki </w:t>
            </w:r>
            <w:r>
              <w:rPr>
                <w:b/>
                <w:i/>
              </w:rPr>
              <w:t>2035 m. sausio 1 d</w:t>
            </w:r>
            <w:r>
              <w:t>.</w:t>
            </w:r>
          </w:p>
        </w:tc>
        <w:tc>
          <w:tcPr>
            <w:tcW w:w="4876" w:type="dxa"/>
            <w:tcBorders>
              <w:top w:val="nil"/>
              <w:left w:val="nil"/>
              <w:bottom w:val="nil"/>
              <w:right w:val="nil"/>
            </w:tcBorders>
          </w:tcPr>
          <w:p>
            <w:pPr>
              <w:pStyle w:val="Normal6a"/>
            </w:pPr>
            <w:r>
              <w:t xml:space="preserve">Reglamento (ES) 2025/40 45 straipsnio 3 dalies taikymas sustabdomas iki </w:t>
            </w:r>
            <w:r>
              <w:rPr>
                <w:b/>
                <w:i/>
              </w:rPr>
              <w:t>[Žiedinės ekonomikos akto XXX] taikymo pradžios dienos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Šis reglamentas taikomas tik gamintojams, kurie yra įdarbinę mažiau kaip 250 asmenų ir kurių metinė apyvarta neviršija 50 mln. EUR arba kurių bendras metinis balansas neviršija 43 mln. EUR.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Šis reglamentas turėtų būti taikomas tik tiems gamintojams, kurie gali būti laikomi mažosiomis ir vidutinėmis įmonėmis, kaip apibrėžta Komisijos rekomendacijos 2003/361/EB priedo 2 straipsnio 1 ir 2 dalyse.</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Valstybės narės gali nustatyti, kad trečiosiose valstybėse įsisteigę gamintojai, pirmą kartą tiekdami pakuotes ar supakuotus produktus jų teritorijoje, turi rašytiniu įgaliojimu paskirti įgaliotąjį atstovą didesnės gamintojo atsakomybės klausimams, arba jos gali atsekamumą ir vykdymo užtikrinimą trečiosiose valstybėse įsisteigusių pakuočių gamintojų atžvilgiu užtikrinti alternatyviomis priemonėmis.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Valstybės narės gali nustatyti, kad trečiosiose valstybėse įsisteigę gamintojai, pirmą kartą tiekdami pakuotes ar supakuotus produktus jų teritorijoje, turi rašytiniu įgaliojimu paskirti įgaliotąjį atstovą didesnės gamintojo atsakomybės klausimams, arba jos gali atsekamumą ir vykdymo užtikrinimą trečiosiose valstybėse įsisteigusių pakuočių gamintojų atžvilgiu užtikrinti alternatyviomis priemonėmis.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Valstybės narės gali nustatyti, kad trečiosiose valstybėse įsisteigę gamintojai, pirmą kartą tiekdami pakuotes ar supakuotus produktus jų teritorijoje, turi rašytiniu įgaliojimu paskirti įgaliotąjį atstovą didesnės gamintojo atsakomybės klausimams, arba jos gali atsekamumą ir vykdymo užtikrinimą trečiosiose valstybėse įsisteigusių pakuočių gamintojų atžvilgiu užtikrinti alternatyviomis priemonėmis.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Valstybės narės </w:t>
            </w:r>
            <w:r>
              <w:rPr>
                <w:b/>
                <w:i/>
              </w:rPr>
              <w:t>gali nustatyti</w:t>
            </w:r>
            <w:r>
              <w:t xml:space="preserve">, kad trečiosiose valstybėse įsisteigę gamintojai, pirmą kartą tiekdami pakuotes ar supakuotus produktus jų teritorijoje, </w:t>
            </w:r>
            <w:r>
              <w:rPr>
                <w:b/>
                <w:i/>
              </w:rPr>
              <w:t>turi</w:t>
            </w:r>
            <w:r>
              <w:t xml:space="preserve"> rašytiniu įgaliojimu </w:t>
            </w:r>
            <w:r>
              <w:rPr>
                <w:b/>
                <w:i/>
              </w:rPr>
              <w:t>paskirti</w:t>
            </w:r>
            <w:r>
              <w:t xml:space="preserve"> įgaliotąjį atstovą didesnės gamintojo atsakomybės klausimams</w:t>
            </w:r>
            <w:r>
              <w:rPr>
                <w:b/>
                <w:i/>
              </w:rPr>
              <w:t>, arba jos gali atsekamumą ir vykdymo užtikrinimą trečiosiose valstybėse įsisteigusių pakuočių gamintojų atžvilgiu užtikrinti alternatyviomis priemonėmis</w:t>
            </w:r>
            <w:r>
              <w:t>.</w:t>
            </w:r>
          </w:p>
        </w:tc>
        <w:tc>
          <w:tcPr>
            <w:tcW w:w="4876" w:type="dxa"/>
            <w:tcBorders>
              <w:top w:val="nil"/>
              <w:left w:val="nil"/>
              <w:bottom w:val="nil"/>
              <w:right w:val="nil"/>
            </w:tcBorders>
          </w:tcPr>
          <w:p>
            <w:pPr>
              <w:pStyle w:val="Normal6a"/>
            </w:pPr>
            <w:r>
              <w:t xml:space="preserve">Valstybės narės </w:t>
            </w:r>
            <w:r>
              <w:rPr>
                <w:b/>
                <w:i/>
              </w:rPr>
              <w:t>nustato</w:t>
            </w:r>
            <w:r>
              <w:t xml:space="preserve">, kad trečiosiose valstybėse įsisteigę gamintojai, pirmą kartą tiekdami pakuotes ar supakuotus produktus jų teritorijoje, rašytiniu įgaliojimu </w:t>
            </w:r>
            <w:r>
              <w:rPr>
                <w:b/>
                <w:i/>
              </w:rPr>
              <w:t>paskirtų</w:t>
            </w:r>
            <w:r>
              <w:t xml:space="preserve"> įgaliotąjį atstovą didesnės gamintojo atsakomybės klausimams.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Valstybės narės gali nustatyti, kad</w:t>
            </w:r>
            <w:r>
              <w:t xml:space="preserve"> trečiosiose valstybėse </w:t>
            </w:r>
            <w:r>
              <w:rPr>
                <w:b/>
                <w:i/>
              </w:rPr>
              <w:t>įsisteigę gamintojai, pirmą kartą tiekdami pakuotes ar supakuotus produktus jų teritorijoje, turi rašytiniu įgaliojimu</w:t>
            </w:r>
            <w:r>
              <w:t xml:space="preserve"> paskirti įgaliotąjį atstovą didesnės gamintojo atsakomybės klausimams, </w:t>
            </w:r>
            <w:r>
              <w:rPr>
                <w:b/>
                <w:i/>
              </w:rPr>
              <w:t>arba jos gali atsekamumą ir vykdymo užtikrinimą trečiosiose valstybėse įsisteigusių pakuočių gamintojų atžvilgiu užtikrinti alternatyviomis priemonėmis</w:t>
            </w:r>
            <w:r>
              <w:t>.</w:t>
            </w:r>
          </w:p>
        </w:tc>
        <w:tc>
          <w:tcPr>
            <w:tcW w:w="4876" w:type="dxa"/>
            <w:tcBorders>
              <w:top w:val="nil"/>
              <w:left w:val="nil"/>
              <w:bottom w:val="nil"/>
              <w:right w:val="nil"/>
            </w:tcBorders>
          </w:tcPr>
          <w:p>
            <w:pPr>
              <w:pStyle w:val="Normal6a"/>
            </w:pPr>
            <w:r>
              <w:t xml:space="preserve">Trečiosiose valstybėse </w:t>
            </w:r>
            <w:r>
              <w:rPr>
                <w:b/>
                <w:i/>
              </w:rPr>
              <w:t>įsisteigusių pakuočių gamintojų atveju valstybės narės gali reikalauti</w:t>
            </w:r>
            <w:r>
              <w:t xml:space="preserve"> paskirti įgaliotąjį atstovą didesnės gamintojo atsakomybės klausimams, </w:t>
            </w:r>
            <w:r>
              <w:rPr>
                <w:b/>
                <w:i/>
              </w:rPr>
              <w:t>kai pakuotės ar supakuoti produktai pirmą kartą tiekiami jų teritorijoje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2a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Apsaugos priemonės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2 straipsnyje nurodytų nuostatų taikymo sustabdymas nedaro poveikio visoms kitoms gamintojų pareigoms pagal Sąjungos teisę, įskaitant registravimo, pranešimų teikimo, finansinių įnašų mokėjimo reikalavimus, nuostatas dėl garantijų, dalyvavimą didesnės gamintojo atsakomybės sistemose ir atliekų prevencijos, pakartotinio naudojimo ir perdirbimo pareigų laikymąsi.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Nuostatų taikymo sustabdymas netaikomas tais atvejais, jei gamintojas suskaidomas arba restruktūrizuojamas siekiant gauti naudos iš šio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2a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Šis reglamentas taikomas tik gamintojams, kurie laikomi labai mažomis įmonėmis arba mažosiomis įmonėmis, kaip tai suprantama Komisijos rekomendacijos 2003/361/EB I priedo atitinkamai 2 straipsnio 2 ir 3 dalyse.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Įsigaliojimas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Šis reglamentas įsigalioja dvidešimtą dieną po jo paskelbimo Europos Sąjungos oficialiajame leidinyje.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Šis reglamentas privalomas visas ir tiesiogiai taikomas visose valstybėse narėse.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Įsigaliojimas</w:t>
            </w:r>
          </w:p>
        </w:tc>
        <w:tc>
          <w:tcPr>
            <w:tcW w:w="4876" w:type="dxa"/>
            <w:tcBorders>
              <w:top w:val="nil"/>
              <w:left w:val="nil"/>
              <w:bottom w:val="nil"/>
              <w:right w:val="nil"/>
            </w:tcBorders>
          </w:tcPr>
          <w:p>
            <w:pPr>
              <w:pStyle w:val="Normal6a"/>
            </w:pPr>
            <w:r>
              <w:t xml:space="preserve">Įsigaliojimas </w:t>
            </w:r>
            <w:r>
              <w:rPr>
                <w:b/>
                <w:i/>
              </w:rPr>
              <w:t>ir taikymas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Šis reglamentas įsigalioja dvidešimtą dieną po jo paskelbimo Europos Sąjungos oficialiajame leidinyje.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Šis reglamentas nebetaikomas nuo [Žiedinės ekonomikos akto XXX] taikymo pradžios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Šis reglamentas privalomas visas ir tiesiogiai taikomas visose valstybėse narėse.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Šis reglamentas nebetaikomas nuo [Žiedinės ekonomikos akto XXX] taikymo pradžios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790.771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54</w:t>
    </w:r>
    <w:r>
      <w:fldChar w:fldCharType="end"/>
    </w:r>
    <w:r>
      <w:tab/>
    </w:r>
    <w:r>
      <w:rPr>
        <w:rStyle w:val="HideTWBExt"/>
      </w:rPr>
      <w:t>&lt;PathFdR&gt;</w:t>
    </w:r>
    <w:r>
      <w:t>AM\1347091LT.docx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AM\1347091LT.docx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54</w:t>
    </w:r>
    <w:r>
      <w:fldChar w:fldCharType="end"/>
    </w:r>
    <w:r>
      <w:tab/>
    </w:r>
    <w:r>
      <w:t>PE</w:t>
    </w:r>
    <w:r>
      <w:rPr>
        <w:rStyle w:val="HideTWBExt"/>
      </w:rPr>
      <w:t>&lt;NoPE&gt;</w:t>
    </w:r>
    <w:r>
      <w:t>790.771</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AM\1347091LT.docx</w:t>
    </w:r>
    <w:r>
      <w:rPr>
        <w:rStyle w:val="HideTWBExt"/>
      </w:rPr>
      <w:t>&lt;/PathFdR&gt;</w:t>
    </w:r>
    <w:r>
      <w:tab/>
    </w:r>
    <w:r>
      <w:tab/>
    </w:r>
    <w:r>
      <w:t>PE</w:t>
    </w:r>
    <w:r>
      <w:rPr>
        <w:rStyle w:val="HideTWBExt"/>
      </w:rPr>
      <w:t>&lt;NoPE&gt;</w:t>
    </w:r>
    <w:r>
      <w:t>790.771</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54</Pages>
  <Words>11478</Words>
  <Characters>82934</Characters>
  <Application>Microsoft Office Word</Application>
  <DocSecurity>0</DocSecurity>
  <Lines>1</Lines>
  <Paragraphs>808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1347091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575986</vt:lpwstr>
  </property>
  <property fmtid="{D5CDD505-2E9C-101B-9397-08002B2CF9AE}" pid="7" name="dmxml.render.traceId">
    <vt:lpwstr>6a5789f4c3a842776048816f48524243</vt:lpwstr>
  </property>
  <property fmtid="{D5CDD505-2E9C-101B-9397-08002B2CF9AE}" pid="8" name="FooterPath">
    <vt:lpwstr>AM\1347091LT.docx</vt:lpwstr>
  </property>
  <property fmtid="{D5CDD505-2E9C-101B-9397-08002B2CF9AE}" pid="9" name="PE Number">
    <vt:lpwstr>790.771</vt:lpwstr>
  </property>
  <property fmtid="{D5CDD505-2E9C-101B-9397-08002B2CF9AE}" pid="10" name="UID">
    <vt:lpwstr>eu.europa.europarl-DIN1-2026-0000198454_02.00-lt-01.00_text-xml</vt:lpwstr>
  </property>
</Properties>
</file>