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Komisja Ochrony Środowiska Naturalnego, Klimatu i Bezpieczeństwa Żywności</w:t>
      </w:r>
      <w:r>
        <w:rPr>
          <w:rStyle w:val="HideTWBExt"/>
        </w:rPr>
        <w:t>&lt;/Commission&gt;</w:t>
      </w:r>
    </w:p>
    <w:p>
      <w:pPr>
        <w:pStyle w:val="LineBottom"/>
      </w:pPr>
      <w:r>
        <w:t xml:space="preserve"> </w:t>
      </w:r>
    </w:p>
    <w:p>
      <w:pPr>
        <w:pStyle w:val="CoverReference"/>
      </w:pPr>
      <w:r>
        <w:rPr>
          <w:rStyle w:val="HideTWBExt"/>
        </w:rPr>
        <w:t>&lt;RefProc&gt;</w:t>
      </w:r>
      <w:r>
        <w:t>2025/0395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{03/07/2026}</w:t>
      </w:r>
      <w:r>
        <w:t>3.7.2026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17</w:t>
      </w:r>
      <w:r>
        <w:t xml:space="preserve"> - </w:t>
      </w:r>
      <w:r>
        <w:t>94</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Ingeborg Ter Laak</w:t>
      </w:r>
      <w:r>
        <w:rPr>
          <w:rStyle w:val="HideTWBExt"/>
        </w:rPr>
        <w:t>&lt;/Rapporteur&gt;</w:t>
      </w:r>
    </w:p>
    <w:p>
      <w:pPr>
        <w:pStyle w:val="CoverNormal24a"/>
      </w:pPr>
      <w:r>
        <w:rPr>
          <w:rStyle w:val="HideTWBExt"/>
        </w:rPr>
        <w:t>&lt;DocRefPE&gt;</w:t>
      </w:r>
      <w:r>
        <w:t>(PE788.916v01-00)</w:t>
      </w:r>
      <w:r>
        <w:rPr>
          <w:rStyle w:val="HideTWBExt"/>
        </w:rPr>
        <w:t>&lt;/DocRefPE&gt;</w:t>
      </w:r>
    </w:p>
    <w:p>
      <w:pPr>
        <w:pStyle w:val="CoverNormal24a"/>
      </w:pPr>
      <w:r>
        <w:rPr>
          <w:rStyle w:val="HideTWBExt"/>
        </w:rPr>
        <w:t>&lt;Titre&gt;</w:t>
      </w:r>
      <w:r>
        <w:t>Zawieszenie stosowania przepisów dotyczących wyznaczania upoważnionego przedstawiciela ds. rozszerzonej odpowiedzialności producenta w odniesieniu do baterii i zużytych baterii oraz opakowań i odpadów opakowaniowych</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(COM(2025)0982 – 2025/0395(COD))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 Fourreau, Sebastian Everding,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Wniosek o odrzucenie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Parlament Europejski odrzuca [wniosek Komisji].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Tytuł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Wniosek</w:t>
            </w:r>
            <w:r>
              <w:br/>
            </w:r>
            <w:r>
              <w:t>ROZPORZĄDZENIE PARLAMENTU EUROPEJSKIEGO I RADY</w:t>
            </w:r>
            <w:r>
              <w:br/>
            </w:r>
            <w:r>
              <w:t xml:space="preserve">zawieszające stosowanie przepisów dotyczących wyznaczania upoważnionego przedstawiciela ds. rozszerzonej odpowiedzialności producenta w odniesieniu do </w:t>
            </w:r>
            <w:r>
              <w:rPr>
                <w:b/>
                <w:i/>
              </w:rPr>
              <w:t>baterii i zużytych baterii oraz</w:t>
            </w:r>
            <w:r>
              <w:t xml:space="preserve"> opakowań i odpadów opakowaniowych</w:t>
            </w:r>
            <w:r>
              <w:br/>
            </w:r>
            <w:r>
              <w:t>(Tekst mający znaczenie dla EOG)</w:t>
            </w:r>
          </w:p>
        </w:tc>
        <w:tc>
          <w:tcPr>
            <w:tcW w:w="4876" w:type="dxa"/>
            <w:tcBorders>
              <w:top w:val="nil"/>
              <w:left w:val="nil"/>
              <w:bottom w:val="nil"/>
              <w:right w:val="nil"/>
            </w:tcBorders>
          </w:tcPr>
          <w:p>
            <w:pPr>
              <w:pStyle w:val="Normal6a"/>
            </w:pPr>
            <w:r>
              <w:t>Wniosek</w:t>
            </w:r>
            <w:r>
              <w:br/>
            </w:r>
            <w:r>
              <w:t>ROZPORZĄDZENIE PARLAMENTU EUROPEJSKIEGO I RADY</w:t>
            </w:r>
            <w:r>
              <w:br/>
            </w:r>
            <w:r>
              <w:t>zawieszające stosowanie przepisów dotyczących wyznaczania upoważnionego przedstawiciela ds. rozszerzonej odpowiedzialności producenta w odniesieniu do opakowań i odpadów opakowaniowych</w:t>
            </w:r>
            <w:r>
              <w:br/>
            </w:r>
            <w:r>
              <w:t>(Tekst mający znaczenie dla EOG)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(Ta poprawka ma zastosowanie do całego tekstu – wszelkie odniesienia do baterii i zużytych baterii należy skreślić)</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Nie należy zawieszać przepisów prawa, które są już w pełni stosowane.</w:t>
      </w:r>
      <w:r>
        <w:t xml:space="preserve"> </w:t>
      </w:r>
      <w:r>
        <w:t>Przepisy dotyczące rozszerzonej odpowiedzialności producenta zawarte w rozporządzeniu w sprawie baterii mają zastosowanie od 18 lutego 2024 r. w odniesieniu do nowych systemów rozszerzonej odpowiedzialności producenta (a od 18 sierpnia 2025 r. w odniesieniu do systemów rozszerzonej odpowiedzialności producenta, które ustanowiono przed 4 lipca 2018 r.).</w:t>
      </w:r>
      <w:r>
        <w:t xml:space="preserve"> </w:t>
      </w:r>
      <w:r>
        <w:t>Zawieszenie powinno mieć zastosowanie wyłącznie w rozumieniu „zatrzymania zegara” w odniesieniu do przepisów dotyczących rozszerzonej odpowiedzialności producenta, które nie mają jeszcze zastosowania.</w:t>
      </w:r>
      <w:r>
        <w:t xml:space="preserve"> </w:t>
      </w:r>
      <w:r>
        <w:t>Należy zatem skreślić odniesienie do rozporządzenia w sprawie baterii.</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W wytycznych politycznych na kadencję Komisji 2024–2029</w:t>
            </w:r>
            <w:r>
              <w:rPr>
                <w:b/>
                <w:i/>
                <w:vertAlign w:val="superscript"/>
              </w:rPr>
              <w:t>3</w:t>
            </w:r>
            <w:r>
              <w:rPr>
                <w:b/>
                <w:i/>
              </w:rPr>
              <w:t>wskazano cel, jakim jest uproszczenie, konsolidacja i ujednolicenie przepisów, aby wyeliminować wszelkie nakładające się i wzajemnie sprzeczne elementy, przy jednoczesnym utrzymaniu wysokich standardów i dalszym dążeniu do realizacji celów określonych w Europejskim Zielonym Ładzie.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Wybór Europy – Wytyczne polityczne na następną kadencję Komisji Europejskiej 2024–2029, Ursula von der Leyen.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 wytycznych politycznych na kadencję Komisji 2024–2029</w:t>
            </w:r>
            <w:r>
              <w:rPr>
                <w:vertAlign w:val="superscript"/>
              </w:rPr>
              <w:t>3</w:t>
            </w:r>
            <w:r>
              <w:t>wskazano cel, jakim jest uproszczenie, konsolidacja i ujednolicenie przepisów, aby wyeliminować wszelkie nakładające się i wzajemnie sprzeczne elementy</w:t>
            </w:r>
            <w:r>
              <w:rPr>
                <w:b/>
                <w:i/>
              </w:rPr>
              <w:t>, przy jednoczesnym utrzymaniu wysokich standardów i dalszym dążeniu do realizacji celów określonych w Europejskim Zielonym Ładzie</w:t>
            </w:r>
            <w:r>
              <w:t>.</w:t>
            </w:r>
          </w:p>
        </w:tc>
        <w:tc>
          <w:tcPr>
            <w:tcW w:w="4876" w:type="dxa"/>
            <w:tcBorders>
              <w:top w:val="nil"/>
              <w:left w:val="nil"/>
              <w:bottom w:val="nil"/>
              <w:right w:val="nil"/>
            </w:tcBorders>
          </w:tcPr>
          <w:p>
            <w:pPr>
              <w:pStyle w:val="Normal6a"/>
            </w:pPr>
            <w:r>
              <w:t>(1)</w:t>
            </w:r>
            <w:r>
              <w:tab/>
            </w:r>
            <w:r>
              <w:t>W wytycznych politycznych na kadencję Komisji 2024–2029</w:t>
            </w:r>
            <w:r>
              <w:rPr>
                <w:vertAlign w:val="superscript"/>
              </w:rPr>
              <w:t>3</w:t>
            </w:r>
            <w:r>
              <w:t xml:space="preserve"> wskazano cel, jakim jest uproszczenie, konsolidacja i ujednolicenie przepisów, aby wyeliminować wszelkie nakładające się i wzajemnie sprzeczne elementy </w:t>
            </w:r>
            <w:r>
              <w:rPr>
                <w:b/>
                <w:i/>
              </w:rPr>
              <w:t>w celu zmniejszenia obciążeń administracyjnych dla przedsiębiorstw</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Wybór Europy – Wytyczne polityczne na następną kadencję Komisji Europejskiej 2024–2029, Ursula von der Leyen.</w:t>
            </w:r>
          </w:p>
        </w:tc>
        <w:tc>
          <w:tcPr>
            <w:tcW w:w="4876" w:type="dxa"/>
            <w:tcBorders>
              <w:top w:val="nil"/>
              <w:left w:val="nil"/>
              <w:bottom w:val="nil"/>
              <w:right w:val="nil"/>
            </w:tcBorders>
          </w:tcPr>
          <w:p>
            <w:pPr>
              <w:pStyle w:val="Normal6a"/>
            </w:pPr>
            <w:r>
              <w:rPr>
                <w:vertAlign w:val="superscript"/>
              </w:rPr>
              <w:t>3</w:t>
            </w:r>
            <w:r>
              <w:t xml:space="preserve"> </w:t>
            </w:r>
            <w:r>
              <w:t>Wybór Europy – Wytyczne polityczne na następną kadencję Komisji Europejskiej 2024–2029, Ursula von der Leyen.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W komunikacie zatytułowanym „Prostsza i szybsza Europa: komunikat dotyczący wdrażania i upraszczania”</w:t>
            </w:r>
            <w:r>
              <w:rPr>
                <w:b/>
                <w:i/>
                <w:vertAlign w:val="superscript"/>
              </w:rPr>
              <w:t>4</w:t>
            </w:r>
            <w:r>
              <w:rPr>
                <w:b/>
                <w:i/>
              </w:rPr>
              <w:t>Komisja Europejska nakreśliła wizję programu wdrażania i upraszczania, który zapewni szybką i odczuwalną poprawę sytuacji obywateli i przedsiębiorstw w praktyce.</w:t>
            </w:r>
            <w:r>
              <w:t xml:space="preserve"> </w:t>
            </w:r>
            <w:r>
              <w:rPr>
                <w:b/>
                <w:i/>
              </w:rPr>
              <w:t>Wymaga to więcej niż stopniowego podejścia, a Unia ma podjąć odważne działania, aby osiągnąć ten cel.</w:t>
            </w:r>
            <w:r>
              <w:t xml:space="preserve"> </w:t>
            </w:r>
            <w:r>
              <w:rPr>
                <w:b/>
                <w:i/>
              </w:rPr>
              <w:t>Parlament Europejski, Rada, Komisja, organy państw członkowskich na wszystkich poziomach oraz zainteresowane podmioty muszą współpracować, aby usprawnić i uprościć przepisy unijne, krajowe i regionalne oraz skuteczniej realizować polityki.</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Komunikat Komisji z dnia 11 lutego 2025 r. do Parlamentu Europejskiego, Rady, Europejskiego Komitetu Ekonomiczno-Społecznego i Komitetu Regionów „Prostsza i szybsza Europa: komunikat dotyczący wdrażania i upraszczania”, COM(2025) 47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 komunikacie w sprawie strategii na rzecz jednolitego rynku</w:t>
            </w:r>
            <w:r>
              <w:rPr>
                <w:b/>
                <w:i/>
                <w:vertAlign w:val="superscript"/>
              </w:rPr>
              <w:t>5</w:t>
            </w:r>
            <w:r>
              <w:rPr>
                <w:b/>
                <w:i/>
              </w:rPr>
              <w:t>Komisja jako jedną z barier dla rynku wewnętrznego wskazała doświadczany przez przedsiębiorstwa problem braku spójności przepisów krajowych, który utrudnia sprzedaż, zwiększanie skali działalności lub przepływ towarów i usług przez granice.</w:t>
            </w:r>
            <w:r>
              <w:t xml:space="preserve"> </w:t>
            </w:r>
            <w:r>
              <w:rPr>
                <w:b/>
                <w:i/>
              </w:rPr>
              <w:t>Komisja zobowiązała się w pierwszej kolejności poświęcić uwagę dziesięciu najbardziej szkodliwym barierom.</w:t>
            </w:r>
            <w:r>
              <w:t xml:space="preserve"> </w:t>
            </w:r>
            <w:r>
              <w:rPr>
                <w:b/>
                <w:i/>
              </w:rPr>
              <w:t>Jako jedną z barier najczęściej zgłaszanych przez przedsiębiorstwa prowadzące działalność transgraniczną w Unii w komunikacie wskazano pewne cechy systemów rozszerzonej odpowiedzialności producenta.</w:t>
            </w:r>
            <w:r>
              <w:t xml:space="preserve"> </w:t>
            </w:r>
            <w:r>
              <w:rPr>
                <w:b/>
                <w:i/>
              </w:rPr>
              <w:t>Chociaż systemy rozszerzonej odpowiedzialności producenta wynikają z przepisów Unii, brak jednolitości zasad i wymogów doprowadził do dużej różnorodności systemów rozszerzonej odpowiedzialności producenta ustanowionych w państwach członkowskich, a także do złożoności regulacyjnej i dużych obciążeń administracyjnych dla przedsiębiorstw.</w:t>
            </w:r>
            <w:r>
              <w:t xml:space="preserve"> </w:t>
            </w:r>
            <w:r>
              <w:rPr>
                <w:b/>
                <w:i/>
              </w:rPr>
              <w:t>Niniejsze rozporządzenie jest pierwszym krokiem w kierunku dalej idącego uproszczenia systemów rozszerzonej odpowiedzialności producenta w dziedzinie odpadów, natomiast przyszły akt w sprawie gospodarki o obiegu zamkniętym powinien przewidywać dalsze uproszczenie.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Komunikat Komisji do Parlamentu Europejskiego, Rady, Europejskiego Komitetu Ekonomiczno-Społecznego i Komitetu Regionów, „Jednolity rynek:</w:t>
            </w:r>
            <w:r>
              <w:t xml:space="preserve"> </w:t>
            </w:r>
            <w:r>
              <w:rPr>
                <w:b/>
                <w:i/>
              </w:rPr>
              <w:t>nasz europejski rynek wewnętrzny w niepewnym świecie. Strategia na rzecz prostszego, płynniejszego i silniejszego jednolitego rynku”, COM(2025) 500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W komunikacie w sprawie strategii na rzecz jednolitego rynku</w:t>
            </w:r>
            <w:r>
              <w:rPr>
                <w:vertAlign w:val="superscript"/>
              </w:rPr>
              <w:t>5</w:t>
            </w:r>
            <w:r>
              <w:t>Komisja jako jedną z barier dla rynku wewnętrznego wskazała doświadczany przez przedsiębiorstwa problem braku spójności przepisów krajowych, który utrudnia sprzedaż, zwiększanie skali działalności lub przepływ towarów i usług przez granice. Komisja zobowiązała się w pierwszej kolejności poświęcić uwagę dziesięciu najbardziej szkodliwym barierom. Jako jedną z barier najczęściej zgłaszanych przez przedsiębiorstwa prowadzące działalność transgraniczną w Unii w komunikacie wskazano pewne cechy systemów rozszerzonej odpowiedzialności producenta. Chociaż systemy rozszerzonej odpowiedzialności producenta wynikają z przepisów Unii, brak jednolitości zasad i wymogów doprowadził do dużej różnorodności systemów rozszerzonej odpowiedzialności producenta ustanowionych w państwach członkowskich, a także do złożoności regulacyjnej i dużych obciążeń administracyjnych dla przedsiębiorstw. Niniejsze rozporządzenie jest pierwszym krokiem w kierunku dalej idącego uproszczenia systemów rozszerzonej odpowiedzialności producenta w dziedzinie odpadów, natomiast przyszły akt w sprawie gospodarki o obiegu zamkniętym powinien przewidywać dalsze uproszczenie.</w:t>
            </w:r>
          </w:p>
        </w:tc>
        <w:tc>
          <w:tcPr>
            <w:tcW w:w="4876" w:type="dxa"/>
            <w:tcBorders>
              <w:top w:val="nil"/>
              <w:left w:val="nil"/>
              <w:bottom w:val="nil"/>
              <w:right w:val="nil"/>
            </w:tcBorders>
          </w:tcPr>
          <w:p>
            <w:pPr>
              <w:pStyle w:val="Normal6a"/>
            </w:pPr>
            <w:r>
              <w:t>(3)</w:t>
            </w:r>
            <w:r>
              <w:tab/>
            </w:r>
            <w:r>
              <w:t>W komunikacie w sprawie strategii na rzecz jednolitego rynku</w:t>
            </w:r>
            <w:r>
              <w:rPr>
                <w:vertAlign w:val="superscript"/>
              </w:rPr>
              <w:t>5</w:t>
            </w:r>
            <w:r>
              <w:t xml:space="preserve"> Komisja jako jedną z barier dla rynku wewnętrznego wskazała doświadczany przez przedsiębiorstwa problem braku spójności przepisów krajowych, który utrudnia sprzedaż, zwiększanie skali działalności lub przepływ towarów i usług przez granice. Komisja zobowiązała się w pierwszej kolejności poświęcić uwagę dziesięciu najbardziej szkodliwym barierom. Jako jedną z barier najczęściej zgłaszanych przez przedsiębiorstwa prowadzące działalność transgraniczną w Unii w komunikacie wskazano pewne cechy systemów rozszerzonej odpowiedzialności producenta. Chociaż systemy rozszerzonej odpowiedzialności producenta wynikają z przepisów Unii, brak jednolitości zasad i wymogów doprowadził do dużej różnorodności systemów rozszerzonej odpowiedzialności producenta ustanowionych w państwach członkowskich, a także do złożoności regulacyjnej i dużych obciążeń administracyjnych dla przedsiębiorstw. Niniejsze rozporządzenie jest pierwszym krokiem w kierunku dalej idącego uproszczenia systemów rozszerzonej odpowiedzialności producenta w dziedzinie odpadów, natomiast przyszły akt w sprawie gospodarki o obiegu zamkniętym powinien przewidywać dalsze uproszczenie</w:t>
            </w:r>
            <w:r>
              <w:rPr>
                <w:b/>
                <w:i/>
              </w:rPr>
              <w:t>, przy jednoczesnym uwzględnieniu specyfiki każdego państwa członkowskiego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Komunikat Komisji do Parlamentu Europejskiego, Rady, Europejskiego Komitetu Ekonomiczno-Społecznego i Komitetu Regionów, „Jednolity rynek: nasz europejski rynek wewnętrzny w niepewnym świecie. Strategia na rzecz prostszego, płynniejszego i silniejszego jednolitego rynku”, COM(2025) 500 final.</w:t>
            </w:r>
          </w:p>
        </w:tc>
        <w:tc>
          <w:tcPr>
            <w:tcW w:w="4876" w:type="dxa"/>
            <w:tcBorders>
              <w:top w:val="nil"/>
              <w:left w:val="nil"/>
              <w:bottom w:val="nil"/>
              <w:right w:val="nil"/>
            </w:tcBorders>
          </w:tcPr>
          <w:p>
            <w:pPr>
              <w:pStyle w:val="Normal6a"/>
            </w:pPr>
            <w:r>
              <w:rPr>
                <w:vertAlign w:val="superscript"/>
              </w:rPr>
              <w:t>5</w:t>
            </w:r>
            <w:r>
              <w:t xml:space="preserve"> </w:t>
            </w:r>
            <w:r>
              <w:t>Komunikat Komisji do Parlamentu Europejskiego, Rady, Europejskiego Komitetu Ekonomiczno-Społecznego i Komitetu Regionów, „Jednolity rynek: nasz europejski rynek wewnętrzny w niepewnym świecie. Strategia na rzecz prostszego, płynniejszego i silniejszego jednolitego rynku”, COM(2025) 500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 wielu państwach członkowskich funkcjonują już systemy rozszerzonej odpowiedzialności producenta w odniesieniu do baterii.</w:t>
            </w:r>
            <w:r>
              <w:t xml:space="preserve"> </w:t>
            </w:r>
            <w:r>
              <w:rPr>
                <w:b/>
                <w:i/>
              </w:rPr>
              <w:t>Wszelkie zawieszenie lub zmiana powiązanych obowiązków w zakresie zgodności powinny być dokonywane wyłącznie po przeprowadzeniu odpowiednich ocen skutków, aby nie stwarzać ryzyka osłabienia istniejących struktur finansowania i egzekwowania.</w:t>
            </w:r>
            <w:r>
              <w:t xml:space="preserve"> </w:t>
            </w:r>
            <w:r>
              <w:rPr>
                <w:b/>
                <w:i/>
              </w:rPr>
              <w:t>Natomiast systemy rozszerzonej odpowiedzialności producenta w odniesieniu do opakowań i odpadów opakowaniowych są nadal w pełni wdrażane lub dalej rozwijane w całej Unii.</w:t>
            </w:r>
            <w:r>
              <w:t xml:space="preserve"> </w:t>
            </w:r>
            <w:r>
              <w:rPr>
                <w:b/>
                <w:i/>
              </w:rPr>
              <w:t>W związku z tym odpowiednie mogą być ukierunkowane i proporcjonalne środki przejściowe, aby ułatwić mikroprzedsiębiorstwom uczestnictwo w rynku bez zakłócania funkcjonowania systemów.</w:t>
            </w:r>
            <w:r>
              <w:t xml:space="preserve"> </w:t>
            </w:r>
            <w:r>
              <w:rPr>
                <w:b/>
                <w:i/>
              </w:rPr>
              <w:t>Niniejszym rozporządzeniem należy zatem ograniczyć wszelkie tymczasowe zawieszenie obowiązku wyznaczenia upoważnionego przedstawiciela wyłącznie do mikroprzedsiębiorstw mających siedzibę w Unii oraz do grup produktów, w przypadku których systemy rozszerzonej odpowiedzialności producenta nie są jeszcze w pełni operacyjne na poziomie Unii, a mianowicie opakowań i produktów w opakowaniu, przy jednoczesnym utrzymaniu istniejących wymogów dla sektorów posiadających ustanowione i funkcjonujące ramy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Producenci wprowadzający produkty do obrotu w kilku państwach członkowskich podlegają obecnie rozbieżnym procedurom rejestracji, formatom sprawozdawczości i wymogom informacyjnym w ramach systemów rozszerzonej odpowiedzialności producenta.</w:t>
            </w:r>
            <w:r>
              <w:t xml:space="preserve"> </w:t>
            </w:r>
            <w:r>
              <w:rPr>
                <w:b/>
                <w:i/>
              </w:rPr>
              <w:t>Taka fragmentacja powoduje niepotrzebne obciążenia administracyjne i koszty przestrzegania przepisów oraz może utrudniać właściwe funkcjonowanie rynku wewnętrznego.</w:t>
            </w:r>
            <w:r>
              <w:t xml:space="preserve"> </w:t>
            </w:r>
            <w:r>
              <w:rPr>
                <w:b/>
                <w:i/>
              </w:rPr>
              <w:t>Aby wspierać swobodny przepływ towarów, a jednocześnie zapewnić skuteczne wdrażanie i egzekwowanie obowiązków w zakresie rozszerzonej odpowiedzialności producenta, państwa członkowskie powinny ułatwiać wymianę informacji dotyczących rejestracji producentów, statusu zgodności i działań w zakresie egzekwowania przepisów.</w:t>
            </w:r>
            <w:r>
              <w:t xml:space="preserve"> </w:t>
            </w:r>
            <w:r>
              <w:rPr>
                <w:b/>
                <w:i/>
              </w:rPr>
              <w:t>Jednocześnie Unia powinna zachęcać do stosowania interoperacyjnych systemów cyfrowych i wspólnych wymogów sprawozdawczych umożliwiających producentom wypełnianie obowiązków administracyjnych w całej Unii za pomocą uproszczonych i zharmonizowanych procedur.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Środki upraszczające wprowadzone niniejszym rozporządzeniem powinny być ograniczone do tych przepisów Unii, w których ustanowiono obowiązek ustanowienia systemów rozszerzonej odpowiedzialności producenta, ale których ustanowienie nie było jeszcze wymagane do 10 grudnia 2025 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Suspending rules with regard to the appointment of authorised representatives for economic operators placing products on the market in a country in which they are not established in the context of EXISTING EPR schemes (such as for batteries) risks undermining the proper financing of EPR schemes, creating problems of enforcement, increasing the risk of free-riders and thus penalizing economic operators established in that country.</w:t>
      </w:r>
      <w:r>
        <w:t xml:space="preserve"> </w:t>
      </w:r>
      <w:r>
        <w:t>It is not appropriate to suspend provisions of laws which are already fully applicable.</w:t>
      </w:r>
      <w:r>
        <w:t xml:space="preserve"> </w:t>
      </w:r>
      <w:r>
        <w:t>It would only make things worse pending the adoption of a new system under the Circular Economy Act.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Środki upraszczające wprowadzone niniejszym rozporządzeniem powinny obowiązywać tymczasowo, do czasu rozpoczęcia stosowania przyszłego aktu w sprawie gospodarki o obiegu zamkniętym, jak zapowiedziano w programie prac Komisji na 2026 r.</w:t>
            </w:r>
            <w:r>
              <w:t xml:space="preserve"> </w:t>
            </w:r>
            <w:r>
              <w:rPr>
                <w:b/>
                <w:i/>
              </w:rPr>
              <w:t>Oczekuje się, że w akcie w sprawie gospodarki o obiegu zamkniętym przewidziane zostaną kompleksowe, spójne i sprawiedliwe horyzontalne ramy rozszerzonej odpowiedzialności producenta, w tym obowiązek wyznaczenia upoważnionego przedstawiciela w państwach członkowskich, w których przedsiębiorstwo nie ma siedziby.</w:t>
            </w:r>
            <w:r>
              <w:t xml:space="preserve"> </w:t>
            </w:r>
            <w:r>
              <w:rPr>
                <w:b/>
                <w:i/>
              </w:rPr>
              <w:t>Najlepiej można by to osiągnąć za pomocą ogólnounijnego cyfrowego punktu kompleksowej obsługi albo sieci interoperacyjnych systemów krajowych o zasięgu ogólnounijnym opartych na zharmonizowanych formatach danych.</w:t>
            </w:r>
            <w:r>
              <w:t xml:space="preserve"> </w:t>
            </w:r>
            <w:r>
              <w:rPr>
                <w:b/>
                <w:i/>
              </w:rPr>
              <w:t>Aby zapewnić spójność prawa, niniejsze rozporządzenie powinno zatem przestać obowiązywać z chwilą wejścia w życie tego szerszego horyzontalnego systemu.</w:t>
            </w:r>
            <w:r>
              <w:t xml:space="preserve"> </w:t>
            </w:r>
            <w:r>
              <w:rPr>
                <w:b/>
                <w:i/>
              </w:rPr>
              <w:t>Zakres niniejszego rozporządzenia powinien pozostawać bez uszczerbku dla zakresu obowiązku wyznaczenia upoważnionego przedstawiciela na mocy aktu w sprawie gospodarki o obiegu zamkniętym.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Okres zawieszenia musi być ograniczony do czasu rozpoczęcia stosowania zmienionego systemu.</w:t>
      </w:r>
      <w:r>
        <w:t xml:space="preserve"> </w:t>
      </w:r>
      <w:r>
        <w:t>PE powinien skorzystać z okazji, aby wyrazić, w jaki sposób można/powinno się zająć tą kwestią w kontekście aktu w sprawie gospodarki o obiegu zamkniętym.</w:t>
      </w:r>
      <w:r>
        <w:t xml:space="preserve"> </w:t>
      </w:r>
      <w:r>
        <w:t>W tym kontekście należy podkreślić, że zakres niniejszego aktu zawieszającego w odniesieniu do zainteresowanych podmiotów nie powinien naruszać zakresu obowiązku wyznaczenia upoważnionego przedstawiciela na mocy aktu w sprawie gospodarki o obiegu zamkniętym.</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 szczególności ze względu na ten brak harmonizacji, zwłaszcza w odniesieniu do obecnych przepisów prawodawstwa sektorowego dotyczących wyznaczania upoważnionego przedstawiciela ds. rozszerzonej odpowiedzialności producenta, wypełnianie obowiązków związanych z wyznaczeniem takiego przedstawiciela może skutkować zbędnym obciążeniem administracyjnym dla producentów prowadzących działalność w wielu państwach członkowskich, w których nie mają oni siedziby.</w:t>
            </w:r>
            <w:r>
              <w:t xml:space="preserve"> </w:t>
            </w:r>
            <w:r>
              <w:rPr>
                <w:b/>
                <w:i/>
              </w:rPr>
              <w:t>W szczególności w przypadku małych i średnich przedsiębiorstw obowiązek wyznaczenia osobnych upoważnionych przedstawicieli w każdym państwie członkowskim, w którym producent wprowadza produkty do obrotu, stanowi poważne wyzwanie pod względem związanych z tym kosztów.</w:t>
            </w:r>
            <w:r>
              <w:t xml:space="preserve"> </w:t>
            </w:r>
            <w:r>
              <w:rPr>
                <w:b/>
                <w:i/>
              </w:rPr>
              <w:t>W celu zapewnienia równych warunków działania producentom mającym siedzibę w Unii należy zadbać o to, aby producenci podlegali tym samym przepisom we wszystkich państwach członkowskich w zakresie wyznaczania upoważnionego przedstawiciela ds. rozszerzonej odpowiedzialności producenta.</w:t>
            </w:r>
            <w:r>
              <w:t xml:space="preserve"> </w:t>
            </w:r>
            <w:r>
              <w:rPr>
                <w:b/>
                <w:i/>
              </w:rPr>
              <w:t>Obecnie rozdrobnione ramy prawne dotyczące różnych produktów oraz obciążenia administracyjne związane ze spełnieniem wymogu wyznaczenia upoważnionego przedstawiciela ds. rozszerzonej odpowiedzialności producenta w nawet 26 państwach członkowskich ograniczają konkurencyjność producentów mających siedzibę w Unii.</w:t>
            </w:r>
            <w:r>
              <w:t xml:space="preserve"> </w:t>
            </w:r>
            <w:r>
              <w:rPr>
                <w:b/>
                <w:i/>
              </w:rPr>
              <w:t>Kluczowe znaczenie ma zatem skuteczna i szybka harmonizacja istniejących przepisów, która zmniejszy związane z tym obciążenia dla producentów.</w:t>
            </w:r>
            <w:r>
              <w:t xml:space="preserve"> </w:t>
            </w:r>
            <w:r>
              <w:rPr>
                <w:b/>
                <w:i/>
              </w:rPr>
              <w:t>W tym celu Komisja dokonuje obecnie przeglądu skuteczności obowiązku wyznaczenia upoważnionych przedstawicieli jako gwarancji przestrzegania przez producentów zasady „zanieczyszczający płaci”, związanego z tym obciążenia administracyjnego i powstałych w związku z tym niezamierzonych barier dla rynku wewnętrznego.</w:t>
            </w:r>
            <w:r>
              <w:t xml:space="preserve"> </w:t>
            </w:r>
            <w:r>
              <w:rPr>
                <w:b/>
                <w:i/>
              </w:rPr>
              <w:t>Przegląd ten prawdopodobnie doprowadzi do opracowania alternatywnych rozwiązań, które będą skuteczniejsze i mniej uciążliwe.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W szczególności ze względu na ten brak harmonizacji, zwłaszcza w odniesieniu do obecnych przepisów prawodawstwa sektorowego dotyczących wyznaczania upoważnionego przedstawiciela ds.</w:t>
            </w:r>
            <w:r>
              <w:t xml:space="preserve"> rozszerzonej odpowiedzialności producenta</w:t>
            </w:r>
            <w:r>
              <w:rPr>
                <w:b/>
                <w:i/>
              </w:rPr>
              <w:t>, wypełnianie obowiązków związanych z wyznaczeniem takiego przedstawiciela może skutkować zbędnym obciążeniem administracyjnym dla producentów</w:t>
            </w:r>
            <w:r>
              <w:t xml:space="preserve"> prowadzących działalność </w:t>
            </w:r>
            <w:r>
              <w:rPr>
                <w:b/>
                <w:i/>
              </w:rPr>
              <w:t>w wielu państwach członkowskich, w których nie mają oni siedziby.</w:t>
            </w:r>
            <w:r>
              <w:t xml:space="preserve"> </w:t>
            </w:r>
            <w:r>
              <w:rPr>
                <w:b/>
                <w:i/>
              </w:rPr>
              <w:t>W szczególności w przypadku małych i średnich</w:t>
            </w:r>
            <w:r>
              <w:t xml:space="preserve"> przedsiębiorstw </w:t>
            </w:r>
            <w:r>
              <w:rPr>
                <w:b/>
                <w:i/>
              </w:rPr>
              <w:t>obowiązek wyznaczenia osobnych upoważnionych przedstawicieli w każdym państwie członkowskim, w którym producent wprowadza produkty do obrotu, stanowi poważne wyzwanie pod względem związanych z tym kosztów.</w:t>
            </w:r>
            <w:r>
              <w:t xml:space="preserve"> </w:t>
            </w:r>
            <w:r>
              <w:rPr>
                <w:b/>
                <w:i/>
              </w:rPr>
              <w:t>W celu zapewnienia równych warunków działania producentom mającym siedzibę w Unii należy zadbać o to, aby producenci podlegali tym samym przepisom we wszystkich państwach członkowskich w zakresie wyznaczania upoważnionego przedstawiciela ds. rozszerzonej odpowiedzialności producenta.</w:t>
            </w:r>
            <w:r>
              <w:t xml:space="preserve"> </w:t>
            </w:r>
            <w:r>
              <w:rPr>
                <w:b/>
                <w:i/>
              </w:rPr>
              <w:t>Obecnie rozdrobnione ramy prawne dotyczące różnych produktów oraz obciążenia administracyjne związane ze spełnieniem wymogu</w:t>
            </w:r>
            <w:r>
              <w:t xml:space="preserve"> wyznaczenia upoważnionego przedstawiciela </w:t>
            </w:r>
            <w:r>
              <w:rPr>
                <w:b/>
                <w:i/>
              </w:rPr>
              <w:t>ds. rozszerzonej odpowiedzialności producenta w nawet 26 państwach członkowskich ograniczają konkurencyjność producentów mających siedzibę w Unii.</w:t>
            </w:r>
            <w:r>
              <w:t xml:space="preserve"> </w:t>
            </w:r>
            <w:r>
              <w:rPr>
                <w:b/>
                <w:i/>
              </w:rPr>
              <w:t>Kluczowe znaczenie ma</w:t>
            </w:r>
            <w:r>
              <w:t xml:space="preserve"> zatem </w:t>
            </w:r>
            <w:r>
              <w:rPr>
                <w:b/>
                <w:i/>
              </w:rPr>
              <w:t>skuteczna i szybka harmonizacja istniejących przepisów, która zmniejszy związane z tym obciążenia dla producentów.</w:t>
            </w:r>
            <w:r>
              <w:t xml:space="preserve"> </w:t>
            </w:r>
            <w:r>
              <w:rPr>
                <w:b/>
                <w:i/>
              </w:rPr>
              <w:t>W tym celu Komisja dokonuje obecnie przeglądu skuteczności</w:t>
            </w:r>
            <w:r>
              <w:t xml:space="preserve"> obowiązku wyznaczenia upoważnionych przedstawicieli </w:t>
            </w:r>
            <w:r>
              <w:rPr>
                <w:b/>
                <w:i/>
              </w:rPr>
              <w:t>jako gwarancji przestrzegania przez producentów zasady „zanieczyszczający płaci”, związanego z tym obciążenia administracyjnego i powstałych w związku z tym niezamierzonych barier dla rynku wewnętrznego.</w:t>
            </w:r>
            <w:r>
              <w:t xml:space="preserve"> </w:t>
            </w:r>
            <w:r>
              <w:rPr>
                <w:b/>
                <w:i/>
              </w:rPr>
              <w:t>Przegląd ten prawdopodobnie doprowadzi do opracowania alternatywnych rozwiązań</w:t>
            </w:r>
            <w:r>
              <w:t xml:space="preserve">, które </w:t>
            </w:r>
            <w:r>
              <w:rPr>
                <w:b/>
                <w:i/>
              </w:rPr>
              <w:t>będą skuteczniejsze i mniej uciążliwe</w:t>
            </w:r>
            <w:r>
              <w:t>.</w:t>
            </w:r>
          </w:p>
        </w:tc>
        <w:tc>
          <w:tcPr>
            <w:tcW w:w="4876" w:type="dxa"/>
            <w:tcBorders>
              <w:top w:val="nil"/>
              <w:left w:val="nil"/>
              <w:bottom w:val="nil"/>
              <w:right w:val="nil"/>
            </w:tcBorders>
          </w:tcPr>
          <w:p>
            <w:pPr>
              <w:pStyle w:val="Normal6a"/>
            </w:pPr>
            <w:r>
              <w:t>(4)</w:t>
            </w:r>
            <w:r>
              <w:tab/>
            </w:r>
            <w:r>
              <w:rPr>
                <w:b/>
                <w:i/>
              </w:rPr>
              <w:t>Obciążenie administracyjne związane z wyznaczaniem upoważnionych przedstawicieli do celów wypełniania obowiązków w zakresie</w:t>
            </w:r>
            <w:r>
              <w:t xml:space="preserve"> rozszerzonej odpowiedzialności producenta </w:t>
            </w:r>
            <w:r>
              <w:rPr>
                <w:b/>
                <w:i/>
              </w:rPr>
              <w:t>może być nieproporcjonalnie uciążliwe dla mikroprzedsiębiorstw</w:t>
            </w:r>
            <w:r>
              <w:t xml:space="preserve"> prowadzących działalność </w:t>
            </w:r>
            <w:r>
              <w:rPr>
                <w:b/>
                <w:i/>
              </w:rPr>
              <w:t>transgraniczną w Unii, ponieważ dysponują one ograniczonymi zdolnościami administracyjnymi i finansowymi.</w:t>
            </w:r>
            <w:r>
              <w:t xml:space="preserve"> </w:t>
            </w:r>
            <w:r>
              <w:rPr>
                <w:b/>
                <w:i/>
              </w:rPr>
              <w:t>Chociaż mikroprzedsiębiorstwa stanowią zdecydowanie największą liczbę</w:t>
            </w:r>
            <w:r>
              <w:t xml:space="preserve"> przedsiębiorstw </w:t>
            </w:r>
            <w:r>
              <w:rPr>
                <w:b/>
                <w:i/>
              </w:rPr>
              <w:t>działających na rynku unijnym, mają one jedynie bardzo niewielki udział w całkowitej ilości opakowań udostępnianych na rynku.</w:t>
            </w:r>
            <w:r>
              <w:t xml:space="preserve"> </w:t>
            </w:r>
            <w:r>
              <w:rPr>
                <w:b/>
                <w:i/>
              </w:rPr>
              <w:t>Ukierunkowane i tymczasowe zawieszenie obowiązku</w:t>
            </w:r>
            <w:r>
              <w:t xml:space="preserve"> wyznaczenia upoważnionego przedstawiciela </w:t>
            </w:r>
            <w:r>
              <w:rPr>
                <w:b/>
                <w:i/>
              </w:rPr>
              <w:t>dla mikroprzedsiębiorstw, pod warunkiem że wytwarzają one jedynie ograniczone ilości opakowań na rynku w krajach, w których nie mają siedziby, powinno</w:t>
            </w:r>
            <w:r>
              <w:t xml:space="preserve"> zatem </w:t>
            </w:r>
            <w:r>
              <w:rPr>
                <w:b/>
                <w:i/>
              </w:rPr>
              <w:t>przyczynić się do zmniejszenia zbędnych obciążeń administracyjnych tam, gdzie są one najbardziej znaczące, przy jednoczesnym zachowaniu</w:t>
            </w:r>
            <w:r>
              <w:t xml:space="preserve"> obowiązku wyznaczenia upoważnionych przedstawicieli </w:t>
            </w:r>
            <w:r>
              <w:rPr>
                <w:b/>
                <w:i/>
              </w:rPr>
              <w:t>dla większych przedsiębiorstw, takich jak małe, średnie i duże przedsiębiorstwa</w:t>
            </w:r>
            <w:r>
              <w:t xml:space="preserve">, które </w:t>
            </w:r>
            <w:r>
              <w:rPr>
                <w:b/>
                <w:i/>
              </w:rPr>
              <w:t>z kolei odpowiadają za ponad 90 % ilości opakowań udostępnianych na rynku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Mikroprzedsiębiorstwa stanowią ponad 90 % przedsiębiorstw udostępniających opakowania na rynku pod względem liczby, ale tylko 2–5 % pod względem wielkości.</w:t>
      </w:r>
      <w:r>
        <w:t xml:space="preserve"> </w:t>
      </w:r>
      <w:r>
        <w:t>Małe przedsiębiorstwa stanowią około 5 % przedsiębiorstw udostępniających opakowania na rynku pod względem liczby, ale ich udział pod względem wielkości wynosi 8–15 %.</w:t>
      </w:r>
      <w:r>
        <w:t xml:space="preserve"> </w:t>
      </w:r>
      <w:r>
        <w:t>W związku z tym dopuszczalne byłoby tymczasowe zwolnienie mikroprzedsiębiorstw, ale nie małych przedsiębiorstw, ponieważ stanowią one znaczną część, choć ich liczba jest znacznie mniejsza w porównaniu z mikroprzedsiębiorstwami [Dane pochodzące z badań opartych na sztucznej inteligencji].</w:t>
      </w:r>
      <w:r>
        <w:t xml:space="preserve"> </w:t>
      </w:r>
      <w:r>
        <w:t>Zwolnienie mikroprzedsiębiorstw powinno jednak również podlegać progowi wielkości obrotu.</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 szczególności ze względu na ten brak harmonizacji, zwłaszcza w odniesieniu do obecnych przepisów prawodawstwa sektorowego dotyczących wyznaczania upoważnionego przedstawiciela ds. rozszerzonej odpowiedzialności producenta, wypełnianie obowiązków związanych z wyznaczeniem takiego przedstawiciela może skutkować zbędnym obciążeniem administracyjnym dla producentów prowadzących działalność w wielu państwach członkowskich, w których nie mają oni siedziby. W szczególności w przypadku </w:t>
            </w:r>
            <w:r>
              <w:rPr>
                <w:b/>
                <w:i/>
              </w:rPr>
              <w:t>małych i średnich przedsiębiorstw</w:t>
            </w:r>
            <w:r>
              <w:t xml:space="preserve"> obowiązek wyznaczenia osobnych upoważnionych przedstawicieli w każdym państwie członkowskim, w którym producent wprowadza produkty do obrotu, stanowi poważne wyzwanie pod względem związanych z tym kosztów. </w:t>
            </w:r>
            <w:r>
              <w:rPr>
                <w:b/>
                <w:i/>
              </w:rPr>
              <w:t>W celu zapewnienia równych warunków działania producentom mającym siedzibę w Unii</w:t>
            </w:r>
            <w:r>
              <w:t xml:space="preserve"> należy </w:t>
            </w:r>
            <w:r>
              <w:rPr>
                <w:b/>
                <w:i/>
              </w:rPr>
              <w:t>zadbać o to, aby producenci podlegali tym samym przepisom we wszystkich państwach członkowskich w zakresie wyznaczania upoważnionego przedstawiciela ds. rozszerzonej odpowiedzialności producenta</w:t>
            </w:r>
            <w:r>
              <w:t xml:space="preserve">. Obecnie rozdrobnione ramy prawne dotyczące różnych produktów oraz obciążenia administracyjne związane ze spełnieniem wymogu wyznaczenia upoważnionego przedstawiciela ds. rozszerzonej odpowiedzialności producenta w nawet 26 państwach członkowskich </w:t>
            </w:r>
            <w:r>
              <w:rPr>
                <w:b/>
                <w:i/>
              </w:rPr>
              <w:t>ograniczają</w:t>
            </w:r>
            <w:r>
              <w:t xml:space="preserve"> konkurencyjność producentów mających siedzibę w Unii. Kluczowe znaczenie ma zatem skuteczna i szybka harmonizacja istniejących przepisów, która zmniejszy związane z tym obciążenia dla </w:t>
            </w:r>
            <w:r>
              <w:rPr>
                <w:b/>
                <w:i/>
              </w:rPr>
              <w:t>producentów</w:t>
            </w:r>
            <w:r>
              <w:t>. W tym celu Komisja dokonuje obecnie przeglądu skuteczności obowiązku wyznaczenia upoważnionych przedstawicieli jako gwarancji przestrzegania przez producentów zasady „zanieczyszczający płaci”, związanego z tym obciążenia administracyjnego i powstałych w związku z tym niezamierzonych barier dla rynku wewnętrznego. Przegląd ten prawdopodobnie doprowadzi do opracowania alternatywnych rozwiązań, które będą skuteczniejsze i mniej uciążliwe.</w:t>
            </w:r>
          </w:p>
        </w:tc>
        <w:tc>
          <w:tcPr>
            <w:tcW w:w="4876" w:type="dxa"/>
            <w:tcBorders>
              <w:top w:val="nil"/>
              <w:left w:val="nil"/>
              <w:bottom w:val="nil"/>
              <w:right w:val="nil"/>
            </w:tcBorders>
          </w:tcPr>
          <w:p>
            <w:pPr>
              <w:pStyle w:val="Normal6a"/>
            </w:pPr>
            <w:r>
              <w:t>(4)</w:t>
            </w:r>
            <w:r>
              <w:tab/>
            </w:r>
            <w:r>
              <w:t xml:space="preserve">W szczególności ze względu na ten brak harmonizacji, zwłaszcza w odniesieniu do obecnych przepisów prawodawstwa sektorowego dotyczących wyznaczania upoważnionego przedstawiciela ds. rozszerzonej odpowiedzialności producenta, wypełnianie obowiązków związanych z wyznaczeniem takiego przedstawiciela może skutkować zbędnym obciążeniem administracyjnym dla producentów prowadzących działalność w wielu państwach członkowskich, w których nie mają oni siedziby. W szczególności w przypadku </w:t>
            </w:r>
            <w:r>
              <w:rPr>
                <w:b/>
                <w:i/>
              </w:rPr>
              <w:t>mikroprzedsiębiorstw</w:t>
            </w:r>
            <w:r>
              <w:t xml:space="preserve"> obowiązek wyznaczenia osobnych upoważnionych przedstawicieli w każdym państwie członkowskim, w którym producent wprowadza produkty do obrotu, stanowi poważne wyzwanie pod względem związanych z tym kosztów. </w:t>
            </w:r>
            <w:r>
              <w:rPr>
                <w:b/>
                <w:i/>
              </w:rPr>
              <w:t>Mikroprzedsiębiorstwa te</w:t>
            </w:r>
            <w:r>
              <w:t xml:space="preserve"> należy </w:t>
            </w:r>
            <w:r>
              <w:rPr>
                <w:b/>
                <w:i/>
              </w:rPr>
              <w:t>rozumieć przez odniesienie do najnowszych unijnych progów dla mikrojednostek, a mianowicie jednostek, które nie przekraczają co najmniej dwóch z następujących trzech kryteriów:</w:t>
            </w:r>
            <w:r>
              <w:t xml:space="preserve"> </w:t>
            </w:r>
            <w:r>
              <w:rPr>
                <w:b/>
                <w:i/>
              </w:rPr>
              <w:t>suma bilansowa w wysokości 450 000 EUR, przychody netto ze sprzedaży w wysokości 900 000 EUR oraz średnia liczba 10 pracowników w roku obrotowym, zgodnie z definicją w art. 3 ust. 1 dyrektywy 2013/34/UE zmienionej dyrektywą delegowaną Komisji (UE) 2023/2775, art. 1 ust. 1</w:t>
            </w:r>
            <w:r>
              <w:t xml:space="preserve">. Obecnie rozdrobnione ramy prawne dotyczące różnych produktów oraz obciążenia administracyjne związane ze spełnieniem wymogu wyznaczenia upoważnionego przedstawiciela ds. rozszerzonej odpowiedzialności producenta w nawet 26 państwach członkowskich </w:t>
            </w:r>
            <w:r>
              <w:rPr>
                <w:b/>
                <w:i/>
              </w:rPr>
              <w:t>mogą ograniczać</w:t>
            </w:r>
            <w:r>
              <w:t xml:space="preserve"> konkurencyjność producentów mających siedzibę w Unii. Kluczowe znaczenie ma zatem skuteczna i szybka harmonizacja istniejących przepisów, która zmniejszy związane z tym obciążenia dla </w:t>
            </w:r>
            <w:r>
              <w:rPr>
                <w:b/>
                <w:i/>
              </w:rPr>
              <w:t>mikroprzedsiębiorstw</w:t>
            </w:r>
            <w:r>
              <w:t>. W tym celu Komisja dokonuje obecnie przeglądu skuteczności obowiązku wyznaczenia upoważnionych przedstawicieli jako gwarancji przestrzegania przez producentów zasady „zanieczyszczający płaci”, związanego z tym obciążenia administracyjnego i powstałych w związku z tym niezamierzonych barier dla rynku wewnętrznego. Przegląd ten prawdopodobnie doprowadzi do opracowania alternatywnych rozwiązań, które będą skuteczniejsze i mniej uciążliwe.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 szczególności ze względu na ten brak harmonizacji</w:t>
            </w:r>
            <w:r>
              <w:rPr>
                <w:b/>
                <w:i/>
              </w:rPr>
              <w:t>, zwłaszcza w odniesieniu do obecnych przepisów prawodawstwa sektorowego dotyczących wyznaczania</w:t>
            </w:r>
            <w:r>
              <w:t xml:space="preserve"> upoważnionego przedstawiciela ds. rozszerzonej odpowiedzialności producenta</w:t>
            </w:r>
            <w:r>
              <w:rPr>
                <w:b/>
                <w:i/>
              </w:rPr>
              <w:t>, wypełnianie obowiązków związanych z wyznaczeniem takiego przedstawiciela</w:t>
            </w:r>
            <w:r>
              <w:t xml:space="preserve"> może skutkować zbędnym obciążeniem administracyjnym </w:t>
            </w:r>
            <w:r>
              <w:rPr>
                <w:b/>
                <w:i/>
              </w:rPr>
              <w:t>dla producentów</w:t>
            </w:r>
            <w:r>
              <w:t xml:space="preserve"> prowadzących działalność w wielu państwach członkowskich, w których nie mają </w:t>
            </w:r>
            <w:r>
              <w:rPr>
                <w:b/>
                <w:i/>
              </w:rPr>
              <w:t>oni</w:t>
            </w:r>
            <w:r>
              <w:t xml:space="preserve"> siedziby</w:t>
            </w:r>
            <w:r>
              <w:rPr>
                <w:b/>
                <w:i/>
              </w:rPr>
              <w:t>.</w:t>
            </w:r>
            <w:r>
              <w:t xml:space="preserve"> </w:t>
            </w:r>
            <w:r>
              <w:rPr>
                <w:b/>
                <w:i/>
              </w:rPr>
              <w:t>W szczególności w przypadku małych i średnich przedsiębiorstw obowiązek wyznaczenia osobnych upoważnionych przedstawicieli w każdym państwie członkowskim, w którym producent wprowadza produkty do obrotu, stanowi poważne wyzwanie pod względem związanych z tym kosztów</w:t>
            </w:r>
            <w:r>
              <w:t xml:space="preserve">. W celu zapewnienia równych warunków działania producentom mającym siedzibę w Unii należy zadbać o to, aby producenci podlegali tym samym przepisom we wszystkich państwach członkowskich w zakresie wyznaczania upoważnionego przedstawiciela ds. rozszerzonej odpowiedzialności producenta. Obecnie rozdrobnione ramy prawne dotyczące różnych produktów oraz obciążenia administracyjne związane ze spełnieniem wymogu wyznaczenia upoważnionego przedstawiciela ds. rozszerzonej odpowiedzialności producenta w nawet 26 państwach członkowskich ograniczają konkurencyjność producentów mających siedzibę w Unii. Kluczowe znaczenie ma zatem skuteczna i szybka harmonizacja istniejących przepisów, która zmniejszy związane z tym obciążenia dla producentów. W tym celu Komisja dokonuje obecnie przeglądu skuteczności obowiązku </w:t>
            </w:r>
            <w:r>
              <w:rPr>
                <w:b/>
                <w:i/>
              </w:rPr>
              <w:t>wyznaczenia</w:t>
            </w:r>
            <w:r>
              <w:t xml:space="preserve"> upoważnionych przedstawicieli jako gwarancji przestrzegania przez producentów zasady „zanieczyszczający płaci”</w:t>
            </w:r>
            <w:r>
              <w:rPr>
                <w:b/>
                <w:i/>
              </w:rPr>
              <w:t>, związanego z tym obciążenia administracyjnego i powstałych w związku z tym niezamierzonych barier dla rynku wewnętrznego</w:t>
            </w:r>
            <w:r>
              <w:t xml:space="preserve">. Przegląd ten </w:t>
            </w:r>
            <w:r>
              <w:rPr>
                <w:b/>
                <w:i/>
              </w:rPr>
              <w:t>prawdopodobnie doprowadzi do opracowania</w:t>
            </w:r>
            <w:r>
              <w:t xml:space="preserve"> alternatywnych rozwiązań, które będą skuteczniejsze </w:t>
            </w:r>
            <w:r>
              <w:rPr>
                <w:b/>
                <w:i/>
              </w:rPr>
              <w:t>i</w:t>
            </w:r>
            <w:r>
              <w:t xml:space="preserve"> mniej uciążliwe.</w:t>
            </w:r>
          </w:p>
        </w:tc>
        <w:tc>
          <w:tcPr>
            <w:tcW w:w="4876" w:type="dxa"/>
            <w:tcBorders>
              <w:top w:val="nil"/>
              <w:left w:val="nil"/>
              <w:bottom w:val="nil"/>
              <w:right w:val="nil"/>
            </w:tcBorders>
          </w:tcPr>
          <w:p>
            <w:pPr>
              <w:pStyle w:val="Normal6a"/>
            </w:pPr>
            <w:r>
              <w:t>(4)</w:t>
            </w:r>
            <w:r>
              <w:tab/>
            </w:r>
            <w:r>
              <w:t xml:space="preserve">W szczególności ze względu na ten brak harmonizacji </w:t>
            </w:r>
            <w:r>
              <w:rPr>
                <w:b/>
                <w:i/>
              </w:rPr>
              <w:t>wypełnienie obowiązków związanych z wyznaczeniem</w:t>
            </w:r>
            <w:r>
              <w:t xml:space="preserve"> upoważnionego przedstawiciela ds. rozszerzonej odpowiedzialności producenta może skutkować zbędnym obciążeniem administracyjnym </w:t>
            </w:r>
            <w:r>
              <w:rPr>
                <w:b/>
                <w:i/>
              </w:rPr>
              <w:t>i finansowym dla mikroprzedsiębiorstw i małych przedsiębiorstw</w:t>
            </w:r>
            <w:r>
              <w:t xml:space="preserve"> prowadzących działalność w wielu państwach członkowskich, w których nie mają siedziby. W celu zapewnienia równych warunków działania producentom mającym siedzibę w Unii należy zadbać o to, aby producenci podlegali tym samym przepisom we wszystkich państwach członkowskich w zakresie wyznaczania upoważnionego przedstawiciela ds. rozszerzonej odpowiedzialności producenta. Obecnie rozdrobnione ramy prawne dotyczące różnych produktów oraz obciążenia administracyjne związane ze spełnieniem wymogu wyznaczenia upoważnionego przedstawiciela ds. rozszerzonej odpowiedzialności producenta w nawet 26 państwach członkowskich ograniczają konkurencyjność producentów mających siedzibę w Unii. Kluczowe znaczenie ma zatem skuteczna i szybka harmonizacja istniejących przepisów, która zmniejszy związane z tym obciążenia dla producentów. W tym celu </w:t>
            </w:r>
            <w:r>
              <w:rPr>
                <w:b/>
                <w:i/>
              </w:rPr>
              <w:t>ukierunkowane i tymczasowe zawieszenie obowiązków wyznaczenia upoważnionego przedstawiciela powinno przyczynić się do zmniejszenia obciążeń administracyjnych i kosztów przestrzegania przepisów, w przypadku gdy są one najbardziej znaczące, w szczególności dla mikroprzedsiębiorstw i małych przedsiębiorstw mających siedzibę w Unii, przy jednoczesnym utrzymaniu odpowiednich zabezpieczeń zapewniających identyfikowalność, skuteczne egzekwowanie i zgodność z wymogami w zakresie rozszerzonej odpowiedzialności producenta.</w:t>
            </w:r>
            <w:r>
              <w:t xml:space="preserve"> Komisja dokonuje obecnie przeglądu skuteczności obowiązku </w:t>
            </w:r>
            <w:r>
              <w:rPr>
                <w:b/>
                <w:i/>
              </w:rPr>
              <w:t>wyznaczania</w:t>
            </w:r>
            <w:r>
              <w:t xml:space="preserve"> upoważnionych przedstawicieli</w:t>
            </w:r>
            <w:r>
              <w:rPr>
                <w:b/>
                <w:i/>
              </w:rPr>
              <w:t>, związanych z nim obciążeń administracyjnych oraz ewentualnych niezamierzonych barier dla rynku wewnętrznego</w:t>
            </w:r>
            <w:r>
              <w:t xml:space="preserve"> jako gwarancji przestrzegania przez producentów zasady „zanieczyszczający płaci”. Przegląd ten </w:t>
            </w:r>
            <w:r>
              <w:rPr>
                <w:b/>
                <w:i/>
              </w:rPr>
              <w:t>powinien pomóc w określeniu</w:t>
            </w:r>
            <w:r>
              <w:t xml:space="preserve"> alternatywnych rozwiązań, które będą skuteczniejsze</w:t>
            </w:r>
            <w:r>
              <w:rPr>
                <w:b/>
                <w:i/>
              </w:rPr>
              <w:t>,</w:t>
            </w:r>
            <w:r>
              <w:t xml:space="preserve"> mniej uciążliwe </w:t>
            </w:r>
            <w:r>
              <w:rPr>
                <w:b/>
                <w:i/>
              </w:rPr>
              <w:t>i lepiej dostosowane do ułatwiania transgranicznej działalności gospodarczej w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Małe i średnie przedsiębiorstwa, które stanowią zasadniczy element europejskiej tkanki gospodarczej, są obciążone w nieproporcjonalny sposób obowiązkami administracyjnymi związanymi z rozszerzoną odpowiedzialnością producenta, w szczególności ze względu na ich zasoby i wielkość produkcji.</w:t>
            </w:r>
            <w:r>
              <w:t xml:space="preserve"> </w:t>
            </w:r>
            <w:r>
              <w:rPr>
                <w:b/>
                <w:i/>
              </w:rPr>
              <w:t>Takie obciążenia administracyjne należy postrzegać w ogólnym kontekście szczególnie niekorzystnym dla konkurencyjności naszych przedsiębiorstw, spowodowanym głównie szkodliwymi normami wynikającymi z Zielonego Ładu.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 celu uproszczenia wymogów nałożonych na producentów i zmniejszenia obciążeń administracyjnych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w:t>
            </w:r>
            <w:r>
              <w:t xml:space="preserve"> </w:t>
            </w:r>
            <w:r>
              <w:rPr>
                <w:b/>
                <w:i/>
              </w:rPr>
              <w:t>Umożliwi to producentom, którzy wyznaczyli już upoważnionego przedstawiciela ds. rozszerzonej odpowiedzialności producenta, utrzymanie istniejących ustaleń, a jednocześnie zapewni natychmiastowe zmniejszenie kosztów i obciążeń administracyjnych dla producentów, którzy nie chcą wyznaczać upoważnionego przedstawiciela ds. rozszerzonej odpowiedzialności producenta.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producenci baterii oraz producenci</w:t>
            </w:r>
            <w:r>
              <w:t xml:space="preserve"> opakowań lub produktów w opakowaniu („producenci opakowań”) powinni mieć możliwość wyboru, czy </w:t>
            </w:r>
            <w:r>
              <w:rPr>
                <w:b/>
                <w:i/>
              </w:rPr>
              <w:t>wyznaczą</w:t>
            </w:r>
            <w:r>
              <w:t xml:space="preserve"> upoważnionego przedstawiciela ds. rozszerzonej odpowiedzialności producenta przy udostępnianiu produktów na rynku innego państwa członkowskiego, w którym nie mają siedziby</w:t>
            </w:r>
            <w:r>
              <w:rPr>
                <w:b/>
                <w:i/>
              </w:rPr>
              <w:t>, ale wyznaczenie takiego przedstawiciela nie powinno być obowiązkowe</w:t>
            </w:r>
            <w:r>
              <w:t>. Umożliwi to producentom, którzy wyznaczyli już upoważnionego przedstawiciela ds. rozszerzonej odpowiedzialności producenta, utrzymanie istniejących ustaleń, a jednocześnie zapewni natychmiastowe zmniejszenie kosztów i obciążeń administracyjnych dla producentów, którzy nie chcą wyznaczać upoważnionego przedstawiciela ds. rozszerzonej odpowiedzialności producenta.</w:t>
            </w:r>
          </w:p>
        </w:tc>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jedynie mikroprzedsiębiorstwa zdefiniowane w art. 3 ust. 1 dyrektywy Parlamentu Europejskiego i Rady 2013/34/UE wśród producentów</w:t>
            </w:r>
            <w:r>
              <w:t xml:space="preserve"> opakowań lub produktów w opakowaniu („producenci opakowań”) powinni mieć </w:t>
            </w:r>
            <w:r>
              <w:rPr>
                <w:b/>
                <w:i/>
              </w:rPr>
              <w:t>tymczasowo</w:t>
            </w:r>
            <w:r>
              <w:t xml:space="preserve"> możliwość wyboru, czy </w:t>
            </w:r>
            <w:r>
              <w:rPr>
                <w:b/>
                <w:i/>
              </w:rPr>
              <w:t>wyznaczyć</w:t>
            </w:r>
            <w:r>
              <w:t xml:space="preserve"> upoważnionego przedstawiciela ds. rozszerzonej odpowiedzialności producenta przy udostępnianiu produktów na rynku innego państwa członkowskiego, w którym nie mają siedziby. Umożliwi to producentom </w:t>
            </w:r>
            <w:r>
              <w:rPr>
                <w:b/>
                <w:i/>
              </w:rPr>
              <w:t>będącym mikroprzedsiębiorstwami</w:t>
            </w:r>
            <w:r>
              <w:t xml:space="preserve">, którzy wyznaczyli już upoważnionego przedstawiciela ds. rozszerzonej odpowiedzialności producenta, utrzymanie istniejących ustaleń, a jednocześnie zapewni natychmiastowe zmniejszenie kosztów i obciążeń administracyjnych dla producentów </w:t>
            </w:r>
            <w:r>
              <w:rPr>
                <w:b/>
                <w:i/>
              </w:rPr>
              <w:t>będących mikroprzedsiębiorstwami</w:t>
            </w:r>
            <w:r>
              <w:t xml:space="preserve">, którzy nie chcą wyznaczać upoważnionego przedstawiciela ds. rozszerzonej odpowiedzialności producenta. </w:t>
            </w:r>
            <w:r>
              <w:rPr>
                <w:b/>
                <w:i/>
              </w:rPr>
              <w:t>Jednocześnie producenci z siedzibą poza Unią powinni podlegać obowiązkowi wyznaczenia upoważnionego przedstawiciela, aby zapewnić skuteczne egzekwowanie wymogów w zakresie rozszerzonej odpowiedzialności producenta, odpowiedzialności prawnej, skutecznego nadzoru rynku i równych warunków działania w całej 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The proposed exemption should remain strictly targeted and proportionate.</w:t>
      </w:r>
      <w:r>
        <w:t xml:space="preserve"> </w:t>
      </w:r>
      <w:r>
        <w:t>Extended producer responsibility schemes for batteries are already operational and functioning in many Member States.</w:t>
      </w:r>
      <w:r>
        <w:t xml:space="preserve"> </w:t>
      </w:r>
      <w:r>
        <w:t>Any suspension or modification of related compliance obligations should only be undertaken with proper impact assessments to not risk undermining established financing and enforcement structures.</w:t>
      </w:r>
      <w:r>
        <w:t xml:space="preserve"> </w:t>
      </w:r>
      <w:r>
        <w:t>By contrast, EPR systems for textiles are still in the process of being fully implemented or further developed across the Union and therefore targeted and proportionate transitional measures may be appropriate to facilitate market participation for micro enterprises without disrupting functioning systems.</w:t>
      </w:r>
      <w:r>
        <w:t xml:space="preserve"> </w:t>
      </w:r>
      <w:r>
        <w:t>While the administrative and compliance costs linked to the appointment of an authorised representative may represent a disproportionate burden for micro enterprises, this is generally not the case for bigger economic operators active in cross-border trade.</w:t>
      </w:r>
      <w:r>
        <w:t xml:space="preserve"> </w:t>
      </w:r>
      <w:r>
        <w:t>It is therefore appropriate to limit any temporary suspension of the obligation to appoint an authorised representative strictly to micro enterprises established in the Union and to product areas where EPR systems are not yet fully operational at Union level.</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producenci baterii oraz producenci</w:t>
            </w:r>
            <w:r>
              <w:t xml:space="preserve">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w:t>
            </w:r>
            <w:r>
              <w:rPr>
                <w:b/>
                <w:i/>
              </w:rPr>
              <w:t>producentom</w:t>
            </w:r>
            <w:r>
              <w:t xml:space="preserve">, którzy wyznaczyli już upoważnionego przedstawiciela ds. rozszerzonej odpowiedzialności producenta, utrzymanie istniejących ustaleń, a jednocześnie zapewni natychmiastowe zmniejszenie kosztów i obciążeń administracyjnych dla </w:t>
            </w:r>
            <w:r>
              <w:rPr>
                <w:b/>
                <w:i/>
              </w:rPr>
              <w:t>producentów</w:t>
            </w:r>
            <w:r>
              <w:t>, którzy nie chcą wyznaczać upoważnionego przedstawiciela ds. rozszerzonej odpowiedzialności producenta.</w:t>
            </w:r>
          </w:p>
        </w:tc>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niektórzy mikroproducenci</w:t>
            </w:r>
            <w:r>
              <w:t xml:space="preserve">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w:t>
            </w:r>
            <w:r>
              <w:rPr>
                <w:b/>
                <w:i/>
              </w:rPr>
              <w:t>mikroproducentom</w:t>
            </w:r>
            <w:r>
              <w:t xml:space="preserve">, którzy wyznaczyli już upoważnionego przedstawiciela ds. rozszerzonej odpowiedzialności producenta, utrzymanie istniejących ustaleń, a jednocześnie zapewni natychmiastowe zmniejszenie kosztów i obciążeń administracyjnych dla </w:t>
            </w:r>
            <w:r>
              <w:rPr>
                <w:b/>
                <w:i/>
              </w:rPr>
              <w:t>niektórych mikroproducentów</w:t>
            </w:r>
            <w:r>
              <w:t xml:space="preserve">, którzy nie chcą wyznaczać upoważnionego przedstawiciela ds. rozszerzonej odpowiedzialności producenta. </w:t>
            </w:r>
            <w:r>
              <w:rPr>
                <w:b/>
                <w:i/>
              </w:rPr>
              <w:t>Powinno to mieć zastosowanie wyłącznie do mikroproducentów, którzy udostępniają jedynie ograniczone ilości opakowań lub produktów w opakowaniu na rynku innego państwa członkowskiego, w którym nie mają siedziby.</w:t>
            </w:r>
            <w:r>
              <w:t xml:space="preserve"> </w:t>
            </w:r>
            <w:r>
              <w:rPr>
                <w:b/>
                <w:i/>
              </w:rPr>
              <w:t>Komisja powinna być uprawniona do zmiany limitu wielkości obrotu w drodze aktu delegowanego.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 celu uproszczenia wymogów nałożonych na producentów i zmniejszenia obciążeń administracyjnych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producenta, utrzymanie istniejących ustaleń, a jednocześnie zapewni natychmiastowe zmniejszenie kosztów i obciążeń administracyjnych dla producentów, którzy nie chcą wyznaczać upoważnionego przedstawiciela ds. rozszerzonej odpowiedzialności producenta.</w:t>
            </w:r>
          </w:p>
        </w:tc>
        <w:tc>
          <w:tcPr>
            <w:tcW w:w="4876" w:type="dxa"/>
            <w:tcBorders>
              <w:top w:val="nil"/>
              <w:left w:val="nil"/>
              <w:bottom w:val="nil"/>
              <w:right w:val="nil"/>
            </w:tcBorders>
          </w:tcPr>
          <w:p>
            <w:pPr>
              <w:pStyle w:val="Normal6a"/>
            </w:pPr>
            <w:r>
              <w:t>(5)</w:t>
            </w:r>
            <w:r>
              <w:tab/>
            </w:r>
            <w:r>
              <w:t>W celu uproszczenia wymogów nałożonych na producentów</w:t>
            </w:r>
            <w:r>
              <w:rPr>
                <w:b/>
                <w:i/>
              </w:rPr>
              <w:t>, którzy mają siedzibę w Unii,</w:t>
            </w:r>
            <w:r>
              <w:t xml:space="preserve"> i zmniejszenia obciążeń administracyjnych </w:t>
            </w:r>
            <w:r>
              <w:rPr>
                <w:b/>
                <w:i/>
              </w:rPr>
              <w:t>mikroproducenci i mali</w:t>
            </w:r>
            <w:r>
              <w:t xml:space="preserve">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producenta, utrzymanie istniejących ustaleń, a jednocześnie zapewni natychmiastowe zmniejszenie kosztów i obciążeń administracyjnych dla </w:t>
            </w:r>
            <w:r>
              <w:rPr>
                <w:b/>
                <w:i/>
              </w:rPr>
              <w:t>mikroproducentów i małych</w:t>
            </w:r>
            <w:r>
              <w:t xml:space="preserve"> producentów, którzy nie chcą wyznaczać upoważnionego przedstawiciela ds.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w:t>
            </w:r>
            <w:r>
              <w:rPr>
                <w:b/>
                <w:i/>
              </w:rPr>
              <w:t>producenta</w:t>
            </w:r>
            <w:r>
              <w:t>, utrzymanie istniejących ustaleń, a jednocześnie zapewni natychmiastowe zmniejszenie kosztów i obciążeń administracyjnych dla producentów, którzy nie chcą wyznaczać upoważnionego przedstawiciela ds. rozszerzonej odpowiedzialności producenta.</w:t>
            </w:r>
          </w:p>
        </w:tc>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mali i średni</w:t>
            </w:r>
            <w:r>
              <w:t xml:space="preserve">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w:t>
            </w:r>
            <w:r>
              <w:rPr>
                <w:b/>
                <w:i/>
              </w:rPr>
              <w:t>małych i średnich producentów</w:t>
            </w:r>
            <w:r>
              <w:t>, utrzymanie istniejących ustaleń, a jednocześnie zapewni natychmiastowe zmniejszenie kosztów i obciążeń administracyjnych dla producentów, którzy nie chcą wyznaczać upoważnionego przedstawiciela ds. rozszerzonej odpowiedzialności producenta.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 celu uproszczenia wymogów nałożonych na producentów i zmniejszenia obciążeń administracyjnych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producenta, utrzymanie istniejących ustaleń, a jednocześnie zapewni natychmiastowe zmniejszenie kosztów i obciążeń administracyjnych dla producentów, którzy nie chcą wyznaczać upoważnionego przedstawiciela ds. rozszerzonej odpowiedzialności producenta.</w:t>
            </w:r>
          </w:p>
        </w:tc>
        <w:tc>
          <w:tcPr>
            <w:tcW w:w="4876" w:type="dxa"/>
            <w:tcBorders>
              <w:top w:val="nil"/>
              <w:left w:val="nil"/>
              <w:bottom w:val="nil"/>
              <w:right w:val="nil"/>
            </w:tcBorders>
          </w:tcPr>
          <w:p>
            <w:pPr>
              <w:pStyle w:val="Normal6a"/>
            </w:pPr>
            <w:r>
              <w:t>(5)</w:t>
            </w:r>
            <w:r>
              <w:tab/>
            </w:r>
            <w:r>
              <w:t xml:space="preserve">W celu uproszczenia wymogów nałożonych na producentów i zmniejszenia obciążeń administracyjnych </w:t>
            </w:r>
            <w:r>
              <w:rPr>
                <w:b/>
                <w:i/>
              </w:rPr>
              <w:t>mikroproducenci i mali</w:t>
            </w:r>
            <w:r>
              <w:t xml:space="preserve"> producenci baterii oraz producenci opakowań lub produktów w opakowaniu („producenci opakowań”) powinni mieć możliwość wyboru, czy wyznaczą upoważnionego przedstawiciela ds. rozszerzonej odpowiedzialności producenta przy udostępnianiu produktów na rynku innego państwa członkowskiego, w którym nie mają siedziby, ale wyznaczenie takiego przedstawiciela nie powinno być obowiązkowe. Umożliwi to producentom, którzy wyznaczyli już upoważnionego przedstawiciela ds. rozszerzonej odpowiedzialności producenta, utrzymanie istniejących ustaleń, a jednocześnie zapewni natychmiastowe zmniejszenie kosztów i obciążeń administracyjnych dla </w:t>
            </w:r>
            <w:r>
              <w:rPr>
                <w:b/>
                <w:i/>
              </w:rPr>
              <w:t>mikroproducentów i małych</w:t>
            </w:r>
            <w:r>
              <w:t xml:space="preserve"> producentów, którzy nie chcą wyznaczać upoważnionego przedstawiciela ds.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Zawieszenie obowiązku wyznaczenia upoważnionego przedstawiciela dla producentów mających siedzibę w Unii powinno pozostać tymczasowe do czasu rozpoczęcia stosowania przyszłego aktu w sprawie gospodarki o obiegu zamkniętym i nie powinno prowadzić do zmniejszenia identyfikowalności, zdolności w zakresie egzekwowania przepisów ani zgodności z rozszerzoną odpowiedzialnością producenta.</w:t>
            </w:r>
            <w:r>
              <w:t xml:space="preserve"> </w:t>
            </w:r>
            <w:r>
              <w:rPr>
                <w:b/>
                <w:i/>
              </w:rPr>
              <w:t>Komisja powinna wykorzystać okres zawieszenia do przygotowania środków na podstawie przyszłego aktu w sprawie gospodarki o obiegu zamkniętym mających na celu poprawę interoperacyjności krajowych systemów rozszerzonej odpowiedzialności producenta, ułatwienie przestrzegania przepisów w wymiarze transgranicznym oraz wzmocnienie monitorowania i egzekwowania przepisów w całej Unii, w tym przez ocenę alternatywnych mechanizmów zgodności, identyfikowalności i egzekwowania.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w:t>
            </w:r>
            <w:r>
              <w:t xml:space="preserve"> </w:t>
            </w:r>
            <w:r>
              <w:rPr>
                <w:b/>
                <w:i/>
              </w:rPr>
              <w:t>Obowiązujące przepisy dotyczące wyznaczenia upoważnionego przedstawiciela ds. rozszerzonej odpowiedzialności producenta dla producentów mających siedzibę w państwach trzecich należy zatem utrzymać w ich obecnej formie.</w:t>
            </w:r>
            <w:r>
              <w:t xml:space="preserve"> </w:t>
            </w:r>
            <w:r>
              <w:rPr>
                <w:b/>
                <w:i/>
              </w:rPr>
              <w:t>W związku z tym przepis rozporządzenia Parlamentu Europejskiego i Rady (UE) 2025/40</w:t>
            </w:r>
            <w:r>
              <w:rPr>
                <w:b/>
                <w:i/>
                <w:vertAlign w:val="superscript"/>
              </w:rPr>
              <w:t>6</w:t>
            </w:r>
            <w:r>
              <w:rPr>
                <w:b/>
                <w:i/>
              </w:rPr>
              <w:t>,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w:t>
            </w:r>
            <w:r>
              <w:t xml:space="preserve"> </w:t>
            </w:r>
            <w:r>
              <w:rPr>
                <w:b/>
                <w:i/>
              </w:rPr>
              <w:t>Państwa członkowskie powinny jednak mieć możliwość zapewnienia identyfikowalności i egzekwowania przepisów w odniesieniu do producentów opakowań mających siedzibę w państwach trzecich za pomocą alternatywnych środków.</w:t>
            </w:r>
            <w:r>
              <w:t xml:space="preserve"> </w:t>
            </w:r>
            <w:r>
              <w:rPr>
                <w:b/>
                <w:i/>
              </w:rPr>
              <w:t>Podobnie przepis rozporządzenia Parlamentu Europejskiego i Rady (UE) 2023/1542</w:t>
            </w:r>
            <w:r>
              <w:rPr>
                <w:b/>
                <w:i/>
                <w:vertAlign w:val="superscript"/>
              </w:rPr>
              <w:t>7</w:t>
            </w:r>
            <w:r>
              <w:rPr>
                <w:b/>
                <w:i/>
              </w:rPr>
              <w:t>,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w:t>
            </w:r>
            <w:r>
              <w:t xml:space="preserve"> </w:t>
            </w:r>
            <w:r>
              <w:rPr>
                <w:b/>
                <w:i/>
              </w:rPr>
              <w:t>Państwa członkowskie powinny być jednak zobowiązane do zapewnienia identyfikowalności i egzekwowania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Rozporządzenie Parlamentu Europejskiego i Rady (UE) 2025/40 z dnia 19 grudnia 2024 r. w sprawie opakowań i odpadów opakowaniowych, zmiany rozporządzenia (UE) 2019/1020 i dyrektywy (UE) 2019/904 oraz uchylenia dyrektywy 94/62/WE (Dz.U.</w:t>
            </w:r>
            <w:r>
              <w:t xml:space="preserve"> </w:t>
            </w:r>
            <w:r>
              <w:rPr>
                <w:b/>
                <w:i/>
              </w:rPr>
              <w:t>L, 2025/40, 22.1.2025, ELI: http://data.europa.eu/eli/reg/2025/40/oj).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Rozporządzenie Parlamentu Europejskiego i Rady (UE) 2023/1542 z dnia 12 lipca 2023 r. w sprawie baterii i zużytych baterii, zmieniające dyrektywę 2008/98/WE i rozporządzenie (UE) 2019/1020 oraz uchylające dyrektywę 2006/66/WE (Dz.U.</w:t>
            </w:r>
            <w:r>
              <w:t xml:space="preserve"> </w:t>
            </w:r>
            <w:r>
              <w:rPr>
                <w:b/>
                <w:i/>
              </w:rPr>
              <w:t>L 191 z 28.7.2023, s.</w:t>
            </w:r>
            <w:r>
              <w:t xml:space="preserve"> </w:t>
            </w:r>
            <w:r>
              <w:rPr>
                <w:b/>
                <w:i/>
              </w:rPr>
              <w:t>1, ELI: http://data.europa.eu/eli/reg/2023/1542/oj).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w:t>
            </w:r>
            <w:r>
              <w:rPr>
                <w:b/>
                <w:i/>
              </w:rPr>
              <w:t>Obowiązujące przepisy dotyczące wyznaczenia</w:t>
            </w:r>
            <w:r>
              <w:t xml:space="preserve"> upoważnionego przedstawiciela ds. rozszerzonej odpowiedzialności producenta dla producentów mających siedzibę w państwach trzecich </w:t>
            </w:r>
            <w:r>
              <w:rPr>
                <w:b/>
                <w:i/>
              </w:rPr>
              <w:t>należy</w:t>
            </w:r>
            <w:r>
              <w:t xml:space="preserve"> zatem </w:t>
            </w:r>
            <w:r>
              <w:rPr>
                <w:b/>
                <w:i/>
              </w:rPr>
              <w:t>utrzymać w ich obecnej formie</w:t>
            </w:r>
            <w:r>
              <w:t xml:space="preserve">. W związku </w:t>
            </w:r>
            <w:r>
              <w:rPr>
                <w:b/>
                <w:i/>
              </w:rPr>
              <w:t>z tym przepis rozporządzenia</w:t>
            </w:r>
            <w:r>
              <w:t xml:space="preserve"> Parlamentu Europejskiego i Rady (UE) 2025/40</w:t>
            </w:r>
            <w:r>
              <w:rPr>
                <w:vertAlign w:val="superscript"/>
              </w:rPr>
              <w:t>6</w:t>
            </w:r>
            <w:r>
              <w:rPr>
                <w:b/>
                <w:i/>
              </w:rPr>
              <w:t>, który stanowi</w:t>
            </w:r>
            <w:r>
              <w:t xml:space="preserve">, że państwa członkowskie </w:t>
            </w:r>
            <w:r>
              <w:rPr>
                <w:b/>
                <w:i/>
              </w:rPr>
              <w:t>mogą</w:t>
            </w:r>
            <w:r>
              <w:t xml:space="preserve"> postanowić, że producenci mający siedzibę w państwach trzecich mają wyznaczyć upoważnionego przedstawiciela ds. rozszerzonej odpowiedzialności producenta przy pierwszym udostępnianiu opakowań lub produktów w opakowaniu na ich terytorium</w:t>
            </w:r>
            <w:r>
              <w:rPr>
                <w:b/>
                <w:i/>
              </w:rPr>
              <w:t>, powinien nadal obowiązywać.</w:t>
            </w:r>
            <w:r>
              <w:t xml:space="preserve"> </w:t>
            </w:r>
            <w:r>
              <w:rPr>
                <w:b/>
                <w:i/>
              </w:rPr>
              <w:t>Państwa członkowskie powinny jednak mieć możliwość zapewnienia identyfikowalności i egzekwowania przepisów w odniesieniu do producentów opakowań mających siedzibę w państwach trzecich za pomocą alternatywnych środków</w:t>
            </w:r>
            <w:r>
              <w:t xml:space="preserve">. Podobnie </w:t>
            </w:r>
            <w:r>
              <w:rPr>
                <w:b/>
                <w:i/>
              </w:rPr>
              <w:t>przepis rozporządzenia</w:t>
            </w:r>
            <w:r>
              <w:t xml:space="preserve"> Parlamentu Europejskiego i Rady (UE) 2023/1542</w:t>
            </w:r>
            <w:r>
              <w:rPr>
                <w:vertAlign w:val="superscript"/>
              </w:rPr>
              <w:t>7</w:t>
            </w:r>
            <w:r>
              <w:rPr>
                <w:b/>
                <w:i/>
              </w:rPr>
              <w:t>, który stanowi</w:t>
            </w:r>
            <w:r>
              <w:t>, że producenci baterii mający siedzibę w Unii lub w państwach trzecich i udostępniający baterie na terytorium państwa członkowskiego za pomocą umów zawieranych na odległość mają wyznaczyć upoważnionego przedstawiciela</w:t>
            </w:r>
            <w:r>
              <w:rPr>
                <w:b/>
                <w:i/>
              </w:rPr>
              <w:t>, powinien nadal obowiązywać w zakresie, w jakim dotyczy on</w:t>
            </w:r>
            <w:r>
              <w:t xml:space="preserve"> producentów </w:t>
            </w:r>
            <w:r>
              <w:rPr>
                <w:b/>
                <w:i/>
              </w:rPr>
              <w:t>mających siedzibę w państwach trzecich</w:t>
            </w:r>
            <w:r>
              <w:t xml:space="preserve">. </w:t>
            </w:r>
            <w:r>
              <w:rPr>
                <w:b/>
                <w:i/>
              </w:rPr>
              <w:t>Państwa członkowskie powinny być jednak zobowiązane do zapewnienia identyfikowalności i egzekwowania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t>(6)</w:t>
            </w:r>
            <w:r>
              <w:tab/>
            </w:r>
            <w:r>
              <w:t xml:space="preserve">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w:t>
            </w:r>
            <w:r>
              <w:rPr>
                <w:b/>
                <w:i/>
              </w:rPr>
              <w:t>Wyznaczenie</w:t>
            </w:r>
            <w:r>
              <w:t xml:space="preserve"> upoważnionego przedstawiciela ds. rozszerzonej odpowiedzialności producenta dla producentów mających siedzibę w państwach trzecich </w:t>
            </w:r>
            <w:r>
              <w:rPr>
                <w:b/>
                <w:i/>
              </w:rPr>
              <w:t>powinno być</w:t>
            </w:r>
            <w:r>
              <w:t xml:space="preserve"> zatem </w:t>
            </w:r>
            <w:r>
              <w:rPr>
                <w:b/>
                <w:i/>
              </w:rPr>
              <w:t>obowiązkowe</w:t>
            </w:r>
            <w:r>
              <w:t xml:space="preserve">. W związku </w:t>
            </w:r>
            <w:r>
              <w:rPr>
                <w:b/>
                <w:i/>
              </w:rPr>
              <w:t>tym rozporządzenie</w:t>
            </w:r>
            <w:r>
              <w:t xml:space="preserve"> Parlamentu Europejskiego i Rady (UE) 2025/40</w:t>
            </w:r>
            <w:r>
              <w:rPr>
                <w:vertAlign w:val="superscript"/>
              </w:rPr>
              <w:t>6</w:t>
            </w:r>
            <w:r>
              <w:rPr>
                <w:b/>
                <w:i/>
              </w:rPr>
              <w:t> powinno stanowić</w:t>
            </w:r>
            <w:r>
              <w:t xml:space="preserve">, że państwa członkowskie </w:t>
            </w:r>
            <w:r>
              <w:rPr>
                <w:b/>
                <w:i/>
              </w:rPr>
              <w:t>powinny</w:t>
            </w:r>
            <w:r>
              <w:t xml:space="preserve"> postanowić, że producenci mający siedzibę w państwach trzecich mają wyznaczyć upoważnionego przedstawiciela ds. rozszerzonej odpowiedzialności producenta przy pierwszym udostępnianiu opakowań lub produktów w opakowaniu na ich terytorium. Podobnie </w:t>
            </w:r>
            <w:r>
              <w:rPr>
                <w:b/>
                <w:i/>
              </w:rPr>
              <w:t>rozporządzenie</w:t>
            </w:r>
            <w:r>
              <w:t xml:space="preserve"> Parlamentu Europejskiego i Rady (UE) 2023/1542</w:t>
            </w:r>
            <w:r>
              <w:rPr>
                <w:vertAlign w:val="superscript"/>
              </w:rPr>
              <w:t>7</w:t>
            </w:r>
            <w:r>
              <w:t xml:space="preserve"> </w:t>
            </w:r>
            <w:r>
              <w:rPr>
                <w:b/>
                <w:i/>
              </w:rPr>
              <w:t>powinno stanowić</w:t>
            </w:r>
            <w:r>
              <w:t>, że producenci baterii mający siedzibę w Unii lub w państwach trzecich i udostępniający baterie na terytorium państwa członkowskiego za pomocą umów zawieranych na odległość mają wyznaczyć upoważnionego przedstawiciela</w:t>
            </w:r>
            <w:r>
              <w:rPr>
                <w:b/>
                <w:i/>
              </w:rPr>
              <w:t>; przepisy te należy przekształcić w obowiązek wyznaczenia upoważnionego przedstawiciela przez tych</w:t>
            </w:r>
            <w:r>
              <w:t xml:space="preserve"> producentów.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 W związku z tym przepis rozporządzenia Parlamentu Europejskiego i Rady (UE) 2025/40</w:t>
            </w:r>
            <w:r>
              <w:rPr>
                <w:vertAlign w:val="superscript"/>
              </w:rPr>
              <w:t>6</w:t>
            </w:r>
            <w:r>
              <w:t>,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w:t>
            </w:r>
            <w:r>
              <w:rPr>
                <w:b/>
                <w:i/>
              </w:rPr>
              <w:t>.</w:t>
            </w:r>
            <w:r>
              <w:t xml:space="preserve"> </w:t>
            </w:r>
            <w:r>
              <w:rPr>
                <w:b/>
                <w:i/>
              </w:rPr>
              <w:t>Państwa członkowskie powinny jednak mieć możliwość zapewnienia identyfikowalności i egzekwowania przepisów w odniesieniu do producentów opakowań mających siedzibę w państwach trzecich za pomocą alternatywnych środków</w:t>
            </w:r>
            <w:r>
              <w:t>. Podobnie przepis rozporządzenia Parlamentu Europejskiego i Rady (UE) 2023/1542</w:t>
            </w:r>
            <w:r>
              <w:rPr>
                <w:vertAlign w:val="superscript"/>
              </w:rPr>
              <w:t>7</w:t>
            </w:r>
            <w:r>
              <w:t xml:space="preserve">,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 </w:t>
            </w:r>
            <w:r>
              <w:rPr>
                <w:b/>
                <w:i/>
              </w:rPr>
              <w:t>Państwa członkowskie powinny być jednak zobowiązane do zapewnienia identyfikowalności i egzekwowania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w:t>
            </w:r>
            <w:r>
              <w:rPr>
                <w:b/>
                <w:i/>
              </w:rPr>
              <w:t>, aby zapewnić równe warunki działania z przedsiębiorstwami mającymi siedzibę w Unii</w:t>
            </w:r>
            <w:r>
              <w:t>. W związku z tym przepis rozporządzenia Parlamentu Europejskiego i Rady (UE) 2025/40</w:t>
            </w:r>
            <w:r>
              <w:rPr>
                <w:vertAlign w:val="superscript"/>
              </w:rPr>
              <w:t>6</w:t>
            </w:r>
            <w:r>
              <w:t>,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 Podobnie przepis rozporządzenia Parlamentu Europejskiego i Rady (UE) 2023/1542</w:t>
            </w:r>
            <w:r>
              <w:rPr>
                <w:vertAlign w:val="superscript"/>
              </w:rPr>
              <w:t>7</w:t>
            </w:r>
            <w:r>
              <w:t>,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w:t>
            </w:r>
            <w:r>
              <w:rPr>
                <w:b/>
                <w:i/>
              </w:rPr>
              <w:t>,</w:t>
            </w:r>
            <w:r>
              <w:t xml:space="preserve">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 W związku z tym przepis rozporządzenia Parlamentu Europejskiego i Rady (UE) 2025/40</w:t>
            </w:r>
            <w:r>
              <w:rPr>
                <w:vertAlign w:val="superscript"/>
              </w:rPr>
              <w:t>6</w:t>
            </w:r>
            <w:r>
              <w:t xml:space="preserve">,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 </w:t>
            </w:r>
            <w:r>
              <w:rPr>
                <w:b/>
                <w:i/>
              </w:rPr>
              <w:t>Państwa członkowskie powinny jednak mieć możliwość zapewnienia identyfikowalności i egzekwowania przepisów w odniesieniu do producentów opakowań mających siedzibę w państwach trzecich za pomocą alternatywnych środków.</w:t>
            </w:r>
            <w:r>
              <w:t xml:space="preserve"> Podobnie przepis rozporządzenia Parlamentu Europejskiego i Rady (UE) 2023/1542</w:t>
            </w:r>
            <w:r>
              <w:rPr>
                <w:vertAlign w:val="superscript"/>
              </w:rPr>
              <w:t>7</w:t>
            </w:r>
            <w:r>
              <w:t xml:space="preserve">,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 </w:t>
            </w:r>
            <w:r>
              <w:rPr>
                <w:b/>
                <w:i/>
              </w:rPr>
              <w:t>Państwa członkowskie powinny być jednak zobowiązane do zapewnienia identyfikowalności i egzekwowania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 W związku z tym przepis rozporządzenia Parlamentu Europejskiego i Rady (UE) 2025/40</w:t>
            </w:r>
            <w:r>
              <w:rPr>
                <w:vertAlign w:val="superscript"/>
              </w:rPr>
              <w:t>6</w:t>
            </w:r>
            <w:r>
              <w:t>,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 Podobnie przepis rozporządzenia Parlamentu Europejskiego i Rady (UE) 2023/1542</w:t>
            </w:r>
            <w:r>
              <w:rPr>
                <w:vertAlign w:val="superscript"/>
              </w:rPr>
              <w:t>7</w:t>
            </w:r>
            <w:r>
              <w:t>,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 W związku z tym przepis rozporządzenia Parlamentu Europejskiego i Rady (UE) 2025/40</w:t>
            </w:r>
            <w:r>
              <w:rPr>
                <w:vertAlign w:val="superscript"/>
              </w:rPr>
              <w:t>6</w:t>
            </w:r>
            <w:r>
              <w:t xml:space="preserve">,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 </w:t>
            </w:r>
            <w:r>
              <w:rPr>
                <w:b/>
                <w:i/>
              </w:rPr>
              <w:t>Państwa członkowskie powinny jednak mieć możliwość zapewnienia identyfikowalności i egzekwowania przepisów w odniesieniu do producentów opakowań mających siedzibę w państwach trzecich za pomocą alternatywnych środków.</w:t>
            </w:r>
            <w:r>
              <w:t xml:space="preserve"> Podobnie przepis rozporządzenia Parlamentu Europejskiego i Rady (UE) 2023/1542</w:t>
            </w:r>
            <w:r>
              <w:rPr>
                <w:vertAlign w:val="superscript"/>
              </w:rPr>
              <w:t>7</w:t>
            </w:r>
            <w:r>
              <w:t xml:space="preserve">,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 </w:t>
            </w:r>
            <w:r>
              <w:rPr>
                <w:b/>
                <w:i/>
              </w:rPr>
              <w:t>Państwa członkowskie powinny być jednak zobowiązane do zapewnienia identyfikowalności i egzekwowania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t>(6)</w:t>
            </w:r>
            <w:r>
              <w:tab/>
            </w:r>
            <w:r>
              <w:t>Zagwarantowanie identyfikowalności i egzekwowania przepisów w odniesieniu do producentów mających siedzibę w państwach trzecich jest trudniejsze w porównaniu z producentami prowadzącymi działalność w Unii, ponieważ producenci ci nie podlegają terytorialnemu zakresowi stosowania uprawnień wykonawczych państw członkowskich i nie są objęci unijnymi mechanizmami współpracy administracyjnej i sądowej, które umożliwiają egzekwowanie obowiązków i wyroków na rynku wewnętrznym. Obowiązujące przepisy dotyczące wyznaczenia upoważnionego przedstawiciela ds. rozszerzonej odpowiedzialności producenta dla producentów mających siedzibę w państwach trzecich należy zatem utrzymać w ich obecnej formie. W związku z tym przepis rozporządzenia Parlamentu Europejskiego i Rady (UE) 2025/40</w:t>
            </w:r>
            <w:r>
              <w:rPr>
                <w:vertAlign w:val="superscript"/>
              </w:rPr>
              <w:t>6</w:t>
            </w:r>
            <w:r>
              <w:t>, który stanowi, że państwa członkowskie mogą postanowić, że producenci mający siedzibę w państwach trzecich mają wyznaczyć upoważnionego przedstawiciela ds. rozszerzonej odpowiedzialności producenta przy pierwszym udostępnianiu opakowań lub produktów w opakowaniu na ich terytorium, powinien nadal obowiązywać. Podobnie przepis rozporządzenia Parlamentu Europejskiego i Rady (UE) 2023/1542</w:t>
            </w:r>
            <w:r>
              <w:rPr>
                <w:vertAlign w:val="superscript"/>
              </w:rPr>
              <w:t>7</w:t>
            </w:r>
            <w:r>
              <w:t>, który stanowi, że producenci baterii mający siedzibę w Unii lub w państwach trzecich i udostępniający baterie na terytorium państwa członkowskiego za pomocą umów zawieranych na odległość mają wyznaczyć upoważnionego przedstawiciela, powinien nadal obowiązywać w zakresie, w jakim dotyczy on producentów mających siedzibę w państwach trzecich.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2025/40 z dnia 19 grudnia 2024 r. w sprawie opakowań i odpadów opakowaniowych, zmiany rozporządzenia (UE) 2019/1020 i dyrektywy (UE) 2019/904 oraz uchylenia dyrektywy 94/62/WE (Dz.U. L,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Nie należy zawieszać przepisów prawa, które są już w pełni stosowane.</w:t>
      </w:r>
      <w:r>
        <w:t xml:space="preserve"> </w:t>
      </w:r>
      <w:r>
        <w:t>Przepisy dotyczące rozszerzonej odpowiedzialności producenta zawarte w rozporządzeniu w sprawie baterii mają zastosowanie od 18 lutego 2024 r. w odniesieniu do nowych systemów rozszerzonej odpowiedzialności producenta (a od 18 sierpnia 2025 r. w odniesieniu do systemów rozszerzonej odpowiedzialności producenta, które ustanowiono przed 4 lipca 2018 r.).</w:t>
      </w:r>
      <w:r>
        <w:t xml:space="preserve"> </w:t>
      </w:r>
      <w:r>
        <w:t>Zawieszenie powinno mieć zastosowanie wyłącznie w rozumieniu „zatrzymania zegara” w odniesieniu do przepisów dotyczących rozszerzonej odpowiedzialności producenta, które nie mają jeszcze zastosowania.</w:t>
      </w:r>
      <w:r>
        <w:t xml:space="preserve"> </w:t>
      </w:r>
      <w:r>
        <w:t>Należy zatem skreślić odniesienie do rozporządzenia w sprawie baterii.</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w:t>
            </w:r>
            <w:r>
              <w:rPr>
                <w:b/>
                <w:i/>
              </w:rPr>
              <w:t>1 stycznia 2035 r</w:t>
            </w:r>
            <w:r>
              <w:t>.</w:t>
            </w:r>
          </w:p>
        </w:tc>
        <w:tc>
          <w:tcPr>
            <w:tcW w:w="4876" w:type="dxa"/>
            <w:tcBorders>
              <w:top w:val="nil"/>
              <w:left w:val="nil"/>
              <w:bottom w:val="nil"/>
              <w:right w:val="nil"/>
            </w:tcBorders>
          </w:tcPr>
          <w:p>
            <w:pPr>
              <w:pStyle w:val="Normal6a"/>
            </w:pPr>
            <w:r>
              <w:t>(7)</w:t>
            </w:r>
            <w:r>
              <w:tab/>
            </w:r>
            <w:r>
              <w:t xml:space="preserve">Przepis rozporządzenia (UE) 2023/1542, który nakłada obowiązek wyznaczenia upoważnionego przedstawiciela ds. rozszerzonej odpowiedzialności producenta na </w:t>
            </w:r>
            <w:r>
              <w:rPr>
                <w:b/>
                <w:i/>
              </w:rPr>
              <w:t>małych i średnich</w:t>
            </w:r>
            <w:r>
              <w:t xml:space="preserve"> producentów mających siedzibę w Unii i sprzedających baterie za pomocą umów zawieranych na odległość bezpośrednio użytkownikom końcowym w innym państwie członkowskim, należy zawiesić do dnia </w:t>
            </w:r>
            <w:r>
              <w:rPr>
                <w:b/>
                <w:i/>
              </w:rPr>
              <w:t>rozpoczęcia stosowania [aktu w sprawie gospodarki o obiegu zamkniętym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1 stycznia 2035 r.</w:t>
            </w:r>
          </w:p>
        </w:tc>
        <w:tc>
          <w:tcPr>
            <w:tcW w:w="4876" w:type="dxa"/>
            <w:tcBorders>
              <w:top w:val="nil"/>
              <w:left w:val="nil"/>
              <w:bottom w:val="nil"/>
              <w:right w:val="nil"/>
            </w:tcBorders>
          </w:tcPr>
          <w:p>
            <w:pPr>
              <w:pStyle w:val="Normal6a"/>
            </w:pPr>
            <w:r>
              <w:t>(7)</w:t>
            </w:r>
            <w:r>
              <w:tab/>
            </w:r>
            <w:r>
              <w:t xml:space="preserve">Przepis rozporządzenia (UE) 2023/1542, który nakłada obowiązek wyznaczenia upoważnionego przedstawiciela ds. rozszerzonej odpowiedzialności producenta na producentów mających siedzibę w Unii i sprzedających baterie za pomocą umów zawieranych na odległość bezpośrednio użytkownikom końcowym w innym państwie członkowskim, należy zawiesić do dnia 1 stycznia 2035 r. </w:t>
            </w:r>
            <w:r>
              <w:rPr>
                <w:b/>
                <w:i/>
              </w:rPr>
              <w:t>lub do dnia rozpoczęcia stosowania [aktu w sprawie gospodarki o obiegu zamkniętym XXX],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w:t>
            </w:r>
            <w:r>
              <w:rPr>
                <w:b/>
                <w:i/>
              </w:rPr>
              <w:t>1 stycznia 2035 r.</w:t>
            </w:r>
          </w:p>
        </w:tc>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w:t>
            </w:r>
            <w:r>
              <w:rPr>
                <w:b/>
                <w:i/>
              </w:rPr>
              <w:t>– dla mikroprzedsiębiorstw zdefiniowanych w art. 3 ust. 1 dyrektywy Parlamentu Europejskiego i Rady 2013/34/UE –</w:t>
            </w:r>
            <w:r>
              <w:t xml:space="preserve"> zawiesić do dnia </w:t>
            </w:r>
            <w:r>
              <w:rPr>
                <w:b/>
                <w:i/>
              </w:rPr>
              <w:t>31 grudnia 2027 r. lub do dnia rozpoczęcia stosowania aktu prawnego Unii ustanawiającego horyzontalne ramy rozszerzonej odpowiedzialności producenta, w tym przepisy dotyczące upoważnionych przedstawicieli,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1 stycznia </w:t>
            </w:r>
            <w:r>
              <w:rPr>
                <w:b/>
                <w:i/>
              </w:rPr>
              <w:t>2035 r.</w:t>
            </w:r>
          </w:p>
        </w:tc>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w:t>
            </w:r>
            <w:r>
              <w:rPr>
                <w:b/>
                <w:i/>
              </w:rPr>
              <w:t>w odniesieniu do niektórych mikroproducentów</w:t>
            </w:r>
            <w:r>
              <w:t xml:space="preserve"> do dnia 1 stycznia </w:t>
            </w:r>
            <w:r>
              <w:rPr>
                <w:b/>
                <w:i/>
              </w:rPr>
              <w:t>2030 r. lub do dnia rozpoczęcia stosowania [aktu w sprawie gospodarki o obiegu zamkniętym XXX],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motywie należy wyraźnie uwzględnić ograniczenie zakresu do mikroprzedsiębiorstw.</w:t>
      </w:r>
      <w:r>
        <w:t xml:space="preserve"> </w:t>
      </w:r>
      <w:r>
        <w:t>Zawieszenie do 2035 r. jest nadmierne.</w:t>
      </w:r>
      <w:r>
        <w:t xml:space="preserve"> </w:t>
      </w:r>
      <w:r>
        <w:t>Zawieszenie powinno mieć miejsce jedynie do 2030 r., aby wywrzeć presję na Komisję i współprawodawców w celu terminowego stworzenia nowego, sprawiedliwego i prostego systemu w kontekście aktu w sprawie gospodarki o obiegu zamkniętym.</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w:t>
            </w:r>
            <w:r>
              <w:rPr>
                <w:b/>
                <w:i/>
              </w:rPr>
              <w:t>1 stycznia 2035 r</w:t>
            </w:r>
            <w:r>
              <w:t>.</w:t>
            </w:r>
          </w:p>
        </w:tc>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w:t>
            </w:r>
            <w:r>
              <w:rPr>
                <w:b/>
                <w:i/>
              </w:rPr>
              <w:t>małych i średnich</w:t>
            </w:r>
            <w:r>
              <w:t xml:space="preserve"> producentów mających siedzibę w Unii i udostępniających po raz pierwszy opakowania lub produkty w opakowaniu na terytorium innego państwa członkowskiego bezpośrednio użytkownikom końcowym, należy zawiesić do dnia </w:t>
            </w:r>
            <w:r>
              <w:rPr>
                <w:b/>
                <w:i/>
              </w:rPr>
              <w:t>rozpoczęcia stosowania [aktu w sprawie gospodarki o obiegu zamkniętym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1 stycznia 2035 r.</w:t>
            </w:r>
          </w:p>
        </w:tc>
        <w:tc>
          <w:tcPr>
            <w:tcW w:w="4876" w:type="dxa"/>
            <w:tcBorders>
              <w:top w:val="nil"/>
              <w:left w:val="nil"/>
              <w:bottom w:val="nil"/>
              <w:right w:val="nil"/>
            </w:tcBorders>
          </w:tcPr>
          <w:p>
            <w:pPr>
              <w:pStyle w:val="Normal6a"/>
            </w:pPr>
            <w:r>
              <w:t>(8)</w:t>
            </w:r>
            <w:r>
              <w:tab/>
            </w:r>
            <w:r>
              <w:t xml:space="preserve">Przepis rozporządzenia (UE) 2025/40, który nakłada obowiązek wyznaczenia upoważnionego przedstawiciela ds. rozszerzonej odpowiedzialności producenta na producentów mających siedzibę w Unii i udostępniających po raz pierwszy opakowania lub produkty w opakowaniu na terytorium innego państwa członkowskiego bezpośrednio użytkownikom końcowym, należy zawiesić do dnia 1 stycznia 2035 r. </w:t>
            </w:r>
            <w:r>
              <w:rPr>
                <w:b/>
                <w:i/>
              </w:rPr>
              <w:t>lub do dnia rozpoczęcia stosowania [aktu w sprawie gospodarki o obiegu zamkniętym XXX],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Komisja przygotowuje wniosek ustawodawczy dotyczący kompleksowej reformy systemu rozszerzonej odpowiedzialności producenta.</w:t>
            </w:r>
            <w:r>
              <w:t xml:space="preserve"> </w:t>
            </w:r>
            <w:r>
              <w:rPr>
                <w:b/>
                <w:i/>
              </w:rPr>
              <w:t>Oczekuje się, że Komisja przedłoży wniosek w 2026 r., zgodnie ze swoim programem prac.</w:t>
            </w:r>
            <w:r>
              <w:t xml:space="preserve"> </w:t>
            </w:r>
            <w:r>
              <w:rPr>
                <w:b/>
                <w:i/>
              </w:rPr>
              <w:t>Wniosek ustawodawczy będzie podlegał zwykłej procedurze ustawodawczej, a jeżeli zostanie przyjęty przez Parlament Europejski i Radę, państwa członkowskie i producenci będą musieli podjąć niezbędne środki w celu dostosowania swoich środków regulacyjnych i organizacyjnych dotyczących rozszerzonej odpowiedzialności producenta oraz postępowania w tym zakresie do nowych przepisów.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Komisja przygotowuje wniosek ustawodawczy dotyczący kompleksowej reformy systemu rozszerzonej odpowiedzialności producenta. Oczekuje się, że Komisja przedłoży wniosek w 2026 r., zgodnie ze swoim programem prac. Wniosek ustawodawczy będzie podlegał zwykłej procedurze ustawodawczej, a jeżeli zostanie przyjęty przez Parlament Europejski i Radę, państwa członkowskie i producenci będą musieli podjąć niezbędne środki w celu dostosowania swoich środków regulacyjnych i organizacyjnych dotyczących rozszerzonej odpowiedzialności producenta oraz postępowania w tym zakresie do nowych przepisów.</w:t>
            </w:r>
          </w:p>
        </w:tc>
        <w:tc>
          <w:tcPr>
            <w:tcW w:w="4876" w:type="dxa"/>
            <w:tcBorders>
              <w:top w:val="nil"/>
              <w:left w:val="nil"/>
              <w:bottom w:val="nil"/>
              <w:right w:val="nil"/>
            </w:tcBorders>
          </w:tcPr>
          <w:p>
            <w:pPr>
              <w:pStyle w:val="Normal6a"/>
            </w:pPr>
            <w:r>
              <w:t>(9)</w:t>
            </w:r>
            <w:r>
              <w:tab/>
            </w:r>
            <w:r>
              <w:t xml:space="preserve">Komisja przygotowuje wniosek ustawodawczy dotyczący kompleksowej reformy systemu rozszerzonej odpowiedzialności producenta. Oczekuje się, że Komisja przedłoży wniosek w 2026 r., zgodnie ze swoim programem prac. Wniosek ustawodawczy będzie podlegał zwykłej procedurze ustawodawczej, a jeżeli zostanie przyjęty przez Parlament Europejski i Radę, państwa członkowskie i producenci będą musieli podjąć niezbędne środki w celu dostosowania swoich środków regulacyjnych i organizacyjnych dotyczących rozszerzonej odpowiedzialności producenta oraz postępowania w tym zakresie do nowych przepisów. </w:t>
            </w:r>
            <w:r>
              <w:rPr>
                <w:b/>
                <w:i/>
              </w:rPr>
              <w:t>Środki upraszczające wprowadzone niniejszym rozporządzeniem powinny zatem pozostać tymczasowe do czasu rozpoczęcia stosowania bardziej kompleksowej reformy.</w:t>
            </w:r>
            <w:r>
              <w:t xml:space="preserve"> </w:t>
            </w:r>
            <w:r>
              <w:rPr>
                <w:b/>
                <w:i/>
              </w:rPr>
              <w:t>Kompleksowa reforma powinna ustanowić zharmonizowane ramy systemu rozszerzonej odpowiedzialności producenta przez wyeliminowanie podstawowych przyczyn fragmentacji dzięki wprowadzeniu zharmonizowanych definicji, wspólnych minimalnych wymogów dotyczących systemów rozszerzonej odpowiedzialności producenta, opartych na obecnych najlepszych praktykach, zharmonizowanych strukturach opłat, znormalizowanych formatach sprawozdawczości i danych oraz ogólnounijnym cyfrowym punkcie kompleksowej obsługi w zakresie rejestracji producentów i zgodności.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Zawieszenie stosowania wymogu wyznaczenia przez producentów baterii i producentów opakowań mających siedzibę w jednym z państw członkowskich upoważnionych przedstawicieli ds. rozszerzonej odpowiedzialności producenta przy udostępnianiu baterii lub opakowań lub produktów w opakowaniu w innym państwie członkowskim służy jako środek wstępny mający na celu natychmiastowe zmniejszenie obciążeń dla producentów, co ma utorować drogę do wdrożenia kompleksowej reformy systemu rozszerzonej odpowiedzialności producenta.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Zawieszenie stosowania wymogu wyznaczenia przez </w:t>
            </w:r>
            <w:r>
              <w:rPr>
                <w:b/>
                <w:i/>
              </w:rPr>
              <w:t>producentów baterii i</w:t>
            </w:r>
            <w:r>
              <w:t xml:space="preserve"> producentów opakowań mających siedzibę w jednym z państw członkowskich upoważnionych przedstawicieli ds. rozszerzonej odpowiedzialności producenta przy udostępnianiu </w:t>
            </w:r>
            <w:r>
              <w:rPr>
                <w:b/>
                <w:i/>
              </w:rPr>
              <w:t>baterii lub</w:t>
            </w:r>
            <w:r>
              <w:t xml:space="preserve"> opakowań lub produktów w opakowaniu w innym państwie członkowskim służy jako środek wstępny mający na celu natychmiastowe zmniejszenie obciążeń </w:t>
            </w:r>
            <w:r>
              <w:rPr>
                <w:b/>
                <w:i/>
              </w:rPr>
              <w:t>dla producentów</w:t>
            </w:r>
            <w:r>
              <w:t>, co ma utorować drogę do wdrożenia kompleksowej reformy systemu rozszerzonej odpowiedzialności producenta.</w:t>
            </w:r>
          </w:p>
        </w:tc>
        <w:tc>
          <w:tcPr>
            <w:tcW w:w="4876" w:type="dxa"/>
            <w:tcBorders>
              <w:top w:val="nil"/>
              <w:left w:val="nil"/>
              <w:bottom w:val="nil"/>
              <w:right w:val="nil"/>
            </w:tcBorders>
          </w:tcPr>
          <w:p>
            <w:pPr>
              <w:pStyle w:val="Normal6a"/>
            </w:pPr>
            <w:r>
              <w:t>(10)</w:t>
            </w:r>
            <w:r>
              <w:tab/>
            </w:r>
            <w:r>
              <w:t xml:space="preserve">Zawieszenie stosowania wymogu wyznaczenia przez producentów opakowań mających siedzibę w jednym z państw członkowskich upoważnionych przedstawicieli ds. rozszerzonej odpowiedzialności producenta przy udostępnianiu opakowań lub produktów w opakowaniu w innym państwie członkowskim </w:t>
            </w:r>
            <w:r>
              <w:rPr>
                <w:b/>
                <w:i/>
              </w:rPr>
              <w:t>– jeśli chodzi o mikroprzedsiębiorstwa zgodnie z definicją w art. 3 ust. 1 dyrektywy Parlamentu Europejskiego i Rady 2013/34/UE –</w:t>
            </w:r>
            <w:r>
              <w:t xml:space="preserve"> służy jako środek wstępny mający na celu natychmiastowe zmniejszenie obciążeń</w:t>
            </w:r>
            <w:r>
              <w:rPr>
                <w:b/>
                <w:i/>
              </w:rPr>
              <w:t>, w przypadku gdy obciążenia te są nieproporcjonalne</w:t>
            </w:r>
            <w:r>
              <w:t>, co ma utorować drogę do wdrożenia kompleksowej reformy systemu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Zawieszenie stosowania wymogu wyznaczenia przez </w:t>
            </w:r>
            <w:r>
              <w:rPr>
                <w:b/>
                <w:i/>
              </w:rPr>
              <w:t>producentów baterii i producentów</w:t>
            </w:r>
            <w:r>
              <w:t xml:space="preserve"> opakowań mających siedzibę w jednym z państw członkowskich upoważnionych przedstawicieli ds. rozszerzonej odpowiedzialności producenta przy udostępnianiu </w:t>
            </w:r>
            <w:r>
              <w:rPr>
                <w:b/>
                <w:i/>
              </w:rPr>
              <w:t>baterii lub</w:t>
            </w:r>
            <w:r>
              <w:t xml:space="preserve"> opakowań lub produktów w opakowaniu w innym państwie członkowskim służy jako środek wstępny mający na celu natychmiastowe zmniejszenie obciążeń dla producentów, co ma utorować drogę do wdrożenia kompleksowej reformy systemu rozszerzonej odpowiedzialności producenta.</w:t>
            </w:r>
          </w:p>
        </w:tc>
        <w:tc>
          <w:tcPr>
            <w:tcW w:w="4876" w:type="dxa"/>
            <w:tcBorders>
              <w:top w:val="nil"/>
              <w:left w:val="nil"/>
              <w:bottom w:val="nil"/>
              <w:right w:val="nil"/>
            </w:tcBorders>
          </w:tcPr>
          <w:p>
            <w:pPr>
              <w:pStyle w:val="Normal6a"/>
            </w:pPr>
            <w:r>
              <w:t>(10)</w:t>
            </w:r>
            <w:r>
              <w:tab/>
            </w:r>
            <w:r>
              <w:t xml:space="preserve">Zawieszenie stosowania wymogu wyznaczenia przez </w:t>
            </w:r>
            <w:r>
              <w:rPr>
                <w:b/>
                <w:i/>
              </w:rPr>
              <w:t>niektórych mikroproducentów</w:t>
            </w:r>
            <w:r>
              <w:t xml:space="preserve"> opakowań mających siedzibę w jednym z państw członkowskich upoważnionych przedstawicieli ds. rozszerzonej odpowiedzialności producenta przy udostępnianiu opakowań lub produktów w opakowaniu w innym państwie członkowskim służy jako środek wstępny mający na celu natychmiastowe zmniejszenie obciążeń dla producentów, co ma utorować drogę do wdrożenia kompleksowej reformy systemu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Zawieszenie stosowania wymogu wyznaczenia przez producentów baterii i producentów opakowań mających siedzibę w jednym z państw członkowskich upoważnionych przedstawicieli ds. rozszerzonej odpowiedzialności producenta przy udostępnianiu baterii lub opakowań lub produktów w opakowaniu w innym państwie członkowskim służy jako środek wstępny mający na celu natychmiastowe zmniejszenie obciążeń dla producentów, co ma utorować drogę do wdrożenia kompleksowej reformy systemu rozszerzonej odpowiedzialności producenta.</w:t>
            </w:r>
          </w:p>
        </w:tc>
        <w:tc>
          <w:tcPr>
            <w:tcW w:w="4876" w:type="dxa"/>
            <w:tcBorders>
              <w:top w:val="nil"/>
              <w:left w:val="nil"/>
              <w:bottom w:val="nil"/>
              <w:right w:val="nil"/>
            </w:tcBorders>
          </w:tcPr>
          <w:p>
            <w:pPr>
              <w:pStyle w:val="Normal6a"/>
            </w:pPr>
            <w:r>
              <w:t>(10)</w:t>
            </w:r>
            <w:r>
              <w:tab/>
            </w:r>
            <w:r>
              <w:t xml:space="preserve">Zawieszenie stosowania wymogu wyznaczenia przez </w:t>
            </w:r>
            <w:r>
              <w:rPr>
                <w:b/>
                <w:i/>
              </w:rPr>
              <w:t>mikroproducentów i małych</w:t>
            </w:r>
            <w:r>
              <w:t xml:space="preserve"> producentów baterii i producentów opakowań mających siedzibę w jednym z państw członkowskich upoważnionych przedstawicieli ds. rozszerzonej odpowiedzialności producenta przy udostępnianiu baterii lub opakowań lub produktów w opakowaniu w innym państwie członkowskim służy jako środek wstępny mający na celu natychmiastowe zmniejszenie obciążeń dla </w:t>
            </w:r>
            <w:r>
              <w:rPr>
                <w:b/>
                <w:i/>
              </w:rPr>
              <w:t>tych</w:t>
            </w:r>
            <w:r>
              <w:t xml:space="preserve"> producentów, co ma utorować drogę do wdrożenia kompleksowej reformy systemu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Zawieszenie stosowania wymogu wyznaczenia przez producentów baterii i producentów opakowań mających siedzibę w jednym z państw członkowskich upoważnionych przedstawicieli ds. rozszerzonej odpowiedzialności producenta przy udostępnianiu baterii lub opakowań lub produktów w opakowaniu w innym państwie członkowskim służy jako środek wstępny mający na celu natychmiastowe zmniejszenie obciążeń dla producentów, co ma utorować drogę do wdrożenia kompleksowej reformy systemu rozszerzonej odpowiedzialności producenta.</w:t>
            </w:r>
          </w:p>
        </w:tc>
        <w:tc>
          <w:tcPr>
            <w:tcW w:w="4876" w:type="dxa"/>
            <w:tcBorders>
              <w:top w:val="nil"/>
              <w:left w:val="nil"/>
              <w:bottom w:val="nil"/>
              <w:right w:val="nil"/>
            </w:tcBorders>
          </w:tcPr>
          <w:p>
            <w:pPr>
              <w:pStyle w:val="Normal6a"/>
            </w:pPr>
            <w:r>
              <w:t>(10)</w:t>
            </w:r>
            <w:r>
              <w:tab/>
            </w:r>
            <w:r>
              <w:t xml:space="preserve">Zawieszenie stosowania wymogu wyznaczenia przez </w:t>
            </w:r>
            <w:r>
              <w:rPr>
                <w:b/>
                <w:i/>
              </w:rPr>
              <w:t>małych i średnich</w:t>
            </w:r>
            <w:r>
              <w:t xml:space="preserve"> producentów baterii i producentów opakowań mających siedzibę w jednym z państw członkowskich upoważnionych przedstawicieli ds. rozszerzonej odpowiedzialności producenta przy udostępnianiu baterii lub opakowań lub produktów w opakowaniu w innym państwie członkowskim służy jako środek wstępny mający na celu natychmiastowe zmniejszenie obciążeń dla </w:t>
            </w:r>
            <w:r>
              <w:rPr>
                <w:b/>
                <w:i/>
              </w:rPr>
              <w:t>małych i średnich</w:t>
            </w:r>
            <w:r>
              <w:t xml:space="preserve"> producentów, co ma utorować drogę do wdrożenia kompleksowej reformy systemu rozszerzonej odpowiedzialności producenta </w:t>
            </w:r>
            <w:r>
              <w:rPr>
                <w:b/>
                <w:i/>
              </w:rPr>
              <w:t>w celu zmniejszenia obciążeń administracyjnych dla przedsiębiorstw</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Ponieważ cele niniejszego rozporządzenia, mianowicie zapewnienie producentom mającym siedzibę w Unii elastyczności w kwestii wyznaczenia upoważnionego przedstawiciela ds. rozszerzonej odpowiedzialności producenta, nie mogą zostać w wystarczającym stopniu osiągnięte przez państwa członkowskie, natomiast z uwagi na rozmiary i skutki działania mogą zostać lepiej osiągnięte na poziomie Unii, może ona podjąć działania zgodnie z zasadą pomocniczości określoną w art. 5 Traktatu o Unii Europejskiej.</w:t>
            </w:r>
            <w:r>
              <w:t xml:space="preserve"> </w:t>
            </w:r>
            <w:r>
              <w:rPr>
                <w:b/>
                <w:i/>
              </w:rPr>
              <w:t>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1</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Zawieszenie stosowania art. 56 ust. 3 rozporządzenia (UE) 2023/1542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56 ust. 3 rozporządzenia (UE) 2023/1542 zawiesza się do dnia 1 stycznia 2035 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chodzi o producentów baterii mających siedzibę w państwach trzecich, w przypadku gdy państwa członkowskie nie wymagają wyznaczenia upoważnionego przedstawiciela ds. rozszerzonej odpowiedzialności producenta, zapewniają one identyfikowalność i egzekwowanie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Nie należy zawieszać przepisów prawa, które są już w pełni stosowane.</w:t>
      </w:r>
      <w:r>
        <w:t xml:space="preserve"> </w:t>
      </w:r>
      <w:r>
        <w:t>Przepisy dotyczące rozszerzonej odpowiedzialności producenta zawarte w rozporządzeniu w sprawie baterii mają zastosowanie od 18 lutego 2024 r. w odniesieniu do nowych systemów rozszerzonej odpowiedzialności producenta (a od 18 sierpnia 2025 r. w odniesieniu do systemów rozszerzonej odpowiedzialności producenta, które ustanowiono przed 4 lipca 2018 r.).</w:t>
      </w:r>
      <w:r>
        <w:t xml:space="preserve"> </w:t>
      </w:r>
      <w:r>
        <w:t>Zawieszenie powinno mieć zastosowanie wyłącznie w rozumieniu „zatrzymania zegara” w odniesieniu do przepisów dotyczących rozszerzonej odpowiedzialności producenta, które nie mają jeszcze zastosowania.</w:t>
      </w:r>
      <w:r>
        <w:t xml:space="preserve"> </w:t>
      </w:r>
      <w:r>
        <w:t>Należy zatem skreślić odniesienie do rozporządzenia w sprawie baterii.</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1</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Zawieszenie stosowania art. 56 ust. 3 rozporządzenia (UE) 2023/1542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56 ust. 3 rozporządzenia (UE) 2023/1542 zawiesza się do dnia 1 stycznia 2035 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chodzi o producentów baterii mających siedzibę w państwach trzecich, w przypadku gdy państwa członkowskie nie wymagają wyznaczenia upoważnionego przedstawiciela ds. rozszerzonej odpowiedzialności producenta, zapewniają one identyfikowalność i egzekwowanie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56 ust. 3 rozporządzenia (UE) 2023/1542 zawiesza się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56 ust. 3 rozporządzenia (UE) 2023/1542 zawiesza się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56 ust. 3 rozporządzenia (UE) 2023/1542 </w:t>
            </w:r>
            <w:r>
              <w:rPr>
                <w:b/>
                <w:i/>
              </w:rPr>
              <w:t>zawiesza się</w:t>
            </w:r>
            <w:r>
              <w:t xml:space="preserve"> do dnia 1 stycznia 2035 r.</w:t>
            </w:r>
          </w:p>
        </w:tc>
        <w:tc>
          <w:tcPr>
            <w:tcW w:w="4876" w:type="dxa"/>
            <w:tcBorders>
              <w:top w:val="nil"/>
              <w:left w:val="nil"/>
              <w:bottom w:val="nil"/>
              <w:right w:val="nil"/>
            </w:tcBorders>
          </w:tcPr>
          <w:p>
            <w:pPr>
              <w:pStyle w:val="Normal6a"/>
            </w:pPr>
            <w:r>
              <w:rPr>
                <w:b/>
                <w:i/>
              </w:rPr>
              <w:t>Zawiesza się</w:t>
            </w:r>
            <w:r>
              <w:t xml:space="preserve"> stosowanie art. 56 ust. 3 rozporządzenia (UE) 2023/1542 </w:t>
            </w:r>
            <w:r>
              <w:rPr>
                <w:b/>
                <w:i/>
              </w:rPr>
              <w:t>w odniesieniu do mikroproducentów i małych producentów mających siedzibę w Unii</w:t>
            </w:r>
            <w:r>
              <w:t xml:space="preserve"> do dnia 1 stycznia 2035 r. </w:t>
            </w:r>
            <w:r>
              <w:rPr>
                <w:b/>
                <w:i/>
              </w:rPr>
              <w:t>lub do dnia rozpoczęcia stosowania [aktu w sprawie gospodarki o obiegu zamkniętym XXX],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56 ust. 3 rozporządzenia (UE) 2023/1542 zawiesza się do dnia </w:t>
            </w:r>
            <w:r>
              <w:rPr>
                <w:b/>
                <w:i/>
              </w:rPr>
              <w:t>1 stycznia 2035 r</w:t>
            </w:r>
            <w:r>
              <w:t>.</w:t>
            </w:r>
          </w:p>
        </w:tc>
        <w:tc>
          <w:tcPr>
            <w:tcW w:w="4876" w:type="dxa"/>
            <w:tcBorders>
              <w:top w:val="nil"/>
              <w:left w:val="nil"/>
              <w:bottom w:val="nil"/>
              <w:right w:val="nil"/>
            </w:tcBorders>
          </w:tcPr>
          <w:p>
            <w:pPr>
              <w:pStyle w:val="Normal6a"/>
            </w:pPr>
            <w:r>
              <w:t xml:space="preserve">Stosowanie art. 56 ust. 3 rozporządzenia (UE) 2023/1542 zawiesza się do dnia </w:t>
            </w:r>
            <w:r>
              <w:rPr>
                <w:b/>
                <w:i/>
              </w:rPr>
              <w:t>rozpoczęcia stosowania [aktu w sprawie gospodarki o obiegu zamkniętym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Niniejsze rozporządzenie stosuje się wyłącznie do producentów, którzy zatrudniają mniej niż 250 pracowników i których roczny obrót nie przekracza 50 mln EUR lub których roczna suma bilansowa nie przekracza 43 mln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Niniejsze rozporządzenie powinno mieć zastosowanie wyłącznie do producentów, którzy kwalifikują się jako „małe i średnie przedsiębiorstwa” w rozumieniu załącznika I do zalecenia Komisji 2003/361/WE, odpowiednio w art. 2 ust. 1 i 2.</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chodzi o producentów baterii mających siedzibę w państwach trzecich, w przypadku gdy państwa członkowskie nie wymagają wyznaczenia upoważnionego przedstawiciela ds. rozszerzonej odpowiedzialności producenta, zapewniają one identyfikowalność i egzekwowanie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chodzi o producentów baterii mających siedzibę w państwach trzecich, w przypadku gdy państwa członkowskie nie wymagają wyznaczenia upoważnionego przedstawiciela ds. rozszerzonej odpowiedzialności producenta, zapewniają one identyfikowalność i egzekwowanie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chodzi o producentów baterii mających siedzibę w państwach trzecich, w przypadku gdy państwa członkowskie nie wymagają wyznaczenia upoważnionego przedstawiciela ds. rozszerzonej odpowiedzialności producenta, zapewniają one identyfikowalność i egzekwowanie przepisów w odniesieniu do producentów baterii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Jeżeli chodzi o producentów baterii mających siedzibę w państwach trzecich, </w:t>
            </w:r>
            <w:r>
              <w:rPr>
                <w:b/>
                <w:i/>
              </w:rPr>
              <w:t>w przypadku gdy</w:t>
            </w:r>
            <w:r>
              <w:t xml:space="preserve"> państwa członkowskie </w:t>
            </w:r>
            <w:r>
              <w:rPr>
                <w:b/>
                <w:i/>
              </w:rPr>
              <w:t>nie</w:t>
            </w:r>
            <w:r>
              <w:t xml:space="preserve"> wymagają wyznaczenia upoważnionego przedstawiciela ds. rozszerzonej odpowiedzialności producenta, </w:t>
            </w:r>
            <w:r>
              <w:rPr>
                <w:b/>
                <w:i/>
              </w:rPr>
              <w:t>zapewniają one</w:t>
            </w:r>
            <w:r>
              <w:t xml:space="preserve"> identyfikowalność i egzekwowanie przepisów </w:t>
            </w:r>
            <w:r>
              <w:rPr>
                <w:b/>
                <w:i/>
              </w:rPr>
              <w:t>w odniesieniu do producentów baterii mających siedzibę w państwach trzecich za pomocą alternatywnych środków</w:t>
            </w:r>
            <w:r>
              <w:t>.</w:t>
            </w:r>
          </w:p>
        </w:tc>
        <w:tc>
          <w:tcPr>
            <w:tcW w:w="4876" w:type="dxa"/>
            <w:tcBorders>
              <w:top w:val="nil"/>
              <w:left w:val="nil"/>
              <w:bottom w:val="nil"/>
              <w:right w:val="nil"/>
            </w:tcBorders>
          </w:tcPr>
          <w:p>
            <w:pPr>
              <w:pStyle w:val="Normal6a"/>
            </w:pPr>
            <w:r>
              <w:t xml:space="preserve">Jeżeli chodzi o producentów baterii mających siedzibę w państwach trzecich, państwa członkowskie wymagają wyznaczenia upoważnionego przedstawiciela ds. rozszerzonej odpowiedzialności producenta, </w:t>
            </w:r>
            <w:r>
              <w:rPr>
                <w:b/>
                <w:i/>
              </w:rPr>
              <w:t>aby zapewnić</w:t>
            </w:r>
            <w:r>
              <w:t xml:space="preserve"> identyfikowalność i egzekwowanie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Jeżeli chodzi o producentów baterii mających siedzibę w państwach trzecich, </w:t>
            </w:r>
            <w:r>
              <w:rPr>
                <w:b/>
                <w:i/>
              </w:rPr>
              <w:t>w przypadku gdy państwa członkowskie nie wymagają wyznaczenia</w:t>
            </w:r>
            <w:r>
              <w:t xml:space="preserve"> upoważnionego przedstawiciela ds. rozszerzonej odpowiedzialności producenta</w:t>
            </w:r>
            <w:r>
              <w:rPr>
                <w:b/>
                <w:i/>
              </w:rPr>
              <w:t>, zapewniają one</w:t>
            </w:r>
            <w:r>
              <w:t xml:space="preserve"> identyfikowalność i egzekwowanie przepisów </w:t>
            </w:r>
            <w:r>
              <w:rPr>
                <w:b/>
                <w:i/>
              </w:rPr>
              <w:t>w odniesieniu do producentów baterii mających siedzibę w państwach trzecich za pomocą alternatywnych środków</w:t>
            </w:r>
            <w:r>
              <w:t>.</w:t>
            </w:r>
          </w:p>
        </w:tc>
        <w:tc>
          <w:tcPr>
            <w:tcW w:w="4876" w:type="dxa"/>
            <w:tcBorders>
              <w:top w:val="nil"/>
              <w:left w:val="nil"/>
              <w:bottom w:val="nil"/>
              <w:right w:val="nil"/>
            </w:tcBorders>
          </w:tcPr>
          <w:p>
            <w:pPr>
              <w:pStyle w:val="Normal6a"/>
            </w:pPr>
            <w:r>
              <w:t xml:space="preserve">Jeżeli chodzi o producentów baterii mających siedzibę w państwach trzecich, </w:t>
            </w:r>
            <w:r>
              <w:rPr>
                <w:b/>
                <w:i/>
              </w:rPr>
              <w:t>wyznaczenie</w:t>
            </w:r>
            <w:r>
              <w:t xml:space="preserve"> upoważnionego przedstawiciela ds. rozszerzonej odpowiedzialności producenta </w:t>
            </w:r>
            <w:r>
              <w:rPr>
                <w:b/>
                <w:i/>
              </w:rPr>
              <w:t>w państwie członkowskim, w którym udostępniają oni produkty na rynku, jest obowiązkowe, aby zapewnić</w:t>
            </w:r>
            <w:r>
              <w:t xml:space="preserve"> identyfikowalność i egzekwowanie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2</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Zawieszenie stosowania art. 45 ust. 3 rozporządzenia (UE) 2025/40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45 ust. 3 rozporządzenia (UE) 2025/40 zawiesza się do dnia 1 stycznia 2035 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mogą postanowić, że producenci mający siedzibę w państwach trzecich przy pierwszym udostępnianiu opakowań lub produktów w opakowaniu na ich terytorium wyznaczają, w drodze pisemnego pełnomocnictwa, upoważnionego przedstawiciela ds. rozszerzonej odpowiedzialności producenta, albo zapewniają one identyfikowalność i egzekwowanie przepisów w odniesieniu do producentów opakowań mających siedzibę w państwach trzecich za pomocą alternatywnych środków.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Stosowanie art. 45 ust. 3 rozporządzenia (UE) 2025/40 zawiesza się do dnia 1 stycznia 2035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45 ust. 3 rozporządzenia (UE) 2025/40 zawiesza się do dnia 1 stycznia </w:t>
            </w:r>
            <w:r>
              <w:rPr>
                <w:b/>
                <w:i/>
              </w:rPr>
              <w:t>2035 r.</w:t>
            </w:r>
          </w:p>
        </w:tc>
        <w:tc>
          <w:tcPr>
            <w:tcW w:w="4876" w:type="dxa"/>
            <w:tcBorders>
              <w:top w:val="nil"/>
              <w:left w:val="nil"/>
              <w:bottom w:val="nil"/>
              <w:right w:val="nil"/>
            </w:tcBorders>
          </w:tcPr>
          <w:p>
            <w:pPr>
              <w:pStyle w:val="Normal6a"/>
            </w:pPr>
            <w:r>
              <w:t xml:space="preserve">Stosowanie art. 45 ust. 3 rozporządzenia (UE) 2025/40 zawiesza się </w:t>
            </w:r>
            <w:r>
              <w:rPr>
                <w:b/>
                <w:i/>
              </w:rPr>
              <w:t>w odniesieniu do mikroprzedsiębiorstw zdefiniowanych w zaleceniu Komisji 2003/361/WE</w:t>
            </w:r>
            <w:r>
              <w:t xml:space="preserve"> do dnia 1 stycznia </w:t>
            </w:r>
            <w:r>
              <w:rPr>
                <w:b/>
                <w:i/>
              </w:rPr>
              <w:t>2030 r. lub do dnia wejścia w życie [aktu w sprawie gospodarki o obiegu zamkniętym XXX], w zależności od tego, co nastąpi wcześniej, w zakresie, w jakim ma on zastosowanie do producentów mających siedzibę w Unii.</w:t>
            </w:r>
            <w:r>
              <w:t xml:space="preserve"> </w:t>
            </w:r>
            <w:r>
              <w:rPr>
                <w:b/>
                <w:i/>
              </w:rPr>
              <w:t>Zawieszenie obowiązuje wyłącznie w odniesieniu do mikroprzedsiębiorstw w tych państwach, w których nie mają one siedziby, ale w których udostępniają na rynku mniej niż 1 tonę materiału opakowaniowego jako takiego lub jako część produktów w opakowaniu rocznie.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Komisja może przyjmować akty delegowane zgodnie z art. 64 w celu zmiany niniejszego rozporządzenia przez zmianę progu wielkości obrotu określonego w poprzednim akapicie.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 suspension should only be given for microenterprises, and only until 2030 so as to put pressure on the Commission and on the co-legislators to deliver a new, fair and simple system in the context of the Circular Economy Act in time.</w:t>
      </w:r>
      <w:r>
        <w:t xml:space="preserve"> </w:t>
      </w:r>
      <w:r>
        <w:t>As micro companies can also put significant amount of packaging materials on the market, a tonnage threshold should be set for this.</w:t>
      </w:r>
      <w:r>
        <w:t xml:space="preserve"> </w:t>
      </w:r>
      <w:r>
        <w:t>Depending on the packaging material, current EPR fees for packaging materials vary between 20 to 450 Euro per ton.</w:t>
      </w:r>
      <w:r>
        <w:t xml:space="preserve"> </w:t>
      </w:r>
      <w:r>
        <w:t>At the same time, costs for an authorised representative are between 200-400 €/year.</w:t>
      </w:r>
      <w:r>
        <w:t xml:space="preserve"> </w:t>
      </w:r>
      <w:r>
        <w:t>It is thus reasonable to set a tonnage threshold at 1 ton/year (= cut-off where the annual cost for an authorised representative matches the median EPR fee).</w:t>
      </w:r>
      <w:r>
        <w:t xml:space="preserve"> </w:t>
      </w:r>
      <w:r>
        <w:t>The Commission should be empowered to modify this threshold.</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45 ust. 3 rozporządzenia (UE) 2025/40 zawiesza się do dnia </w:t>
            </w:r>
            <w:r>
              <w:rPr>
                <w:b/>
                <w:i/>
              </w:rPr>
              <w:t>1 stycznia 2035 r.</w:t>
            </w:r>
          </w:p>
        </w:tc>
        <w:tc>
          <w:tcPr>
            <w:tcW w:w="4876" w:type="dxa"/>
            <w:tcBorders>
              <w:top w:val="nil"/>
              <w:left w:val="nil"/>
              <w:bottom w:val="nil"/>
              <w:right w:val="nil"/>
            </w:tcBorders>
          </w:tcPr>
          <w:p>
            <w:pPr>
              <w:pStyle w:val="Normal6a"/>
            </w:pPr>
            <w:r>
              <w:t xml:space="preserve">Stosowanie art. 45 ust. 3 rozporządzenia (UE) 2025/40 </w:t>
            </w:r>
            <w:r>
              <w:rPr>
                <w:b/>
                <w:i/>
              </w:rPr>
              <w:t>w odniesieniu do mikroprzedsiębiorstw zdefiniowanych w art. 3 ust. 1 dyrektywy Parlamentu Europejskiego i Rady 2013/34/UE</w:t>
            </w:r>
            <w:r>
              <w:t xml:space="preserve"> zawiesza się do dnia </w:t>
            </w:r>
            <w:r>
              <w:rPr>
                <w:b/>
                <w:i/>
              </w:rPr>
              <w:t>31 grudnia 2029 r. lub do dnia rozpoczęcia stosowania aktu prawnego Unii ustanawiającego horyzontalne ramy rozszerzonej odpowiedzialności producenta, w tym przepisy dotyczące upoważnionych przedstawicieli,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45 ust. 3 rozporządzenia (UE) 2025/40 </w:t>
            </w:r>
            <w:r>
              <w:rPr>
                <w:b/>
                <w:i/>
              </w:rPr>
              <w:t>zawiesza się</w:t>
            </w:r>
            <w:r>
              <w:t xml:space="preserve"> do dnia 1 stycznia 2035 r.</w:t>
            </w:r>
          </w:p>
        </w:tc>
        <w:tc>
          <w:tcPr>
            <w:tcW w:w="4876" w:type="dxa"/>
            <w:tcBorders>
              <w:top w:val="nil"/>
              <w:left w:val="nil"/>
              <w:bottom w:val="nil"/>
              <w:right w:val="nil"/>
            </w:tcBorders>
          </w:tcPr>
          <w:p>
            <w:pPr>
              <w:pStyle w:val="Normal6a"/>
            </w:pPr>
            <w:r>
              <w:rPr>
                <w:b/>
                <w:i/>
              </w:rPr>
              <w:t>Zawiesza się</w:t>
            </w:r>
            <w:r>
              <w:t xml:space="preserve"> stosowanie art. 45 ust. 3 rozporządzenia (UE) 2025/40 </w:t>
            </w:r>
            <w:r>
              <w:rPr>
                <w:b/>
                <w:i/>
              </w:rPr>
              <w:t>w odniesieniu do mikroproducentów i małych producentów mających siedzibę w Unii</w:t>
            </w:r>
            <w:r>
              <w:t xml:space="preserve"> do dnia 1 stycznia 2035 r. </w:t>
            </w:r>
            <w:r>
              <w:rPr>
                <w:b/>
                <w:i/>
              </w:rPr>
              <w:t>lub do dnia rozpoczęcia stosowania [aktu w sprawie gospodarki o obiegu zamkniętym XXX], w zależności od tego, co nastąpi wcześniej.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Stosowanie art. 45 ust. 3 rozporządzenia (UE) 2025/40 zawiesza się do dnia </w:t>
            </w:r>
            <w:r>
              <w:rPr>
                <w:b/>
                <w:i/>
              </w:rPr>
              <w:t>1 stycznia 2035 r</w:t>
            </w:r>
            <w:r>
              <w:t>.</w:t>
            </w:r>
          </w:p>
        </w:tc>
        <w:tc>
          <w:tcPr>
            <w:tcW w:w="4876" w:type="dxa"/>
            <w:tcBorders>
              <w:top w:val="nil"/>
              <w:left w:val="nil"/>
              <w:bottom w:val="nil"/>
              <w:right w:val="nil"/>
            </w:tcBorders>
          </w:tcPr>
          <w:p>
            <w:pPr>
              <w:pStyle w:val="Normal6a"/>
            </w:pPr>
            <w:r>
              <w:t xml:space="preserve">Stosowanie art. 45 ust. 3 rozporządzenia (UE) 2025/40 zawiesza się do dnia </w:t>
            </w:r>
            <w:r>
              <w:rPr>
                <w:b/>
                <w:i/>
              </w:rPr>
              <w:t>rozpoczęcia stosowania [aktu XXX w sprawie gospodarki o obiegu zamkniętym]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Niniejsze rozporządzenie stosuje się wyłącznie do producentów, którzy zatrudniają mniej niż 250 pracowników i których roczny obrót nie przekracza 50 mln EUR lub których roczna suma bilansowa nie przekracza 43 mln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Niniejsze rozporządzenie powinno mieć zastosowanie wyłącznie do producentów, którzy kwalifikują się jako „małe i średnie przedsiębiorstwa” w rozumieniu załącznika I do zalecenia Komisji 2003/361/WE, odpowiednio w art. 2 ust. 1 i 2.</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mogą postanowić, że producenci mający siedzibę w państwach trzecich przy pierwszym udostępnianiu opakowań lub produktów w opakowaniu na ich terytorium wyznaczają, w drodze pisemnego pełnomocnictwa, upoważnionego przedstawiciela ds. rozszerzonej odpowiedzialności producenta, albo zapewniają one identyfikowalność i egzekwowanie przepisów w odniesieniu do producentów opakowań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mogą postanowić, że producenci mający siedzibę w państwach trzecich przy pierwszym udostępnianiu opakowań lub produktów w opakowaniu na ich terytorium wyznaczają, w drodze pisemnego pełnomocnictwa, upoważnionego przedstawiciela ds. rozszerzonej odpowiedzialności producenta, albo zapewniają one identyfikowalność i egzekwowanie przepisów w odniesieniu do producentów opakowań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mogą postanowić, że producenci mający siedzibę w państwach trzecich przy pierwszym udostępnianiu opakowań lub produktów w opakowaniu na ich terytorium wyznaczają, w drodze pisemnego pełnomocnictwa, upoważnionego przedstawiciela ds. rozszerzonej odpowiedzialności producenta, albo zapewniają one identyfikowalność i egzekwowanie przepisów w odniesieniu do producentów opakowań mających siedzibę w państwach trzecich za pomocą alternatywnych środków.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Państwa członkowskie </w:t>
            </w:r>
            <w:r>
              <w:rPr>
                <w:b/>
                <w:i/>
              </w:rPr>
              <w:t>mogą postanowić</w:t>
            </w:r>
            <w:r>
              <w:t>, że producenci mający siedzibę w państwach trzecich przy pierwszym udostępnianiu opakowań lub produktów w opakowaniu na ich terytorium wyznaczają, w drodze pisemnego pełnomocnictwa, upoważnionego przedstawiciela ds. rozszerzonej odpowiedzialności producenta</w:t>
            </w:r>
            <w:r>
              <w:rPr>
                <w:b/>
                <w:i/>
              </w:rPr>
              <w:t>, albo zapewniają one identyfikowalność i egzekwowanie przepisów w odniesieniu do producentów opakowań mających siedzibę w państwach trzecich za pomocą alternatywnych środków</w:t>
            </w:r>
            <w:r>
              <w:t>.</w:t>
            </w:r>
          </w:p>
        </w:tc>
        <w:tc>
          <w:tcPr>
            <w:tcW w:w="4876" w:type="dxa"/>
            <w:tcBorders>
              <w:top w:val="nil"/>
              <w:left w:val="nil"/>
              <w:bottom w:val="nil"/>
              <w:right w:val="nil"/>
            </w:tcBorders>
          </w:tcPr>
          <w:p>
            <w:pPr>
              <w:pStyle w:val="Normal6a"/>
            </w:pPr>
            <w:r>
              <w:t xml:space="preserve">Państwa członkowskie </w:t>
            </w:r>
            <w:r>
              <w:rPr>
                <w:b/>
                <w:i/>
              </w:rPr>
              <w:t>postanawiają</w:t>
            </w:r>
            <w:r>
              <w:t>, że producenci mający siedzibę w państwach trzecich przy pierwszym udostępnianiu opakowań lub produktów w opakowaniu na ich terytorium wyznaczają, w drodze pisemnego pełnomocnictwa, upoważnionego przedstawiciela ds. rozszerzonej odpowiedzialności producenta.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mogą postanowić, że producenci mający</w:t>
            </w:r>
            <w:r>
              <w:t xml:space="preserve"> siedzibę w państwach trzecich </w:t>
            </w:r>
            <w:r>
              <w:rPr>
                <w:b/>
                <w:i/>
              </w:rPr>
              <w:t>przy pierwszym udostępnianiu opakowań lub produktów w opakowaniu na ich terytorium wyznaczają, w drodze pisemnego pełnomocnictwa,</w:t>
            </w:r>
            <w:r>
              <w:t xml:space="preserve"> upoważnionego przedstawiciela ds. rozszerzonej odpowiedzialności producenta, </w:t>
            </w:r>
            <w:r>
              <w:rPr>
                <w:b/>
                <w:i/>
              </w:rPr>
              <w:t>albo zapewniają one identyfikowalność i egzekwowanie przepisów w odniesieniu do producentów opakowań mających siedzibę w państwach trzecich za pomocą alternatywnych środków</w:t>
            </w:r>
            <w:r>
              <w:t>.</w:t>
            </w:r>
          </w:p>
        </w:tc>
        <w:tc>
          <w:tcPr>
            <w:tcW w:w="4876" w:type="dxa"/>
            <w:tcBorders>
              <w:top w:val="nil"/>
              <w:left w:val="nil"/>
              <w:bottom w:val="nil"/>
              <w:right w:val="nil"/>
            </w:tcBorders>
          </w:tcPr>
          <w:p>
            <w:pPr>
              <w:pStyle w:val="Normal6a"/>
            </w:pPr>
            <w:r>
              <w:rPr>
                <w:b/>
                <w:i/>
              </w:rPr>
              <w:t>W odniesieniu do producentów opakowań mających</w:t>
            </w:r>
            <w:r>
              <w:t xml:space="preserve"> siedzibę w państwach trzecich </w:t>
            </w:r>
            <w:r>
              <w:rPr>
                <w:b/>
                <w:i/>
              </w:rPr>
              <w:t>państwa członkowskie mogą wymagać wyznaczenia</w:t>
            </w:r>
            <w:r>
              <w:t xml:space="preserve"> upoważnionego przedstawiciela ds. rozszerzonej odpowiedzialności producenta, </w:t>
            </w:r>
            <w:r>
              <w:rPr>
                <w:b/>
                <w:i/>
              </w:rPr>
              <w:t>w przypadku gdy opakowania lub produkty w opakowaniach są udostępniane na ich terytorium po raz pierwszy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w imieniu grupy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Artykuł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Zabezpieczenia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Zawieszenie przewidziane w art. 2 pozostaje bez uszczerbku dla wszystkich innych obowiązków producentów wynikających z prawa Unii, w tym rejestracji, sprawozdawczości, wnoszenia wkładów finansowych, udzielania gwarancji, uczestnictwa w systemach rozszerzonej odpowiedzialności producenta oraz wypełniania obowiązków w zakresie zapobiegania powstawaniu odpadów, zbierania, ponownego użycia i recyklingu.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Zawieszenie nie ma zastosowania w przypadku podziału lub restrukturyzacji producenta w celu skorzystania z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Artykuł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Rozporządzenie ma zastosowanie wyłącznie do producentów kwalifikujących się jako „mikroprzedsiębiorstwa” lub „małe przedsiębiorstwa” w rozumieniu odpowiednio art. 2 ust. 2 i 3 załącznika I do zalecenia Komisji 2003/361/WE.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3</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Wejście w życie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Niniejsze rozporządzenie wchodzi w życie dwudziestego dnia po jego opublikowaniu w Dzienniku Urzędowym Unii Europejskiej.</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Niniejsze rozporządzenie wiąże w całości i jest bezpośrednio stosowane we wszystkich państwach członkowskich.</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Wejście w życie</w:t>
            </w:r>
          </w:p>
        </w:tc>
        <w:tc>
          <w:tcPr>
            <w:tcW w:w="4876" w:type="dxa"/>
            <w:tcBorders>
              <w:top w:val="nil"/>
              <w:left w:val="nil"/>
              <w:bottom w:val="nil"/>
              <w:right w:val="nil"/>
            </w:tcBorders>
          </w:tcPr>
          <w:p>
            <w:pPr>
              <w:pStyle w:val="Normal6a"/>
            </w:pPr>
            <w:r>
              <w:t xml:space="preserve">Wejście w życie </w:t>
            </w:r>
            <w:r>
              <w:rPr>
                <w:b/>
                <w:i/>
              </w:rPr>
              <w:t>i rozpoczęcie stosowania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Niniejsze rozporządzenie wchodzi w życie dwudziestego dnia po jego opublikowaniu w Dzienniku Urzędowym Unii Europejskiej.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akapit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Rozporządzenie przestaje obowiązywać z dniem rozpoczęcia stosowania [aktu w sprawie gospodarki o obiegu zamkniętym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Niniejsze rozporządzenie wiąże w całości i jest bezpośrednio stosowane we wszystkich państwach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akapit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Rozporządzenie przestaje obowiązywać od dnia rozpoczęcia stosowania [aktu w sprawie gospodarki o obiegu zamkniętym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790.771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60</w:t>
    </w:r>
    <w:r>
      <w:fldChar w:fldCharType="end"/>
    </w:r>
    <w:r>
      <w:t>/</w:t>
    </w:r>
    <w:r>
      <w:fldChar w:fldCharType="begin"/>
    </w:r>
    <w:r>
      <w:instrText xml:space="preserve"> NUMPAGES </w:instrText>
    </w:r>
    <w:r>
      <w:fldChar w:fldCharType="separate"/>
    </w:r>
    <w:r>
      <w:t>60</w:t>
    </w:r>
    <w:r>
      <w:fldChar w:fldCharType="end"/>
    </w:r>
    <w:r>
      <w:tab/>
    </w:r>
    <w:r>
      <w:rPr>
        <w:rStyle w:val="HideTWBExt"/>
      </w:rPr>
      <w:t>&lt;PathFdR&gt;</w:t>
    </w:r>
    <w:r>
      <w:t>AM\1347091PL.docx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AM\1347091PL.docx</w:t>
    </w:r>
    <w:r>
      <w:rPr>
        <w:rStyle w:val="HideTWBExt"/>
      </w:rPr>
      <w:t>&lt;/PathFdR&gt;</w:t>
    </w:r>
    <w:r>
      <w:tab/>
    </w:r>
    <w:r>
      <w:fldChar w:fldCharType="begin"/>
    </w:r>
    <w:r>
      <w:instrText xml:space="preserve"> PAGE </w:instrText>
    </w:r>
    <w:r>
      <w:fldChar w:fldCharType="separate"/>
    </w:r>
    <w:r>
      <w:t>59</w:t>
    </w:r>
    <w:r>
      <w:fldChar w:fldCharType="end"/>
    </w:r>
    <w:r>
      <w:t>/</w:t>
    </w:r>
    <w:r>
      <w:fldChar w:fldCharType="begin"/>
    </w:r>
    <w:r>
      <w:instrText xml:space="preserve"> NUMPAGES </w:instrText>
    </w:r>
    <w:r>
      <w:fldChar w:fldCharType="separate"/>
    </w:r>
    <w:r>
      <w:t>60</w:t>
    </w:r>
    <w:r>
      <w:fldChar w:fldCharType="end"/>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AM\1347091PL.docx</w:t>
    </w:r>
    <w:r>
      <w:rPr>
        <w:rStyle w:val="HideTWBExt"/>
      </w:rPr>
      <w:t>&lt;/PathFdR&gt;</w:t>
    </w:r>
    <w:r>
      <w:tab/>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60</Pages>
  <Words>12739</Words>
  <Characters>91947</Characters>
  <Application>Microsoft Office Word</Application>
  <DocSecurity>0</DocSecurity>
  <Lines>1</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1347091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575033</vt:lpwstr>
  </property>
  <property fmtid="{D5CDD505-2E9C-101B-9397-08002B2CF9AE}" pid="7" name="dmxml.render.traceId">
    <vt:lpwstr>6a5730a981a8359731fa5fb76355088a</vt:lpwstr>
  </property>
  <property fmtid="{D5CDD505-2E9C-101B-9397-08002B2CF9AE}" pid="8" name="FooterPath">
    <vt:lpwstr>AM\1347091PL.docx</vt:lpwstr>
  </property>
  <property fmtid="{D5CDD505-2E9C-101B-9397-08002B2CF9AE}" pid="9" name="PE Number">
    <vt:lpwstr>790.771</vt:lpwstr>
  </property>
  <property fmtid="{D5CDD505-2E9C-101B-9397-08002B2CF9AE}" pid="10" name="UID">
    <vt:lpwstr>eu.europa.europarl-DIN1-2026-0000198454_02.00-pl-01.00_text-xml</vt:lpwstr>
  </property>
</Properties>
</file>