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309749A"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FC4A49" w:rsidP="00C85D0F" w14:paraId="28836706" w14:textId="22E63E83">
            <w:pPr>
              <w:pStyle w:val="EPName"/>
            </w:pPr>
            <w:r w:rsidRPr="00FC4A49">
              <w:t>European Parliament</w:t>
            </w:r>
          </w:p>
          <w:p w:rsidR="00BE5062" w:rsidRPr="00FC4A49" w:rsidP="00C85D0F" w14:paraId="54140FBE" w14:textId="5BFB5465">
            <w:pPr>
              <w:pStyle w:val="EPTerm"/>
            </w:pPr>
            <w:r w:rsidRPr="00FC4A49">
              <w:t>2024-2029</w:t>
            </w:r>
          </w:p>
        </w:tc>
        <w:tc>
          <w:tcPr>
            <w:tcW w:w="2268" w:type="dxa"/>
          </w:tcPr>
          <w:p w:rsidR="00BE5062" w:rsidRPr="00FC4A49" w:rsidP="00C85D0F" w14:paraId="20ACDF91" w14:textId="77777777">
            <w:pPr>
              <w:pStyle w:val="EPLogo"/>
            </w:pPr>
            <w:r w:rsidRPr="00FC4A4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75575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C4A49" w:rsidP="000E7234" w14:paraId="3CCAF0E4" w14:textId="77777777">
      <w:pPr>
        <w:pStyle w:val="LineTop"/>
      </w:pPr>
    </w:p>
    <w:p w:rsidR="000E7234" w:rsidRPr="00FC4A49" w:rsidP="000E7234" w14:paraId="50883677" w14:textId="0F349A40">
      <w:pPr>
        <w:pStyle w:val="EPBody"/>
      </w:pPr>
      <w:r w:rsidRPr="00FC4A49">
        <w:rPr>
          <w:rStyle w:val="HideTWBExt"/>
          <w:i w:val="0"/>
          <w:szCs w:val="20"/>
        </w:rPr>
        <w:t>&lt;Commission&gt;</w:t>
      </w:r>
      <w:r w:rsidRPr="00FC4A49" w:rsidR="00536499">
        <w:rPr>
          <w:rStyle w:val="HideTWBInt"/>
          <w:i w:val="0"/>
          <w:szCs w:val="20"/>
        </w:rPr>
        <w:t>{ENVI}</w:t>
      </w:r>
      <w:r w:rsidRPr="00FC4A49" w:rsidR="00536499">
        <w:t>Committee on the Environment, Climate and Food Safety</w:t>
      </w:r>
      <w:r w:rsidRPr="00FC4A49">
        <w:rPr>
          <w:rStyle w:val="HideTWBExt"/>
          <w:i w:val="0"/>
          <w:szCs w:val="20"/>
        </w:rPr>
        <w:t>&lt;/Commission&gt;</w:t>
      </w:r>
    </w:p>
    <w:p w:rsidR="000E7234" w:rsidRPr="00FC4A49" w:rsidP="000E7234" w14:paraId="149E52B1" w14:textId="77777777">
      <w:pPr>
        <w:pStyle w:val="LineBottom"/>
      </w:pPr>
    </w:p>
    <w:p w:rsidR="00B85286" w:rsidRPr="00FC4A49" w14:paraId="18D71384" w14:textId="294AA303">
      <w:pPr>
        <w:pStyle w:val="CoverReference"/>
      </w:pPr>
      <w:r w:rsidRPr="00FC4A49">
        <w:rPr>
          <w:rStyle w:val="HideTWBExt"/>
          <w:b w:val="0"/>
        </w:rPr>
        <w:t>&lt;RefProc&gt;</w:t>
      </w:r>
      <w:r w:rsidRPr="00FC4A49" w:rsidR="00536499">
        <w:t>2026/0212</w:t>
      </w:r>
      <w:r w:rsidRPr="00FC4A49">
        <w:rPr>
          <w:rStyle w:val="HideTWBExt"/>
          <w:b w:val="0"/>
        </w:rPr>
        <w:t>&lt;/RefProc&gt;&lt;RefTypeProc&gt;</w:t>
      </w:r>
      <w:r w:rsidRPr="00FC4A49" w:rsidR="00156F97">
        <w:t>(</w:t>
      </w:r>
      <w:r w:rsidRPr="00FC4A49" w:rsidR="00536499">
        <w:t>COD</w:t>
      </w:r>
      <w:r w:rsidRPr="00FC4A49" w:rsidR="00156F97">
        <w:t>)</w:t>
      </w:r>
      <w:r w:rsidRPr="00FC4A49">
        <w:rPr>
          <w:rStyle w:val="HideTWBExt"/>
          <w:b w:val="0"/>
        </w:rPr>
        <w:t>&lt;/RefTypeProc&gt;</w:t>
      </w:r>
    </w:p>
    <w:p w:rsidR="00B85286" w:rsidRPr="00FC4A49" w14:paraId="0E145FCF" w14:textId="62850F23">
      <w:pPr>
        <w:pStyle w:val="CoverDate"/>
      </w:pPr>
      <w:r w:rsidRPr="00FC4A49">
        <w:rPr>
          <w:rStyle w:val="HideTWBExt"/>
        </w:rPr>
        <w:t>&lt;Date&gt;</w:t>
      </w:r>
      <w:r w:rsidRPr="00FC4A49" w:rsidR="00536499">
        <w:rPr>
          <w:rStyle w:val="HideTWBInt"/>
        </w:rPr>
        <w:t>{13/10/2026}</w:t>
      </w:r>
      <w:r w:rsidR="00804E2D">
        <w:t>21</w:t>
      </w:r>
      <w:r w:rsidRPr="00FC4A49" w:rsidR="00536499">
        <w:t>.10.2026</w:t>
      </w:r>
      <w:r w:rsidRPr="00FC4A49">
        <w:rPr>
          <w:rStyle w:val="HideTWBExt"/>
        </w:rPr>
        <w:t>&lt;/Date&gt;</w:t>
      </w:r>
    </w:p>
    <w:p w:rsidR="009B0305" w:rsidRPr="00FC4A49" w:rsidP="009B0305" w14:paraId="3EAC4C29" w14:textId="20E055C4">
      <w:pPr>
        <w:pStyle w:val="CoverDocType"/>
      </w:pPr>
      <w:r w:rsidRPr="00FC4A49">
        <w:rPr>
          <w:rStyle w:val="HideTWBExt"/>
          <w:b w:val="0"/>
        </w:rPr>
        <w:t>&lt;TypeAM&gt;</w:t>
      </w:r>
      <w:r w:rsidRPr="00FC4A49" w:rsidR="00536499">
        <w:t>AMENDMENTS</w:t>
      </w:r>
      <w:r w:rsidRPr="00FC4A49">
        <w:rPr>
          <w:rStyle w:val="HideTWBExt"/>
          <w:b w:val="0"/>
        </w:rPr>
        <w:t>&lt;/TypeAM&gt;</w:t>
      </w:r>
    </w:p>
    <w:p w:rsidR="00B85286" w:rsidRPr="00FC4A49" w:rsidP="001C2054" w14:paraId="72F29111" w14:textId="015FCF95">
      <w:pPr>
        <w:pStyle w:val="CoverDocType24a"/>
      </w:pPr>
      <w:r w:rsidRPr="00FC4A49">
        <w:rPr>
          <w:rStyle w:val="HideTWBExt"/>
          <w:b w:val="0"/>
        </w:rPr>
        <w:t>&lt;RangeAM&gt;</w:t>
      </w:r>
      <w:r w:rsidRPr="00FC4A49" w:rsidR="00536499">
        <w:t>86 - 272</w:t>
      </w:r>
      <w:r w:rsidRPr="00FC4A49">
        <w:rPr>
          <w:rStyle w:val="HideTWBExt"/>
          <w:b w:val="0"/>
        </w:rPr>
        <w:t>&lt;/RangeAM&gt;</w:t>
      </w:r>
    </w:p>
    <w:p w:rsidR="001C2054" w:rsidRPr="00FC4A49" w:rsidP="00A93F8C" w14:paraId="5EB420A6" w14:textId="679ACFD3">
      <w:pPr>
        <w:pStyle w:val="CoverBold"/>
      </w:pPr>
      <w:r w:rsidRPr="00FC4A49">
        <w:rPr>
          <w:rStyle w:val="HideTWBExt"/>
          <w:b w:val="0"/>
        </w:rPr>
        <w:t>&lt;TitreType&gt;</w:t>
      </w:r>
      <w:r w:rsidRPr="00FC4A49" w:rsidR="00156F97">
        <w:t>Draft report</w:t>
      </w:r>
      <w:r w:rsidRPr="00FC4A49">
        <w:rPr>
          <w:rStyle w:val="HideTWBExt"/>
          <w:b w:val="0"/>
        </w:rPr>
        <w:t>&lt;/TitreType&gt;</w:t>
      </w:r>
    </w:p>
    <w:p w:rsidR="00B85286" w:rsidRPr="00FC4A49" w:rsidP="00A93F8C" w14:paraId="3F557AAA" w14:textId="1669A132">
      <w:pPr>
        <w:pStyle w:val="CoverBold"/>
      </w:pPr>
      <w:r w:rsidRPr="00FC4A49">
        <w:rPr>
          <w:rStyle w:val="HideTWBExt"/>
          <w:b w:val="0"/>
        </w:rPr>
        <w:t>&lt;Rapporteur&gt;</w:t>
      </w:r>
      <w:r w:rsidRPr="00FC4A49" w:rsidR="00536499">
        <w:t>Peter Liese</w:t>
      </w:r>
      <w:r w:rsidRPr="00FC4A49">
        <w:rPr>
          <w:rStyle w:val="HideTWBExt"/>
          <w:b w:val="0"/>
        </w:rPr>
        <w:t>&lt;/Rapporteur&gt;</w:t>
      </w:r>
    </w:p>
    <w:p w:rsidR="00B85286" w:rsidRPr="00FC4A49" w14:paraId="4D4F96FC" w14:textId="065496B2">
      <w:pPr>
        <w:pStyle w:val="CoverNormal24a"/>
      </w:pPr>
      <w:r w:rsidRPr="00FC4A49">
        <w:rPr>
          <w:rStyle w:val="HideTWBExt"/>
        </w:rPr>
        <w:t>&lt;DocRefPE&gt;</w:t>
      </w:r>
      <w:r w:rsidRPr="00FC4A49" w:rsidR="00156F97">
        <w:t>(PE</w:t>
      </w:r>
      <w:r w:rsidRPr="00FC4A49" w:rsidR="00536499">
        <w:t>791.996</w:t>
      </w:r>
      <w:r w:rsidRPr="00FC4A49" w:rsidR="00156F97">
        <w:t>v</w:t>
      </w:r>
      <w:r w:rsidRPr="00FC4A49" w:rsidR="00536499">
        <w:t>01-00</w:t>
      </w:r>
      <w:r w:rsidRPr="00FC4A49" w:rsidR="00156F97">
        <w:t>)</w:t>
      </w:r>
      <w:r w:rsidRPr="00FC4A49">
        <w:rPr>
          <w:rStyle w:val="HideTWBExt"/>
        </w:rPr>
        <w:t>&lt;/DocRefPE&gt;</w:t>
      </w:r>
    </w:p>
    <w:p w:rsidR="00B85286" w:rsidRPr="00FC4A49" w14:paraId="0160297A" w14:textId="2212892A">
      <w:pPr>
        <w:pStyle w:val="CoverNormal24a"/>
      </w:pPr>
      <w:r w:rsidRPr="00FC4A49">
        <w:rPr>
          <w:rStyle w:val="HideTWBExt"/>
        </w:rPr>
        <w:t>&lt;Titre&gt;</w:t>
      </w:r>
      <w:r w:rsidRPr="00FC4A49" w:rsidR="00536499">
        <w:t>EU Emissions Trading System and market stability reserve: competitiveness and cost-effective decarbonisation</w:t>
      </w:r>
      <w:r w:rsidRPr="00FC4A49">
        <w:rPr>
          <w:rStyle w:val="HideTWBExt"/>
        </w:rPr>
        <w:t>&lt;/Titre&gt;</w:t>
      </w:r>
    </w:p>
    <w:p w:rsidR="006337D4" w:rsidRPr="00804E2D" w:rsidP="006337D4" w14:paraId="6123DE52" w14:textId="38BB2791">
      <w:pPr>
        <w:pStyle w:val="CoverNormal"/>
        <w:rPr>
          <w:lang w:val="pt-PT"/>
        </w:rPr>
      </w:pPr>
      <w:r w:rsidRPr="00804E2D">
        <w:rPr>
          <w:rStyle w:val="HideTWBExt"/>
          <w:lang w:val="pt-PT"/>
        </w:rPr>
        <w:t>&lt;DocAmend&gt;</w:t>
      </w:r>
      <w:r w:rsidRPr="00804E2D" w:rsidR="00536499">
        <w:rPr>
          <w:lang w:val="pt-PT"/>
        </w:rPr>
        <w:t>Proposal</w:t>
      </w:r>
      <w:r w:rsidRPr="00804E2D" w:rsidR="00536499">
        <w:rPr>
          <w:lang w:val="pt-PT"/>
        </w:rPr>
        <w:t xml:space="preserve"> for a </w:t>
      </w:r>
      <w:r w:rsidRPr="00804E2D" w:rsidR="00536499">
        <w:rPr>
          <w:lang w:val="pt-PT"/>
        </w:rPr>
        <w:t>directive</w:t>
      </w:r>
      <w:r w:rsidRPr="00804E2D">
        <w:rPr>
          <w:rStyle w:val="HideTWBExt"/>
          <w:lang w:val="pt-PT"/>
        </w:rPr>
        <w:t>&lt;/DocAmend&gt;</w:t>
      </w:r>
    </w:p>
    <w:p w:rsidR="00B85286" w:rsidRPr="00804E2D" w14:paraId="3814E80D" w14:textId="1BCDA245">
      <w:pPr>
        <w:pStyle w:val="CoverNormal24a"/>
        <w:rPr>
          <w:lang w:val="pt-PT"/>
        </w:rPr>
      </w:pPr>
      <w:r w:rsidRPr="00804E2D">
        <w:rPr>
          <w:rStyle w:val="HideTWBExt"/>
          <w:lang w:val="pt-PT"/>
        </w:rPr>
        <w:t>&lt;DocRef&gt;</w:t>
      </w:r>
      <w:r w:rsidRPr="00804E2D" w:rsidR="00156F97">
        <w:rPr>
          <w:lang w:val="pt-PT"/>
        </w:rPr>
        <w:t>(</w:t>
      </w:r>
      <w:r w:rsidRPr="00804E2D" w:rsidR="00536499">
        <w:rPr>
          <w:lang w:val="pt-PT"/>
        </w:rPr>
        <w:t>COM(</w:t>
      </w:r>
      <w:r w:rsidRPr="00804E2D" w:rsidR="00536499">
        <w:rPr>
          <w:lang w:val="pt-PT"/>
        </w:rPr>
        <w:t>2026)0616</w:t>
      </w:r>
      <w:r w:rsidRPr="00804E2D" w:rsidR="00156F97">
        <w:rPr>
          <w:lang w:val="pt-PT"/>
        </w:rPr>
        <w:t xml:space="preserve"> </w:t>
      </w:r>
      <w:r w:rsidRPr="00804E2D" w:rsidR="00536499">
        <w:rPr>
          <w:lang w:val="pt-PT"/>
        </w:rPr>
        <w:t>–</w:t>
      </w:r>
      <w:r w:rsidRPr="00804E2D" w:rsidR="00156F97">
        <w:rPr>
          <w:lang w:val="pt-PT"/>
        </w:rPr>
        <w:t xml:space="preserve"> </w:t>
      </w:r>
      <w:r w:rsidRPr="00804E2D" w:rsidR="00536499">
        <w:rPr>
          <w:lang w:val="pt-PT"/>
        </w:rPr>
        <w:t>C10</w:t>
      </w:r>
      <w:r w:rsidRPr="00804E2D" w:rsidR="00536499">
        <w:rPr>
          <w:lang w:val="pt-PT"/>
        </w:rPr>
        <w:noBreakHyphen/>
        <w:t>0188/2026</w:t>
      </w:r>
      <w:r w:rsidRPr="00804E2D" w:rsidR="00156F97">
        <w:rPr>
          <w:lang w:val="pt-PT"/>
        </w:rPr>
        <w:t xml:space="preserve"> </w:t>
      </w:r>
      <w:r w:rsidRPr="00804E2D" w:rsidR="00536499">
        <w:rPr>
          <w:lang w:val="pt-PT"/>
        </w:rPr>
        <w:t>–</w:t>
      </w:r>
      <w:r w:rsidRPr="00804E2D" w:rsidR="00156F97">
        <w:rPr>
          <w:lang w:val="pt-PT"/>
        </w:rPr>
        <w:t xml:space="preserve"> </w:t>
      </w:r>
      <w:r w:rsidRPr="00804E2D" w:rsidR="00536499">
        <w:rPr>
          <w:lang w:val="pt-PT"/>
        </w:rPr>
        <w:t>2026/0212</w:t>
      </w:r>
      <w:r w:rsidRPr="00804E2D" w:rsidR="00156F97">
        <w:rPr>
          <w:lang w:val="pt-PT"/>
        </w:rPr>
        <w:t>(</w:t>
      </w:r>
      <w:r w:rsidRPr="00804E2D" w:rsidR="00536499">
        <w:rPr>
          <w:lang w:val="pt-PT"/>
        </w:rPr>
        <w:t>COD</w:t>
      </w:r>
      <w:r w:rsidRPr="00804E2D" w:rsidR="00156F97">
        <w:rPr>
          <w:lang w:val="pt-PT"/>
        </w:rPr>
        <w:t>))</w:t>
      </w:r>
      <w:r w:rsidRPr="00804E2D">
        <w:rPr>
          <w:rStyle w:val="HideTWBExt"/>
          <w:lang w:val="pt-PT"/>
        </w:rPr>
        <w:t>&lt;/DocRef&gt;</w:t>
      </w:r>
    </w:p>
    <w:p w:rsidR="00B85286" w:rsidRPr="00804E2D" w:rsidP="00E660E2" w14:paraId="15170E1F" w14:textId="3EA02507">
      <w:pPr>
        <w:widowControl/>
        <w:tabs>
          <w:tab w:val="center" w:pos="4677"/>
        </w:tabs>
        <w:rPr>
          <w:lang w:val="pt-PT"/>
        </w:rPr>
      </w:pPr>
      <w:r w:rsidRPr="00804E2D">
        <w:rPr>
          <w:lang w:val="pt-PT"/>
        </w:rPr>
        <w:br w:type="page"/>
      </w:r>
      <w:r w:rsidRPr="00804E2D" w:rsidR="00156F97">
        <w:rPr>
          <w:lang w:val="pt-PT"/>
        </w:rPr>
        <w:t>AM</w:t>
      </w:r>
      <w:r w:rsidRPr="00804E2D" w:rsidR="00156F97">
        <w:rPr>
          <w:lang w:val="pt-PT"/>
        </w:rPr>
        <w:t>_Com</w:t>
      </w:r>
      <w:r w:rsidRPr="00804E2D" w:rsidR="00156F97">
        <w:rPr>
          <w:lang w:val="pt-PT"/>
        </w:rPr>
        <w:t>_LegReport</w:t>
      </w:r>
    </w:p>
    <w:p w:rsidR="00536499" w:rsidRPr="00804E2D" w:rsidP="00536499" w14:paraId="3085751C" w14:textId="5E2A185D">
      <w:pPr>
        <w:pStyle w:val="AmNumberTabs"/>
        <w:keepNext/>
        <w:rPr>
          <w:lang w:val="pt-PT"/>
        </w:rPr>
      </w:pPr>
      <w:r w:rsidRPr="00804E2D">
        <w:rPr>
          <w:lang w:val="pt-PT"/>
        </w:rPr>
        <w:br w:type="page"/>
      </w:r>
      <w:bookmarkStart w:id="0" w:name="EndA"/>
    </w:p>
    <w:bookmarkEnd w:id="0"/>
    <w:p w:rsidR="00343C6C" w:rsidRPr="00804E2D" w:rsidP="00343C6C" w14:paraId="1742B9D2" w14:textId="0EE6F01A">
      <w:pPr>
        <w:pStyle w:val="AMNumberTabs0"/>
        <w:keepNext/>
        <w:rPr>
          <w:lang w:val="pt-PT"/>
        </w:rPr>
      </w:pPr>
      <w:r w:rsidRPr="00804E2D">
        <w:rPr>
          <w:rStyle w:val="HideTWBExt"/>
          <w:b w:val="0"/>
          <w:lang w:val="pt-PT"/>
        </w:rPr>
        <w:t>&lt;RepeatBlock-Amend&gt;&lt;Amend&gt;</w:t>
      </w:r>
      <w:r w:rsidRPr="00804E2D">
        <w:rPr>
          <w:lang w:val="pt-PT"/>
        </w:rPr>
        <w:t>Amendment</w:t>
      </w:r>
      <w:r w:rsidRPr="00804E2D">
        <w:rPr>
          <w:lang w:val="pt-PT"/>
        </w:rPr>
        <w:tab/>
      </w:r>
      <w:r w:rsidRPr="00804E2D">
        <w:rPr>
          <w:lang w:val="pt-PT"/>
        </w:rPr>
        <w:tab/>
      </w:r>
      <w:r w:rsidRPr="00804E2D">
        <w:rPr>
          <w:rStyle w:val="HideTWBExt"/>
          <w:b w:val="0"/>
          <w:lang w:val="pt-PT"/>
        </w:rPr>
        <w:t>&lt;NumAm&gt;</w:t>
      </w:r>
      <w:r w:rsidRPr="00804E2D">
        <w:rPr>
          <w:lang w:val="pt-PT"/>
        </w:rPr>
        <w:t>86</w:t>
      </w:r>
      <w:r w:rsidRPr="00804E2D">
        <w:rPr>
          <w:rStyle w:val="HideTWBExt"/>
          <w:b w:val="0"/>
          <w:lang w:val="pt-PT"/>
        </w:rPr>
        <w:t>&lt;/NumAm&gt;</w:t>
      </w:r>
    </w:p>
    <w:p w:rsidR="00343C6C" w:rsidRPr="00804E2D" w:rsidP="00343C6C" w14:paraId="75DF6B8D" w14:textId="5FED5C5B">
      <w:pPr>
        <w:pStyle w:val="NormalBold"/>
        <w:rPr>
          <w:lang w:val="pt-PT"/>
        </w:rPr>
      </w:pPr>
      <w:r w:rsidRPr="00804E2D">
        <w:rPr>
          <w:rStyle w:val="HideTWBExt"/>
          <w:b w:val="0"/>
          <w:lang w:val="pt-PT"/>
        </w:rPr>
        <w:t>&lt;RepeatBlock-By&gt;&lt;Members&gt;</w:t>
      </w:r>
      <w:r w:rsidRPr="00804E2D">
        <w:rPr>
          <w:lang w:val="pt-PT"/>
        </w:rPr>
        <w:t xml:space="preserve">Silvia </w:t>
      </w:r>
      <w:r w:rsidRPr="00804E2D">
        <w:rPr>
          <w:lang w:val="pt-PT"/>
        </w:rPr>
        <w:t>Sardone</w:t>
      </w:r>
      <w:r w:rsidRPr="00804E2D">
        <w:rPr>
          <w:lang w:val="pt-PT"/>
        </w:rPr>
        <w:t xml:space="preserve">, Mathilde </w:t>
      </w:r>
      <w:r w:rsidRPr="00804E2D">
        <w:rPr>
          <w:lang w:val="pt-PT"/>
        </w:rPr>
        <w:t>Androuët</w:t>
      </w:r>
      <w:r w:rsidRPr="00804E2D">
        <w:rPr>
          <w:lang w:val="pt-PT"/>
        </w:rPr>
        <w:t xml:space="preserve">, </w:t>
      </w:r>
      <w:r w:rsidRPr="00804E2D">
        <w:rPr>
          <w:lang w:val="pt-PT"/>
        </w:rPr>
        <w:t>Roman</w:t>
      </w:r>
      <w:r w:rsidRPr="00804E2D">
        <w:rPr>
          <w:lang w:val="pt-PT"/>
        </w:rPr>
        <w:t xml:space="preserve"> Haider, </w:t>
      </w:r>
      <w:r w:rsidRPr="00804E2D">
        <w:rPr>
          <w:lang w:val="pt-PT"/>
        </w:rPr>
        <w:t>Antonín</w:t>
      </w:r>
      <w:r w:rsidRPr="00804E2D">
        <w:rPr>
          <w:lang w:val="pt-PT"/>
        </w:rPr>
        <w:t xml:space="preserve"> </w:t>
      </w:r>
      <w:r w:rsidRPr="00804E2D">
        <w:rPr>
          <w:lang w:val="pt-PT"/>
        </w:rPr>
        <w:t>Staněk</w:t>
      </w:r>
      <w:r w:rsidRPr="00804E2D">
        <w:rPr>
          <w:lang w:val="pt-PT"/>
        </w:rPr>
        <w:t>, Marie-</w:t>
      </w:r>
      <w:r w:rsidRPr="00804E2D">
        <w:rPr>
          <w:lang w:val="pt-PT"/>
        </w:rPr>
        <w:t>Luce</w:t>
      </w:r>
      <w:r w:rsidRPr="00804E2D">
        <w:rPr>
          <w:lang w:val="pt-PT"/>
        </w:rPr>
        <w:t xml:space="preserve"> </w:t>
      </w:r>
      <w:r w:rsidRPr="00804E2D">
        <w:rPr>
          <w:lang w:val="pt-PT"/>
        </w:rPr>
        <w:t>Brasier-Clain</w:t>
      </w:r>
      <w:r w:rsidRPr="00804E2D">
        <w:rPr>
          <w:lang w:val="pt-PT"/>
        </w:rPr>
        <w:t xml:space="preserve">, </w:t>
      </w:r>
      <w:r w:rsidRPr="00804E2D">
        <w:rPr>
          <w:lang w:val="pt-PT"/>
        </w:rPr>
        <w:t>Susanna</w:t>
      </w:r>
      <w:r w:rsidRPr="00804E2D">
        <w:rPr>
          <w:lang w:val="pt-PT"/>
        </w:rPr>
        <w:t xml:space="preserve"> </w:t>
      </w:r>
      <w:r w:rsidRPr="00804E2D">
        <w:rPr>
          <w:lang w:val="pt-PT"/>
        </w:rPr>
        <w:t>Ceccardi</w:t>
      </w:r>
      <w:r w:rsidRPr="00804E2D">
        <w:rPr>
          <w:lang w:val="pt-PT"/>
        </w:rPr>
        <w:t xml:space="preserve">, Barbara </w:t>
      </w:r>
      <w:r w:rsidRPr="00804E2D">
        <w:rPr>
          <w:lang w:val="pt-PT"/>
        </w:rPr>
        <w:t>Bonte</w:t>
      </w:r>
      <w:r w:rsidRPr="00804E2D">
        <w:rPr>
          <w:rStyle w:val="HideTWBExt"/>
          <w:b w:val="0"/>
          <w:lang w:val="pt-PT"/>
        </w:rPr>
        <w:t>&lt;/Members&gt;</w:t>
      </w:r>
    </w:p>
    <w:p w:rsidR="00343C6C" w:rsidRPr="00804E2D" w:rsidP="00343C6C" w14:paraId="172DFE41" w14:textId="77777777">
      <w:pPr>
        <w:rPr>
          <w:lang w:val="pt-PT"/>
        </w:rPr>
      </w:pPr>
      <w:r w:rsidRPr="00804E2D">
        <w:rPr>
          <w:rStyle w:val="HideTWBExt"/>
          <w:lang w:val="pt-PT"/>
        </w:rPr>
        <w:t>&lt;/RepeatBlock-By&gt;</w:t>
      </w:r>
    </w:p>
    <w:p w:rsidR="00343C6C" w:rsidRPr="00FC4A49" w:rsidP="00343C6C" w14:paraId="5A7FCB2B"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3A21C5D" w14:textId="77777777">
      <w:pPr>
        <w:pStyle w:val="NormalBold"/>
      </w:pPr>
      <w:r w:rsidRPr="00FC4A49">
        <w:rPr>
          <w:rStyle w:val="HideTWBExt"/>
          <w:b w:val="0"/>
        </w:rPr>
        <w:t>&lt;Article&gt;</w:t>
      </w:r>
      <w:r w:rsidRPr="00FC4A49">
        <w:t>Title 1</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8EBD77"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D2723A2" w14:textId="77777777">
            <w:pPr>
              <w:keepNext/>
            </w:pPr>
          </w:p>
        </w:tc>
      </w:tr>
      <w:tr w14:paraId="1707132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C07603C" w14:textId="77777777">
            <w:pPr>
              <w:pStyle w:val="ColumnHeading"/>
              <w:keepNext/>
              <w:rPr>
                <w:lang w:val="en-GB"/>
              </w:rPr>
            </w:pPr>
            <w:r w:rsidRPr="00FC4A49">
              <w:rPr>
                <w:lang w:val="en-GB"/>
              </w:rPr>
              <w:t>Text proposed by the Commission</w:t>
            </w:r>
          </w:p>
        </w:tc>
        <w:tc>
          <w:tcPr>
            <w:tcW w:w="4876" w:type="dxa"/>
          </w:tcPr>
          <w:p w:rsidR="00343C6C" w:rsidRPr="00FC4A49" w:rsidP="005D58F9" w14:paraId="7203CE1D" w14:textId="77777777">
            <w:pPr>
              <w:pStyle w:val="ColumnHeading"/>
              <w:keepNext/>
              <w:rPr>
                <w:lang w:val="en-GB"/>
              </w:rPr>
            </w:pPr>
            <w:r w:rsidRPr="00FC4A49">
              <w:rPr>
                <w:lang w:val="en-GB"/>
              </w:rPr>
              <w:t>Amendment</w:t>
            </w:r>
          </w:p>
        </w:tc>
      </w:tr>
      <w:tr w14:paraId="782EEC9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5770A01" w14:textId="77777777">
            <w:pPr>
              <w:pStyle w:val="Normal6"/>
              <w:rPr>
                <w:lang w:val="en-GB"/>
              </w:rPr>
            </w:pPr>
            <w:r w:rsidRPr="00FC4A49">
              <w:rPr>
                <w:lang w:val="en-GB"/>
              </w:rPr>
              <w:t>Proposal for a</w:t>
            </w:r>
          </w:p>
        </w:tc>
        <w:tc>
          <w:tcPr>
            <w:tcW w:w="4876" w:type="dxa"/>
          </w:tcPr>
          <w:p w:rsidR="00343C6C" w:rsidRPr="00FC4A49" w:rsidP="005D58F9" w14:paraId="42C77060" w14:textId="77777777">
            <w:pPr>
              <w:pStyle w:val="Normal6"/>
              <w:rPr>
                <w:szCs w:val="24"/>
                <w:lang w:val="en-GB"/>
              </w:rPr>
            </w:pPr>
            <w:r w:rsidRPr="00FC4A49">
              <w:rPr>
                <w:lang w:val="en-GB"/>
              </w:rPr>
              <w:t>Proposal for a</w:t>
            </w:r>
          </w:p>
        </w:tc>
      </w:tr>
      <w:tr w14:paraId="004332C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B363A69" w14:textId="77777777">
            <w:pPr>
              <w:pStyle w:val="Normal6"/>
              <w:rPr>
                <w:lang w:val="en-GB"/>
              </w:rPr>
            </w:pPr>
            <w:r w:rsidRPr="00FC4A49">
              <w:rPr>
                <w:lang w:val="en-GB"/>
              </w:rPr>
              <w:t>DIRECTIVE OF THE EUROPEAN PARLIAMENT AND OF THE COUNCIL</w:t>
            </w:r>
          </w:p>
        </w:tc>
        <w:tc>
          <w:tcPr>
            <w:tcW w:w="4876" w:type="dxa"/>
          </w:tcPr>
          <w:p w:rsidR="00343C6C" w:rsidRPr="00FC4A49" w:rsidP="005D58F9" w14:paraId="2A6BAFC7" w14:textId="77777777">
            <w:pPr>
              <w:pStyle w:val="Normal6"/>
              <w:rPr>
                <w:szCs w:val="24"/>
                <w:lang w:val="en-GB"/>
              </w:rPr>
            </w:pPr>
            <w:r w:rsidRPr="00FC4A49">
              <w:rPr>
                <w:lang w:val="en-GB"/>
              </w:rPr>
              <w:t>DIRECTIVE OF THE EUROPEAN PARLIAMENT AND OF THE COUNCIL</w:t>
            </w:r>
          </w:p>
        </w:tc>
      </w:tr>
      <w:tr w14:paraId="61A6643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CFF825D" w14:textId="77777777">
            <w:pPr>
              <w:pStyle w:val="Normal6"/>
              <w:rPr>
                <w:lang w:val="en-GB"/>
              </w:rPr>
            </w:pPr>
            <w:r w:rsidRPr="00FC4A49">
              <w:rPr>
                <w:b/>
                <w:i/>
                <w:lang w:val="en-GB"/>
              </w:rPr>
              <w:t>amending</w:t>
            </w:r>
            <w:r w:rsidRPr="00FC4A49">
              <w:rPr>
                <w:lang w:val="en-GB"/>
              </w:rPr>
              <w:t xml:space="preserve"> Directive 2003/87/EC and Decision (EU) 2015/1814 </w:t>
            </w:r>
            <w:r w:rsidRPr="00FC4A49">
              <w:rPr>
                <w:b/>
                <w:i/>
                <w:lang w:val="en-GB"/>
              </w:rPr>
              <w:t>as regards driving competitiveness and cost-effective decarbonisation</w:t>
            </w:r>
          </w:p>
        </w:tc>
        <w:tc>
          <w:tcPr>
            <w:tcW w:w="4876" w:type="dxa"/>
          </w:tcPr>
          <w:p w:rsidR="00343C6C" w:rsidRPr="00FC4A49" w:rsidP="005D58F9" w14:paraId="6138F89C" w14:textId="77777777">
            <w:pPr>
              <w:pStyle w:val="Normal6"/>
              <w:rPr>
                <w:szCs w:val="24"/>
                <w:lang w:val="en-GB"/>
              </w:rPr>
            </w:pPr>
            <w:r w:rsidRPr="00FC4A49">
              <w:rPr>
                <w:b/>
                <w:i/>
                <w:lang w:val="en-GB"/>
              </w:rPr>
              <w:t>repealing</w:t>
            </w:r>
            <w:r w:rsidRPr="00FC4A49">
              <w:rPr>
                <w:lang w:val="en-GB"/>
              </w:rPr>
              <w:t xml:space="preserve"> Directive 2003/87/EC and Decision (EU) 2015/1814</w:t>
            </w:r>
          </w:p>
        </w:tc>
      </w:tr>
      <w:tr w14:paraId="5F36200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75E9EBE" w14:textId="77777777">
            <w:pPr>
              <w:pStyle w:val="Normal6"/>
              <w:rPr>
                <w:lang w:val="en-GB"/>
              </w:rPr>
            </w:pPr>
            <w:r w:rsidRPr="00FC4A49">
              <w:rPr>
                <w:lang w:val="en-GB"/>
              </w:rPr>
              <w:t>(Text with EEA relevance)</w:t>
            </w:r>
          </w:p>
        </w:tc>
        <w:tc>
          <w:tcPr>
            <w:tcW w:w="4876" w:type="dxa"/>
          </w:tcPr>
          <w:p w:rsidR="00343C6C" w:rsidRPr="00FC4A49" w:rsidP="005D58F9" w14:paraId="13FCAAEE" w14:textId="77777777">
            <w:pPr>
              <w:pStyle w:val="Normal6"/>
              <w:rPr>
                <w:szCs w:val="24"/>
                <w:lang w:val="en-GB"/>
              </w:rPr>
            </w:pPr>
            <w:r w:rsidRPr="00FC4A49">
              <w:rPr>
                <w:lang w:val="en-GB"/>
              </w:rPr>
              <w:t>(Text with EEA relevance)</w:t>
            </w:r>
          </w:p>
        </w:tc>
      </w:tr>
    </w:tbl>
    <w:p w:rsidR="00343C6C" w:rsidRPr="00FC4A49" w:rsidP="00343C6C" w14:paraId="3A76EBBB"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F3E3A33" w14:textId="77777777">
      <w:r w:rsidRPr="00FC4A49">
        <w:rPr>
          <w:rStyle w:val="HideTWBExt"/>
        </w:rPr>
        <w:t>&lt;/Amend&gt;</w:t>
      </w:r>
    </w:p>
    <w:p w:rsidR="00343C6C" w:rsidRPr="00FC4A49" w:rsidP="00343C6C" w14:paraId="7F2AE42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87</w:t>
      </w:r>
      <w:r w:rsidRPr="00FC4A49">
        <w:rPr>
          <w:rStyle w:val="HideTWBExt"/>
          <w:b w:val="0"/>
          <w:lang w:val="en-GB"/>
        </w:rPr>
        <w:t>&lt;/NumAm&gt;</w:t>
      </w:r>
    </w:p>
    <w:p w:rsidR="00343C6C" w:rsidRPr="00FC4A49" w:rsidP="00343C6C" w14:paraId="2B806CB6" w14:textId="77777777">
      <w:pPr>
        <w:pStyle w:val="NormalBold"/>
      </w:pPr>
      <w:r w:rsidRPr="00FC4A49">
        <w:rPr>
          <w:rStyle w:val="HideTWBExt"/>
          <w:b w:val="0"/>
        </w:rPr>
        <w:t>&lt;RepeatBlock-By&gt;&lt;Members&gt;</w:t>
      </w:r>
      <w:r w:rsidRPr="00FC4A49">
        <w:t>Ondřej Knotek, Jana Nagyová, Antonín Staněk, Roman Haider</w:t>
      </w:r>
      <w:r w:rsidRPr="00FC4A49">
        <w:rPr>
          <w:rStyle w:val="HideTWBExt"/>
          <w:b w:val="0"/>
        </w:rPr>
        <w:t>&lt;/Members&gt;</w:t>
      </w:r>
    </w:p>
    <w:p w:rsidR="00343C6C" w:rsidRPr="00FC4A49" w:rsidP="00343C6C" w14:paraId="78D75E5A" w14:textId="77777777">
      <w:r w:rsidRPr="00FC4A49">
        <w:rPr>
          <w:rStyle w:val="HideTWBExt"/>
        </w:rPr>
        <w:t>&lt;/RepeatBlock-By&gt;</w:t>
      </w:r>
    </w:p>
    <w:p w:rsidR="00343C6C" w:rsidRPr="00FC4A49" w:rsidP="00343C6C" w14:paraId="794B938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367DDE3" w14:textId="77777777">
      <w:pPr>
        <w:pStyle w:val="NormalBold"/>
      </w:pPr>
      <w:r w:rsidRPr="00FC4A49">
        <w:rPr>
          <w:rStyle w:val="HideTWBExt"/>
          <w:b w:val="0"/>
        </w:rPr>
        <w:t>&lt;Article&gt;</w:t>
      </w:r>
      <w:r w:rsidRPr="00FC4A49">
        <w:t>Title 1</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F0942E"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2B835B1" w14:textId="77777777">
            <w:pPr>
              <w:keepNext/>
            </w:pPr>
          </w:p>
        </w:tc>
      </w:tr>
      <w:tr w14:paraId="69DE4E3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B716A20" w14:textId="77777777">
            <w:pPr>
              <w:pStyle w:val="ColumnHeading"/>
              <w:keepNext/>
              <w:rPr>
                <w:lang w:val="en-GB"/>
              </w:rPr>
            </w:pPr>
            <w:r w:rsidRPr="00FC4A49">
              <w:rPr>
                <w:lang w:val="en-GB"/>
              </w:rPr>
              <w:t>Text proposed by the Commission</w:t>
            </w:r>
          </w:p>
        </w:tc>
        <w:tc>
          <w:tcPr>
            <w:tcW w:w="4876" w:type="dxa"/>
          </w:tcPr>
          <w:p w:rsidR="00343C6C" w:rsidRPr="00FC4A49" w:rsidP="005D58F9" w14:paraId="6901170D" w14:textId="77777777">
            <w:pPr>
              <w:pStyle w:val="ColumnHeading"/>
              <w:keepNext/>
              <w:rPr>
                <w:lang w:val="en-GB"/>
              </w:rPr>
            </w:pPr>
            <w:r w:rsidRPr="00FC4A49">
              <w:rPr>
                <w:lang w:val="en-GB"/>
              </w:rPr>
              <w:t>Amendment</w:t>
            </w:r>
          </w:p>
        </w:tc>
      </w:tr>
      <w:tr w14:paraId="77EE2A0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06BCE41" w14:textId="77777777">
            <w:pPr>
              <w:pStyle w:val="Normal6"/>
              <w:rPr>
                <w:lang w:val="en-GB"/>
              </w:rPr>
            </w:pPr>
            <w:r w:rsidRPr="00FC4A49">
              <w:rPr>
                <w:lang w:val="en-GB"/>
              </w:rPr>
              <w:t>Proposal for a</w:t>
            </w:r>
          </w:p>
        </w:tc>
        <w:tc>
          <w:tcPr>
            <w:tcW w:w="4876" w:type="dxa"/>
          </w:tcPr>
          <w:p w:rsidR="00343C6C" w:rsidRPr="00FC4A49" w:rsidP="005D58F9" w14:paraId="12D45C86" w14:textId="77777777">
            <w:pPr>
              <w:pStyle w:val="Normal6"/>
              <w:rPr>
                <w:szCs w:val="24"/>
                <w:lang w:val="en-GB"/>
              </w:rPr>
            </w:pPr>
            <w:r w:rsidRPr="00FC4A49">
              <w:rPr>
                <w:lang w:val="en-GB"/>
              </w:rPr>
              <w:t>Proposal for a</w:t>
            </w:r>
          </w:p>
        </w:tc>
      </w:tr>
      <w:tr w14:paraId="665014E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6CFA5AA" w14:textId="77777777">
            <w:pPr>
              <w:pStyle w:val="Normal6"/>
              <w:rPr>
                <w:lang w:val="en-GB"/>
              </w:rPr>
            </w:pPr>
            <w:r w:rsidRPr="00FC4A49">
              <w:rPr>
                <w:lang w:val="en-GB"/>
              </w:rPr>
              <w:t>DIRECTIVE OF THE EUROPEAN PARLIAMENT AND OF THE COUNCIL</w:t>
            </w:r>
          </w:p>
        </w:tc>
        <w:tc>
          <w:tcPr>
            <w:tcW w:w="4876" w:type="dxa"/>
          </w:tcPr>
          <w:p w:rsidR="00343C6C" w:rsidRPr="00FC4A49" w:rsidP="005D58F9" w14:paraId="6713311D" w14:textId="77777777">
            <w:pPr>
              <w:pStyle w:val="Normal6"/>
              <w:rPr>
                <w:szCs w:val="24"/>
                <w:lang w:val="en-GB"/>
              </w:rPr>
            </w:pPr>
            <w:r w:rsidRPr="00FC4A49">
              <w:rPr>
                <w:lang w:val="en-GB"/>
              </w:rPr>
              <w:t>DIRECTIVE OF THE EUROPEAN PARLIAMENT AND OF THE COUNCIL</w:t>
            </w:r>
          </w:p>
        </w:tc>
      </w:tr>
      <w:tr w14:paraId="03EE22A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93DD26F" w14:textId="77777777">
            <w:pPr>
              <w:pStyle w:val="Normal6"/>
              <w:rPr>
                <w:lang w:val="en-GB"/>
              </w:rPr>
            </w:pPr>
            <w:r w:rsidRPr="00FC4A49">
              <w:rPr>
                <w:b/>
                <w:i/>
                <w:lang w:val="en-GB"/>
              </w:rPr>
              <w:t>amending</w:t>
            </w:r>
            <w:r w:rsidRPr="00FC4A49">
              <w:rPr>
                <w:lang w:val="en-GB"/>
              </w:rPr>
              <w:t xml:space="preserve"> Directive 2003/87/EC and Decision (EU) 2015/1814 </w:t>
            </w:r>
            <w:r w:rsidRPr="00FC4A49">
              <w:rPr>
                <w:b/>
                <w:i/>
                <w:lang w:val="en-GB"/>
              </w:rPr>
              <w:t>as regards driving competitiveness and cost-effective decarbonisation</w:t>
            </w:r>
          </w:p>
        </w:tc>
        <w:tc>
          <w:tcPr>
            <w:tcW w:w="4876" w:type="dxa"/>
          </w:tcPr>
          <w:p w:rsidR="00343C6C" w:rsidRPr="00FC4A49" w:rsidP="005D58F9" w14:paraId="43BEA5DF" w14:textId="77777777">
            <w:pPr>
              <w:pStyle w:val="Normal6"/>
              <w:rPr>
                <w:szCs w:val="24"/>
                <w:lang w:val="en-GB"/>
              </w:rPr>
            </w:pPr>
            <w:r w:rsidRPr="00FC4A49">
              <w:rPr>
                <w:b/>
                <w:i/>
                <w:lang w:val="en-GB"/>
              </w:rPr>
              <w:t>repealing</w:t>
            </w:r>
            <w:r w:rsidRPr="00FC4A49">
              <w:rPr>
                <w:lang w:val="en-GB"/>
              </w:rPr>
              <w:t xml:space="preserve"> Directive 2003/87/EC and Decision (EU) 2015/1814</w:t>
            </w:r>
          </w:p>
        </w:tc>
      </w:tr>
      <w:tr w14:paraId="524464F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1B4DEF9" w14:textId="77777777">
            <w:pPr>
              <w:pStyle w:val="Normal6"/>
              <w:rPr>
                <w:lang w:val="en-GB"/>
              </w:rPr>
            </w:pPr>
            <w:r w:rsidRPr="00FC4A49">
              <w:rPr>
                <w:lang w:val="en-GB"/>
              </w:rPr>
              <w:t>(Text with EEA relevance)</w:t>
            </w:r>
          </w:p>
        </w:tc>
        <w:tc>
          <w:tcPr>
            <w:tcW w:w="4876" w:type="dxa"/>
          </w:tcPr>
          <w:p w:rsidR="00343C6C" w:rsidRPr="00FC4A49" w:rsidP="005D58F9" w14:paraId="72DAE306" w14:textId="77777777">
            <w:pPr>
              <w:pStyle w:val="Normal6"/>
              <w:rPr>
                <w:szCs w:val="24"/>
                <w:lang w:val="en-GB"/>
              </w:rPr>
            </w:pPr>
            <w:r w:rsidRPr="00FC4A49">
              <w:rPr>
                <w:lang w:val="en-GB"/>
              </w:rPr>
              <w:t>(Text with EEA relevance)</w:t>
            </w:r>
          </w:p>
        </w:tc>
      </w:tr>
    </w:tbl>
    <w:p w:rsidR="00343C6C" w:rsidRPr="00FC4A49" w:rsidP="00343C6C" w14:paraId="24E19D37"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E58FFC6" w14:textId="77777777">
      <w:r w:rsidRPr="00FC4A49">
        <w:rPr>
          <w:rStyle w:val="HideTWBExt"/>
        </w:rPr>
        <w:t>&lt;/Amend&gt;</w:t>
      </w:r>
    </w:p>
    <w:p w:rsidR="00343C6C" w:rsidRPr="00FC4A49" w:rsidP="00343C6C" w14:paraId="2B144352"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88</w:t>
      </w:r>
      <w:r w:rsidRPr="00FC4A49">
        <w:rPr>
          <w:rStyle w:val="HideTWBExt"/>
          <w:b w:val="0"/>
          <w:lang w:val="en-GB"/>
        </w:rPr>
        <w:t>&lt;/NumAm&gt;</w:t>
      </w:r>
    </w:p>
    <w:p w:rsidR="00343C6C" w:rsidRPr="00FC4A49" w:rsidP="00343C6C" w14:paraId="43676187" w14:textId="77777777">
      <w:pPr>
        <w:pStyle w:val="NormalBold"/>
      </w:pPr>
      <w:r w:rsidRPr="00FC4A49">
        <w:rPr>
          <w:rStyle w:val="HideTWBExt"/>
          <w:b w:val="0"/>
        </w:rPr>
        <w:t>&lt;RepeatBlock-By&gt;&lt;Members&gt;</w:t>
      </w:r>
      <w:r w:rsidRPr="00FC4A49">
        <w:t>Alexandr Vondra</w:t>
      </w:r>
      <w:r w:rsidRPr="00FC4A49">
        <w:rPr>
          <w:rStyle w:val="HideTWBExt"/>
          <w:b w:val="0"/>
        </w:rPr>
        <w:t>&lt;/Members&gt;</w:t>
      </w:r>
    </w:p>
    <w:p w:rsidR="00343C6C" w:rsidRPr="00FC4A49" w:rsidP="00343C6C" w14:paraId="70154F7B" w14:textId="77777777">
      <w:r w:rsidRPr="00FC4A49">
        <w:rPr>
          <w:rStyle w:val="HideTWBExt"/>
        </w:rPr>
        <w:t>&lt;AuNomDe&gt;</w:t>
      </w:r>
      <w:r w:rsidRPr="00FC4A49">
        <w:rPr>
          <w:rStyle w:val="HideTWBInt"/>
        </w:rPr>
        <w:t>{ECR}</w:t>
      </w:r>
      <w:r w:rsidRPr="00FC4A49">
        <w:t>on behalf of the ECR Group</w:t>
      </w:r>
      <w:r w:rsidRPr="00FC4A49">
        <w:rPr>
          <w:rStyle w:val="HideTWBExt"/>
        </w:rPr>
        <w:t>&lt;/AuNomDe&gt;</w:t>
      </w:r>
    </w:p>
    <w:p w:rsidR="00343C6C" w:rsidRPr="00FC4A49" w:rsidP="00343C6C" w14:paraId="7C9720E9" w14:textId="77777777">
      <w:pPr>
        <w:pStyle w:val="NormalBold"/>
      </w:pPr>
      <w:r w:rsidRPr="00FC4A49">
        <w:rPr>
          <w:rStyle w:val="HideTWBExt"/>
          <w:b w:val="0"/>
        </w:rPr>
        <w:t>&lt;Members&gt;</w:t>
      </w:r>
      <w:r w:rsidRPr="00FC4A49">
        <w:t xml:space="preserve">Ondřej Krutílek, Anna Zalewska, Aurelijus </w:t>
      </w:r>
      <w:r w:rsidRPr="00FC4A49">
        <w:t>Veryga</w:t>
      </w:r>
      <w:r w:rsidRPr="00FC4A49">
        <w:t xml:space="preserve">, Laurence Trochu, Adrian-George </w:t>
      </w:r>
      <w:r w:rsidRPr="00FC4A49">
        <w:t>Axinia</w:t>
      </w:r>
      <w:r w:rsidRPr="00FC4A49">
        <w:rPr>
          <w:rStyle w:val="HideTWBExt"/>
          <w:b w:val="0"/>
        </w:rPr>
        <w:t>&lt;/Members&gt;</w:t>
      </w:r>
    </w:p>
    <w:p w:rsidR="00343C6C" w:rsidRPr="00FC4A49" w:rsidP="00343C6C" w14:paraId="4CD674F8" w14:textId="77777777">
      <w:r w:rsidRPr="00FC4A49">
        <w:rPr>
          <w:rStyle w:val="HideTWBExt"/>
        </w:rPr>
        <w:t>&lt;/RepeatBlock-By&gt;</w:t>
      </w:r>
    </w:p>
    <w:p w:rsidR="00343C6C" w:rsidRPr="00FC4A49" w:rsidP="00343C6C" w14:paraId="5A521E57"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B62DE0D" w14:textId="77777777">
      <w:pPr>
        <w:pStyle w:val="NormalBold"/>
      </w:pPr>
      <w:r w:rsidRPr="00FC4A49">
        <w:rPr>
          <w:rStyle w:val="HideTWBExt"/>
          <w:b w:val="0"/>
        </w:rPr>
        <w:t>&lt;Article&gt;</w:t>
      </w:r>
      <w:r w:rsidRPr="00FC4A49">
        <w:t>Citation 1</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CFA150"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AED6886" w14:textId="77777777">
            <w:pPr>
              <w:keepNext/>
            </w:pPr>
          </w:p>
        </w:tc>
      </w:tr>
      <w:tr w14:paraId="67160AF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86C6296" w14:textId="77777777">
            <w:pPr>
              <w:pStyle w:val="ColumnHeading"/>
              <w:keepNext/>
              <w:rPr>
                <w:lang w:val="en-GB"/>
              </w:rPr>
            </w:pPr>
            <w:r w:rsidRPr="00FC4A49">
              <w:rPr>
                <w:lang w:val="en-GB"/>
              </w:rPr>
              <w:t>Text proposed by the Commission</w:t>
            </w:r>
          </w:p>
        </w:tc>
        <w:tc>
          <w:tcPr>
            <w:tcW w:w="4876" w:type="dxa"/>
          </w:tcPr>
          <w:p w:rsidR="00343C6C" w:rsidRPr="00FC4A49" w:rsidP="005D58F9" w14:paraId="710EFD3D" w14:textId="77777777">
            <w:pPr>
              <w:pStyle w:val="ColumnHeading"/>
              <w:keepNext/>
              <w:rPr>
                <w:lang w:val="en-GB"/>
              </w:rPr>
            </w:pPr>
            <w:r w:rsidRPr="00FC4A49">
              <w:rPr>
                <w:lang w:val="en-GB"/>
              </w:rPr>
              <w:t>Amendment</w:t>
            </w:r>
          </w:p>
        </w:tc>
      </w:tr>
      <w:tr w14:paraId="786F89D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3AF7EAB" w14:textId="77777777">
            <w:pPr>
              <w:pStyle w:val="Normal6"/>
              <w:rPr>
                <w:lang w:val="en-GB"/>
              </w:rPr>
            </w:pPr>
            <w:r w:rsidRPr="00FC4A49">
              <w:rPr>
                <w:lang w:val="en-GB"/>
              </w:rPr>
              <w:t>Having regard to the Treaty on the Functioning of the European Union, and in particular Article 192(1) thereof,</w:t>
            </w:r>
          </w:p>
        </w:tc>
        <w:tc>
          <w:tcPr>
            <w:tcW w:w="4876" w:type="dxa"/>
          </w:tcPr>
          <w:p w:rsidR="00343C6C" w:rsidRPr="00FC4A49" w:rsidP="005D58F9" w14:paraId="0E9B5744" w14:textId="77777777">
            <w:pPr>
              <w:pStyle w:val="Normal6"/>
              <w:rPr>
                <w:szCs w:val="24"/>
                <w:lang w:val="en-GB"/>
              </w:rPr>
            </w:pPr>
            <w:r w:rsidRPr="00FC4A49">
              <w:rPr>
                <w:lang w:val="en-GB"/>
              </w:rPr>
              <w:t xml:space="preserve">Having regard to the Treaty on the Functioning of the European Union, and in particular Article 192(1) </w:t>
            </w:r>
            <w:r w:rsidRPr="00FC4A49">
              <w:rPr>
                <w:b/>
                <w:i/>
                <w:lang w:val="en-GB"/>
              </w:rPr>
              <w:t>and Article 192(2)</w:t>
            </w:r>
            <w:r w:rsidRPr="00FC4A49">
              <w:rPr>
                <w:lang w:val="en-GB"/>
              </w:rPr>
              <w:t xml:space="preserve"> thereof,</w:t>
            </w:r>
          </w:p>
        </w:tc>
      </w:tr>
    </w:tbl>
    <w:p w:rsidR="00343C6C" w:rsidRPr="00FC4A49" w:rsidP="00343C6C" w14:paraId="6A070704"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AA51A78"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1AF5244B" w14:textId="77777777">
      <w:pPr>
        <w:pStyle w:val="Normal12Italic"/>
        <w:rPr>
          <w:noProof w:val="0"/>
          <w:lang w:val="en-GB"/>
        </w:rPr>
      </w:pPr>
      <w:r w:rsidRPr="00FC4A49">
        <w:rPr>
          <w:noProof w:val="0"/>
          <w:lang w:val="en-GB"/>
        </w:rPr>
        <w:t>Given that the EU ETS are "measures significantly affecting a Member State's choice between different energy sources and the general structure of its energy supply", Article 192(2c) shall be applied.</w:t>
      </w:r>
    </w:p>
    <w:p w:rsidR="00343C6C" w:rsidRPr="00FC4A49" w:rsidP="00343C6C" w14:paraId="497E1BA6" w14:textId="77777777">
      <w:r w:rsidRPr="00FC4A49">
        <w:rPr>
          <w:rStyle w:val="HideTWBExt"/>
        </w:rPr>
        <w:t>&lt;/Amend&gt;</w:t>
      </w:r>
    </w:p>
    <w:p w:rsidR="00343C6C" w:rsidRPr="00804E2D" w:rsidP="00343C6C" w14:paraId="57D815D7" w14:textId="77777777">
      <w:pPr>
        <w:pStyle w:val="AMNumberTabs0"/>
        <w:keepNext/>
        <w:rPr>
          <w:lang w:val="pt-PT"/>
        </w:rPr>
      </w:pPr>
      <w:r w:rsidRPr="00804E2D">
        <w:rPr>
          <w:rStyle w:val="HideTWBExt"/>
          <w:b w:val="0"/>
          <w:lang w:val="pt-PT"/>
        </w:rPr>
        <w:t>&lt;Amend&gt;</w:t>
      </w:r>
      <w:r w:rsidRPr="00804E2D">
        <w:rPr>
          <w:lang w:val="pt-PT"/>
        </w:rPr>
        <w:t>Amendment</w:t>
      </w:r>
      <w:r w:rsidRPr="00804E2D">
        <w:rPr>
          <w:lang w:val="pt-PT"/>
        </w:rPr>
        <w:tab/>
      </w:r>
      <w:r w:rsidRPr="00804E2D">
        <w:rPr>
          <w:lang w:val="pt-PT"/>
        </w:rPr>
        <w:tab/>
      </w:r>
      <w:r w:rsidRPr="00804E2D">
        <w:rPr>
          <w:rStyle w:val="HideTWBExt"/>
          <w:b w:val="0"/>
          <w:lang w:val="pt-PT"/>
        </w:rPr>
        <w:t>&lt;NumAm&gt;</w:t>
      </w:r>
      <w:r w:rsidRPr="00804E2D">
        <w:rPr>
          <w:lang w:val="pt-PT"/>
        </w:rPr>
        <w:t>89</w:t>
      </w:r>
      <w:r w:rsidRPr="00804E2D">
        <w:rPr>
          <w:rStyle w:val="HideTWBExt"/>
          <w:b w:val="0"/>
          <w:lang w:val="pt-PT"/>
        </w:rPr>
        <w:t>&lt;/NumAm&gt;</w:t>
      </w:r>
    </w:p>
    <w:p w:rsidR="00343C6C" w:rsidRPr="00804E2D" w:rsidP="00343C6C" w14:paraId="17CAC767" w14:textId="77777777">
      <w:pPr>
        <w:pStyle w:val="NormalBold"/>
        <w:rPr>
          <w:lang w:val="pt-PT"/>
        </w:rPr>
      </w:pPr>
      <w:r w:rsidRPr="00804E2D">
        <w:rPr>
          <w:rStyle w:val="HideTWBExt"/>
          <w:b w:val="0"/>
          <w:lang w:val="pt-PT"/>
        </w:rPr>
        <w:t>&lt;RepeatBlock-By&gt;&lt;Members&gt;</w:t>
      </w:r>
      <w:r w:rsidRPr="00804E2D">
        <w:rPr>
          <w:lang w:val="pt-PT"/>
        </w:rPr>
        <w:t>Sérgio Humberto, Paulo do Nascimento Cabral, Paulo Cunha, Lídia Pereira</w:t>
      </w:r>
      <w:r w:rsidRPr="00804E2D">
        <w:rPr>
          <w:rStyle w:val="HideTWBExt"/>
          <w:b w:val="0"/>
          <w:lang w:val="pt-PT"/>
        </w:rPr>
        <w:t>&lt;/Members&gt;</w:t>
      </w:r>
    </w:p>
    <w:p w:rsidR="00343C6C" w:rsidRPr="00804E2D" w:rsidP="00343C6C" w14:paraId="59507C47" w14:textId="77777777">
      <w:pPr>
        <w:rPr>
          <w:lang w:val="pt-PT"/>
        </w:rPr>
      </w:pPr>
      <w:r w:rsidRPr="00804E2D">
        <w:rPr>
          <w:rStyle w:val="HideTWBExt"/>
          <w:lang w:val="pt-PT"/>
        </w:rPr>
        <w:t>&lt;/RepeatBlock-By&gt;</w:t>
      </w:r>
    </w:p>
    <w:p w:rsidR="00343C6C" w:rsidRPr="00FC4A49" w:rsidP="00343C6C" w14:paraId="7FBCA307"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2C751B0" w14:textId="77777777">
      <w:pPr>
        <w:pStyle w:val="NormalBold"/>
      </w:pPr>
      <w:r w:rsidRPr="00FC4A49">
        <w:rPr>
          <w:rStyle w:val="HideTWBExt"/>
          <w:b w:val="0"/>
        </w:rPr>
        <w:t>&lt;Article&gt;</w:t>
      </w:r>
      <w:r w:rsidRPr="00FC4A49">
        <w:t>Citation 1</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F99061"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3957014" w14:textId="77777777">
            <w:pPr>
              <w:keepNext/>
            </w:pPr>
          </w:p>
        </w:tc>
      </w:tr>
      <w:tr w14:paraId="2FC6613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F248CF1" w14:textId="77777777">
            <w:pPr>
              <w:pStyle w:val="ColumnHeading"/>
              <w:keepNext/>
              <w:rPr>
                <w:lang w:val="en-GB"/>
              </w:rPr>
            </w:pPr>
            <w:r w:rsidRPr="00FC4A49">
              <w:rPr>
                <w:lang w:val="en-GB"/>
              </w:rPr>
              <w:t>Text proposed by the Commission</w:t>
            </w:r>
          </w:p>
        </w:tc>
        <w:tc>
          <w:tcPr>
            <w:tcW w:w="4876" w:type="dxa"/>
          </w:tcPr>
          <w:p w:rsidR="00343C6C" w:rsidRPr="00FC4A49" w:rsidP="005D58F9" w14:paraId="283FB9C4" w14:textId="77777777">
            <w:pPr>
              <w:pStyle w:val="ColumnHeading"/>
              <w:keepNext/>
              <w:rPr>
                <w:lang w:val="en-GB"/>
              </w:rPr>
            </w:pPr>
            <w:r w:rsidRPr="00FC4A49">
              <w:rPr>
                <w:lang w:val="en-GB"/>
              </w:rPr>
              <w:t>Amendment</w:t>
            </w:r>
          </w:p>
        </w:tc>
      </w:tr>
      <w:tr w14:paraId="4E1D672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88CE3C8" w14:textId="77777777">
            <w:pPr>
              <w:pStyle w:val="Normal6"/>
              <w:rPr>
                <w:lang w:val="en-GB"/>
              </w:rPr>
            </w:pPr>
            <w:r w:rsidRPr="00FC4A49">
              <w:rPr>
                <w:lang w:val="en-GB"/>
              </w:rPr>
              <w:t>Having regard to the Treaty on the Functioning of the European Union, and in particular Article 192(1) thereof,</w:t>
            </w:r>
          </w:p>
        </w:tc>
        <w:tc>
          <w:tcPr>
            <w:tcW w:w="4876" w:type="dxa"/>
          </w:tcPr>
          <w:p w:rsidR="00343C6C" w:rsidRPr="00FC4A49" w:rsidP="005D58F9" w14:paraId="000B5736" w14:textId="77777777">
            <w:pPr>
              <w:pStyle w:val="Normal6"/>
              <w:rPr>
                <w:szCs w:val="24"/>
                <w:lang w:val="en-GB"/>
              </w:rPr>
            </w:pPr>
            <w:r w:rsidRPr="00FC4A49">
              <w:rPr>
                <w:lang w:val="en-GB"/>
              </w:rPr>
              <w:t xml:space="preserve">Having regard to the Treaty on the Functioning of the European Union, and in particular Article 192(1) </w:t>
            </w:r>
            <w:r w:rsidRPr="00FC4A49">
              <w:rPr>
                <w:b/>
                <w:i/>
                <w:lang w:val="en-GB"/>
              </w:rPr>
              <w:t>and Article 349</w:t>
            </w:r>
            <w:r w:rsidRPr="00FC4A49">
              <w:rPr>
                <w:lang w:val="en-GB"/>
              </w:rPr>
              <w:t xml:space="preserve"> thereof,</w:t>
            </w:r>
          </w:p>
        </w:tc>
      </w:tr>
    </w:tbl>
    <w:p w:rsidR="00343C6C" w:rsidRPr="00804E2D" w:rsidP="00343C6C" w14:paraId="590AB695" w14:textId="77777777">
      <w:pPr>
        <w:pStyle w:val="Olang"/>
        <w:rPr>
          <w:lang w:val="fr-BE"/>
        </w:rPr>
      </w:pPr>
      <w:r w:rsidRPr="00804E2D">
        <w:rPr>
          <w:lang w:val="fr-BE"/>
        </w:rPr>
        <w:t xml:space="preserve">Or. </w:t>
      </w:r>
      <w:r w:rsidRPr="00804E2D">
        <w:rPr>
          <w:rStyle w:val="HideTWBExt"/>
          <w:lang w:val="fr-BE"/>
        </w:rPr>
        <w:t>&lt;Original&gt;</w:t>
      </w:r>
      <w:r w:rsidRPr="00804E2D">
        <w:rPr>
          <w:rStyle w:val="HideTWBInt"/>
          <w:lang w:val="fr-BE"/>
        </w:rPr>
        <w:t>{PT}</w:t>
      </w:r>
      <w:r w:rsidRPr="00804E2D">
        <w:rPr>
          <w:lang w:val="fr-BE"/>
        </w:rPr>
        <w:t>pt</w:t>
      </w:r>
      <w:r w:rsidRPr="00804E2D">
        <w:rPr>
          <w:rStyle w:val="HideTWBExt"/>
          <w:lang w:val="fr-BE"/>
        </w:rPr>
        <w:t>&lt;/Original&gt;</w:t>
      </w:r>
    </w:p>
    <w:p w:rsidR="00343C6C" w:rsidRPr="00804E2D" w:rsidP="00343C6C" w14:paraId="0B0B45D4" w14:textId="77777777">
      <w:pPr>
        <w:rPr>
          <w:lang w:val="fr-BE"/>
        </w:rPr>
      </w:pPr>
      <w:r w:rsidRPr="00804E2D">
        <w:rPr>
          <w:rStyle w:val="HideTWBExt"/>
          <w:lang w:val="fr-BE"/>
        </w:rPr>
        <w:t>&lt;/Amend&gt;</w:t>
      </w:r>
    </w:p>
    <w:p w:rsidR="00343C6C" w:rsidRPr="00804E2D" w:rsidP="00343C6C" w14:paraId="7BBAAF5D" w14:textId="77777777">
      <w:pPr>
        <w:pStyle w:val="AMNumberTabs0"/>
        <w:keepNext/>
        <w:rPr>
          <w:lang w:val="fr-BE"/>
        </w:rPr>
      </w:pPr>
      <w:r w:rsidRPr="00804E2D">
        <w:rPr>
          <w:rStyle w:val="HideTWBExt"/>
          <w:b w:val="0"/>
          <w:lang w:val="fr-BE"/>
        </w:rPr>
        <w:t>&lt;Amend&gt;</w:t>
      </w:r>
      <w:r w:rsidRPr="00804E2D">
        <w:rPr>
          <w:lang w:val="fr-BE"/>
        </w:rPr>
        <w:t>Amendment</w:t>
      </w:r>
      <w:r w:rsidRPr="00804E2D">
        <w:rPr>
          <w:lang w:val="fr-BE"/>
        </w:rPr>
        <w:tab/>
      </w:r>
      <w:r w:rsidRPr="00804E2D">
        <w:rPr>
          <w:lang w:val="fr-BE"/>
        </w:rPr>
        <w:tab/>
      </w:r>
      <w:r w:rsidRPr="00804E2D">
        <w:rPr>
          <w:rStyle w:val="HideTWBExt"/>
          <w:b w:val="0"/>
          <w:lang w:val="fr-BE"/>
        </w:rPr>
        <w:t>&lt;NumAm&gt;</w:t>
      </w:r>
      <w:r w:rsidRPr="00804E2D">
        <w:rPr>
          <w:lang w:val="fr-BE"/>
        </w:rPr>
        <w:t>90</w:t>
      </w:r>
      <w:r w:rsidRPr="00804E2D">
        <w:rPr>
          <w:rStyle w:val="HideTWBExt"/>
          <w:b w:val="0"/>
          <w:lang w:val="fr-BE"/>
        </w:rPr>
        <w:t>&lt;/NumAm&gt;</w:t>
      </w:r>
    </w:p>
    <w:p w:rsidR="00343C6C" w:rsidRPr="00804E2D" w:rsidP="00343C6C" w14:paraId="43E68CBA" w14:textId="77777777">
      <w:pPr>
        <w:pStyle w:val="NormalBold"/>
        <w:rPr>
          <w:lang w:val="fr-BE"/>
        </w:rPr>
      </w:pPr>
      <w:r w:rsidRPr="00804E2D">
        <w:rPr>
          <w:rStyle w:val="HideTWBExt"/>
          <w:b w:val="0"/>
          <w:lang w:val="fr-BE"/>
        </w:rPr>
        <w:t>&lt;RepeatBlock-By&gt;&lt;Members&gt;</w:t>
      </w:r>
      <w:r w:rsidRPr="00804E2D">
        <w:rPr>
          <w:lang w:val="fr-BE"/>
        </w:rPr>
        <w:t>Emmanouil Fragkos</w:t>
      </w:r>
      <w:r w:rsidRPr="00804E2D">
        <w:rPr>
          <w:rStyle w:val="HideTWBExt"/>
          <w:b w:val="0"/>
          <w:lang w:val="fr-BE"/>
        </w:rPr>
        <w:t>&lt;/Members&gt;</w:t>
      </w:r>
    </w:p>
    <w:p w:rsidR="00343C6C" w:rsidRPr="00804E2D" w:rsidP="00343C6C" w14:paraId="7EB1A4D7" w14:textId="77777777">
      <w:pPr>
        <w:rPr>
          <w:lang w:val="fr-BE"/>
        </w:rPr>
      </w:pPr>
      <w:r w:rsidRPr="00804E2D">
        <w:rPr>
          <w:rStyle w:val="HideTWBExt"/>
          <w:lang w:val="fr-BE"/>
        </w:rPr>
        <w:t>&lt;/RepeatBlock-By&gt;</w:t>
      </w:r>
    </w:p>
    <w:p w:rsidR="00343C6C" w:rsidRPr="00FC4A49" w:rsidP="00343C6C" w14:paraId="000DD42E"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D9196CB" w14:textId="77777777">
      <w:pPr>
        <w:pStyle w:val="NormalBold"/>
      </w:pPr>
      <w:r w:rsidRPr="00FC4A49">
        <w:rPr>
          <w:rStyle w:val="HideTWBExt"/>
          <w:b w:val="0"/>
        </w:rPr>
        <w:t>&lt;Article&gt;</w:t>
      </w:r>
      <w:r w:rsidRPr="00FC4A49">
        <w:t>Citation 3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79E413"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552B86C" w14:textId="77777777">
            <w:pPr>
              <w:keepNext/>
            </w:pPr>
          </w:p>
        </w:tc>
      </w:tr>
      <w:tr w14:paraId="4FFB011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C2F6268" w14:textId="77777777">
            <w:pPr>
              <w:pStyle w:val="ColumnHeading"/>
              <w:keepNext/>
              <w:rPr>
                <w:lang w:val="en-GB"/>
              </w:rPr>
            </w:pPr>
            <w:r w:rsidRPr="00FC4A49">
              <w:rPr>
                <w:lang w:val="en-GB"/>
              </w:rPr>
              <w:t>Text proposed by the Commission</w:t>
            </w:r>
          </w:p>
        </w:tc>
        <w:tc>
          <w:tcPr>
            <w:tcW w:w="4876" w:type="dxa"/>
          </w:tcPr>
          <w:p w:rsidR="00343C6C" w:rsidRPr="00FC4A49" w:rsidP="005D58F9" w14:paraId="10DED76C" w14:textId="77777777">
            <w:pPr>
              <w:pStyle w:val="ColumnHeading"/>
              <w:keepNext/>
              <w:rPr>
                <w:lang w:val="en-GB"/>
              </w:rPr>
            </w:pPr>
            <w:r w:rsidRPr="00FC4A49">
              <w:rPr>
                <w:lang w:val="en-GB"/>
              </w:rPr>
              <w:t>Amendment</w:t>
            </w:r>
          </w:p>
        </w:tc>
      </w:tr>
      <w:tr w14:paraId="35B6796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B655AF8" w14:textId="77777777">
            <w:pPr>
              <w:pStyle w:val="Normal6"/>
              <w:rPr>
                <w:lang w:val="en-GB"/>
              </w:rPr>
            </w:pPr>
          </w:p>
        </w:tc>
        <w:tc>
          <w:tcPr>
            <w:tcW w:w="4876" w:type="dxa"/>
          </w:tcPr>
          <w:p w:rsidR="00343C6C" w:rsidRPr="00FC4A49" w:rsidP="005D58F9" w14:paraId="2A5FBBDB" w14:textId="77777777">
            <w:pPr>
              <w:pStyle w:val="Normal6"/>
              <w:rPr>
                <w:szCs w:val="24"/>
                <w:lang w:val="en-GB"/>
              </w:rPr>
            </w:pPr>
            <w:r w:rsidRPr="00FC4A49">
              <w:rPr>
                <w:b/>
                <w:i/>
                <w:lang w:val="en-GB"/>
              </w:rPr>
              <w:t xml:space="preserve">Having regard to the European </w:t>
            </w:r>
            <w:r w:rsidRPr="00FC4A49">
              <w:rPr>
                <w:b/>
                <w:i/>
                <w:lang w:val="en-GB"/>
              </w:rPr>
              <w:t>Parliament resolution of 7 June 2022 on EU islands and cohesion policy underlining that insularity creates a structural dependence on maritime and air transport, which are public services on which the daily lives of European citizens living on islands depend, and entails additional costs for the transportation of passengers and goods,</w:t>
            </w:r>
          </w:p>
        </w:tc>
      </w:tr>
    </w:tbl>
    <w:p w:rsidR="00343C6C" w:rsidRPr="00FC4A49" w:rsidP="00343C6C" w14:paraId="345D45A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{EL}</w:t>
      </w:r>
      <w:r w:rsidRPr="00FC4A49">
        <w:rPr>
          <w:lang w:val="en-GB"/>
        </w:rPr>
        <w:t>el</w:t>
      </w:r>
      <w:r w:rsidRPr="00FC4A49">
        <w:rPr>
          <w:rStyle w:val="HideTWBExt"/>
          <w:lang w:val="en-GB"/>
        </w:rPr>
        <w:t>&lt;/Original&gt;</w:t>
      </w:r>
    </w:p>
    <w:p w:rsidR="00343C6C" w:rsidRPr="00FC4A49" w:rsidP="00343C6C" w14:paraId="79451511" w14:textId="77777777">
      <w:r w:rsidRPr="00FC4A49">
        <w:rPr>
          <w:rStyle w:val="HideTWBExt"/>
        </w:rPr>
        <w:t>&lt;/Amend&gt;</w:t>
      </w:r>
    </w:p>
    <w:p w:rsidR="00343C6C" w:rsidRPr="00FC4A49" w:rsidP="00343C6C" w14:paraId="42FC5361"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91</w:t>
      </w:r>
      <w:r w:rsidRPr="00FC4A49">
        <w:rPr>
          <w:rStyle w:val="HideTWBExt"/>
          <w:b w:val="0"/>
          <w:lang w:val="en-GB"/>
        </w:rPr>
        <w:t>&lt;/NumAm&gt;</w:t>
      </w:r>
    </w:p>
    <w:p w:rsidR="00343C6C" w:rsidRPr="00FC4A49" w:rsidP="00343C6C" w14:paraId="65178CEC" w14:textId="77777777">
      <w:pPr>
        <w:pStyle w:val="NormalBold"/>
      </w:pPr>
      <w:r w:rsidRPr="00FC4A49">
        <w:rPr>
          <w:rStyle w:val="HideTWBExt"/>
          <w:b w:val="0"/>
        </w:rPr>
        <w:t>&lt;RepeatBlock-By&gt;&lt;Members&gt;</w:t>
      </w:r>
      <w:r w:rsidRPr="00FC4A49">
        <w:t>Silvia Sardone, Mathilde Androuët, Roman Haider, Antonín Staněk, Marie-Luce Brasier-Clain, Susanna Ceccardi, Barbara Bonte</w:t>
      </w:r>
      <w:r w:rsidRPr="00FC4A49">
        <w:rPr>
          <w:rStyle w:val="HideTWBExt"/>
          <w:b w:val="0"/>
        </w:rPr>
        <w:t>&lt;/Members&gt;</w:t>
      </w:r>
    </w:p>
    <w:p w:rsidR="00343C6C" w:rsidRPr="00FC4A49" w:rsidP="00343C6C" w14:paraId="53862E06" w14:textId="77777777">
      <w:r w:rsidRPr="00FC4A49">
        <w:rPr>
          <w:rStyle w:val="HideTWBExt"/>
        </w:rPr>
        <w:t>&lt;/RepeatBlock-By&gt;</w:t>
      </w:r>
    </w:p>
    <w:p w:rsidR="00343C6C" w:rsidRPr="00FC4A49" w:rsidP="00343C6C" w14:paraId="5DA0726C"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F5275B1" w14:textId="77777777">
      <w:pPr>
        <w:pStyle w:val="NormalBold"/>
      </w:pPr>
      <w:r w:rsidRPr="00FC4A49">
        <w:rPr>
          <w:rStyle w:val="HideTWBExt"/>
          <w:b w:val="0"/>
        </w:rPr>
        <w:t>&lt;Article&gt;</w:t>
      </w:r>
      <w:r w:rsidRPr="00FC4A49">
        <w:t>Recital 1</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53680A"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97A0D0C" w14:textId="77777777">
            <w:pPr>
              <w:keepNext/>
            </w:pPr>
          </w:p>
        </w:tc>
      </w:tr>
      <w:tr w14:paraId="6C63E78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CCB29F1" w14:textId="77777777">
            <w:pPr>
              <w:pStyle w:val="ColumnHeading"/>
              <w:keepNext/>
              <w:rPr>
                <w:lang w:val="en-GB"/>
              </w:rPr>
            </w:pPr>
            <w:r w:rsidRPr="00FC4A49">
              <w:rPr>
                <w:lang w:val="en-GB"/>
              </w:rPr>
              <w:t>Text proposed by the Commission</w:t>
            </w:r>
          </w:p>
        </w:tc>
        <w:tc>
          <w:tcPr>
            <w:tcW w:w="4876" w:type="dxa"/>
          </w:tcPr>
          <w:p w:rsidR="00343C6C" w:rsidRPr="00FC4A49" w:rsidP="005D58F9" w14:paraId="3914C204" w14:textId="77777777">
            <w:pPr>
              <w:pStyle w:val="ColumnHeading"/>
              <w:keepNext/>
              <w:rPr>
                <w:lang w:val="en-GB"/>
              </w:rPr>
            </w:pPr>
            <w:r w:rsidRPr="00FC4A49">
              <w:rPr>
                <w:lang w:val="en-GB"/>
              </w:rPr>
              <w:t>Amendment</w:t>
            </w:r>
          </w:p>
        </w:tc>
      </w:tr>
      <w:tr w14:paraId="2063365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FB5D1E0" w14:textId="77777777">
            <w:pPr>
              <w:pStyle w:val="Normal6"/>
              <w:rPr>
                <w:lang w:val="en-GB"/>
              </w:rPr>
            </w:pPr>
            <w:r w:rsidRPr="00FC4A49">
              <w:rPr>
                <w:b/>
                <w:i/>
                <w:lang w:val="en-GB"/>
              </w:rPr>
              <w:t>(1)</w:t>
            </w:r>
            <w:r w:rsidRPr="00FC4A49">
              <w:rPr>
                <w:b/>
                <w:i/>
                <w:lang w:val="en-GB"/>
              </w:rPr>
              <w:tab/>
              <w:t>The Paris Agreement</w:t>
            </w:r>
            <w:r w:rsidRPr="00FC4A49">
              <w:rPr>
                <w:b/>
                <w:i/>
                <w:vertAlign w:val="superscript"/>
                <w:lang w:val="en-GB"/>
              </w:rPr>
              <w:t>3</w:t>
            </w:r>
            <w:r w:rsidRPr="00FC4A49">
              <w:rPr>
                <w:lang w:val="en-GB"/>
              </w:rPr>
              <w:t xml:space="preserve"> </w:t>
            </w:r>
            <w:r w:rsidRPr="00FC4A49">
              <w:rPr>
                <w:b/>
                <w:i/>
                <w:lang w:val="en-GB"/>
              </w:rPr>
              <w:t>, adopted on 12 December 2015 under the United Nations Framework Convention on Climate Change (UNFCCC) (the ‘Paris Agreement’), entered into force on 4 November 2016. The Parties to the Paris Agreement have agreed to hold the increase in the global average temperature well below 2 °C above pre-industrial levels and to pursue efforts to limit the temperature increase to 1,5 °C above pre-industrial levels.</w:t>
            </w:r>
          </w:p>
        </w:tc>
        <w:tc>
          <w:tcPr>
            <w:tcW w:w="4876" w:type="dxa"/>
          </w:tcPr>
          <w:p w:rsidR="00343C6C" w:rsidRPr="00FC4A49" w:rsidP="005D58F9" w14:paraId="0D416242" w14:textId="77777777">
            <w:pPr>
              <w:pStyle w:val="Normal6"/>
              <w:rPr>
                <w:szCs w:val="24"/>
                <w:lang w:val="en-GB"/>
              </w:rPr>
            </w:pPr>
            <w:r w:rsidRPr="00FC4A49">
              <w:rPr>
                <w:b/>
                <w:i/>
                <w:lang w:val="en-GB"/>
              </w:rPr>
              <w:t>deleted</w:t>
            </w:r>
          </w:p>
        </w:tc>
      </w:tr>
      <w:tr w14:paraId="7FBC300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927D869" w14:textId="77777777">
            <w:pPr>
              <w:pStyle w:val="Normal6"/>
              <w:rPr>
                <w:lang w:val="en-GB"/>
              </w:rPr>
            </w:pPr>
            <w:r w:rsidRPr="00FC4A49">
              <w:rPr>
                <w:b/>
                <w:i/>
                <w:lang w:val="en-GB"/>
              </w:rPr>
              <w:t>__________________</w:t>
            </w:r>
          </w:p>
        </w:tc>
        <w:tc>
          <w:tcPr>
            <w:tcW w:w="4876" w:type="dxa"/>
          </w:tcPr>
          <w:p w:rsidR="00343C6C" w:rsidRPr="00FC4A49" w:rsidP="005D58F9" w14:paraId="28A5E7D9" w14:textId="77777777">
            <w:pPr>
              <w:pStyle w:val="Normal6"/>
              <w:rPr>
                <w:szCs w:val="24"/>
                <w:lang w:val="en-GB"/>
              </w:rPr>
            </w:pPr>
          </w:p>
        </w:tc>
      </w:tr>
      <w:tr w14:paraId="4F39E6B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18C0962" w14:textId="77777777">
            <w:pPr>
              <w:pStyle w:val="Normal6"/>
              <w:rPr>
                <w:lang w:val="en-GB"/>
              </w:rPr>
            </w:pPr>
            <w:r w:rsidRPr="00FC4A49">
              <w:rPr>
                <w:b/>
                <w:i/>
                <w:vertAlign w:val="superscript"/>
                <w:lang w:val="en-GB"/>
              </w:rPr>
              <w:t>3</w:t>
            </w:r>
            <w:r w:rsidRPr="00FC4A49">
              <w:rPr>
                <w:lang w:val="en-GB"/>
              </w:rPr>
              <w:t xml:space="preserve"> </w:t>
            </w:r>
            <w:r w:rsidRPr="00FC4A49">
              <w:rPr>
                <w:b/>
                <w:i/>
                <w:lang w:val="en-GB"/>
              </w:rPr>
              <w:t>OJ L 282, 19.10.2016, p. 4.</w:t>
            </w:r>
          </w:p>
        </w:tc>
        <w:tc>
          <w:tcPr>
            <w:tcW w:w="4876" w:type="dxa"/>
          </w:tcPr>
          <w:p w:rsidR="00343C6C" w:rsidRPr="00FC4A49" w:rsidP="005D58F9" w14:paraId="2450EA51" w14:textId="77777777">
            <w:pPr>
              <w:pStyle w:val="Normal6"/>
              <w:rPr>
                <w:szCs w:val="24"/>
                <w:lang w:val="en-GB"/>
              </w:rPr>
            </w:pPr>
          </w:p>
        </w:tc>
      </w:tr>
    </w:tbl>
    <w:p w:rsidR="00343C6C" w:rsidRPr="00FC4A49" w:rsidP="00343C6C" w14:paraId="7B53CFCA"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9578120" w14:textId="77777777">
      <w:r w:rsidRPr="00FC4A49">
        <w:rPr>
          <w:rStyle w:val="HideTWBExt"/>
        </w:rPr>
        <w:t>&lt;/Amend&gt;</w:t>
      </w:r>
    </w:p>
    <w:p w:rsidR="00343C6C" w:rsidRPr="00FC4A49" w:rsidP="00343C6C" w14:paraId="1C7CEF42"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92</w:t>
      </w:r>
      <w:r w:rsidRPr="00FC4A49">
        <w:rPr>
          <w:rStyle w:val="HideTWBExt"/>
          <w:b w:val="0"/>
          <w:lang w:val="en-GB"/>
        </w:rPr>
        <w:t>&lt;/NumAm&gt;</w:t>
      </w:r>
    </w:p>
    <w:p w:rsidR="00343C6C" w:rsidRPr="00FC4A49" w:rsidP="00343C6C" w14:paraId="7FF36654"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37A99CED" w14:textId="77777777">
      <w:r w:rsidRPr="00FC4A49">
        <w:rPr>
          <w:rStyle w:val="HideTWBExt"/>
        </w:rPr>
        <w:t>&lt;/RepeatBlock-By&gt;</w:t>
      </w:r>
    </w:p>
    <w:p w:rsidR="00343C6C" w:rsidRPr="00FC4A49" w:rsidP="00343C6C" w14:paraId="00F6060B"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9529495" w14:textId="77777777">
      <w:pPr>
        <w:pStyle w:val="NormalBold"/>
      </w:pPr>
      <w:r w:rsidRPr="00FC4A49">
        <w:rPr>
          <w:rStyle w:val="HideTWBExt"/>
          <w:b w:val="0"/>
        </w:rPr>
        <w:t>&lt;Article&gt;</w:t>
      </w:r>
      <w:r w:rsidRPr="00FC4A49">
        <w:t>Recital 1</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0EAE5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701B07FF" w14:textId="77777777">
            <w:pPr>
              <w:keepNext/>
            </w:pPr>
          </w:p>
        </w:tc>
      </w:tr>
      <w:tr w14:paraId="02E0F1F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643C87A" w14:textId="77777777">
            <w:pPr>
              <w:pStyle w:val="ColumnHeading"/>
              <w:keepNext/>
              <w:rPr>
                <w:lang w:val="en-GB"/>
              </w:rPr>
            </w:pPr>
            <w:r w:rsidRPr="00FC4A49">
              <w:rPr>
                <w:lang w:val="en-GB"/>
              </w:rPr>
              <w:t>Text proposed by the Commission</w:t>
            </w:r>
          </w:p>
        </w:tc>
        <w:tc>
          <w:tcPr>
            <w:tcW w:w="4876" w:type="dxa"/>
          </w:tcPr>
          <w:p w:rsidR="00343C6C" w:rsidRPr="00FC4A49" w:rsidP="005D58F9" w14:paraId="316ECDFB" w14:textId="77777777">
            <w:pPr>
              <w:pStyle w:val="ColumnHeading"/>
              <w:keepNext/>
              <w:rPr>
                <w:lang w:val="en-GB"/>
              </w:rPr>
            </w:pPr>
            <w:r w:rsidRPr="00FC4A49">
              <w:rPr>
                <w:lang w:val="en-GB"/>
              </w:rPr>
              <w:t>Amendment</w:t>
            </w:r>
          </w:p>
        </w:tc>
      </w:tr>
      <w:tr w14:paraId="12C8D7F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AAFA47E" w14:textId="77777777">
            <w:pPr>
              <w:pStyle w:val="Normal6"/>
              <w:rPr>
                <w:lang w:val="en-GB"/>
              </w:rPr>
            </w:pPr>
            <w:r w:rsidRPr="00FC4A49">
              <w:rPr>
                <w:lang w:val="en-GB"/>
              </w:rPr>
              <w:t>(1)</w:t>
            </w:r>
            <w:r w:rsidRPr="00FC4A49">
              <w:rPr>
                <w:lang w:val="en-GB"/>
              </w:rPr>
              <w:tab/>
              <w:t>The Paris Agreement</w:t>
            </w:r>
            <w:r w:rsidRPr="00FC4A49">
              <w:rPr>
                <w:vertAlign w:val="superscript"/>
                <w:lang w:val="en-GB"/>
              </w:rPr>
              <w:t>3</w:t>
            </w:r>
            <w:r w:rsidRPr="00FC4A49">
              <w:rPr>
                <w:lang w:val="en-GB"/>
              </w:rPr>
              <w:t>, adopted on 12 December 2015 under the United Nations Framework Convention on Climate Change (UNFCCC) (the ‘Paris Agreement’), entered into force on 4 November 2016. The Parties to the Paris Agreement have agreed to hold the increase in the global average temperature well below 2 °C above pre-industrial levels and to pursue efforts to limit the temperature increase to 1,5 °C above pre-industrial levels.</w:t>
            </w:r>
          </w:p>
        </w:tc>
        <w:tc>
          <w:tcPr>
            <w:tcW w:w="4876" w:type="dxa"/>
          </w:tcPr>
          <w:p w:rsidR="00343C6C" w:rsidRPr="00FC4A49" w:rsidP="005D58F9" w14:paraId="0F4630BF" w14:textId="77777777">
            <w:pPr>
              <w:pStyle w:val="Normal6"/>
              <w:rPr>
                <w:szCs w:val="24"/>
                <w:lang w:val="en-GB"/>
              </w:rPr>
            </w:pPr>
            <w:r w:rsidRPr="00FC4A49">
              <w:rPr>
                <w:lang w:val="en-GB"/>
              </w:rPr>
              <w:t>(1)</w:t>
            </w:r>
            <w:r w:rsidRPr="00FC4A49">
              <w:rPr>
                <w:lang w:val="en-GB"/>
              </w:rPr>
              <w:tab/>
              <w:t>The Paris Agreement</w:t>
            </w:r>
            <w:r w:rsidRPr="00FC4A49">
              <w:rPr>
                <w:vertAlign w:val="superscript"/>
                <w:lang w:val="en-GB"/>
              </w:rPr>
              <w:t>3</w:t>
            </w:r>
            <w:r w:rsidRPr="00FC4A49">
              <w:rPr>
                <w:lang w:val="en-GB"/>
              </w:rPr>
              <w:t xml:space="preserve">, adopted on 12 December 2015 under the United Nations Framework Convention on Climate Change (UNFCCC) (the ‘Paris Agreement’), entered into force on 4 November 2016. The Parties to the Paris Agreement have agreed to hold the increase in the global average temperature well below 2 °C above pre-industrial levels and to pursue efforts to limit the temperature increase to 1,5 °C above pre-industrial levels. </w:t>
            </w:r>
            <w:r w:rsidRPr="00FC4A49">
              <w:rPr>
                <w:b/>
                <w:i/>
                <w:lang w:val="en-GB"/>
              </w:rPr>
              <w:t>It is considered that following the withdrawal of the United States of America from the agreement, the objectives laid down therein cannot be met and further reductions in greenhouse gases are pointless.</w:t>
            </w:r>
          </w:p>
        </w:tc>
      </w:tr>
      <w:tr w14:paraId="63EC4E4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E12A983" w14:textId="77777777">
            <w:pPr>
              <w:pStyle w:val="Normal6"/>
              <w:rPr>
                <w:lang w:val="en-GB"/>
              </w:rPr>
            </w:pPr>
            <w:r w:rsidRPr="00FC4A49">
              <w:rPr>
                <w:lang w:val="en-GB"/>
              </w:rPr>
              <w:t>__________________</w:t>
            </w:r>
          </w:p>
        </w:tc>
        <w:tc>
          <w:tcPr>
            <w:tcW w:w="4876" w:type="dxa"/>
          </w:tcPr>
          <w:p w:rsidR="00343C6C" w:rsidRPr="00FC4A49" w:rsidP="005D58F9" w14:paraId="6CFDE94E" w14:textId="77777777">
            <w:pPr>
              <w:pStyle w:val="Normal6"/>
              <w:rPr>
                <w:szCs w:val="24"/>
                <w:lang w:val="en-GB"/>
              </w:rPr>
            </w:pPr>
            <w:r w:rsidRPr="00FC4A49">
              <w:rPr>
                <w:lang w:val="en-GB"/>
              </w:rPr>
              <w:t>__________________</w:t>
            </w:r>
          </w:p>
        </w:tc>
      </w:tr>
      <w:tr w14:paraId="01FF279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B838D7F" w14:textId="77777777">
            <w:pPr>
              <w:pStyle w:val="Normal6"/>
              <w:rPr>
                <w:lang w:val="en-GB"/>
              </w:rPr>
            </w:pPr>
            <w:r w:rsidRPr="00FC4A49">
              <w:rPr>
                <w:vertAlign w:val="superscript"/>
                <w:lang w:val="en-GB"/>
              </w:rPr>
              <w:t>3</w:t>
            </w:r>
            <w:r w:rsidRPr="00FC4A49">
              <w:rPr>
                <w:lang w:val="en-GB"/>
              </w:rPr>
              <w:t xml:space="preserve"> OJ L 282, 19.10.2016, p. 4.</w:t>
            </w:r>
          </w:p>
        </w:tc>
        <w:tc>
          <w:tcPr>
            <w:tcW w:w="4876" w:type="dxa"/>
          </w:tcPr>
          <w:p w:rsidR="00343C6C" w:rsidRPr="00FC4A49" w:rsidP="005D58F9" w14:paraId="00D83894" w14:textId="77777777">
            <w:pPr>
              <w:pStyle w:val="Normal6"/>
              <w:rPr>
                <w:szCs w:val="24"/>
                <w:lang w:val="en-GB"/>
              </w:rPr>
            </w:pPr>
            <w:r w:rsidRPr="00FC4A49">
              <w:rPr>
                <w:vertAlign w:val="superscript"/>
                <w:lang w:val="en-GB"/>
              </w:rPr>
              <w:t>3</w:t>
            </w:r>
            <w:r w:rsidRPr="00FC4A49">
              <w:rPr>
                <w:lang w:val="en-GB"/>
              </w:rPr>
              <w:t xml:space="preserve"> OJ L 282, 19.10.2016, p. 4.</w:t>
            </w:r>
          </w:p>
        </w:tc>
      </w:tr>
    </w:tbl>
    <w:p w:rsidR="00343C6C" w:rsidRPr="00FC4A49" w:rsidP="00343C6C" w14:paraId="349D6FB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16D3B1DC" w14:textId="77777777">
      <w:r w:rsidRPr="00FC4A49">
        <w:rPr>
          <w:rStyle w:val="HideTWBExt"/>
        </w:rPr>
        <w:t>&lt;/Amend&gt;</w:t>
      </w:r>
    </w:p>
    <w:p w:rsidR="00343C6C" w:rsidRPr="00FC4A49" w:rsidP="00343C6C" w14:paraId="03593794"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93</w:t>
      </w:r>
      <w:r w:rsidRPr="00FC4A49">
        <w:rPr>
          <w:rStyle w:val="HideTWBExt"/>
          <w:b w:val="0"/>
          <w:lang w:val="en-GB"/>
        </w:rPr>
        <w:t>&lt;/NumAm&gt;</w:t>
      </w:r>
    </w:p>
    <w:p w:rsidR="00343C6C" w:rsidRPr="00FC4A49" w:rsidP="00343C6C" w14:paraId="10B5DD12" w14:textId="77777777">
      <w:pPr>
        <w:pStyle w:val="NormalBold"/>
      </w:pPr>
      <w:r w:rsidRPr="00FC4A49">
        <w:rPr>
          <w:rStyle w:val="HideTWBExt"/>
          <w:b w:val="0"/>
        </w:rPr>
        <w:t>&lt;RepeatBlock-By&gt;&lt;Members&gt;</w:t>
      </w:r>
      <w:r w:rsidRPr="00FC4A49">
        <w:t xml:space="preserve">Jorge </w:t>
      </w:r>
      <w:r w:rsidRPr="00FC4A49">
        <w:t>Buxadé</w:t>
      </w:r>
      <w:r w:rsidRPr="00FC4A49">
        <w:t xml:space="preserve"> Villalba, Roman Haider, Silvia Sardone, Marie-Luce Brasier-Clain, Mathilde Androuët, Anne-Sophie </w:t>
      </w:r>
      <w:r w:rsidRPr="00FC4A49">
        <w:t>Frigout</w:t>
      </w:r>
      <w:r w:rsidRPr="00FC4A49">
        <w:rPr>
          <w:rStyle w:val="HideTWBExt"/>
          <w:b w:val="0"/>
        </w:rPr>
        <w:t>&lt;/Members&gt;</w:t>
      </w:r>
    </w:p>
    <w:p w:rsidR="00343C6C" w:rsidRPr="00FC4A49" w:rsidP="00343C6C" w14:paraId="2BEEA6C6" w14:textId="77777777">
      <w:r w:rsidRPr="00FC4A49">
        <w:rPr>
          <w:rStyle w:val="HideTWBExt"/>
        </w:rPr>
        <w:t>&lt;/RepeatBlock-By&gt;</w:t>
      </w:r>
    </w:p>
    <w:p w:rsidR="00343C6C" w:rsidRPr="00FC4A49" w:rsidP="00343C6C" w14:paraId="7D80CC5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12C6B0A" w14:textId="77777777">
      <w:pPr>
        <w:pStyle w:val="NormalBold"/>
      </w:pPr>
      <w:r w:rsidRPr="00FC4A49">
        <w:rPr>
          <w:rStyle w:val="HideTWBExt"/>
          <w:b w:val="0"/>
        </w:rPr>
        <w:t>&lt;Article&gt;</w:t>
      </w:r>
      <w:r w:rsidRPr="00FC4A49">
        <w:t>Recital 1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02223E"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0135073" w14:textId="77777777">
            <w:pPr>
              <w:keepNext/>
            </w:pPr>
          </w:p>
        </w:tc>
      </w:tr>
      <w:tr w14:paraId="086E2E7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CE895E4" w14:textId="77777777">
            <w:pPr>
              <w:pStyle w:val="ColumnHeading"/>
              <w:keepNext/>
              <w:rPr>
                <w:lang w:val="en-GB"/>
              </w:rPr>
            </w:pPr>
            <w:r w:rsidRPr="00FC4A49">
              <w:rPr>
                <w:lang w:val="en-GB"/>
              </w:rPr>
              <w:t>Text proposed by the Commission</w:t>
            </w:r>
          </w:p>
        </w:tc>
        <w:tc>
          <w:tcPr>
            <w:tcW w:w="4876" w:type="dxa"/>
          </w:tcPr>
          <w:p w:rsidR="00343C6C" w:rsidRPr="00FC4A49" w:rsidP="005D58F9" w14:paraId="21CB1EED" w14:textId="77777777">
            <w:pPr>
              <w:pStyle w:val="ColumnHeading"/>
              <w:keepNext/>
              <w:rPr>
                <w:lang w:val="en-GB"/>
              </w:rPr>
            </w:pPr>
            <w:r w:rsidRPr="00FC4A49">
              <w:rPr>
                <w:lang w:val="en-GB"/>
              </w:rPr>
              <w:t>Amendment</w:t>
            </w:r>
          </w:p>
        </w:tc>
      </w:tr>
      <w:tr w14:paraId="31AA251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5F824FB" w14:textId="77777777">
            <w:pPr>
              <w:pStyle w:val="Normal6"/>
              <w:rPr>
                <w:lang w:val="en-GB"/>
              </w:rPr>
            </w:pPr>
          </w:p>
        </w:tc>
        <w:tc>
          <w:tcPr>
            <w:tcW w:w="4876" w:type="dxa"/>
          </w:tcPr>
          <w:p w:rsidR="00343C6C" w:rsidRPr="00FC4A49" w:rsidP="005D58F9" w14:paraId="1BAF5DB2" w14:textId="77777777">
            <w:pPr>
              <w:pStyle w:val="Normal6"/>
              <w:rPr>
                <w:szCs w:val="24"/>
                <w:lang w:val="en-GB"/>
              </w:rPr>
            </w:pPr>
            <w:r w:rsidRPr="00FC4A49">
              <w:rPr>
                <w:b/>
                <w:i/>
                <w:lang w:val="en-GB"/>
              </w:rPr>
              <w:t>(1a)</w:t>
            </w:r>
            <w:r w:rsidRPr="00FC4A49">
              <w:rPr>
                <w:b/>
                <w:i/>
                <w:lang w:val="en-GB"/>
              </w:rPr>
              <w:tab/>
              <w:t xml:space="preserve">The EU ETS, established in Directive 2003/87/EC, has seen modification after modification, each promising to solve all the issues that it caused: the introduction of the Market Stability reserve, the Carbon Border Adjustment Mechanism (CBAM) and its reviews, modifications to the Directive itself, and so on. However, the fundamental issue of the EU ETS is its very premise: paying incrementally rising taxes for producing vital products. The </w:t>
            </w:r>
            <w:r w:rsidRPr="00FC4A49">
              <w:rPr>
                <w:b/>
                <w:i/>
                <w:lang w:val="en-GB"/>
              </w:rPr>
              <w:t>EU cannot continue to impose this obligation to our industrial sectors under the false banner of "global climate leadership", because if it does, we will instead become leaders in de-industrialisation. As such, it is of utmost urgency to suspend and repeal Directive 2003/87/EC as soon as possible.</w:t>
            </w:r>
          </w:p>
        </w:tc>
      </w:tr>
    </w:tbl>
    <w:p w:rsidR="00343C6C" w:rsidRPr="00FC4A49" w:rsidP="00343C6C" w14:paraId="675DE2BB"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7D0180C" w14:textId="77777777">
      <w:r w:rsidRPr="00FC4A49">
        <w:rPr>
          <w:rStyle w:val="HideTWBExt"/>
        </w:rPr>
        <w:t>&lt;/Amend&gt;</w:t>
      </w:r>
    </w:p>
    <w:p w:rsidR="00343C6C" w:rsidRPr="00FC4A49" w:rsidP="00343C6C" w14:paraId="06A142A8"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94</w:t>
      </w:r>
      <w:r w:rsidRPr="00FC4A49">
        <w:rPr>
          <w:rStyle w:val="HideTWBExt"/>
          <w:b w:val="0"/>
          <w:lang w:val="en-GB"/>
        </w:rPr>
        <w:t>&lt;/NumAm&gt;</w:t>
      </w:r>
    </w:p>
    <w:p w:rsidR="00343C6C" w:rsidRPr="00FC4A49" w:rsidP="00343C6C" w14:paraId="7386D0C3" w14:textId="77777777">
      <w:pPr>
        <w:pStyle w:val="NormalBold"/>
      </w:pPr>
      <w:r w:rsidRPr="00FC4A49">
        <w:rPr>
          <w:rStyle w:val="HideTWBExt"/>
          <w:b w:val="0"/>
        </w:rPr>
        <w:t>&lt;RepeatBlock-By&gt;&lt;Members&gt;</w:t>
      </w:r>
      <w:r w:rsidRPr="00FC4A49">
        <w:t>Ondřej Knotek, Jana Nagyová, Antonín Staněk, Roman Haider, Viktória Ferenc</w:t>
      </w:r>
      <w:r w:rsidRPr="00FC4A49">
        <w:rPr>
          <w:rStyle w:val="HideTWBExt"/>
          <w:b w:val="0"/>
        </w:rPr>
        <w:t>&lt;/Members&gt;</w:t>
      </w:r>
    </w:p>
    <w:p w:rsidR="00343C6C" w:rsidRPr="00FC4A49" w:rsidP="00343C6C" w14:paraId="1603CFB7" w14:textId="77777777">
      <w:r w:rsidRPr="00FC4A49">
        <w:rPr>
          <w:rStyle w:val="HideTWBExt"/>
        </w:rPr>
        <w:t>&lt;/RepeatBlock-By&gt;</w:t>
      </w:r>
    </w:p>
    <w:p w:rsidR="00343C6C" w:rsidRPr="00FC4A49" w:rsidP="00343C6C" w14:paraId="2B44512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6EA55C7" w14:textId="77777777">
      <w:pPr>
        <w:pStyle w:val="NormalBold"/>
      </w:pPr>
      <w:r w:rsidRPr="00FC4A49">
        <w:rPr>
          <w:rStyle w:val="HideTWBExt"/>
          <w:b w:val="0"/>
        </w:rPr>
        <w:t>&lt;Article&gt;</w:t>
      </w:r>
      <w:r w:rsidRPr="00FC4A49">
        <w:t>Recital 1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19BD99"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6E9A2DD" w14:textId="77777777">
            <w:pPr>
              <w:keepNext/>
            </w:pPr>
          </w:p>
        </w:tc>
      </w:tr>
      <w:tr w14:paraId="37897EA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28B4ABC" w14:textId="77777777">
            <w:pPr>
              <w:pStyle w:val="ColumnHeading"/>
              <w:keepNext/>
              <w:rPr>
                <w:lang w:val="en-GB"/>
              </w:rPr>
            </w:pPr>
            <w:r w:rsidRPr="00FC4A49">
              <w:rPr>
                <w:lang w:val="en-GB"/>
              </w:rPr>
              <w:t>Text proposed by the Commission</w:t>
            </w:r>
          </w:p>
        </w:tc>
        <w:tc>
          <w:tcPr>
            <w:tcW w:w="4876" w:type="dxa"/>
          </w:tcPr>
          <w:p w:rsidR="00343C6C" w:rsidRPr="00FC4A49" w:rsidP="005D58F9" w14:paraId="54BED1F5" w14:textId="77777777">
            <w:pPr>
              <w:pStyle w:val="ColumnHeading"/>
              <w:keepNext/>
              <w:rPr>
                <w:lang w:val="en-GB"/>
              </w:rPr>
            </w:pPr>
            <w:r w:rsidRPr="00FC4A49">
              <w:rPr>
                <w:lang w:val="en-GB"/>
              </w:rPr>
              <w:t>Amendment</w:t>
            </w:r>
          </w:p>
        </w:tc>
      </w:tr>
      <w:tr w14:paraId="537CE30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0CD37B8" w14:textId="77777777">
            <w:pPr>
              <w:pStyle w:val="Normal6"/>
              <w:rPr>
                <w:lang w:val="en-GB"/>
              </w:rPr>
            </w:pPr>
          </w:p>
        </w:tc>
        <w:tc>
          <w:tcPr>
            <w:tcW w:w="4876" w:type="dxa"/>
          </w:tcPr>
          <w:p w:rsidR="00343C6C" w:rsidRPr="00FC4A49" w:rsidP="005D58F9" w14:paraId="4BDF6044" w14:textId="77777777">
            <w:pPr>
              <w:pStyle w:val="Normal6"/>
              <w:rPr>
                <w:szCs w:val="24"/>
                <w:lang w:val="en-GB"/>
              </w:rPr>
            </w:pPr>
            <w:r w:rsidRPr="00FC4A49">
              <w:rPr>
                <w:b/>
                <w:i/>
                <w:lang w:val="en-GB"/>
              </w:rPr>
              <w:t>(1a)</w:t>
            </w:r>
            <w:r w:rsidRPr="00FC4A49">
              <w:rPr>
                <w:b/>
                <w:i/>
                <w:lang w:val="en-GB"/>
              </w:rPr>
              <w:tab/>
              <w:t>Energy prices in the European Union are significantly higher than in most third countries in the world including those with the most competitive markets.</w:t>
            </w:r>
          </w:p>
        </w:tc>
      </w:tr>
    </w:tbl>
    <w:p w:rsidR="00343C6C" w:rsidRPr="00FC4A49" w:rsidP="00343C6C" w14:paraId="791F3519"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D44F5F2" w14:textId="77777777">
      <w:r w:rsidRPr="00FC4A49">
        <w:rPr>
          <w:rStyle w:val="HideTWBExt"/>
        </w:rPr>
        <w:t>&lt;/Amend&gt;</w:t>
      </w:r>
    </w:p>
    <w:p w:rsidR="00343C6C" w:rsidRPr="00FC4A49" w:rsidP="00343C6C" w14:paraId="40409EB9"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95</w:t>
      </w:r>
      <w:r w:rsidRPr="00FC4A49">
        <w:rPr>
          <w:rStyle w:val="HideTWBExt"/>
          <w:b w:val="0"/>
          <w:lang w:val="en-GB"/>
        </w:rPr>
        <w:t>&lt;/NumAm&gt;</w:t>
      </w:r>
    </w:p>
    <w:p w:rsidR="00343C6C" w:rsidRPr="00FC4A49" w:rsidP="00343C6C" w14:paraId="0A15FC1F" w14:textId="77777777">
      <w:pPr>
        <w:pStyle w:val="NormalBold"/>
      </w:pPr>
      <w:r w:rsidRPr="00FC4A49">
        <w:rPr>
          <w:rStyle w:val="HideTWBExt"/>
          <w:b w:val="0"/>
        </w:rPr>
        <w:t>&lt;RepeatBlock-By&gt;&lt;Members&gt;</w:t>
      </w:r>
      <w:r w:rsidRPr="00FC4A49">
        <w:t>Ondřej Knotek, Jana Nagyová, Antonín Staněk, Roman Haider, Viktória Ferenc</w:t>
      </w:r>
      <w:r w:rsidRPr="00FC4A49">
        <w:rPr>
          <w:rStyle w:val="HideTWBExt"/>
          <w:b w:val="0"/>
        </w:rPr>
        <w:t>&lt;/Members&gt;</w:t>
      </w:r>
    </w:p>
    <w:p w:rsidR="00343C6C" w:rsidRPr="00FC4A49" w:rsidP="00343C6C" w14:paraId="0875EDBC" w14:textId="77777777">
      <w:r w:rsidRPr="00FC4A49">
        <w:rPr>
          <w:rStyle w:val="HideTWBExt"/>
        </w:rPr>
        <w:t>&lt;/RepeatBlock-By&gt;</w:t>
      </w:r>
    </w:p>
    <w:p w:rsidR="00343C6C" w:rsidRPr="00FC4A49" w:rsidP="00343C6C" w14:paraId="2F2DE8D0"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F495127" w14:textId="77777777">
      <w:pPr>
        <w:pStyle w:val="NormalBold"/>
      </w:pPr>
      <w:r w:rsidRPr="00FC4A49">
        <w:rPr>
          <w:rStyle w:val="HideTWBExt"/>
          <w:b w:val="0"/>
        </w:rPr>
        <w:t>&lt;Article&gt;</w:t>
      </w:r>
      <w:r w:rsidRPr="00FC4A49">
        <w:t>Recital 1 b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210C47"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ABAF3A1" w14:textId="77777777">
            <w:pPr>
              <w:keepNext/>
            </w:pPr>
          </w:p>
        </w:tc>
      </w:tr>
      <w:tr w14:paraId="400B52A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BE0E0C0" w14:textId="77777777">
            <w:pPr>
              <w:pStyle w:val="ColumnHeading"/>
              <w:keepNext/>
              <w:rPr>
                <w:lang w:val="en-GB"/>
              </w:rPr>
            </w:pPr>
            <w:r w:rsidRPr="00FC4A49">
              <w:rPr>
                <w:lang w:val="en-GB"/>
              </w:rPr>
              <w:t>Text proposed by the Commission</w:t>
            </w:r>
          </w:p>
        </w:tc>
        <w:tc>
          <w:tcPr>
            <w:tcW w:w="4876" w:type="dxa"/>
          </w:tcPr>
          <w:p w:rsidR="00343C6C" w:rsidRPr="00FC4A49" w:rsidP="005D58F9" w14:paraId="6D1B013C" w14:textId="77777777">
            <w:pPr>
              <w:pStyle w:val="ColumnHeading"/>
              <w:keepNext/>
              <w:rPr>
                <w:lang w:val="en-GB"/>
              </w:rPr>
            </w:pPr>
            <w:r w:rsidRPr="00FC4A49">
              <w:rPr>
                <w:lang w:val="en-GB"/>
              </w:rPr>
              <w:t>Amendment</w:t>
            </w:r>
          </w:p>
        </w:tc>
      </w:tr>
      <w:tr w14:paraId="08673C1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D6FCF08" w14:textId="77777777">
            <w:pPr>
              <w:pStyle w:val="Normal6"/>
              <w:rPr>
                <w:lang w:val="en-GB"/>
              </w:rPr>
            </w:pPr>
          </w:p>
        </w:tc>
        <w:tc>
          <w:tcPr>
            <w:tcW w:w="4876" w:type="dxa"/>
          </w:tcPr>
          <w:p w:rsidR="00343C6C" w:rsidRPr="00FC4A49" w:rsidP="005D58F9" w14:paraId="15661603" w14:textId="77777777">
            <w:pPr>
              <w:pStyle w:val="Normal6"/>
              <w:rPr>
                <w:szCs w:val="24"/>
                <w:lang w:val="en-GB"/>
              </w:rPr>
            </w:pPr>
            <w:r w:rsidRPr="00FC4A49">
              <w:rPr>
                <w:b/>
                <w:i/>
                <w:lang w:val="en-GB"/>
              </w:rPr>
              <w:t>(1b)</w:t>
            </w:r>
            <w:r w:rsidRPr="00FC4A49">
              <w:rPr>
                <w:b/>
                <w:i/>
                <w:lang w:val="en-GB"/>
              </w:rPr>
              <w:tab/>
              <w:t>Persistently high energy prices in the European Union carry the risk of linear deindustrialisation, which could lead to a loss of prosperity, jobs, stability and sovereignty.</w:t>
            </w:r>
          </w:p>
        </w:tc>
      </w:tr>
    </w:tbl>
    <w:p w:rsidR="00343C6C" w:rsidRPr="00FC4A49" w:rsidP="00343C6C" w14:paraId="7B7937BC"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45C3163" w14:textId="77777777">
      <w:r w:rsidRPr="00FC4A49">
        <w:rPr>
          <w:rStyle w:val="HideTWBExt"/>
        </w:rPr>
        <w:t>&lt;/Amend&gt;</w:t>
      </w:r>
    </w:p>
    <w:p w:rsidR="00343C6C" w:rsidRPr="00FC4A49" w:rsidP="00343C6C" w14:paraId="62D1E67F"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96</w:t>
      </w:r>
      <w:r w:rsidRPr="00FC4A49">
        <w:rPr>
          <w:rStyle w:val="HideTWBExt"/>
          <w:b w:val="0"/>
          <w:lang w:val="en-GB"/>
        </w:rPr>
        <w:t>&lt;/NumAm&gt;</w:t>
      </w:r>
    </w:p>
    <w:p w:rsidR="00343C6C" w:rsidRPr="00FC4A49" w:rsidP="00343C6C" w14:paraId="29847F56" w14:textId="77777777">
      <w:pPr>
        <w:pStyle w:val="NormalBold"/>
      </w:pPr>
      <w:r w:rsidRPr="00FC4A49">
        <w:rPr>
          <w:rStyle w:val="HideTWBExt"/>
          <w:b w:val="0"/>
        </w:rPr>
        <w:t>&lt;RepeatBlock-By&gt;&lt;Members&gt;</w:t>
      </w:r>
      <w:r w:rsidRPr="00FC4A49">
        <w:t>Ondřej Knotek, Jana Nagyová, Antonín Staněk, Roman Haider, Viktória Ferenc</w:t>
      </w:r>
      <w:r w:rsidRPr="00FC4A49">
        <w:rPr>
          <w:rStyle w:val="HideTWBExt"/>
          <w:b w:val="0"/>
        </w:rPr>
        <w:t>&lt;/Members&gt;</w:t>
      </w:r>
    </w:p>
    <w:p w:rsidR="00343C6C" w:rsidRPr="00FC4A49" w:rsidP="00343C6C" w14:paraId="5B15E0FB" w14:textId="77777777">
      <w:r w:rsidRPr="00FC4A49">
        <w:rPr>
          <w:rStyle w:val="HideTWBExt"/>
        </w:rPr>
        <w:t>&lt;/RepeatBlock-By&gt;</w:t>
      </w:r>
    </w:p>
    <w:p w:rsidR="00343C6C" w:rsidRPr="00FC4A49" w:rsidP="00343C6C" w14:paraId="7164D5BF"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468F50D" w14:textId="77777777">
      <w:pPr>
        <w:pStyle w:val="NormalBold"/>
      </w:pPr>
      <w:r w:rsidRPr="00FC4A49">
        <w:rPr>
          <w:rStyle w:val="HideTWBExt"/>
          <w:b w:val="0"/>
        </w:rPr>
        <w:t>&lt;Article&gt;</w:t>
      </w:r>
      <w:r w:rsidRPr="00FC4A49">
        <w:t>Recital 1 c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05AB25"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98DC686" w14:textId="77777777">
            <w:pPr>
              <w:keepNext/>
            </w:pPr>
          </w:p>
        </w:tc>
      </w:tr>
      <w:tr w14:paraId="05BEFC9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7836137" w14:textId="77777777">
            <w:pPr>
              <w:pStyle w:val="ColumnHeading"/>
              <w:keepNext/>
              <w:rPr>
                <w:lang w:val="en-GB"/>
              </w:rPr>
            </w:pPr>
            <w:r w:rsidRPr="00FC4A49">
              <w:rPr>
                <w:lang w:val="en-GB"/>
              </w:rPr>
              <w:t>Text proposed by the Commission</w:t>
            </w:r>
          </w:p>
        </w:tc>
        <w:tc>
          <w:tcPr>
            <w:tcW w:w="4876" w:type="dxa"/>
          </w:tcPr>
          <w:p w:rsidR="00343C6C" w:rsidRPr="00FC4A49" w:rsidP="005D58F9" w14:paraId="46354C5A" w14:textId="77777777">
            <w:pPr>
              <w:pStyle w:val="ColumnHeading"/>
              <w:keepNext/>
              <w:rPr>
                <w:lang w:val="en-GB"/>
              </w:rPr>
            </w:pPr>
            <w:r w:rsidRPr="00FC4A49">
              <w:rPr>
                <w:lang w:val="en-GB"/>
              </w:rPr>
              <w:t>Amendment</w:t>
            </w:r>
          </w:p>
        </w:tc>
      </w:tr>
      <w:tr w14:paraId="2D3FFB7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AEC721E" w14:textId="77777777">
            <w:pPr>
              <w:pStyle w:val="Normal6"/>
              <w:rPr>
                <w:lang w:val="en-GB"/>
              </w:rPr>
            </w:pPr>
          </w:p>
        </w:tc>
        <w:tc>
          <w:tcPr>
            <w:tcW w:w="4876" w:type="dxa"/>
          </w:tcPr>
          <w:p w:rsidR="00343C6C" w:rsidRPr="00FC4A49" w:rsidP="005D58F9" w14:paraId="2BE28CCA" w14:textId="77777777">
            <w:pPr>
              <w:pStyle w:val="Normal6"/>
              <w:rPr>
                <w:szCs w:val="24"/>
                <w:lang w:val="en-GB"/>
              </w:rPr>
            </w:pPr>
            <w:r w:rsidRPr="00FC4A49">
              <w:rPr>
                <w:b/>
                <w:i/>
                <w:lang w:val="en-GB"/>
              </w:rPr>
              <w:t>(1c)</w:t>
            </w:r>
            <w:r w:rsidRPr="00FC4A49">
              <w:rPr>
                <w:b/>
                <w:i/>
                <w:lang w:val="en-GB"/>
              </w:rPr>
              <w:tab/>
              <w:t>The existing EU ETS, as the so-called flagship of the Union's climate policy to date, has played a significant part in these high energy prices.</w:t>
            </w:r>
          </w:p>
        </w:tc>
      </w:tr>
    </w:tbl>
    <w:p w:rsidR="00343C6C" w:rsidRPr="00FC4A49" w:rsidP="00343C6C" w14:paraId="0A9E2AF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0E41F4C" w14:textId="77777777">
      <w:r w:rsidRPr="00FC4A49">
        <w:rPr>
          <w:rStyle w:val="HideTWBExt"/>
        </w:rPr>
        <w:t>&lt;/Amend&gt;</w:t>
      </w:r>
    </w:p>
    <w:p w:rsidR="00343C6C" w:rsidRPr="00FC4A49" w:rsidP="00343C6C" w14:paraId="241E6482"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97</w:t>
      </w:r>
      <w:r w:rsidRPr="00FC4A49">
        <w:rPr>
          <w:rStyle w:val="HideTWBExt"/>
          <w:b w:val="0"/>
          <w:lang w:val="en-GB"/>
        </w:rPr>
        <w:t>&lt;/NumAm&gt;</w:t>
      </w:r>
    </w:p>
    <w:p w:rsidR="00343C6C" w:rsidRPr="00FC4A49" w:rsidP="00343C6C" w14:paraId="3D0298E2" w14:textId="77777777">
      <w:pPr>
        <w:pStyle w:val="NormalBold"/>
      </w:pPr>
      <w:r w:rsidRPr="00FC4A49">
        <w:rPr>
          <w:rStyle w:val="HideTWBExt"/>
          <w:b w:val="0"/>
        </w:rPr>
        <w:t>&lt;RepeatBlock-By&gt;&lt;Members&gt;</w:t>
      </w:r>
      <w:r w:rsidRPr="00FC4A49">
        <w:t>Ondřej Knotek, Jana Nagyová, Antonín Staněk, Roman Haider</w:t>
      </w:r>
      <w:r w:rsidRPr="00FC4A49">
        <w:rPr>
          <w:rStyle w:val="HideTWBExt"/>
          <w:b w:val="0"/>
        </w:rPr>
        <w:t>&lt;/Members&gt;</w:t>
      </w:r>
    </w:p>
    <w:p w:rsidR="00343C6C" w:rsidRPr="00FC4A49" w:rsidP="00343C6C" w14:paraId="27AFDEC9" w14:textId="77777777">
      <w:r w:rsidRPr="00FC4A49">
        <w:rPr>
          <w:rStyle w:val="HideTWBExt"/>
        </w:rPr>
        <w:t>&lt;/RepeatBlock-By&gt;</w:t>
      </w:r>
    </w:p>
    <w:p w:rsidR="00343C6C" w:rsidRPr="00FC4A49" w:rsidP="00343C6C" w14:paraId="21027FD7"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7EF2522" w14:textId="77777777">
      <w:pPr>
        <w:pStyle w:val="NormalBold"/>
      </w:pPr>
      <w:r w:rsidRPr="00FC4A49">
        <w:rPr>
          <w:rStyle w:val="HideTWBExt"/>
          <w:b w:val="0"/>
        </w:rPr>
        <w:t>&lt;Article&gt;</w:t>
      </w:r>
      <w:r w:rsidRPr="00FC4A49">
        <w:t>Recital 1 d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40820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C7074E0" w14:textId="77777777">
            <w:pPr>
              <w:keepNext/>
            </w:pPr>
          </w:p>
        </w:tc>
      </w:tr>
      <w:tr w14:paraId="56369BB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2C9196A" w14:textId="77777777">
            <w:pPr>
              <w:pStyle w:val="ColumnHeading"/>
              <w:keepNext/>
              <w:rPr>
                <w:lang w:val="en-GB"/>
              </w:rPr>
            </w:pPr>
            <w:r w:rsidRPr="00FC4A49">
              <w:rPr>
                <w:lang w:val="en-GB"/>
              </w:rPr>
              <w:t>Text proposed by the Commission</w:t>
            </w:r>
          </w:p>
        </w:tc>
        <w:tc>
          <w:tcPr>
            <w:tcW w:w="4876" w:type="dxa"/>
          </w:tcPr>
          <w:p w:rsidR="00343C6C" w:rsidRPr="00FC4A49" w:rsidP="005D58F9" w14:paraId="07E0CD74" w14:textId="77777777">
            <w:pPr>
              <w:pStyle w:val="ColumnHeading"/>
              <w:keepNext/>
              <w:rPr>
                <w:lang w:val="en-GB"/>
              </w:rPr>
            </w:pPr>
            <w:r w:rsidRPr="00FC4A49">
              <w:rPr>
                <w:lang w:val="en-GB"/>
              </w:rPr>
              <w:t>Amendment</w:t>
            </w:r>
          </w:p>
        </w:tc>
      </w:tr>
      <w:tr w14:paraId="5A0E482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8011E71" w14:textId="77777777">
            <w:pPr>
              <w:pStyle w:val="Normal6"/>
              <w:rPr>
                <w:lang w:val="en-GB"/>
              </w:rPr>
            </w:pPr>
          </w:p>
        </w:tc>
        <w:tc>
          <w:tcPr>
            <w:tcW w:w="4876" w:type="dxa"/>
          </w:tcPr>
          <w:p w:rsidR="00343C6C" w:rsidRPr="00FC4A49" w:rsidP="005D58F9" w14:paraId="2DF98FCC" w14:textId="77777777">
            <w:pPr>
              <w:pStyle w:val="Normal6"/>
              <w:rPr>
                <w:szCs w:val="24"/>
                <w:lang w:val="en-GB"/>
              </w:rPr>
            </w:pPr>
            <w:r w:rsidRPr="00FC4A49">
              <w:rPr>
                <w:b/>
                <w:i/>
                <w:lang w:val="en-GB"/>
              </w:rPr>
              <w:t>(1d)</w:t>
            </w:r>
            <w:r w:rsidRPr="00FC4A49">
              <w:rPr>
                <w:b/>
                <w:i/>
                <w:lang w:val="en-GB"/>
              </w:rPr>
              <w:tab/>
              <w:t>For this reason, it is necessary to repeal the EU ETS.</w:t>
            </w:r>
          </w:p>
        </w:tc>
      </w:tr>
    </w:tbl>
    <w:p w:rsidR="00343C6C" w:rsidRPr="00FC4A49" w:rsidP="00343C6C" w14:paraId="70F38943"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9E5C1E8" w14:textId="77777777">
      <w:r w:rsidRPr="00FC4A49">
        <w:rPr>
          <w:rStyle w:val="HideTWBExt"/>
        </w:rPr>
        <w:t>&lt;/Amend&gt;</w:t>
      </w:r>
    </w:p>
    <w:p w:rsidR="00343C6C" w:rsidRPr="00FC4A49" w:rsidP="00343C6C" w14:paraId="245F0904"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98</w:t>
      </w:r>
      <w:r w:rsidRPr="00FC4A49">
        <w:rPr>
          <w:rStyle w:val="HideTWBExt"/>
          <w:b w:val="0"/>
          <w:lang w:val="en-GB"/>
        </w:rPr>
        <w:t>&lt;/NumAm&gt;</w:t>
      </w:r>
    </w:p>
    <w:p w:rsidR="00343C6C" w:rsidRPr="00FC4A49" w:rsidP="00343C6C" w14:paraId="6CE99992" w14:textId="77777777">
      <w:pPr>
        <w:pStyle w:val="NormalBold"/>
      </w:pPr>
      <w:r w:rsidRPr="00FC4A49">
        <w:rPr>
          <w:rStyle w:val="HideTWBExt"/>
          <w:b w:val="0"/>
        </w:rPr>
        <w:t>&lt;RepeatBlock-By&gt;&lt;Members&gt;</w:t>
      </w:r>
      <w:r w:rsidRPr="00FC4A49">
        <w:t>Ondřej Knotek, Jana Nagyová, Antonín Staněk, Roman Haider</w:t>
      </w:r>
      <w:r w:rsidRPr="00FC4A49">
        <w:rPr>
          <w:rStyle w:val="HideTWBExt"/>
          <w:b w:val="0"/>
        </w:rPr>
        <w:t>&lt;/Members&gt;</w:t>
      </w:r>
    </w:p>
    <w:p w:rsidR="00343C6C" w:rsidRPr="00FC4A49" w:rsidP="00343C6C" w14:paraId="58B55BF1" w14:textId="77777777">
      <w:r w:rsidRPr="00FC4A49">
        <w:rPr>
          <w:rStyle w:val="HideTWBExt"/>
        </w:rPr>
        <w:t>&lt;/RepeatBlock-By&gt;</w:t>
      </w:r>
    </w:p>
    <w:p w:rsidR="00343C6C" w:rsidRPr="00FC4A49" w:rsidP="00343C6C" w14:paraId="40950797"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050F9EF" w14:textId="77777777">
      <w:pPr>
        <w:pStyle w:val="NormalBold"/>
      </w:pPr>
      <w:r w:rsidRPr="00FC4A49">
        <w:rPr>
          <w:rStyle w:val="HideTWBExt"/>
          <w:b w:val="0"/>
        </w:rPr>
        <w:t>&lt;Article&gt;</w:t>
      </w:r>
      <w:r w:rsidRPr="00FC4A49">
        <w:t>Recital 1 e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457EC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D9103A4" w14:textId="77777777">
            <w:pPr>
              <w:keepNext/>
            </w:pPr>
          </w:p>
        </w:tc>
      </w:tr>
      <w:tr w14:paraId="42D1EA7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81E383F" w14:textId="77777777">
            <w:pPr>
              <w:pStyle w:val="ColumnHeading"/>
              <w:keepNext/>
              <w:rPr>
                <w:lang w:val="en-GB"/>
              </w:rPr>
            </w:pPr>
            <w:r w:rsidRPr="00FC4A49">
              <w:rPr>
                <w:lang w:val="en-GB"/>
              </w:rPr>
              <w:t>Text proposed by the Commission</w:t>
            </w:r>
          </w:p>
        </w:tc>
        <w:tc>
          <w:tcPr>
            <w:tcW w:w="4876" w:type="dxa"/>
          </w:tcPr>
          <w:p w:rsidR="00343C6C" w:rsidRPr="00FC4A49" w:rsidP="005D58F9" w14:paraId="5A607E16" w14:textId="77777777">
            <w:pPr>
              <w:pStyle w:val="ColumnHeading"/>
              <w:keepNext/>
              <w:rPr>
                <w:lang w:val="en-GB"/>
              </w:rPr>
            </w:pPr>
            <w:r w:rsidRPr="00FC4A49">
              <w:rPr>
                <w:lang w:val="en-GB"/>
              </w:rPr>
              <w:t>Amendment</w:t>
            </w:r>
          </w:p>
        </w:tc>
      </w:tr>
      <w:tr w14:paraId="45B69B1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A1D5E62" w14:textId="77777777">
            <w:pPr>
              <w:pStyle w:val="Normal6"/>
              <w:rPr>
                <w:lang w:val="en-GB"/>
              </w:rPr>
            </w:pPr>
          </w:p>
        </w:tc>
        <w:tc>
          <w:tcPr>
            <w:tcW w:w="4876" w:type="dxa"/>
          </w:tcPr>
          <w:p w:rsidR="00343C6C" w:rsidRPr="00FC4A49" w:rsidP="005D58F9" w14:paraId="23BA8615" w14:textId="77777777">
            <w:pPr>
              <w:pStyle w:val="Normal6"/>
              <w:rPr>
                <w:szCs w:val="24"/>
                <w:lang w:val="en-GB"/>
              </w:rPr>
            </w:pPr>
            <w:r w:rsidRPr="00FC4A49">
              <w:rPr>
                <w:b/>
                <w:i/>
                <w:lang w:val="en-GB"/>
              </w:rPr>
              <w:t>(1e)</w:t>
            </w:r>
            <w:r w:rsidRPr="00FC4A49">
              <w:rPr>
                <w:b/>
                <w:i/>
                <w:lang w:val="en-GB"/>
              </w:rPr>
              <w:tab/>
              <w:t>For this reason, it is necessary to soften EU ETS as much as possible, in order to give citizens and industry some breathing space, to make possible lower energy prices and to ensure a level playing field with markets in third countries.</w:t>
            </w:r>
          </w:p>
        </w:tc>
      </w:tr>
    </w:tbl>
    <w:p w:rsidR="00343C6C" w:rsidRPr="00FC4A49" w:rsidP="00343C6C" w14:paraId="096965F4"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B7900E2"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5C239D44" w14:textId="77777777">
      <w:pPr>
        <w:pStyle w:val="Normal12Italic"/>
        <w:rPr>
          <w:noProof w:val="0"/>
          <w:lang w:val="en-GB"/>
        </w:rPr>
      </w:pPr>
      <w:r w:rsidRPr="00FC4A49">
        <w:rPr>
          <w:noProof w:val="0"/>
          <w:lang w:val="en-GB"/>
        </w:rPr>
        <w:t>This amendment is tabled as a fallback, in case there is no political majority at present to repeal the EU ETS.</w:t>
      </w:r>
    </w:p>
    <w:p w:rsidR="00343C6C" w:rsidRPr="00FC4A49" w:rsidP="00343C6C" w14:paraId="5D551843" w14:textId="77777777">
      <w:r w:rsidRPr="00FC4A49">
        <w:rPr>
          <w:rStyle w:val="HideTWBExt"/>
        </w:rPr>
        <w:t>&lt;/Amend&gt;</w:t>
      </w:r>
    </w:p>
    <w:p w:rsidR="00343C6C" w:rsidRPr="00FC4A49" w:rsidP="00343C6C" w14:paraId="135AF7B2"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99</w:t>
      </w:r>
      <w:r w:rsidRPr="00FC4A49">
        <w:rPr>
          <w:rStyle w:val="HideTWBExt"/>
          <w:b w:val="0"/>
          <w:lang w:val="en-GB"/>
        </w:rPr>
        <w:t>&lt;/NumAm&gt;</w:t>
      </w:r>
    </w:p>
    <w:p w:rsidR="00343C6C" w:rsidRPr="00FC4A49" w:rsidP="00343C6C" w14:paraId="23DD275B" w14:textId="77777777">
      <w:pPr>
        <w:pStyle w:val="NormalBold"/>
      </w:pPr>
      <w:r w:rsidRPr="00FC4A49">
        <w:rPr>
          <w:rStyle w:val="HideTWBExt"/>
          <w:b w:val="0"/>
        </w:rPr>
        <w:t>&lt;RepeatBlock-By&gt;&lt;Members&gt;</w:t>
      </w:r>
      <w:r w:rsidRPr="00FC4A49">
        <w:t>Ondřej Knotek, Jana Nagyová, Antonín Staněk, Roman Haider</w:t>
      </w:r>
      <w:r w:rsidRPr="00FC4A49">
        <w:rPr>
          <w:rStyle w:val="HideTWBExt"/>
          <w:b w:val="0"/>
        </w:rPr>
        <w:t>&lt;/Members&gt;</w:t>
      </w:r>
    </w:p>
    <w:p w:rsidR="00343C6C" w:rsidRPr="00FC4A49" w:rsidP="00343C6C" w14:paraId="763B90AB" w14:textId="77777777">
      <w:r w:rsidRPr="00FC4A49">
        <w:rPr>
          <w:rStyle w:val="HideTWBExt"/>
        </w:rPr>
        <w:t>&lt;/RepeatBlock-By&gt;</w:t>
      </w:r>
    </w:p>
    <w:p w:rsidR="00343C6C" w:rsidRPr="00FC4A49" w:rsidP="00343C6C" w14:paraId="6629DC51"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EF5F45A" w14:textId="77777777">
      <w:pPr>
        <w:pStyle w:val="NormalBold"/>
      </w:pPr>
      <w:r w:rsidRPr="00FC4A49">
        <w:rPr>
          <w:rStyle w:val="HideTWBExt"/>
          <w:b w:val="0"/>
        </w:rPr>
        <w:t>&lt;Article&gt;</w:t>
      </w:r>
      <w:r w:rsidRPr="00FC4A49">
        <w:t>Recital 1 f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911F3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CAC143B" w14:textId="77777777">
            <w:pPr>
              <w:keepNext/>
            </w:pPr>
          </w:p>
        </w:tc>
      </w:tr>
      <w:tr w14:paraId="4E88918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A6807C0" w14:textId="77777777">
            <w:pPr>
              <w:pStyle w:val="ColumnHeading"/>
              <w:keepNext/>
              <w:rPr>
                <w:lang w:val="en-GB"/>
              </w:rPr>
            </w:pPr>
            <w:r w:rsidRPr="00FC4A49">
              <w:rPr>
                <w:lang w:val="en-GB"/>
              </w:rPr>
              <w:t>Text proposed by the Commission</w:t>
            </w:r>
          </w:p>
        </w:tc>
        <w:tc>
          <w:tcPr>
            <w:tcW w:w="4876" w:type="dxa"/>
          </w:tcPr>
          <w:p w:rsidR="00343C6C" w:rsidRPr="00FC4A49" w:rsidP="005D58F9" w14:paraId="03FE517B" w14:textId="77777777">
            <w:pPr>
              <w:pStyle w:val="ColumnHeading"/>
              <w:keepNext/>
              <w:rPr>
                <w:lang w:val="en-GB"/>
              </w:rPr>
            </w:pPr>
            <w:r w:rsidRPr="00FC4A49">
              <w:rPr>
                <w:lang w:val="en-GB"/>
              </w:rPr>
              <w:t>Amendment</w:t>
            </w:r>
          </w:p>
        </w:tc>
      </w:tr>
      <w:tr w14:paraId="630515E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844E56D" w14:textId="77777777">
            <w:pPr>
              <w:pStyle w:val="Normal6"/>
              <w:rPr>
                <w:lang w:val="en-GB"/>
              </w:rPr>
            </w:pPr>
          </w:p>
        </w:tc>
        <w:tc>
          <w:tcPr>
            <w:tcW w:w="4876" w:type="dxa"/>
          </w:tcPr>
          <w:p w:rsidR="00343C6C" w:rsidRPr="00FC4A49" w:rsidP="005D58F9" w14:paraId="36227591" w14:textId="77777777">
            <w:pPr>
              <w:pStyle w:val="Normal6"/>
              <w:rPr>
                <w:szCs w:val="24"/>
                <w:lang w:val="en-GB"/>
              </w:rPr>
            </w:pPr>
            <w:r w:rsidRPr="00FC4A49">
              <w:rPr>
                <w:b/>
                <w:i/>
                <w:lang w:val="en-GB"/>
              </w:rPr>
              <w:t>(1f)</w:t>
            </w:r>
            <w:r w:rsidRPr="00FC4A49">
              <w:rPr>
                <w:b/>
                <w:i/>
                <w:lang w:val="en-GB"/>
              </w:rPr>
              <w:tab/>
              <w:t xml:space="preserve">Critical chemical products and intermediates constitute essential inputs for strategic industrial value chains within the Union, including value chains relevant to food safety, defence, pharmaceuticals, batteries, semiconductors, renewable energy technologies and the hydrogen economy. The loss of production capacity for such goods within the Union may have consequences extending beyond the individual installation concerned and may lead to disruptions in downstream industrial value chains, increased import dependency and reduced economic resilience of the Union. </w:t>
            </w:r>
            <w:r w:rsidRPr="00FC4A49">
              <w:rPr>
                <w:b/>
                <w:i/>
                <w:lang w:val="en-GB"/>
              </w:rPr>
              <w:t>Taking into account</w:t>
            </w:r>
            <w:r w:rsidRPr="00FC4A49">
              <w:rPr>
                <w:b/>
                <w:i/>
                <w:lang w:val="en-GB"/>
              </w:rPr>
              <w:t xml:space="preserve"> the critical chemical molecules, it is therefore appropriate, for a limited category of installations significantly involved in the production of goods belonging to critical chemical value chains, to provide specific treatment in respect of the updating of benchmark values applicable to free allocation.</w:t>
            </w:r>
          </w:p>
        </w:tc>
      </w:tr>
    </w:tbl>
    <w:p w:rsidR="00343C6C" w:rsidRPr="00FC4A49" w:rsidP="00343C6C" w14:paraId="552599FA"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E90F6F8" w14:textId="77777777">
      <w:r w:rsidRPr="00FC4A49">
        <w:rPr>
          <w:rStyle w:val="HideTWBExt"/>
        </w:rPr>
        <w:t>&lt;/Amend&gt;</w:t>
      </w:r>
    </w:p>
    <w:p w:rsidR="00343C6C" w:rsidRPr="00FC4A49" w:rsidP="00343C6C" w14:paraId="5F44DACD"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100</w:t>
      </w:r>
      <w:r w:rsidRPr="00FC4A49">
        <w:rPr>
          <w:rStyle w:val="HideTWBExt"/>
          <w:b w:val="0"/>
          <w:lang w:val="en-GB"/>
        </w:rPr>
        <w:t>&lt;/NumAm&gt;</w:t>
      </w:r>
    </w:p>
    <w:p w:rsidR="00343C6C" w:rsidRPr="00FC4A49" w:rsidP="00343C6C" w14:paraId="6F8AD7F1"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3C8B20DA" w14:textId="77777777">
      <w:r w:rsidRPr="00FC4A49">
        <w:rPr>
          <w:rStyle w:val="HideTWBExt"/>
        </w:rPr>
        <w:t>&lt;/RepeatBlock-By&gt;</w:t>
      </w:r>
    </w:p>
    <w:p w:rsidR="00343C6C" w:rsidRPr="00FC4A49" w:rsidP="00343C6C" w14:paraId="40781F0A"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B4BA649" w14:textId="77777777">
      <w:pPr>
        <w:pStyle w:val="NormalBold"/>
      </w:pPr>
      <w:r w:rsidRPr="00FC4A49">
        <w:rPr>
          <w:rStyle w:val="HideTWBExt"/>
          <w:b w:val="0"/>
        </w:rPr>
        <w:t>&lt;Article&gt;</w:t>
      </w:r>
      <w:r w:rsidRPr="00FC4A49">
        <w:t>Recital 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06EC8E"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0372EB1" w14:textId="77777777">
            <w:pPr>
              <w:keepNext/>
            </w:pPr>
          </w:p>
        </w:tc>
      </w:tr>
      <w:tr w14:paraId="0AFED0F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4ADDC88" w14:textId="77777777">
            <w:pPr>
              <w:pStyle w:val="ColumnHeading"/>
              <w:keepNext/>
              <w:rPr>
                <w:lang w:val="en-GB"/>
              </w:rPr>
            </w:pPr>
            <w:r w:rsidRPr="00FC4A49">
              <w:rPr>
                <w:lang w:val="en-GB"/>
              </w:rPr>
              <w:t>Text proposed by the Commission</w:t>
            </w:r>
          </w:p>
        </w:tc>
        <w:tc>
          <w:tcPr>
            <w:tcW w:w="4876" w:type="dxa"/>
          </w:tcPr>
          <w:p w:rsidR="00343C6C" w:rsidRPr="00FC4A49" w:rsidP="005D58F9" w14:paraId="1CF20036" w14:textId="77777777">
            <w:pPr>
              <w:pStyle w:val="ColumnHeading"/>
              <w:keepNext/>
              <w:rPr>
                <w:lang w:val="en-GB"/>
              </w:rPr>
            </w:pPr>
            <w:r w:rsidRPr="00FC4A49">
              <w:rPr>
                <w:lang w:val="en-GB"/>
              </w:rPr>
              <w:t>Amendment</w:t>
            </w:r>
          </w:p>
        </w:tc>
      </w:tr>
      <w:tr w14:paraId="21DA62F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CA25F4D" w14:textId="77777777">
            <w:pPr>
              <w:pStyle w:val="Normal6"/>
              <w:rPr>
                <w:lang w:val="en-GB"/>
              </w:rPr>
            </w:pPr>
            <w:r w:rsidRPr="00FC4A49">
              <w:rPr>
                <w:b/>
                <w:i/>
                <w:lang w:val="en-GB"/>
              </w:rPr>
              <w:t>(2)</w:t>
            </w:r>
            <w:r w:rsidRPr="00FC4A49">
              <w:rPr>
                <w:b/>
                <w:i/>
                <w:lang w:val="en-GB"/>
              </w:rPr>
              <w:tab/>
              <w:t>The urgency to maintain the efforts to achieve the Paris Agreement goal of 1,5 °C has become more significant following the findings of the Intergovernmental Panel on Climate Change in its Sixth Assessment Report that global warming can only be limited to 1,5 °C if strong and sustained reductions in global greenhouse gas emissions within this decade are immediately undertaken.</w:t>
            </w:r>
          </w:p>
        </w:tc>
        <w:tc>
          <w:tcPr>
            <w:tcW w:w="4876" w:type="dxa"/>
          </w:tcPr>
          <w:p w:rsidR="00343C6C" w:rsidRPr="00FC4A49" w:rsidP="005D58F9" w14:paraId="2C2EFE31" w14:textId="77777777">
            <w:pPr>
              <w:pStyle w:val="Normal6"/>
              <w:rPr>
                <w:szCs w:val="24"/>
                <w:lang w:val="en-GB"/>
              </w:rPr>
            </w:pPr>
            <w:r w:rsidRPr="00FC4A49">
              <w:rPr>
                <w:b/>
                <w:i/>
                <w:lang w:val="en-GB"/>
              </w:rPr>
              <w:t>deleted</w:t>
            </w:r>
          </w:p>
        </w:tc>
      </w:tr>
    </w:tbl>
    <w:p w:rsidR="00343C6C" w:rsidRPr="00FC4A49" w:rsidP="00343C6C" w14:paraId="521343F1"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482266D1" w14:textId="77777777">
      <w:r w:rsidRPr="00FC4A49">
        <w:rPr>
          <w:rStyle w:val="HideTWBExt"/>
        </w:rPr>
        <w:t>&lt;/Amend&gt;</w:t>
      </w:r>
    </w:p>
    <w:p w:rsidR="00343C6C" w:rsidRPr="00FC4A49" w:rsidP="00343C6C" w14:paraId="4417732D"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101</w:t>
      </w:r>
      <w:r w:rsidRPr="00FC4A49">
        <w:rPr>
          <w:rStyle w:val="HideTWBExt"/>
          <w:b w:val="0"/>
          <w:lang w:val="en-GB"/>
        </w:rPr>
        <w:t>&lt;/NumAm&gt;</w:t>
      </w:r>
    </w:p>
    <w:p w:rsidR="00343C6C" w:rsidRPr="00FC4A49" w:rsidP="00343C6C" w14:paraId="52AA6062" w14:textId="77777777">
      <w:pPr>
        <w:pStyle w:val="NormalBold"/>
      </w:pPr>
      <w:r w:rsidRPr="00FC4A49">
        <w:rPr>
          <w:rStyle w:val="HideTWBExt"/>
          <w:b w:val="0"/>
        </w:rPr>
        <w:t>&lt;RepeatBlock-By&gt;&lt;Members&gt;</w:t>
      </w:r>
      <w:r w:rsidRPr="00FC4A49">
        <w:t>Silvia Sardone, Mathilde Androuët, Roman Haider, Antonín Staněk, Marie-Luce Brasier-Clain, Susanna Ceccardi, Barbara Bonte</w:t>
      </w:r>
      <w:r w:rsidRPr="00FC4A49">
        <w:rPr>
          <w:rStyle w:val="HideTWBExt"/>
          <w:b w:val="0"/>
        </w:rPr>
        <w:t>&lt;/Members&gt;</w:t>
      </w:r>
    </w:p>
    <w:p w:rsidR="00343C6C" w:rsidRPr="00FC4A49" w:rsidP="00343C6C" w14:paraId="6D40840A" w14:textId="77777777">
      <w:r w:rsidRPr="00FC4A49">
        <w:rPr>
          <w:rStyle w:val="HideTWBExt"/>
        </w:rPr>
        <w:t>&lt;/RepeatBlock-By&gt;</w:t>
      </w:r>
    </w:p>
    <w:p w:rsidR="00343C6C" w:rsidRPr="00FC4A49" w:rsidP="00343C6C" w14:paraId="5F1657CF"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7339ADB" w14:textId="77777777">
      <w:pPr>
        <w:pStyle w:val="NormalBold"/>
      </w:pPr>
      <w:r w:rsidRPr="00FC4A49">
        <w:rPr>
          <w:rStyle w:val="HideTWBExt"/>
          <w:b w:val="0"/>
        </w:rPr>
        <w:t>&lt;Article&gt;</w:t>
      </w:r>
      <w:r w:rsidRPr="00FC4A49">
        <w:t>Recital 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47ECD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1C8AAAA" w14:textId="77777777">
            <w:pPr>
              <w:keepNext/>
            </w:pPr>
          </w:p>
        </w:tc>
      </w:tr>
      <w:tr w14:paraId="6165C14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455A69C" w14:textId="77777777">
            <w:pPr>
              <w:pStyle w:val="ColumnHeading"/>
              <w:keepNext/>
              <w:rPr>
                <w:lang w:val="en-GB"/>
              </w:rPr>
            </w:pPr>
            <w:r w:rsidRPr="00FC4A49">
              <w:rPr>
                <w:lang w:val="en-GB"/>
              </w:rPr>
              <w:t>Text proposed by the Commission</w:t>
            </w:r>
          </w:p>
        </w:tc>
        <w:tc>
          <w:tcPr>
            <w:tcW w:w="4876" w:type="dxa"/>
          </w:tcPr>
          <w:p w:rsidR="00343C6C" w:rsidRPr="00FC4A49" w:rsidP="005D58F9" w14:paraId="34E5727C" w14:textId="77777777">
            <w:pPr>
              <w:pStyle w:val="ColumnHeading"/>
              <w:keepNext/>
              <w:rPr>
                <w:lang w:val="en-GB"/>
              </w:rPr>
            </w:pPr>
            <w:r w:rsidRPr="00FC4A49">
              <w:rPr>
                <w:lang w:val="en-GB"/>
              </w:rPr>
              <w:t>Amendment</w:t>
            </w:r>
          </w:p>
        </w:tc>
      </w:tr>
      <w:tr w14:paraId="26CE202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7B4D6E1" w14:textId="77777777">
            <w:pPr>
              <w:pStyle w:val="Normal6"/>
              <w:rPr>
                <w:lang w:val="en-GB"/>
              </w:rPr>
            </w:pPr>
            <w:r w:rsidRPr="00FC4A49">
              <w:rPr>
                <w:b/>
                <w:i/>
                <w:lang w:val="en-GB"/>
              </w:rPr>
              <w:t>(2)</w:t>
            </w:r>
            <w:r w:rsidRPr="00FC4A49">
              <w:rPr>
                <w:b/>
                <w:i/>
                <w:lang w:val="en-GB"/>
              </w:rPr>
              <w:tab/>
              <w:t>The urgency to maintain the efforts to achieve the Paris Agreement goal of 1,5 °C has become more significant following the findings of the Intergovernmental Panel on Climate Change in its Sixth Assessment Report that global warming can only be limited to 1,5 °C if strong and sustained reductions in global greenhouse gas emissions within this decade are immediately undertaken.</w:t>
            </w:r>
          </w:p>
        </w:tc>
        <w:tc>
          <w:tcPr>
            <w:tcW w:w="4876" w:type="dxa"/>
          </w:tcPr>
          <w:p w:rsidR="00343C6C" w:rsidRPr="00FC4A49" w:rsidP="005D58F9" w14:paraId="0FA4228C" w14:textId="77777777">
            <w:pPr>
              <w:pStyle w:val="Normal6"/>
              <w:rPr>
                <w:szCs w:val="24"/>
                <w:lang w:val="en-GB"/>
              </w:rPr>
            </w:pPr>
            <w:r w:rsidRPr="00FC4A49">
              <w:rPr>
                <w:b/>
                <w:i/>
                <w:lang w:val="en-GB"/>
              </w:rPr>
              <w:t>deleted</w:t>
            </w:r>
          </w:p>
        </w:tc>
      </w:tr>
    </w:tbl>
    <w:p w:rsidR="00343C6C" w:rsidRPr="00FC4A49" w:rsidP="00343C6C" w14:paraId="4CB4B3CA"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B621FA1" w14:textId="77777777">
      <w:r w:rsidRPr="00FC4A49">
        <w:rPr>
          <w:rStyle w:val="HideTWBExt"/>
        </w:rPr>
        <w:t>&lt;/Amend&gt;</w:t>
      </w:r>
    </w:p>
    <w:p w:rsidR="00343C6C" w:rsidRPr="00FC4A49" w:rsidP="00343C6C" w14:paraId="7337411D"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102</w:t>
      </w:r>
      <w:r w:rsidRPr="00FC4A49">
        <w:rPr>
          <w:rStyle w:val="HideTWBExt"/>
          <w:b w:val="0"/>
          <w:lang w:val="en-GB"/>
        </w:rPr>
        <w:t>&lt;/NumAm&gt;</w:t>
      </w:r>
    </w:p>
    <w:p w:rsidR="00343C6C" w:rsidRPr="00FC4A49" w:rsidP="00343C6C" w14:paraId="29C9F178" w14:textId="77777777">
      <w:pPr>
        <w:pStyle w:val="NormalBold"/>
      </w:pPr>
      <w:r w:rsidRPr="00FC4A49">
        <w:rPr>
          <w:rStyle w:val="HideTWBExt"/>
          <w:b w:val="0"/>
        </w:rPr>
        <w:t>&lt;RepeatBlock-By&gt;&lt;Members&gt;</w:t>
      </w:r>
      <w:r w:rsidRPr="00FC4A49">
        <w:t>Ondřej Knotek, Jana Nagyová, Antonín Staněk, Roman Haider, Viktória Ferenc</w:t>
      </w:r>
      <w:r w:rsidRPr="00FC4A49">
        <w:rPr>
          <w:rStyle w:val="HideTWBExt"/>
          <w:b w:val="0"/>
        </w:rPr>
        <w:t>&lt;/Members&gt;</w:t>
      </w:r>
    </w:p>
    <w:p w:rsidR="00343C6C" w:rsidRPr="00FC4A49" w:rsidP="00343C6C" w14:paraId="43414CDB" w14:textId="77777777">
      <w:r w:rsidRPr="00FC4A49">
        <w:rPr>
          <w:rStyle w:val="HideTWBExt"/>
        </w:rPr>
        <w:t>&lt;/RepeatBlock-By&gt;</w:t>
      </w:r>
    </w:p>
    <w:p w:rsidR="00343C6C" w:rsidRPr="00FC4A49" w:rsidP="00343C6C" w14:paraId="3B2E333E"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670A883" w14:textId="77777777">
      <w:pPr>
        <w:pStyle w:val="NormalBold"/>
      </w:pPr>
      <w:r w:rsidRPr="00FC4A49">
        <w:rPr>
          <w:rStyle w:val="HideTWBExt"/>
          <w:b w:val="0"/>
        </w:rPr>
        <w:t>&lt;Article&gt;</w:t>
      </w:r>
      <w:r w:rsidRPr="00FC4A49">
        <w:t>Recital 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BE0A0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AFDA55F" w14:textId="77777777">
            <w:pPr>
              <w:keepNext/>
            </w:pPr>
          </w:p>
        </w:tc>
      </w:tr>
      <w:tr w14:paraId="188AF7A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89454B6" w14:textId="77777777">
            <w:pPr>
              <w:pStyle w:val="ColumnHeading"/>
              <w:keepNext/>
              <w:rPr>
                <w:lang w:val="en-GB"/>
              </w:rPr>
            </w:pPr>
            <w:r w:rsidRPr="00FC4A49">
              <w:rPr>
                <w:lang w:val="en-GB"/>
              </w:rPr>
              <w:t>Text proposed by the Commission</w:t>
            </w:r>
          </w:p>
        </w:tc>
        <w:tc>
          <w:tcPr>
            <w:tcW w:w="4876" w:type="dxa"/>
          </w:tcPr>
          <w:p w:rsidR="00343C6C" w:rsidRPr="00FC4A49" w:rsidP="005D58F9" w14:paraId="7D82A899" w14:textId="77777777">
            <w:pPr>
              <w:pStyle w:val="ColumnHeading"/>
              <w:keepNext/>
              <w:rPr>
                <w:lang w:val="en-GB"/>
              </w:rPr>
            </w:pPr>
            <w:r w:rsidRPr="00FC4A49">
              <w:rPr>
                <w:lang w:val="en-GB"/>
              </w:rPr>
              <w:t>Amendment</w:t>
            </w:r>
          </w:p>
        </w:tc>
      </w:tr>
      <w:tr w14:paraId="3407E59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64BCE76" w14:textId="77777777">
            <w:pPr>
              <w:pStyle w:val="Normal6"/>
              <w:rPr>
                <w:lang w:val="en-GB"/>
              </w:rPr>
            </w:pPr>
            <w:r w:rsidRPr="00FC4A49">
              <w:rPr>
                <w:b/>
                <w:i/>
                <w:lang w:val="en-GB"/>
              </w:rPr>
              <w:t>(2)</w:t>
            </w:r>
            <w:r w:rsidRPr="00FC4A49">
              <w:rPr>
                <w:b/>
                <w:i/>
                <w:lang w:val="en-GB"/>
              </w:rPr>
              <w:tab/>
              <w:t>The urgency to maintain the efforts to achieve the Paris Agreement goal of 1,5 °C has become more significant following the findings of the Intergovernmental Panel on Climate Change in its Sixth Assessment Report that global warming can only be limited to 1,5 °C if strong and sustained reductions in global greenhouse gas emissions within this decade are immediately undertaken.</w:t>
            </w:r>
          </w:p>
        </w:tc>
        <w:tc>
          <w:tcPr>
            <w:tcW w:w="4876" w:type="dxa"/>
          </w:tcPr>
          <w:p w:rsidR="00343C6C" w:rsidRPr="00FC4A49" w:rsidP="005D58F9" w14:paraId="453C43F5" w14:textId="77777777">
            <w:pPr>
              <w:pStyle w:val="Normal6"/>
              <w:rPr>
                <w:szCs w:val="24"/>
                <w:lang w:val="en-GB"/>
              </w:rPr>
            </w:pPr>
            <w:r w:rsidRPr="00FC4A49">
              <w:rPr>
                <w:b/>
                <w:i/>
                <w:lang w:val="en-GB"/>
              </w:rPr>
              <w:t>deleted</w:t>
            </w:r>
          </w:p>
        </w:tc>
      </w:tr>
    </w:tbl>
    <w:p w:rsidR="00343C6C" w:rsidRPr="00FC4A49" w:rsidP="00343C6C" w14:paraId="2DFFDF06"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C1BA4BF" w14:textId="77777777">
      <w:r w:rsidRPr="00FC4A49">
        <w:rPr>
          <w:rStyle w:val="HideTWBExt"/>
        </w:rPr>
        <w:t>&lt;/Amend&gt;</w:t>
      </w:r>
    </w:p>
    <w:p w:rsidR="00343C6C" w:rsidRPr="00FC4A49" w:rsidP="00343C6C" w14:paraId="658B2B44"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103</w:t>
      </w:r>
      <w:r w:rsidRPr="00FC4A49">
        <w:rPr>
          <w:rStyle w:val="HideTWBExt"/>
          <w:b w:val="0"/>
          <w:lang w:val="en-GB"/>
        </w:rPr>
        <w:t>&lt;/NumAm&gt;</w:t>
      </w:r>
    </w:p>
    <w:p w:rsidR="00343C6C" w:rsidRPr="00FC4A49" w:rsidP="00343C6C" w14:paraId="2707CF9C" w14:textId="77777777">
      <w:pPr>
        <w:pStyle w:val="NormalBold"/>
      </w:pPr>
      <w:r w:rsidRPr="00FC4A49">
        <w:rPr>
          <w:rStyle w:val="HideTWBExt"/>
          <w:b w:val="0"/>
        </w:rPr>
        <w:t>&lt;RepeatBlock-By&gt;&lt;Members&gt;</w:t>
      </w:r>
      <w:r w:rsidRPr="00FC4A49">
        <w:t>Alexandr Vondra</w:t>
      </w:r>
      <w:r w:rsidRPr="00FC4A49">
        <w:rPr>
          <w:rStyle w:val="HideTWBExt"/>
          <w:b w:val="0"/>
        </w:rPr>
        <w:t>&lt;/Members&gt;</w:t>
      </w:r>
    </w:p>
    <w:p w:rsidR="00343C6C" w:rsidRPr="00FC4A49" w:rsidP="00343C6C" w14:paraId="71B44978" w14:textId="77777777">
      <w:r w:rsidRPr="00FC4A49">
        <w:rPr>
          <w:rStyle w:val="HideTWBExt"/>
        </w:rPr>
        <w:t>&lt;AuNomDe&gt;</w:t>
      </w:r>
      <w:r w:rsidRPr="00FC4A49">
        <w:rPr>
          <w:rStyle w:val="HideTWBInt"/>
        </w:rPr>
        <w:t>{ECR}</w:t>
      </w:r>
      <w:r w:rsidRPr="00FC4A49">
        <w:t>on behalf of the ECR Group</w:t>
      </w:r>
      <w:r w:rsidRPr="00FC4A49">
        <w:rPr>
          <w:rStyle w:val="HideTWBExt"/>
        </w:rPr>
        <w:t>&lt;/AuNomDe&gt;</w:t>
      </w:r>
    </w:p>
    <w:p w:rsidR="00343C6C" w:rsidRPr="00FC4A49" w:rsidP="00343C6C" w14:paraId="2C736A78" w14:textId="77777777">
      <w:pPr>
        <w:pStyle w:val="NormalBold"/>
      </w:pPr>
      <w:r w:rsidRPr="00FC4A49">
        <w:rPr>
          <w:rStyle w:val="HideTWBExt"/>
          <w:b w:val="0"/>
        </w:rPr>
        <w:t>&lt;Members&gt;</w:t>
      </w:r>
      <w:r w:rsidRPr="00FC4A49">
        <w:t xml:space="preserve">Ondřej Krutílek, Anna Zalewska, Aurelijus </w:t>
      </w:r>
      <w:r w:rsidRPr="00FC4A49">
        <w:t>Veryga</w:t>
      </w:r>
      <w:r w:rsidRPr="00FC4A49">
        <w:t xml:space="preserve">, Laurence Trochu, Adrian-George </w:t>
      </w:r>
      <w:r w:rsidRPr="00FC4A49">
        <w:t>Axinia</w:t>
      </w:r>
      <w:r w:rsidRPr="00FC4A49">
        <w:rPr>
          <w:rStyle w:val="HideTWBExt"/>
          <w:b w:val="0"/>
        </w:rPr>
        <w:t>&lt;/Members&gt;</w:t>
      </w:r>
    </w:p>
    <w:p w:rsidR="00343C6C" w:rsidRPr="00FC4A49" w:rsidP="00343C6C" w14:paraId="62C84A65" w14:textId="77777777">
      <w:r w:rsidRPr="00FC4A49">
        <w:rPr>
          <w:rStyle w:val="HideTWBExt"/>
        </w:rPr>
        <w:t>&lt;/RepeatBlock-By&gt;</w:t>
      </w:r>
    </w:p>
    <w:p w:rsidR="00343C6C" w:rsidRPr="00FC4A49" w:rsidP="00343C6C" w14:paraId="38DAE580"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0A32D0D" w14:textId="77777777">
      <w:pPr>
        <w:pStyle w:val="NormalBold"/>
      </w:pPr>
      <w:r w:rsidRPr="00FC4A49">
        <w:rPr>
          <w:rStyle w:val="HideTWBExt"/>
          <w:b w:val="0"/>
        </w:rPr>
        <w:t>&lt;Article&gt;</w:t>
      </w:r>
      <w:r w:rsidRPr="00FC4A49">
        <w:t>Recital 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1EF71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F04257C" w14:textId="77777777">
            <w:pPr>
              <w:keepNext/>
            </w:pPr>
          </w:p>
        </w:tc>
      </w:tr>
      <w:tr w14:paraId="413311E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7FAF10B" w14:textId="77777777">
            <w:pPr>
              <w:pStyle w:val="ColumnHeading"/>
              <w:keepNext/>
              <w:rPr>
                <w:lang w:val="en-GB"/>
              </w:rPr>
            </w:pPr>
            <w:r w:rsidRPr="00FC4A49">
              <w:rPr>
                <w:lang w:val="en-GB"/>
              </w:rPr>
              <w:t>Text proposed by the Commission</w:t>
            </w:r>
          </w:p>
        </w:tc>
        <w:tc>
          <w:tcPr>
            <w:tcW w:w="4876" w:type="dxa"/>
          </w:tcPr>
          <w:p w:rsidR="00343C6C" w:rsidRPr="00FC4A49" w:rsidP="005D58F9" w14:paraId="50FE2736" w14:textId="77777777">
            <w:pPr>
              <w:pStyle w:val="ColumnHeading"/>
              <w:keepNext/>
              <w:rPr>
                <w:lang w:val="en-GB"/>
              </w:rPr>
            </w:pPr>
            <w:r w:rsidRPr="00FC4A49">
              <w:rPr>
                <w:lang w:val="en-GB"/>
              </w:rPr>
              <w:t>Amendment</w:t>
            </w:r>
          </w:p>
        </w:tc>
      </w:tr>
      <w:tr w14:paraId="29CF054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F423869" w14:textId="77777777">
            <w:pPr>
              <w:pStyle w:val="Normal6"/>
              <w:rPr>
                <w:lang w:val="en-GB"/>
              </w:rPr>
            </w:pPr>
            <w:r w:rsidRPr="00FC4A49">
              <w:rPr>
                <w:lang w:val="en-GB"/>
              </w:rPr>
              <w:t>(2)</w:t>
            </w:r>
            <w:r w:rsidRPr="00FC4A49">
              <w:rPr>
                <w:lang w:val="en-GB"/>
              </w:rPr>
              <w:tab/>
            </w:r>
            <w:r w:rsidRPr="00FC4A49">
              <w:rPr>
                <w:b/>
                <w:i/>
                <w:lang w:val="en-GB"/>
              </w:rPr>
              <w:t>The urgency to maintain</w:t>
            </w:r>
            <w:r w:rsidRPr="00FC4A49">
              <w:rPr>
                <w:lang w:val="en-GB"/>
              </w:rPr>
              <w:t xml:space="preserve"> the efforts to achieve the Paris Agreement goal of 1,5 °C </w:t>
            </w:r>
            <w:r w:rsidRPr="00FC4A49">
              <w:rPr>
                <w:b/>
                <w:i/>
                <w:lang w:val="en-GB"/>
              </w:rPr>
              <w:t>has become more significant following the findings of the Intergovernmental Panel on Climate Change in its Sixth Assessment Report that global warming can only be limited to 1,5 °C if strong and sustained reductions in</w:t>
            </w:r>
            <w:r w:rsidRPr="00FC4A49">
              <w:rPr>
                <w:lang w:val="en-GB"/>
              </w:rPr>
              <w:t xml:space="preserve"> global greenhouse gas </w:t>
            </w:r>
            <w:r w:rsidRPr="00FC4A49">
              <w:rPr>
                <w:b/>
                <w:i/>
                <w:lang w:val="en-GB"/>
              </w:rPr>
              <w:t>emissions within this decade are immediately undertaken</w:t>
            </w:r>
            <w:r w:rsidRPr="00FC4A49">
              <w:rPr>
                <w:lang w:val="en-GB"/>
              </w:rPr>
              <w:t>.</w:t>
            </w:r>
          </w:p>
        </w:tc>
        <w:tc>
          <w:tcPr>
            <w:tcW w:w="4876" w:type="dxa"/>
          </w:tcPr>
          <w:p w:rsidR="00343C6C" w:rsidRPr="00FC4A49" w:rsidP="005D58F9" w14:paraId="0A7AF328" w14:textId="77777777">
            <w:pPr>
              <w:pStyle w:val="Normal6"/>
              <w:rPr>
                <w:szCs w:val="24"/>
                <w:lang w:val="en-GB"/>
              </w:rPr>
            </w:pPr>
            <w:r w:rsidRPr="00FC4A49">
              <w:rPr>
                <w:lang w:val="en-GB"/>
              </w:rPr>
              <w:t>(2)</w:t>
            </w:r>
            <w:r w:rsidRPr="00FC4A49">
              <w:rPr>
                <w:lang w:val="en-GB"/>
              </w:rPr>
              <w:tab/>
              <w:t xml:space="preserve">The efforts to achieve the Paris Agreement goal of 1,5 °C </w:t>
            </w:r>
            <w:r w:rsidRPr="00FC4A49">
              <w:rPr>
                <w:b/>
                <w:i/>
                <w:lang w:val="en-GB"/>
              </w:rPr>
              <w:t>should reflect</w:t>
            </w:r>
            <w:r w:rsidRPr="00FC4A49">
              <w:rPr>
                <w:lang w:val="en-GB"/>
              </w:rPr>
              <w:t xml:space="preserve"> global greenhouse gas </w:t>
            </w:r>
            <w:r w:rsidRPr="00FC4A49">
              <w:rPr>
                <w:b/>
                <w:i/>
                <w:lang w:val="en-GB"/>
              </w:rPr>
              <w:t>emission reduction efforts, as well as global challenges, dependencies on critical raw materials and/or rare earth materials needed for the transition, supply chain disruptions and the financial and social aspect of carbon pricing</w:t>
            </w:r>
            <w:r w:rsidRPr="00FC4A49">
              <w:rPr>
                <w:lang w:val="en-GB"/>
              </w:rPr>
              <w:t>.</w:t>
            </w:r>
          </w:p>
        </w:tc>
      </w:tr>
    </w:tbl>
    <w:p w:rsidR="00343C6C" w:rsidRPr="00FC4A49" w:rsidP="00343C6C" w14:paraId="060AFE31"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EC65F83" w14:textId="77777777">
      <w:r w:rsidRPr="00FC4A49">
        <w:rPr>
          <w:rStyle w:val="HideTWBExt"/>
        </w:rPr>
        <w:t>&lt;/Amend&gt;</w:t>
      </w:r>
    </w:p>
    <w:p w:rsidR="00343C6C" w:rsidRPr="00FC4A49" w:rsidP="00343C6C" w14:paraId="060E26AE"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104</w:t>
      </w:r>
      <w:r w:rsidRPr="00FC4A49">
        <w:rPr>
          <w:rStyle w:val="HideTWBExt"/>
          <w:b w:val="0"/>
          <w:lang w:val="en-GB"/>
        </w:rPr>
        <w:t>&lt;/NumAm&gt;</w:t>
      </w:r>
    </w:p>
    <w:p w:rsidR="00343C6C" w:rsidRPr="00FC4A49" w:rsidP="00343C6C" w14:paraId="67EE8C98"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45948394" w14:textId="77777777">
      <w:r w:rsidRPr="00FC4A49">
        <w:rPr>
          <w:rStyle w:val="HideTWBExt"/>
        </w:rPr>
        <w:t>&lt;/RepeatBlock-By&gt;</w:t>
      </w:r>
    </w:p>
    <w:p w:rsidR="00343C6C" w:rsidRPr="00FC4A49" w:rsidP="00343C6C" w14:paraId="6D888EDE"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ADDCD24" w14:textId="77777777">
      <w:pPr>
        <w:pStyle w:val="NormalBold"/>
      </w:pPr>
      <w:r w:rsidRPr="00FC4A49">
        <w:rPr>
          <w:rStyle w:val="HideTWBExt"/>
          <w:b w:val="0"/>
        </w:rPr>
        <w:t>&lt;Article&gt;</w:t>
      </w:r>
      <w:r w:rsidRPr="00FC4A49">
        <w:t>Recital 3</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E8A20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A13A689" w14:textId="77777777">
            <w:pPr>
              <w:keepNext/>
            </w:pPr>
          </w:p>
        </w:tc>
      </w:tr>
      <w:tr w14:paraId="528CB4D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D9D7CC1" w14:textId="77777777">
            <w:pPr>
              <w:pStyle w:val="ColumnHeading"/>
              <w:keepNext/>
              <w:rPr>
                <w:lang w:val="en-GB"/>
              </w:rPr>
            </w:pPr>
            <w:r w:rsidRPr="00FC4A49">
              <w:rPr>
                <w:lang w:val="en-GB"/>
              </w:rPr>
              <w:t>Text proposed by the Commission</w:t>
            </w:r>
          </w:p>
        </w:tc>
        <w:tc>
          <w:tcPr>
            <w:tcW w:w="4876" w:type="dxa"/>
          </w:tcPr>
          <w:p w:rsidR="00343C6C" w:rsidRPr="00FC4A49" w:rsidP="005D58F9" w14:paraId="5DC7BC39" w14:textId="77777777">
            <w:pPr>
              <w:pStyle w:val="ColumnHeading"/>
              <w:keepNext/>
              <w:rPr>
                <w:lang w:val="en-GB"/>
              </w:rPr>
            </w:pPr>
            <w:r w:rsidRPr="00FC4A49">
              <w:rPr>
                <w:lang w:val="en-GB"/>
              </w:rPr>
              <w:t>Amendment</w:t>
            </w:r>
          </w:p>
        </w:tc>
      </w:tr>
      <w:tr w14:paraId="2C3BEA0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B019528" w14:textId="77777777">
            <w:pPr>
              <w:pStyle w:val="Normal6"/>
              <w:rPr>
                <w:lang w:val="en-GB"/>
              </w:rPr>
            </w:pPr>
            <w:r w:rsidRPr="00FC4A49">
              <w:rPr>
                <w:b/>
                <w:i/>
                <w:lang w:val="en-GB"/>
              </w:rPr>
              <w:t>(3)</w:t>
            </w:r>
            <w:r w:rsidRPr="00FC4A49">
              <w:rPr>
                <w:b/>
                <w:i/>
                <w:lang w:val="en-GB"/>
              </w:rPr>
              <w:tab/>
              <w:t>On 5 November 2025, the Union submitted its nationally determined contribution (NDC) to the UNFCCC, following its approval by the Council. The NDC indicates that, following the setting of the target for 2040 climate target of the Union, and in line with the foreseen reviews, the Commission will prepare a climate policy architecture for beyond 2030, and prepare the proposals for this policy framework that will be needed to deliver the 2040 target in a fair and cost-efficient manner.</w:t>
            </w:r>
          </w:p>
        </w:tc>
        <w:tc>
          <w:tcPr>
            <w:tcW w:w="4876" w:type="dxa"/>
          </w:tcPr>
          <w:p w:rsidR="00343C6C" w:rsidRPr="00FC4A49" w:rsidP="005D58F9" w14:paraId="06C41A91" w14:textId="77777777">
            <w:pPr>
              <w:pStyle w:val="Normal6"/>
              <w:rPr>
                <w:szCs w:val="24"/>
                <w:lang w:val="en-GB"/>
              </w:rPr>
            </w:pPr>
            <w:r w:rsidRPr="00FC4A49">
              <w:rPr>
                <w:b/>
                <w:i/>
                <w:lang w:val="en-GB"/>
              </w:rPr>
              <w:t>deleted</w:t>
            </w:r>
          </w:p>
        </w:tc>
      </w:tr>
    </w:tbl>
    <w:p w:rsidR="00343C6C" w:rsidRPr="00FC4A49" w:rsidP="00343C6C" w14:paraId="118E78C6"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21BBF011" w14:textId="77777777">
      <w:r w:rsidRPr="00FC4A49">
        <w:rPr>
          <w:rStyle w:val="HideTWBExt"/>
        </w:rPr>
        <w:t>&lt;/Amend&gt;</w:t>
      </w:r>
    </w:p>
    <w:p w:rsidR="00343C6C" w:rsidRPr="00FC4A49" w:rsidP="00343C6C" w14:paraId="7459A2F8"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105</w:t>
      </w:r>
      <w:r w:rsidRPr="00FC4A49">
        <w:rPr>
          <w:rStyle w:val="HideTWBExt"/>
          <w:b w:val="0"/>
          <w:lang w:val="en-GB"/>
        </w:rPr>
        <w:t>&lt;/NumAm&gt;</w:t>
      </w:r>
    </w:p>
    <w:p w:rsidR="00343C6C" w:rsidRPr="00FC4A49" w:rsidP="00343C6C" w14:paraId="2DCDF53D" w14:textId="77777777">
      <w:pPr>
        <w:pStyle w:val="NormalBold"/>
      </w:pPr>
      <w:r w:rsidRPr="00FC4A49">
        <w:rPr>
          <w:rStyle w:val="HideTWBExt"/>
          <w:b w:val="0"/>
        </w:rPr>
        <w:t>&lt;RepeatBlock-By&gt;&lt;Members&gt;</w:t>
      </w:r>
      <w:r w:rsidRPr="00FC4A49">
        <w:t>Silvia Sardone, Mathilde Androuët, Roman Haider, Antonín Staněk, Marie-Luce Brasier-Clain, Susanna Ceccardi, Barbara Bonte</w:t>
      </w:r>
      <w:r w:rsidRPr="00FC4A49">
        <w:rPr>
          <w:rStyle w:val="HideTWBExt"/>
          <w:b w:val="0"/>
        </w:rPr>
        <w:t>&lt;/Members&gt;</w:t>
      </w:r>
    </w:p>
    <w:p w:rsidR="00343C6C" w:rsidRPr="00FC4A49" w:rsidP="00343C6C" w14:paraId="5145E36D" w14:textId="77777777">
      <w:r w:rsidRPr="00FC4A49">
        <w:rPr>
          <w:rStyle w:val="HideTWBExt"/>
        </w:rPr>
        <w:t>&lt;/RepeatBlock-By&gt;</w:t>
      </w:r>
    </w:p>
    <w:p w:rsidR="00343C6C" w:rsidRPr="00FC4A49" w:rsidP="00343C6C" w14:paraId="0132A445"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ED48C1D" w14:textId="77777777">
      <w:pPr>
        <w:pStyle w:val="NormalBold"/>
      </w:pPr>
      <w:r w:rsidRPr="00FC4A49">
        <w:rPr>
          <w:rStyle w:val="HideTWBExt"/>
          <w:b w:val="0"/>
        </w:rPr>
        <w:t>&lt;Article&gt;</w:t>
      </w:r>
      <w:r w:rsidRPr="00FC4A49">
        <w:t>Recital 3</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DCF168"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B0FEBFD" w14:textId="77777777">
            <w:pPr>
              <w:keepNext/>
            </w:pPr>
          </w:p>
        </w:tc>
      </w:tr>
      <w:tr w14:paraId="721A0BC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3261695" w14:textId="77777777">
            <w:pPr>
              <w:pStyle w:val="ColumnHeading"/>
              <w:keepNext/>
              <w:rPr>
                <w:lang w:val="en-GB"/>
              </w:rPr>
            </w:pPr>
            <w:r w:rsidRPr="00FC4A49">
              <w:rPr>
                <w:lang w:val="en-GB"/>
              </w:rPr>
              <w:t>Text proposed by the Commission</w:t>
            </w:r>
          </w:p>
        </w:tc>
        <w:tc>
          <w:tcPr>
            <w:tcW w:w="4876" w:type="dxa"/>
          </w:tcPr>
          <w:p w:rsidR="00343C6C" w:rsidRPr="00FC4A49" w:rsidP="005D58F9" w14:paraId="273D34A9" w14:textId="77777777">
            <w:pPr>
              <w:pStyle w:val="ColumnHeading"/>
              <w:keepNext/>
              <w:rPr>
                <w:lang w:val="en-GB"/>
              </w:rPr>
            </w:pPr>
            <w:r w:rsidRPr="00FC4A49">
              <w:rPr>
                <w:lang w:val="en-GB"/>
              </w:rPr>
              <w:t>Amendment</w:t>
            </w:r>
          </w:p>
        </w:tc>
      </w:tr>
      <w:tr w14:paraId="01DA72E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C4225E8" w14:textId="77777777">
            <w:pPr>
              <w:pStyle w:val="Normal6"/>
              <w:rPr>
                <w:lang w:val="en-GB"/>
              </w:rPr>
            </w:pPr>
            <w:r w:rsidRPr="00FC4A49">
              <w:rPr>
                <w:b/>
                <w:i/>
                <w:lang w:val="en-GB"/>
              </w:rPr>
              <w:t>(3)</w:t>
            </w:r>
            <w:r w:rsidRPr="00FC4A49">
              <w:rPr>
                <w:b/>
                <w:i/>
                <w:lang w:val="en-GB"/>
              </w:rPr>
              <w:tab/>
              <w:t>On 5 November 2025, the Union submitted its nationally determined contribution (NDC) to the UNFCCC, following its approval by the Council. The NDC indicates that, following the setting of the target for 2040 climate target of the Union, and in line with the foreseen reviews, the Commission will prepare a climate policy architecture for beyond 2030, and prepare the proposals for this policy framework that will be needed to deliver the 2040 target in a fair and cost-efficient manner.</w:t>
            </w:r>
          </w:p>
        </w:tc>
        <w:tc>
          <w:tcPr>
            <w:tcW w:w="4876" w:type="dxa"/>
          </w:tcPr>
          <w:p w:rsidR="00343C6C" w:rsidRPr="00FC4A49" w:rsidP="005D58F9" w14:paraId="40B52F0A" w14:textId="77777777">
            <w:pPr>
              <w:pStyle w:val="Normal6"/>
              <w:rPr>
                <w:szCs w:val="24"/>
                <w:lang w:val="en-GB"/>
              </w:rPr>
            </w:pPr>
            <w:r w:rsidRPr="00FC4A49">
              <w:rPr>
                <w:b/>
                <w:i/>
                <w:lang w:val="en-GB"/>
              </w:rPr>
              <w:t>deleted</w:t>
            </w:r>
          </w:p>
        </w:tc>
      </w:tr>
    </w:tbl>
    <w:p w:rsidR="00343C6C" w:rsidRPr="00FC4A49" w:rsidP="00343C6C" w14:paraId="3477648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3579F7A" w14:textId="77777777">
      <w:r w:rsidRPr="00FC4A49">
        <w:rPr>
          <w:rStyle w:val="HideTWBExt"/>
        </w:rPr>
        <w:t>&lt;/Amend&gt;</w:t>
      </w:r>
    </w:p>
    <w:p w:rsidR="00343C6C" w:rsidRPr="00FC4A49" w:rsidP="00343C6C" w14:paraId="3931B52B"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106</w:t>
      </w:r>
      <w:r w:rsidRPr="00FC4A49">
        <w:rPr>
          <w:rStyle w:val="HideTWBExt"/>
          <w:b w:val="0"/>
          <w:lang w:val="en-GB"/>
        </w:rPr>
        <w:t>&lt;/NumAm&gt;</w:t>
      </w:r>
    </w:p>
    <w:p w:rsidR="00343C6C" w:rsidRPr="00FC4A49" w:rsidP="00343C6C" w14:paraId="42FFFFF2"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720AD222" w14:textId="77777777">
      <w:r w:rsidRPr="00FC4A49">
        <w:rPr>
          <w:rStyle w:val="HideTWBExt"/>
        </w:rPr>
        <w:t>&lt;/RepeatBlock-By&gt;</w:t>
      </w:r>
    </w:p>
    <w:p w:rsidR="00343C6C" w:rsidRPr="00FC4A49" w:rsidP="00343C6C" w14:paraId="242C5FC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5635831" w14:textId="77777777">
      <w:pPr>
        <w:pStyle w:val="NormalBold"/>
      </w:pPr>
      <w:r w:rsidRPr="00FC4A49">
        <w:rPr>
          <w:rStyle w:val="HideTWBExt"/>
          <w:b w:val="0"/>
        </w:rPr>
        <w:t>&lt;Article&gt;</w:t>
      </w:r>
      <w:r w:rsidRPr="00FC4A49">
        <w:t>Recital 4</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9954A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F3B3627" w14:textId="77777777">
            <w:pPr>
              <w:keepNext/>
            </w:pPr>
          </w:p>
        </w:tc>
      </w:tr>
      <w:tr w14:paraId="66CEC84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E516660" w14:textId="77777777">
            <w:pPr>
              <w:pStyle w:val="ColumnHeading"/>
              <w:keepNext/>
              <w:rPr>
                <w:lang w:val="en-GB"/>
              </w:rPr>
            </w:pPr>
            <w:r w:rsidRPr="00FC4A49">
              <w:rPr>
                <w:lang w:val="en-GB"/>
              </w:rPr>
              <w:t>Text proposed by the Commission</w:t>
            </w:r>
          </w:p>
        </w:tc>
        <w:tc>
          <w:tcPr>
            <w:tcW w:w="4876" w:type="dxa"/>
          </w:tcPr>
          <w:p w:rsidR="00343C6C" w:rsidRPr="00FC4A49" w:rsidP="005D58F9" w14:paraId="13D17DAB" w14:textId="77777777">
            <w:pPr>
              <w:pStyle w:val="ColumnHeading"/>
              <w:keepNext/>
              <w:rPr>
                <w:lang w:val="en-GB"/>
              </w:rPr>
            </w:pPr>
            <w:r w:rsidRPr="00FC4A49">
              <w:rPr>
                <w:lang w:val="en-GB"/>
              </w:rPr>
              <w:t>Amendment</w:t>
            </w:r>
          </w:p>
        </w:tc>
      </w:tr>
      <w:tr w14:paraId="7C2A523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5E67715" w14:textId="77777777">
            <w:pPr>
              <w:pStyle w:val="Normal6"/>
              <w:rPr>
                <w:lang w:val="en-GB"/>
              </w:rPr>
            </w:pPr>
            <w:r w:rsidRPr="00FC4A49">
              <w:rPr>
                <w:b/>
                <w:i/>
                <w:lang w:val="en-GB"/>
              </w:rPr>
              <w:t>(4)</w:t>
            </w:r>
            <w:r w:rsidRPr="00FC4A49">
              <w:rPr>
                <w:b/>
                <w:i/>
                <w:lang w:val="en-GB"/>
              </w:rPr>
              <w:tab/>
            </w:r>
            <w:r w:rsidRPr="00FC4A49">
              <w:rPr>
                <w:b/>
                <w:bCs/>
                <w:i/>
                <w:iCs/>
                <w:lang w:val="en-GB"/>
              </w:rPr>
              <w:t>The NDC was prepared on the basis of the outcome of the political debate launched by the Commission Communication of 6 February 2024 on “Securing our future Europe’s 2040 climate target and path to climate neutrality by 2050 building a sustainable, just and prosperous society”</w:t>
            </w:r>
            <w:r w:rsidRPr="00FC4A49">
              <w:rPr>
                <w:b/>
                <w:bCs/>
                <w:i/>
                <w:iCs/>
                <w:vertAlign w:val="superscript"/>
                <w:lang w:val="en-GB"/>
              </w:rPr>
              <w:t>4</w:t>
            </w:r>
            <w:r w:rsidRPr="00FC4A49">
              <w:rPr>
                <w:b/>
                <w:bCs/>
                <w:i/>
                <w:iCs/>
                <w:lang w:val="en-GB"/>
              </w:rPr>
              <w:t xml:space="preserve"> which was based on an extensive impact assessment, as well as stakeholder input, collected via public consultation.</w:t>
            </w:r>
            <w:r w:rsidRPr="00FC4A49">
              <w:rPr>
                <w:b/>
                <w:i/>
                <w:lang w:val="en-GB"/>
              </w:rPr>
              <w:t xml:space="preserve"> That impact assessment underlies the impact assessment supporting this Directive.</w:t>
            </w:r>
          </w:p>
        </w:tc>
        <w:tc>
          <w:tcPr>
            <w:tcW w:w="4876" w:type="dxa"/>
          </w:tcPr>
          <w:p w:rsidR="00343C6C" w:rsidRPr="00FC4A49" w:rsidP="005D58F9" w14:paraId="15731CF3" w14:textId="77777777">
            <w:pPr>
              <w:pStyle w:val="Normal6"/>
              <w:rPr>
                <w:szCs w:val="24"/>
                <w:lang w:val="en-GB"/>
              </w:rPr>
            </w:pPr>
            <w:r w:rsidRPr="00FC4A49">
              <w:rPr>
                <w:b/>
                <w:i/>
                <w:lang w:val="en-GB"/>
              </w:rPr>
              <w:t>deleted</w:t>
            </w:r>
          </w:p>
        </w:tc>
      </w:tr>
      <w:tr w14:paraId="1764BB3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EA1142B" w14:textId="77777777">
            <w:pPr>
              <w:pStyle w:val="Normal6"/>
              <w:rPr>
                <w:lang w:val="en-GB"/>
              </w:rPr>
            </w:pPr>
            <w:r w:rsidRPr="00FC4A49">
              <w:rPr>
                <w:b/>
                <w:i/>
                <w:lang w:val="en-GB"/>
              </w:rPr>
              <w:t>__________________</w:t>
            </w:r>
          </w:p>
        </w:tc>
        <w:tc>
          <w:tcPr>
            <w:tcW w:w="4876" w:type="dxa"/>
          </w:tcPr>
          <w:p w:rsidR="00343C6C" w:rsidRPr="00FC4A49" w:rsidP="005D58F9" w14:paraId="048FB022" w14:textId="77777777">
            <w:pPr>
              <w:pStyle w:val="Normal6"/>
              <w:rPr>
                <w:szCs w:val="24"/>
                <w:lang w:val="en-GB"/>
              </w:rPr>
            </w:pPr>
          </w:p>
        </w:tc>
      </w:tr>
      <w:tr w14:paraId="233C051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E6F86BA" w14:textId="77777777">
            <w:pPr>
              <w:pStyle w:val="Normal6"/>
              <w:rPr>
                <w:lang w:val="en-GB"/>
              </w:rPr>
            </w:pPr>
            <w:r w:rsidRPr="00FC4A49">
              <w:rPr>
                <w:b/>
                <w:i/>
                <w:vertAlign w:val="superscript"/>
                <w:lang w:val="en-GB"/>
              </w:rPr>
              <w:t>4</w:t>
            </w:r>
            <w:r w:rsidRPr="00FC4A49">
              <w:rPr>
                <w:lang w:val="en-GB"/>
              </w:rPr>
              <w:t xml:space="preserve"> </w:t>
            </w:r>
            <w:r w:rsidRPr="00FC4A49">
              <w:rPr>
                <w:b/>
                <w:i/>
                <w:lang w:val="en-GB"/>
              </w:rPr>
              <w:t>COM(2024) 63 final.</w:t>
            </w:r>
          </w:p>
        </w:tc>
        <w:tc>
          <w:tcPr>
            <w:tcW w:w="4876" w:type="dxa"/>
          </w:tcPr>
          <w:p w:rsidR="00343C6C" w:rsidRPr="00FC4A49" w:rsidP="005D58F9" w14:paraId="67903B33" w14:textId="77777777">
            <w:pPr>
              <w:pStyle w:val="Normal6"/>
              <w:rPr>
                <w:szCs w:val="24"/>
                <w:lang w:val="en-GB"/>
              </w:rPr>
            </w:pPr>
          </w:p>
        </w:tc>
      </w:tr>
    </w:tbl>
    <w:p w:rsidR="00343C6C" w:rsidRPr="00FC4A49" w:rsidP="00343C6C" w14:paraId="509D37D3"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3A737105" w14:textId="77777777">
      <w:r w:rsidRPr="00FC4A49">
        <w:rPr>
          <w:rStyle w:val="HideTWBExt"/>
        </w:rPr>
        <w:t>&lt;/Amend&gt;</w:t>
      </w:r>
    </w:p>
    <w:p w:rsidR="00343C6C" w:rsidRPr="00FC4A49" w:rsidP="00343C6C" w14:paraId="09EAF2A6"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107</w:t>
      </w:r>
      <w:r w:rsidRPr="00FC4A49">
        <w:rPr>
          <w:rStyle w:val="HideTWBExt"/>
          <w:b w:val="0"/>
          <w:lang w:val="en-GB"/>
        </w:rPr>
        <w:t>&lt;/NumAm&gt;</w:t>
      </w:r>
    </w:p>
    <w:p w:rsidR="00343C6C" w:rsidRPr="00FC4A49" w:rsidP="00343C6C" w14:paraId="156B7FA8"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580D1018" w14:textId="77777777">
      <w:r w:rsidRPr="00FC4A49">
        <w:rPr>
          <w:rStyle w:val="HideTWBExt"/>
        </w:rPr>
        <w:t>&lt;/RepeatBlock-By&gt;</w:t>
      </w:r>
    </w:p>
    <w:p w:rsidR="00343C6C" w:rsidRPr="00FC4A49" w:rsidP="00343C6C" w14:paraId="082F4E2D"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9D6C594" w14:textId="77777777">
      <w:pPr>
        <w:pStyle w:val="NormalBold"/>
      </w:pPr>
      <w:r w:rsidRPr="00FC4A49">
        <w:rPr>
          <w:rStyle w:val="HideTWBExt"/>
          <w:b w:val="0"/>
        </w:rPr>
        <w:t>&lt;Article&gt;</w:t>
      </w:r>
      <w:r w:rsidRPr="00FC4A49">
        <w:t>Recital 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2ACFD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F667F34" w14:textId="77777777">
            <w:pPr>
              <w:keepNext/>
            </w:pPr>
          </w:p>
        </w:tc>
      </w:tr>
      <w:tr w14:paraId="6C65CFE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77394A3" w14:textId="77777777">
            <w:pPr>
              <w:pStyle w:val="ColumnHeading"/>
              <w:keepNext/>
              <w:rPr>
                <w:lang w:val="en-GB"/>
              </w:rPr>
            </w:pPr>
            <w:r w:rsidRPr="00FC4A49">
              <w:rPr>
                <w:lang w:val="en-GB"/>
              </w:rPr>
              <w:t>Text proposed by the Commission</w:t>
            </w:r>
          </w:p>
        </w:tc>
        <w:tc>
          <w:tcPr>
            <w:tcW w:w="4876" w:type="dxa"/>
          </w:tcPr>
          <w:p w:rsidR="00343C6C" w:rsidRPr="00FC4A49" w:rsidP="005D58F9" w14:paraId="081A1A0B" w14:textId="77777777">
            <w:pPr>
              <w:pStyle w:val="ColumnHeading"/>
              <w:keepNext/>
              <w:rPr>
                <w:lang w:val="en-GB"/>
              </w:rPr>
            </w:pPr>
            <w:r w:rsidRPr="00FC4A49">
              <w:rPr>
                <w:lang w:val="en-GB"/>
              </w:rPr>
              <w:t>Amendment</w:t>
            </w:r>
          </w:p>
        </w:tc>
      </w:tr>
      <w:tr w14:paraId="1E7518C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8E54B00" w14:textId="77777777">
            <w:pPr>
              <w:pStyle w:val="Normal6"/>
              <w:rPr>
                <w:lang w:val="en-GB"/>
              </w:rPr>
            </w:pPr>
            <w:r w:rsidRPr="00FC4A49">
              <w:rPr>
                <w:b/>
                <w:i/>
                <w:lang w:val="en-GB"/>
              </w:rPr>
              <w:t>(5)</w:t>
            </w:r>
            <w:r w:rsidRPr="00FC4A49">
              <w:rPr>
                <w:b/>
                <w:i/>
                <w:lang w:val="en-GB"/>
              </w:rPr>
              <w:tab/>
            </w:r>
            <w:r w:rsidRPr="00FC4A49">
              <w:rPr>
                <w:b/>
                <w:bCs/>
                <w:i/>
                <w:iCs/>
                <w:lang w:val="en-GB"/>
              </w:rPr>
              <w:t>The Competitiveness Compass</w:t>
            </w:r>
            <w:r w:rsidRPr="00FC4A49">
              <w:rPr>
                <w:b/>
                <w:bCs/>
                <w:i/>
                <w:iCs/>
                <w:vertAlign w:val="superscript"/>
                <w:lang w:val="en-GB"/>
              </w:rPr>
              <w:t>5</w:t>
            </w:r>
            <w:r w:rsidRPr="00FC4A49">
              <w:rPr>
                <w:b/>
                <w:bCs/>
                <w:i/>
                <w:iCs/>
                <w:lang w:val="en-GB"/>
              </w:rPr>
              <w:t xml:space="preserve"> and the Clean Industrial Deal</w:t>
            </w:r>
            <w:r w:rsidRPr="00FC4A49">
              <w:rPr>
                <w:b/>
                <w:bCs/>
                <w:i/>
                <w:iCs/>
                <w:vertAlign w:val="superscript"/>
                <w:lang w:val="en-GB"/>
              </w:rPr>
              <w:t>6</w:t>
            </w:r>
            <w:r w:rsidRPr="00FC4A49">
              <w:rPr>
                <w:b/>
                <w:bCs/>
                <w:i/>
                <w:iCs/>
                <w:lang w:val="en-GB"/>
              </w:rPr>
              <w:t xml:space="preserve"> have identified continued decarbonisation and accelerated circularity as essential elements to further reduce Europe’s dependencies on fossil fuels and strengthen economic competitiveness and resilience, while setting out the direction for adapting the EU Emissions Trading System (ETS) to a changing geoeconomic context while maintaining the fundamentals.</w:t>
            </w:r>
          </w:p>
        </w:tc>
        <w:tc>
          <w:tcPr>
            <w:tcW w:w="4876" w:type="dxa"/>
          </w:tcPr>
          <w:p w:rsidR="00343C6C" w:rsidRPr="00FC4A49" w:rsidP="005D58F9" w14:paraId="2F7B0B81" w14:textId="77777777">
            <w:pPr>
              <w:pStyle w:val="Normal6"/>
              <w:rPr>
                <w:szCs w:val="24"/>
                <w:lang w:val="en-GB"/>
              </w:rPr>
            </w:pPr>
            <w:r w:rsidRPr="00FC4A49">
              <w:rPr>
                <w:b/>
                <w:i/>
                <w:lang w:val="en-GB"/>
              </w:rPr>
              <w:t>deleted</w:t>
            </w:r>
          </w:p>
        </w:tc>
      </w:tr>
      <w:tr w14:paraId="7D5C578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D452826" w14:textId="77777777">
            <w:pPr>
              <w:pStyle w:val="Normal6"/>
              <w:rPr>
                <w:lang w:val="en-GB"/>
              </w:rPr>
            </w:pPr>
            <w:r w:rsidRPr="00FC4A49">
              <w:rPr>
                <w:b/>
                <w:i/>
                <w:lang w:val="en-GB"/>
              </w:rPr>
              <w:t>__________________</w:t>
            </w:r>
          </w:p>
        </w:tc>
        <w:tc>
          <w:tcPr>
            <w:tcW w:w="4876" w:type="dxa"/>
          </w:tcPr>
          <w:p w:rsidR="00343C6C" w:rsidRPr="00FC4A49" w:rsidP="005D58F9" w14:paraId="3121EBB5" w14:textId="77777777">
            <w:pPr>
              <w:pStyle w:val="Normal6"/>
              <w:rPr>
                <w:szCs w:val="24"/>
                <w:lang w:val="en-GB"/>
              </w:rPr>
            </w:pPr>
          </w:p>
        </w:tc>
      </w:tr>
      <w:tr w14:paraId="654D53B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A9752B3" w14:textId="77777777">
            <w:pPr>
              <w:pStyle w:val="Normal6"/>
              <w:rPr>
                <w:lang w:val="en-GB"/>
              </w:rPr>
            </w:pPr>
            <w:r w:rsidRPr="00FC4A49">
              <w:rPr>
                <w:b/>
                <w:bCs/>
                <w:i/>
                <w:iCs/>
                <w:vertAlign w:val="superscript"/>
                <w:lang w:val="en-GB"/>
              </w:rPr>
              <w:t>5</w:t>
            </w:r>
            <w:r w:rsidRPr="00FC4A49">
              <w:rPr>
                <w:b/>
                <w:bCs/>
                <w:i/>
                <w:iCs/>
                <w:lang w:val="en-GB"/>
              </w:rPr>
              <w:t xml:space="preserve"> Communication from the Commission to the European Parliament, the European Council, the Council, the European Economic and Social Committee and the Committee of the Regions, A Competitiveness Compass for the EU, 29 January 2025 (COM(2025) 30 final).</w:t>
            </w:r>
          </w:p>
        </w:tc>
        <w:tc>
          <w:tcPr>
            <w:tcW w:w="4876" w:type="dxa"/>
          </w:tcPr>
          <w:p w:rsidR="00343C6C" w:rsidRPr="00FC4A49" w:rsidP="005D58F9" w14:paraId="7A4C89BF" w14:textId="77777777">
            <w:pPr>
              <w:pStyle w:val="Normal6"/>
              <w:rPr>
                <w:szCs w:val="24"/>
                <w:lang w:val="en-GB"/>
              </w:rPr>
            </w:pPr>
          </w:p>
        </w:tc>
      </w:tr>
      <w:tr w14:paraId="3A3580B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29203C6" w14:textId="77777777">
            <w:pPr>
              <w:pStyle w:val="Normal6"/>
              <w:rPr>
                <w:lang w:val="en-GB"/>
              </w:rPr>
            </w:pPr>
            <w:r w:rsidRPr="00FC4A49">
              <w:rPr>
                <w:b/>
                <w:bCs/>
                <w:i/>
                <w:iCs/>
                <w:vertAlign w:val="superscript"/>
                <w:lang w:val="en-GB"/>
              </w:rPr>
              <w:t>6</w:t>
            </w:r>
            <w:r w:rsidRPr="00FC4A49">
              <w:rPr>
                <w:b/>
                <w:bCs/>
                <w:i/>
                <w:iCs/>
                <w:lang w:val="en-GB"/>
              </w:rPr>
              <w:t xml:space="preserve"> Communication from the Commission to the European Parliament, the Council, the European Economic and Social Committee and the Committee of the Regions The Clean Industrial Deal:</w:t>
            </w:r>
            <w:r w:rsidRPr="00FC4A49">
              <w:rPr>
                <w:b/>
                <w:i/>
                <w:lang w:val="en-GB"/>
              </w:rPr>
              <w:t xml:space="preserve"> A joint roadmap for competitiveness and decarbonisation, 26 February 2025 (COM(2025) 85 final).</w:t>
            </w:r>
          </w:p>
        </w:tc>
        <w:tc>
          <w:tcPr>
            <w:tcW w:w="4876" w:type="dxa"/>
          </w:tcPr>
          <w:p w:rsidR="00343C6C" w:rsidRPr="00FC4A49" w:rsidP="005D58F9" w14:paraId="16A7B0C7" w14:textId="77777777">
            <w:pPr>
              <w:pStyle w:val="Normal6"/>
              <w:rPr>
                <w:szCs w:val="24"/>
                <w:lang w:val="en-GB"/>
              </w:rPr>
            </w:pPr>
          </w:p>
        </w:tc>
      </w:tr>
    </w:tbl>
    <w:p w:rsidR="00343C6C" w:rsidRPr="00FC4A49" w:rsidP="00343C6C" w14:paraId="3197855C"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1CE3D997" w14:textId="77777777">
      <w:r w:rsidRPr="00FC4A49">
        <w:rPr>
          <w:rStyle w:val="HideTWBExt"/>
        </w:rPr>
        <w:t>&lt;/Amend&gt;</w:t>
      </w:r>
    </w:p>
    <w:p w:rsidR="00343C6C" w:rsidRPr="00FC4A49" w:rsidP="00343C6C" w14:paraId="765A1023"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108</w:t>
      </w:r>
      <w:r w:rsidRPr="00FC4A49">
        <w:rPr>
          <w:rStyle w:val="HideTWBExt"/>
          <w:b w:val="0"/>
          <w:lang w:val="en-GB"/>
        </w:rPr>
        <w:t>&lt;/</w:t>
      </w:r>
      <w:r w:rsidRPr="00FC4A49">
        <w:rPr>
          <w:rStyle w:val="HideTWBExt"/>
          <w:b w:val="0"/>
          <w:lang w:val="en-GB"/>
        </w:rPr>
        <w:t>NumAm</w:t>
      </w:r>
      <w:r w:rsidRPr="00FC4A49">
        <w:rPr>
          <w:rStyle w:val="HideTWBExt"/>
          <w:b w:val="0"/>
          <w:lang w:val="en-GB"/>
        </w:rPr>
        <w:t>&gt;</w:t>
      </w:r>
    </w:p>
    <w:p w:rsidR="00343C6C" w:rsidRPr="00FC4A49" w:rsidP="00343C6C" w14:paraId="782A01CD" w14:textId="77777777">
      <w:pPr>
        <w:pStyle w:val="NormalBold"/>
      </w:pPr>
      <w:r w:rsidRPr="00FC4A49">
        <w:rPr>
          <w:rStyle w:val="HideTWBExt"/>
          <w:b w:val="0"/>
        </w:rPr>
        <w:t>&lt;RepeatBlock-By&gt;&lt;Members&gt;</w:t>
      </w:r>
      <w:r w:rsidRPr="00FC4A49">
        <w:t>Li Andersson, Jonas Sjöstedt, Per Clausen</w:t>
      </w:r>
      <w:r w:rsidRPr="00FC4A49">
        <w:rPr>
          <w:rStyle w:val="HideTWBExt"/>
          <w:b w:val="0"/>
        </w:rPr>
        <w:t>&lt;/Members&gt;</w:t>
      </w:r>
    </w:p>
    <w:p w:rsidR="00343C6C" w:rsidRPr="00FC4A49" w:rsidP="00343C6C" w14:paraId="7E9415AC" w14:textId="77777777">
      <w:r w:rsidRPr="00FC4A49">
        <w:rPr>
          <w:rStyle w:val="HideTWBExt"/>
        </w:rPr>
        <w:t>&lt;/RepeatBlock-By&gt;</w:t>
      </w:r>
    </w:p>
    <w:p w:rsidR="00343C6C" w:rsidRPr="00FC4A49" w:rsidP="00343C6C" w14:paraId="12105F99" w14:textId="77777777">
      <w:pPr>
        <w:pStyle w:val="NormalBold"/>
        <w:keepNext/>
      </w:pPr>
      <w:r w:rsidRPr="00FC4A49">
        <w:rPr>
          <w:rStyle w:val="HideTWBExt"/>
          <w:b w:val="0"/>
        </w:rPr>
        <w:t>&lt;DocAmend&gt;</w:t>
      </w:r>
      <w:r w:rsidRPr="00FC4A49">
        <w:t>Proposal for a directive</w:t>
      </w:r>
      <w:r w:rsidRPr="00FC4A49">
        <w:rPr>
          <w:rStyle w:val="HideTWBExt"/>
          <w:b w:val="0"/>
        </w:rPr>
        <w:t>&lt;/</w:t>
      </w:r>
      <w:r w:rsidRPr="00FC4A49">
        <w:rPr>
          <w:rStyle w:val="HideTWBExt"/>
          <w:b w:val="0"/>
        </w:rPr>
        <w:t>DocAmend</w:t>
      </w:r>
      <w:r w:rsidRPr="00FC4A49">
        <w:rPr>
          <w:rStyle w:val="HideTWBExt"/>
          <w:b w:val="0"/>
        </w:rPr>
        <w:t>&gt;</w:t>
      </w:r>
    </w:p>
    <w:p w:rsidR="00343C6C" w:rsidRPr="00FC4A49" w:rsidP="00343C6C" w14:paraId="19302AA7" w14:textId="77777777">
      <w:pPr>
        <w:pStyle w:val="NormalBold"/>
      </w:pPr>
      <w:r w:rsidRPr="00FC4A49">
        <w:rPr>
          <w:rStyle w:val="HideTWBExt"/>
          <w:b w:val="0"/>
        </w:rPr>
        <w:t>&lt;Article&gt;</w:t>
      </w:r>
      <w:r w:rsidRPr="00FC4A49">
        <w:t>Recital 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A55608"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7E119BD" w14:textId="77777777">
            <w:pPr>
              <w:keepNext/>
            </w:pPr>
          </w:p>
        </w:tc>
      </w:tr>
      <w:tr w14:paraId="3DC15AB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EE239BC" w14:textId="77777777">
            <w:pPr>
              <w:pStyle w:val="ColumnHeading"/>
              <w:keepNext/>
              <w:rPr>
                <w:lang w:val="en-GB"/>
              </w:rPr>
            </w:pPr>
            <w:r w:rsidRPr="00FC4A49">
              <w:rPr>
                <w:lang w:val="en-GB"/>
              </w:rPr>
              <w:t>Text proposed by the Commission</w:t>
            </w:r>
          </w:p>
        </w:tc>
        <w:tc>
          <w:tcPr>
            <w:tcW w:w="4876" w:type="dxa"/>
          </w:tcPr>
          <w:p w:rsidR="00343C6C" w:rsidRPr="00FC4A49" w:rsidP="005D58F9" w14:paraId="47CDD06A" w14:textId="77777777">
            <w:pPr>
              <w:pStyle w:val="ColumnHeading"/>
              <w:keepNext/>
              <w:rPr>
                <w:lang w:val="en-GB"/>
              </w:rPr>
            </w:pPr>
            <w:r w:rsidRPr="00FC4A49">
              <w:rPr>
                <w:lang w:val="en-GB"/>
              </w:rPr>
              <w:t>Amendment</w:t>
            </w:r>
          </w:p>
        </w:tc>
      </w:tr>
      <w:tr w14:paraId="2130684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DC2AB2C" w14:textId="77777777">
            <w:pPr>
              <w:pStyle w:val="Normal6"/>
              <w:rPr>
                <w:lang w:val="en-GB"/>
              </w:rPr>
            </w:pPr>
            <w:r w:rsidRPr="00FC4A49">
              <w:rPr>
                <w:lang w:val="en-GB"/>
              </w:rPr>
              <w:t>(5)</w:t>
            </w:r>
            <w:r w:rsidRPr="00FC4A49">
              <w:rPr>
                <w:lang w:val="en-GB"/>
              </w:rPr>
              <w:tab/>
              <w:t>The Competitiveness Compass</w:t>
            </w:r>
            <w:r w:rsidRPr="00FC4A49">
              <w:rPr>
                <w:vertAlign w:val="superscript"/>
                <w:lang w:val="en-GB"/>
              </w:rPr>
              <w:t>5</w:t>
            </w:r>
            <w:r w:rsidRPr="00FC4A49">
              <w:rPr>
                <w:lang w:val="en-GB"/>
              </w:rPr>
              <w:t xml:space="preserve"> and the Clean Industrial Deal</w:t>
            </w:r>
            <w:r w:rsidRPr="00FC4A49">
              <w:rPr>
                <w:vertAlign w:val="superscript"/>
                <w:lang w:val="en-GB"/>
              </w:rPr>
              <w:t>6</w:t>
            </w:r>
            <w:r w:rsidRPr="00FC4A49">
              <w:rPr>
                <w:lang w:val="en-GB"/>
              </w:rPr>
              <w:t xml:space="preserve"> have identified continued decarbonisation and accelerated circularity as essential elements to further reduce Europe’s dependencies on fossil fuels and strengthen economic competitiveness and resilience</w:t>
            </w:r>
            <w:r w:rsidRPr="00FC4A49">
              <w:rPr>
                <w:b/>
                <w:i/>
                <w:lang w:val="en-GB"/>
              </w:rPr>
              <w:t>, while setting out the direction for adapting the EU Emissions Trading System (ETS) to a changing geoeconomic context while maintaining the fundamentals</w:t>
            </w:r>
            <w:r w:rsidRPr="00FC4A49">
              <w:rPr>
                <w:lang w:val="en-GB"/>
              </w:rPr>
              <w:t>.</w:t>
            </w:r>
          </w:p>
        </w:tc>
        <w:tc>
          <w:tcPr>
            <w:tcW w:w="4876" w:type="dxa"/>
          </w:tcPr>
          <w:p w:rsidR="00343C6C" w:rsidRPr="00FC4A49" w:rsidP="005D58F9" w14:paraId="702D9EC2" w14:textId="77777777">
            <w:pPr>
              <w:pStyle w:val="Normal6"/>
              <w:rPr>
                <w:szCs w:val="24"/>
                <w:lang w:val="en-GB"/>
              </w:rPr>
            </w:pPr>
            <w:r w:rsidRPr="00FC4A49">
              <w:rPr>
                <w:lang w:val="en-GB"/>
              </w:rPr>
              <w:t>(5)</w:t>
            </w:r>
            <w:r w:rsidRPr="00FC4A49">
              <w:rPr>
                <w:lang w:val="en-GB"/>
              </w:rPr>
              <w:tab/>
              <w:t>The Competitiveness Compass</w:t>
            </w:r>
            <w:r w:rsidRPr="00FC4A49">
              <w:rPr>
                <w:vertAlign w:val="superscript"/>
                <w:lang w:val="en-GB"/>
              </w:rPr>
              <w:t>5</w:t>
            </w:r>
            <w:r w:rsidRPr="00FC4A49">
              <w:rPr>
                <w:lang w:val="en-GB"/>
              </w:rPr>
              <w:t xml:space="preserve"> and the Clean Industrial Deal</w:t>
            </w:r>
            <w:r w:rsidRPr="00FC4A49">
              <w:rPr>
                <w:vertAlign w:val="superscript"/>
                <w:lang w:val="en-GB"/>
              </w:rPr>
              <w:t>6</w:t>
            </w:r>
            <w:r w:rsidRPr="00FC4A49">
              <w:rPr>
                <w:lang w:val="en-GB"/>
              </w:rPr>
              <w:t xml:space="preserve"> have identified continued decarbonisation and accelerated circularity as essential elements to further reduce Europe’s dependencies on fossil fuels and strengthen economic competitiveness and resilience.</w:t>
            </w:r>
          </w:p>
        </w:tc>
      </w:tr>
      <w:tr w14:paraId="2788EA9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91CF934" w14:textId="77777777">
            <w:pPr>
              <w:pStyle w:val="Normal6"/>
              <w:rPr>
                <w:lang w:val="en-GB"/>
              </w:rPr>
            </w:pPr>
            <w:r w:rsidRPr="00FC4A49">
              <w:rPr>
                <w:lang w:val="en-GB"/>
              </w:rPr>
              <w:t>__________________</w:t>
            </w:r>
          </w:p>
        </w:tc>
        <w:tc>
          <w:tcPr>
            <w:tcW w:w="4876" w:type="dxa"/>
          </w:tcPr>
          <w:p w:rsidR="00343C6C" w:rsidRPr="00FC4A49" w:rsidP="005D58F9" w14:paraId="47912D70" w14:textId="77777777">
            <w:pPr>
              <w:pStyle w:val="Normal6"/>
              <w:rPr>
                <w:szCs w:val="24"/>
                <w:lang w:val="en-GB"/>
              </w:rPr>
            </w:pPr>
            <w:r w:rsidRPr="00FC4A49">
              <w:rPr>
                <w:lang w:val="en-GB"/>
              </w:rPr>
              <w:t>__________________</w:t>
            </w:r>
          </w:p>
        </w:tc>
      </w:tr>
      <w:tr w14:paraId="5B41CF6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A9C98F1" w14:textId="77777777">
            <w:pPr>
              <w:pStyle w:val="Normal6"/>
              <w:rPr>
                <w:lang w:val="en-GB"/>
              </w:rPr>
            </w:pPr>
            <w:r w:rsidRPr="00FC4A49">
              <w:rPr>
                <w:vertAlign w:val="superscript"/>
                <w:lang w:val="en-GB"/>
              </w:rPr>
              <w:t>5</w:t>
            </w:r>
            <w:r w:rsidRPr="00FC4A49">
              <w:rPr>
                <w:lang w:val="en-GB"/>
              </w:rPr>
              <w:t xml:space="preserve"> Communication from the Commission to the European Parliament, the European Council, the Council, the European Economic and Social Committee and the Committee of the Regions, A Competitiveness Compass for the EU, 29 </w:t>
            </w:r>
            <w:r w:rsidRPr="00FC4A49">
              <w:rPr>
                <w:lang w:val="en-GB"/>
              </w:rPr>
              <w:t>January 2025 (COM(2025) 30 final).</w:t>
            </w:r>
          </w:p>
        </w:tc>
        <w:tc>
          <w:tcPr>
            <w:tcW w:w="4876" w:type="dxa"/>
          </w:tcPr>
          <w:p w:rsidR="00343C6C" w:rsidRPr="00FC4A49" w:rsidP="005D58F9" w14:paraId="74A43994" w14:textId="77777777">
            <w:pPr>
              <w:pStyle w:val="Normal6"/>
              <w:rPr>
                <w:szCs w:val="24"/>
                <w:lang w:val="en-GB"/>
              </w:rPr>
            </w:pPr>
            <w:r w:rsidRPr="00FC4A49">
              <w:rPr>
                <w:vertAlign w:val="superscript"/>
                <w:lang w:val="en-GB"/>
              </w:rPr>
              <w:t>5</w:t>
            </w:r>
            <w:r w:rsidRPr="00FC4A49">
              <w:rPr>
                <w:lang w:val="en-GB"/>
              </w:rPr>
              <w:t xml:space="preserve"> Communication from the Commission to the European Parliament, the European Council, the Council, the European Economic and Social Committee and the Committee of the Regions, A Competitiveness Compass for the EU, 29 </w:t>
            </w:r>
            <w:r w:rsidRPr="00FC4A49">
              <w:rPr>
                <w:lang w:val="en-GB"/>
              </w:rPr>
              <w:t>January 2025 (COM(2025) 30 final).</w:t>
            </w:r>
          </w:p>
        </w:tc>
      </w:tr>
      <w:tr w14:paraId="49EF794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6BED7AC" w14:textId="77777777">
            <w:pPr>
              <w:pStyle w:val="Normal6"/>
              <w:rPr>
                <w:lang w:val="en-GB"/>
              </w:rPr>
            </w:pPr>
            <w:r w:rsidRPr="00FC4A49">
              <w:rPr>
                <w:vertAlign w:val="superscript"/>
                <w:lang w:val="en-GB"/>
              </w:rPr>
              <w:t>6</w:t>
            </w:r>
            <w:r w:rsidRPr="00FC4A49">
              <w:rPr>
                <w:lang w:val="en-GB"/>
              </w:rPr>
              <w:t xml:space="preserve"> Communication from the Commission to the European Parliament, the Council, the European Economic and Social Committee and the Committee of the Regions, The Clean Industrial Deal: A joint roadmap for competitiveness and decarbonisation, 26 February 2025 (COM(2025) 85 final).</w:t>
            </w:r>
          </w:p>
        </w:tc>
        <w:tc>
          <w:tcPr>
            <w:tcW w:w="4876" w:type="dxa"/>
          </w:tcPr>
          <w:p w:rsidR="00343C6C" w:rsidRPr="00FC4A49" w:rsidP="005D58F9" w14:paraId="6264A3DE" w14:textId="77777777">
            <w:pPr>
              <w:pStyle w:val="Normal6"/>
              <w:rPr>
                <w:szCs w:val="24"/>
                <w:lang w:val="en-GB"/>
              </w:rPr>
            </w:pPr>
            <w:r w:rsidRPr="00FC4A49">
              <w:rPr>
                <w:vertAlign w:val="superscript"/>
                <w:lang w:val="en-GB"/>
              </w:rPr>
              <w:t>6</w:t>
            </w:r>
            <w:r w:rsidRPr="00FC4A49">
              <w:rPr>
                <w:lang w:val="en-GB"/>
              </w:rPr>
              <w:t xml:space="preserve"> Communication from the Commission to the European Parliament, the Council, the European Economic and Social Committee and the Committee of the Regions, The Clean Industrial Deal: A joint roadmap for competitiveness and decarbonisation, 26 February 2025 (COM(2025) 85 final).</w:t>
            </w:r>
          </w:p>
        </w:tc>
      </w:tr>
    </w:tbl>
    <w:p w:rsidR="00343C6C" w:rsidRPr="00FC4A49" w:rsidP="00343C6C" w14:paraId="030D7045"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598ACC2" w14:textId="77777777">
      <w:r w:rsidRPr="00FC4A49">
        <w:rPr>
          <w:rStyle w:val="HideTWBExt"/>
        </w:rPr>
        <w:t>&lt;/Amend&gt;</w:t>
      </w:r>
    </w:p>
    <w:p w:rsidR="00343C6C" w:rsidRPr="00FC4A49" w:rsidP="00343C6C" w14:paraId="7BA95BD1"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109</w:t>
      </w:r>
      <w:r w:rsidRPr="00FC4A49">
        <w:rPr>
          <w:rStyle w:val="HideTWBExt"/>
          <w:b w:val="0"/>
          <w:lang w:val="en-GB"/>
        </w:rPr>
        <w:t>&lt;/</w:t>
      </w:r>
      <w:r w:rsidRPr="00FC4A49">
        <w:rPr>
          <w:rStyle w:val="HideTWBExt"/>
          <w:b w:val="0"/>
          <w:lang w:val="en-GB"/>
        </w:rPr>
        <w:t>NumAm</w:t>
      </w:r>
      <w:r w:rsidRPr="00FC4A49">
        <w:rPr>
          <w:rStyle w:val="HideTWBExt"/>
          <w:b w:val="0"/>
          <w:lang w:val="en-GB"/>
        </w:rPr>
        <w:t>&gt;</w:t>
      </w:r>
    </w:p>
    <w:p w:rsidR="00343C6C" w:rsidRPr="00FC4A49" w:rsidP="00343C6C" w14:paraId="2B344D33" w14:textId="77777777">
      <w:pPr>
        <w:pStyle w:val="NormalBold"/>
      </w:pPr>
      <w:r w:rsidRPr="00FC4A49">
        <w:rPr>
          <w:rStyle w:val="HideTWBExt"/>
          <w:b w:val="0"/>
        </w:rPr>
        <w:t>&lt;RepeatBlock-By&gt;&lt;Members&gt;</w:t>
      </w:r>
      <w:r w:rsidRPr="00FC4A49">
        <w:t>Mohammed Chahim</w:t>
      </w:r>
      <w:r w:rsidRPr="00FC4A49">
        <w:rPr>
          <w:rStyle w:val="HideTWBExt"/>
          <w:b w:val="0"/>
        </w:rPr>
        <w:t>&lt;/Members&gt;</w:t>
      </w:r>
    </w:p>
    <w:p w:rsidR="00343C6C" w:rsidRPr="00FC4A49" w:rsidP="00343C6C" w14:paraId="10826324" w14:textId="77777777">
      <w:r w:rsidRPr="00FC4A49">
        <w:rPr>
          <w:rStyle w:val="HideTWBExt"/>
        </w:rPr>
        <w:t>&lt;/RepeatBlock-By&gt;</w:t>
      </w:r>
    </w:p>
    <w:p w:rsidR="00343C6C" w:rsidRPr="00FC4A49" w:rsidP="00343C6C" w14:paraId="752205BC" w14:textId="77777777">
      <w:pPr>
        <w:pStyle w:val="NormalBold"/>
        <w:keepNext/>
      </w:pPr>
      <w:r w:rsidRPr="00FC4A49">
        <w:rPr>
          <w:rStyle w:val="HideTWBExt"/>
          <w:b w:val="0"/>
        </w:rPr>
        <w:t>&lt;DocAmend&gt;</w:t>
      </w:r>
      <w:r w:rsidRPr="00FC4A49">
        <w:t>Proposal for a directive</w:t>
      </w:r>
      <w:r w:rsidRPr="00FC4A49">
        <w:rPr>
          <w:rStyle w:val="HideTWBExt"/>
          <w:b w:val="0"/>
        </w:rPr>
        <w:t>&lt;/</w:t>
      </w:r>
      <w:r w:rsidRPr="00FC4A49">
        <w:rPr>
          <w:rStyle w:val="HideTWBExt"/>
          <w:b w:val="0"/>
        </w:rPr>
        <w:t>DocAmend</w:t>
      </w:r>
      <w:r w:rsidRPr="00FC4A49">
        <w:rPr>
          <w:rStyle w:val="HideTWBExt"/>
          <w:b w:val="0"/>
        </w:rPr>
        <w:t>&gt;</w:t>
      </w:r>
    </w:p>
    <w:p w:rsidR="00343C6C" w:rsidRPr="00FC4A49" w:rsidP="00343C6C" w14:paraId="3542FD33" w14:textId="77777777">
      <w:pPr>
        <w:pStyle w:val="NormalBold"/>
      </w:pPr>
      <w:r w:rsidRPr="00FC4A49">
        <w:rPr>
          <w:rStyle w:val="HideTWBExt"/>
          <w:b w:val="0"/>
        </w:rPr>
        <w:t>&lt;Article&gt;</w:t>
      </w:r>
      <w:r w:rsidRPr="00FC4A49">
        <w:t>Recital 5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FE4EB0"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5F869C3" w14:textId="77777777">
            <w:pPr>
              <w:keepNext/>
            </w:pPr>
          </w:p>
        </w:tc>
      </w:tr>
      <w:tr w14:paraId="1092704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81D582F" w14:textId="77777777">
            <w:pPr>
              <w:pStyle w:val="ColumnHeading"/>
              <w:keepNext/>
              <w:rPr>
                <w:lang w:val="en-GB"/>
              </w:rPr>
            </w:pPr>
            <w:r w:rsidRPr="00FC4A49">
              <w:rPr>
                <w:lang w:val="en-GB"/>
              </w:rPr>
              <w:t>Text proposed by the Commission</w:t>
            </w:r>
          </w:p>
        </w:tc>
        <w:tc>
          <w:tcPr>
            <w:tcW w:w="4876" w:type="dxa"/>
          </w:tcPr>
          <w:p w:rsidR="00343C6C" w:rsidRPr="00FC4A49" w:rsidP="005D58F9" w14:paraId="68CCB6EC" w14:textId="77777777">
            <w:pPr>
              <w:pStyle w:val="ColumnHeading"/>
              <w:keepNext/>
              <w:rPr>
                <w:lang w:val="en-GB"/>
              </w:rPr>
            </w:pPr>
            <w:r w:rsidRPr="00FC4A49">
              <w:rPr>
                <w:lang w:val="en-GB"/>
              </w:rPr>
              <w:t>Amendment</w:t>
            </w:r>
          </w:p>
        </w:tc>
      </w:tr>
      <w:tr w14:paraId="7E2C47A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CE90C08" w14:textId="77777777">
            <w:pPr>
              <w:pStyle w:val="Normal6"/>
              <w:rPr>
                <w:lang w:val="en-GB"/>
              </w:rPr>
            </w:pPr>
          </w:p>
        </w:tc>
        <w:tc>
          <w:tcPr>
            <w:tcW w:w="4876" w:type="dxa"/>
          </w:tcPr>
          <w:p w:rsidR="00343C6C" w:rsidRPr="00FC4A49" w:rsidP="005D58F9" w14:paraId="737F855D" w14:textId="77777777">
            <w:pPr>
              <w:pStyle w:val="Normal6"/>
              <w:rPr>
                <w:szCs w:val="24"/>
                <w:lang w:val="en-GB"/>
              </w:rPr>
            </w:pPr>
            <w:r w:rsidRPr="00FC4A49">
              <w:rPr>
                <w:b/>
                <w:i/>
                <w:lang w:val="en-GB"/>
              </w:rPr>
              <w:t>(5a)</w:t>
            </w:r>
            <w:r w:rsidRPr="00FC4A49">
              <w:rPr>
                <w:b/>
                <w:i/>
                <w:lang w:val="en-GB"/>
              </w:rPr>
              <w:tab/>
              <w:t>A robust and predictable EU ETS is essential to drive cost-effective industrial decarbonisation and provide long-term investment certainty. Maintaining a credible carbon price signal and a clear emissions reduction trajectory is key to ensuring regulatory certainty. It should continue to reward early investment in clean technologies, avoid fossil fuel lock-in, and strengthen the competitiveness and resilience of European industry. Revenues generated by the EU ETS should support industrial transformation and a just transition - through effective social conditionality, social dialogue, and opportunities for workers to acquire new skills - while safeguarding and creating quality jobs in the Union.</w:t>
            </w:r>
          </w:p>
        </w:tc>
      </w:tr>
    </w:tbl>
    <w:p w:rsidR="00343C6C" w:rsidRPr="00FC4A49" w:rsidP="00343C6C" w14:paraId="03C5D013"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6CC2CDC" w14:textId="77777777">
      <w:r w:rsidRPr="00FC4A49">
        <w:rPr>
          <w:rStyle w:val="HideTWBExt"/>
        </w:rPr>
        <w:t>&lt;/Amend&gt;</w:t>
      </w:r>
    </w:p>
    <w:p w:rsidR="00343C6C" w:rsidRPr="00FC4A49" w:rsidP="00343C6C" w14:paraId="57934EA7"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110</w:t>
      </w:r>
      <w:r w:rsidRPr="00FC4A49">
        <w:rPr>
          <w:rStyle w:val="HideTWBExt"/>
          <w:b w:val="0"/>
          <w:lang w:val="en-GB"/>
        </w:rPr>
        <w:t>&lt;/</w:t>
      </w:r>
      <w:r w:rsidRPr="00FC4A49">
        <w:rPr>
          <w:rStyle w:val="HideTWBExt"/>
          <w:b w:val="0"/>
          <w:lang w:val="en-GB"/>
        </w:rPr>
        <w:t>NumAm</w:t>
      </w:r>
      <w:r w:rsidRPr="00FC4A49">
        <w:rPr>
          <w:rStyle w:val="HideTWBExt"/>
          <w:b w:val="0"/>
          <w:lang w:val="en-GB"/>
        </w:rPr>
        <w:t>&gt;</w:t>
      </w:r>
    </w:p>
    <w:p w:rsidR="00343C6C" w:rsidRPr="00FC4A49" w:rsidP="00343C6C" w14:paraId="493D52FB"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50A539C1" w14:textId="77777777">
      <w:r w:rsidRPr="00FC4A49">
        <w:rPr>
          <w:rStyle w:val="HideTWBExt"/>
        </w:rPr>
        <w:t>&lt;/RepeatBlock-By&gt;</w:t>
      </w:r>
    </w:p>
    <w:p w:rsidR="00343C6C" w:rsidRPr="00FC4A49" w:rsidP="00343C6C" w14:paraId="6DA58165" w14:textId="77777777">
      <w:pPr>
        <w:pStyle w:val="NormalBold"/>
        <w:keepNext/>
      </w:pPr>
      <w:r w:rsidRPr="00FC4A49">
        <w:rPr>
          <w:rStyle w:val="HideTWBExt"/>
          <w:b w:val="0"/>
        </w:rPr>
        <w:t>&lt;DocAmend&gt;</w:t>
      </w:r>
      <w:r w:rsidRPr="00FC4A49">
        <w:t>Proposal for a directive</w:t>
      </w:r>
      <w:r w:rsidRPr="00FC4A49">
        <w:rPr>
          <w:rStyle w:val="HideTWBExt"/>
          <w:b w:val="0"/>
        </w:rPr>
        <w:t>&lt;/</w:t>
      </w:r>
      <w:r w:rsidRPr="00FC4A49">
        <w:rPr>
          <w:rStyle w:val="HideTWBExt"/>
          <w:b w:val="0"/>
        </w:rPr>
        <w:t>DocAmend</w:t>
      </w:r>
      <w:r w:rsidRPr="00FC4A49">
        <w:rPr>
          <w:rStyle w:val="HideTWBExt"/>
          <w:b w:val="0"/>
        </w:rPr>
        <w:t>&gt;</w:t>
      </w:r>
    </w:p>
    <w:p w:rsidR="00343C6C" w:rsidRPr="00FC4A49" w:rsidP="00343C6C" w14:paraId="0161E932" w14:textId="77777777">
      <w:pPr>
        <w:pStyle w:val="NormalBold"/>
      </w:pPr>
      <w:r w:rsidRPr="00FC4A49">
        <w:rPr>
          <w:rStyle w:val="HideTWBExt"/>
          <w:b w:val="0"/>
        </w:rPr>
        <w:t>&lt;Article&gt;</w:t>
      </w:r>
      <w:r w:rsidRPr="00FC4A49">
        <w:t>Recital 6</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3633C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43BCD0D" w14:textId="77777777">
            <w:pPr>
              <w:keepNext/>
            </w:pPr>
          </w:p>
        </w:tc>
      </w:tr>
      <w:tr w14:paraId="1DD7559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B6E4123" w14:textId="77777777">
            <w:pPr>
              <w:pStyle w:val="ColumnHeading"/>
              <w:keepNext/>
              <w:rPr>
                <w:lang w:val="en-GB"/>
              </w:rPr>
            </w:pPr>
            <w:r w:rsidRPr="00FC4A49">
              <w:rPr>
                <w:lang w:val="en-GB"/>
              </w:rPr>
              <w:t>Text proposed by the Commission</w:t>
            </w:r>
          </w:p>
        </w:tc>
        <w:tc>
          <w:tcPr>
            <w:tcW w:w="4876" w:type="dxa"/>
          </w:tcPr>
          <w:p w:rsidR="00343C6C" w:rsidRPr="00FC4A49" w:rsidP="005D58F9" w14:paraId="3FC5AEFF" w14:textId="77777777">
            <w:pPr>
              <w:pStyle w:val="ColumnHeading"/>
              <w:keepNext/>
              <w:rPr>
                <w:lang w:val="en-GB"/>
              </w:rPr>
            </w:pPr>
            <w:r w:rsidRPr="00FC4A49">
              <w:rPr>
                <w:lang w:val="en-GB"/>
              </w:rPr>
              <w:t>Amendment</w:t>
            </w:r>
          </w:p>
        </w:tc>
      </w:tr>
      <w:tr w14:paraId="78B341C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8FABDF8" w14:textId="77777777">
            <w:pPr>
              <w:pStyle w:val="Normal6"/>
              <w:rPr>
                <w:lang w:val="en-GB"/>
              </w:rPr>
            </w:pPr>
            <w:r w:rsidRPr="00FC4A49">
              <w:rPr>
                <w:lang w:val="en-GB"/>
              </w:rPr>
              <w:t>(6)</w:t>
            </w:r>
            <w:r w:rsidRPr="00FC4A49">
              <w:rPr>
                <w:lang w:val="en-GB"/>
              </w:rPr>
              <w:tab/>
              <w:t>The rapidly changing geopolitical context further</w:t>
            </w:r>
            <w:r w:rsidRPr="00FC4A49">
              <w:rPr>
                <w:b/>
                <w:bCs/>
                <w:i/>
                <w:iCs/>
                <w:lang w:val="en-GB"/>
              </w:rPr>
              <w:t xml:space="preserve"> emphasised the importance of delivering on the Clean Industrial Deal to enhance resource security and address Europe’s dependence on imported fossil fuels, which is the</w:t>
            </w:r>
            <w:r w:rsidRPr="00FC4A49">
              <w:rPr>
                <w:b/>
                <w:bCs/>
                <w:lang w:val="en-GB"/>
              </w:rPr>
              <w:t xml:space="preserve"> </w:t>
            </w:r>
            <w:r w:rsidRPr="00FC4A49">
              <w:rPr>
                <w:lang w:val="en-GB"/>
              </w:rPr>
              <w:t>main</w:t>
            </w:r>
            <w:r w:rsidRPr="00FC4A49">
              <w:rPr>
                <w:b/>
                <w:bCs/>
                <w:i/>
                <w:iCs/>
                <w:lang w:val="en-GB"/>
              </w:rPr>
              <w:t xml:space="preserve"> cause of higher, and more volatile, energy prices. Conflicts in Ukraine and the Middle East confront the Union once again with volatile and rising energy prices driven by</w:t>
            </w:r>
            <w:r w:rsidRPr="00FC4A49">
              <w:rPr>
                <w:lang w:val="en-GB"/>
              </w:rPr>
              <w:t xml:space="preserve"> Europe’s </w:t>
            </w:r>
            <w:r w:rsidRPr="00FC4A49">
              <w:rPr>
                <w:b/>
                <w:bCs/>
                <w:i/>
                <w:iCs/>
                <w:lang w:val="en-GB"/>
              </w:rPr>
              <w:t>dependence on imported fossil fuels, which damage the</w:t>
            </w:r>
            <w:r w:rsidRPr="00FC4A49">
              <w:rPr>
                <w:lang w:val="en-GB"/>
              </w:rPr>
              <w:t xml:space="preserve"> competitiveness</w:t>
            </w:r>
            <w:r w:rsidRPr="00FC4A49">
              <w:rPr>
                <w:b/>
                <w:bCs/>
                <w:i/>
                <w:iCs/>
                <w:lang w:val="en-GB"/>
              </w:rPr>
              <w:t xml:space="preserve"> of European industry. The EU ETS should continue to be a robust, predictable and fit for purpose driver of decarbonisation, thereby lowering the EU’s dependence on fossil fuel imports and strengthening its resilience, while fostering investments in the clean energy transition in homegrown renewables and other zero- and low-carbon energy sources</w:t>
            </w:r>
            <w:r w:rsidRPr="00FC4A49">
              <w:rPr>
                <w:lang w:val="en-GB"/>
              </w:rPr>
              <w:t>.</w:t>
            </w:r>
          </w:p>
        </w:tc>
        <w:tc>
          <w:tcPr>
            <w:tcW w:w="4876" w:type="dxa"/>
          </w:tcPr>
          <w:p w:rsidR="00343C6C" w:rsidRPr="00FC4A49" w:rsidP="005D58F9" w14:paraId="7656BD90" w14:textId="77777777">
            <w:pPr>
              <w:pStyle w:val="Normal6"/>
              <w:rPr>
                <w:szCs w:val="24"/>
                <w:lang w:val="en-GB"/>
              </w:rPr>
            </w:pPr>
            <w:r w:rsidRPr="00FC4A49">
              <w:rPr>
                <w:lang w:val="en-GB"/>
              </w:rPr>
              <w:t>(6)</w:t>
            </w:r>
            <w:r w:rsidRPr="00FC4A49">
              <w:rPr>
                <w:lang w:val="en-GB"/>
              </w:rPr>
              <w:tab/>
              <w:t xml:space="preserve">The rapidly changing geopolitical context </w:t>
            </w:r>
            <w:r w:rsidRPr="00FC4A49">
              <w:rPr>
                <w:b/>
                <w:bCs/>
                <w:i/>
                <w:iCs/>
                <w:lang w:val="en-GB"/>
              </w:rPr>
              <w:t>has made it</w:t>
            </w:r>
            <w:r w:rsidRPr="00FC4A49">
              <w:rPr>
                <w:lang w:val="en-GB"/>
              </w:rPr>
              <w:t xml:space="preserve"> further </w:t>
            </w:r>
            <w:r w:rsidRPr="00FC4A49">
              <w:rPr>
                <w:b/>
                <w:bCs/>
                <w:i/>
                <w:iCs/>
                <w:lang w:val="en-GB"/>
              </w:rPr>
              <w:t>apparent that the ETS system is not currently working and is driving up the costs of energy production in EU countries and increasing the indebtedness of businesses and households.</w:t>
            </w:r>
            <w:r w:rsidRPr="00FC4A49">
              <w:rPr>
                <w:b/>
                <w:i/>
                <w:lang w:val="en-GB"/>
              </w:rPr>
              <w:t xml:space="preserve"> </w:t>
            </w:r>
            <w:r w:rsidRPr="00FC4A49">
              <w:rPr>
                <w:b/>
                <w:bCs/>
                <w:i/>
                <w:iCs/>
                <w:lang w:val="en-GB"/>
              </w:rPr>
              <w:t>The emissions trading system is the</w:t>
            </w:r>
            <w:r w:rsidRPr="00FC4A49">
              <w:rPr>
                <w:b/>
                <w:bCs/>
                <w:lang w:val="en-GB"/>
              </w:rPr>
              <w:t xml:space="preserve"> </w:t>
            </w:r>
            <w:r w:rsidRPr="00FC4A49">
              <w:rPr>
                <w:lang w:val="en-GB"/>
              </w:rPr>
              <w:t xml:space="preserve">main </w:t>
            </w:r>
            <w:r w:rsidRPr="00FC4A49">
              <w:rPr>
                <w:b/>
                <w:bCs/>
                <w:i/>
                <w:iCs/>
                <w:lang w:val="en-GB"/>
              </w:rPr>
              <w:t>barrier to</w:t>
            </w:r>
            <w:r w:rsidRPr="00FC4A49">
              <w:rPr>
                <w:lang w:val="en-GB"/>
              </w:rPr>
              <w:t xml:space="preserve"> Europe’s </w:t>
            </w:r>
            <w:r w:rsidRPr="00FC4A49">
              <w:rPr>
                <w:b/>
                <w:bCs/>
                <w:i/>
                <w:iCs/>
                <w:lang w:val="en-GB"/>
              </w:rPr>
              <w:t>economic development and the main cause for the loss of</w:t>
            </w:r>
            <w:r w:rsidRPr="00FC4A49">
              <w:rPr>
                <w:lang w:val="en-GB"/>
              </w:rPr>
              <w:t xml:space="preserve"> competitiveness </w:t>
            </w:r>
            <w:r w:rsidRPr="00FC4A49">
              <w:rPr>
                <w:b/>
                <w:bCs/>
                <w:i/>
                <w:iCs/>
                <w:lang w:val="en-GB"/>
              </w:rPr>
              <w:t>among EU countries</w:t>
            </w:r>
            <w:r w:rsidRPr="00FC4A49">
              <w:rPr>
                <w:lang w:val="en-GB"/>
              </w:rPr>
              <w:t>.</w:t>
            </w:r>
          </w:p>
        </w:tc>
      </w:tr>
    </w:tbl>
    <w:p w:rsidR="00343C6C" w:rsidRPr="00FC4A49" w:rsidP="00343C6C" w14:paraId="0FEF9B4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7623E15B" w14:textId="77777777">
      <w:r w:rsidRPr="00FC4A49">
        <w:rPr>
          <w:rStyle w:val="HideTWBExt"/>
        </w:rPr>
        <w:t>&lt;/Amend&gt;</w:t>
      </w:r>
    </w:p>
    <w:p w:rsidR="00343C6C" w:rsidRPr="00FC4A49" w:rsidP="00343C6C" w14:paraId="05CCB029"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111</w:t>
      </w:r>
      <w:r w:rsidRPr="00FC4A49">
        <w:rPr>
          <w:rStyle w:val="HideTWBExt"/>
          <w:b w:val="0"/>
          <w:lang w:val="en-GB"/>
        </w:rPr>
        <w:t>&lt;/</w:t>
      </w:r>
      <w:r w:rsidRPr="00FC4A49">
        <w:rPr>
          <w:rStyle w:val="HideTWBExt"/>
          <w:b w:val="0"/>
          <w:lang w:val="en-GB"/>
        </w:rPr>
        <w:t>NumAm</w:t>
      </w:r>
      <w:r w:rsidRPr="00FC4A49">
        <w:rPr>
          <w:rStyle w:val="HideTWBExt"/>
          <w:b w:val="0"/>
          <w:lang w:val="en-GB"/>
        </w:rPr>
        <w:t>&gt;</w:t>
      </w:r>
    </w:p>
    <w:p w:rsidR="00343C6C" w:rsidRPr="00FC4A49" w:rsidP="00343C6C" w14:paraId="188EBC76" w14:textId="77777777">
      <w:pPr>
        <w:pStyle w:val="NormalBold"/>
      </w:pPr>
      <w:r w:rsidRPr="00FC4A49">
        <w:rPr>
          <w:rStyle w:val="HideTWBExt"/>
          <w:b w:val="0"/>
        </w:rPr>
        <w:t>&lt;RepeatBlock-By&gt;&lt;Members&gt;</w:t>
      </w:r>
      <w:r w:rsidRPr="00FC4A49">
        <w:t>Ondřej Knotek, Jana Nagyová, Antonín Staněk, Roman Haider, Viktória Ferenc</w:t>
      </w:r>
      <w:r w:rsidRPr="00FC4A49">
        <w:rPr>
          <w:rStyle w:val="HideTWBExt"/>
          <w:b w:val="0"/>
        </w:rPr>
        <w:t>&lt;/Members&gt;</w:t>
      </w:r>
    </w:p>
    <w:p w:rsidR="00343C6C" w:rsidRPr="00FC4A49" w:rsidP="00343C6C" w14:paraId="36E0AABF" w14:textId="77777777">
      <w:r w:rsidRPr="00FC4A49">
        <w:rPr>
          <w:rStyle w:val="HideTWBExt"/>
        </w:rPr>
        <w:t>&lt;/RepeatBlock-By&gt;</w:t>
      </w:r>
    </w:p>
    <w:p w:rsidR="00343C6C" w:rsidRPr="00FC4A49" w:rsidP="00343C6C" w14:paraId="64033DD9" w14:textId="77777777">
      <w:pPr>
        <w:pStyle w:val="NormalBold"/>
        <w:keepNext/>
      </w:pPr>
      <w:r w:rsidRPr="00FC4A49">
        <w:rPr>
          <w:rStyle w:val="HideTWBExt"/>
          <w:b w:val="0"/>
        </w:rPr>
        <w:t>&lt;DocAmend&gt;</w:t>
      </w:r>
      <w:r w:rsidRPr="00FC4A49">
        <w:t>Proposal for a directive</w:t>
      </w:r>
      <w:r w:rsidRPr="00FC4A49">
        <w:rPr>
          <w:rStyle w:val="HideTWBExt"/>
          <w:b w:val="0"/>
        </w:rPr>
        <w:t>&lt;/</w:t>
      </w:r>
      <w:r w:rsidRPr="00FC4A49">
        <w:rPr>
          <w:rStyle w:val="HideTWBExt"/>
          <w:b w:val="0"/>
        </w:rPr>
        <w:t>DocAmend</w:t>
      </w:r>
      <w:r w:rsidRPr="00FC4A49">
        <w:rPr>
          <w:rStyle w:val="HideTWBExt"/>
          <w:b w:val="0"/>
        </w:rPr>
        <w:t>&gt;</w:t>
      </w:r>
    </w:p>
    <w:p w:rsidR="00343C6C" w:rsidRPr="00FC4A49" w:rsidP="00343C6C" w14:paraId="6B688D37" w14:textId="77777777">
      <w:pPr>
        <w:pStyle w:val="NormalBold"/>
      </w:pPr>
      <w:r w:rsidRPr="00FC4A49">
        <w:rPr>
          <w:rStyle w:val="HideTWBExt"/>
          <w:b w:val="0"/>
        </w:rPr>
        <w:t>&lt;Article&gt;</w:t>
      </w:r>
      <w:r w:rsidRPr="00FC4A49">
        <w:t>Recital 6</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BFAAD4"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4FE5997" w14:textId="77777777">
            <w:pPr>
              <w:keepNext/>
            </w:pPr>
          </w:p>
        </w:tc>
      </w:tr>
      <w:tr w14:paraId="613B366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00970F6" w14:textId="77777777">
            <w:pPr>
              <w:pStyle w:val="ColumnHeading"/>
              <w:keepNext/>
              <w:rPr>
                <w:lang w:val="en-GB"/>
              </w:rPr>
            </w:pPr>
            <w:r w:rsidRPr="00FC4A49">
              <w:rPr>
                <w:lang w:val="en-GB"/>
              </w:rPr>
              <w:t>Text proposed by the Commission</w:t>
            </w:r>
          </w:p>
        </w:tc>
        <w:tc>
          <w:tcPr>
            <w:tcW w:w="4876" w:type="dxa"/>
          </w:tcPr>
          <w:p w:rsidR="00343C6C" w:rsidRPr="00FC4A49" w:rsidP="005D58F9" w14:paraId="353F876D" w14:textId="77777777">
            <w:pPr>
              <w:pStyle w:val="ColumnHeading"/>
              <w:keepNext/>
              <w:rPr>
                <w:lang w:val="en-GB"/>
              </w:rPr>
            </w:pPr>
            <w:r w:rsidRPr="00FC4A49">
              <w:rPr>
                <w:lang w:val="en-GB"/>
              </w:rPr>
              <w:t>Amendment</w:t>
            </w:r>
          </w:p>
        </w:tc>
      </w:tr>
      <w:tr w14:paraId="3A33F4D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7A27358" w14:textId="77777777">
            <w:pPr>
              <w:pStyle w:val="Normal6"/>
              <w:rPr>
                <w:lang w:val="en-GB"/>
              </w:rPr>
            </w:pPr>
            <w:r w:rsidRPr="00FC4A49">
              <w:rPr>
                <w:lang w:val="en-GB"/>
              </w:rPr>
              <w:t>(6)</w:t>
            </w:r>
            <w:r w:rsidRPr="00FC4A49">
              <w:rPr>
                <w:lang w:val="en-GB"/>
              </w:rPr>
              <w:tab/>
              <w:t>The rapidly changing geopolitical context further emphasised the importance of delivering on the Clean Industrial Deal to enhance resource security and address Europe’s dependence on imported fossil fuels</w:t>
            </w:r>
            <w:r w:rsidRPr="00FC4A49">
              <w:rPr>
                <w:b/>
                <w:i/>
                <w:lang w:val="en-GB"/>
              </w:rPr>
              <w:t>, which is the main cause of higher, and more volatile, energy prices</w:t>
            </w:r>
            <w:r w:rsidRPr="00FC4A49">
              <w:rPr>
                <w:lang w:val="en-GB"/>
              </w:rPr>
              <w:t xml:space="preserve">. Conflicts in Ukraine and the Middle East confront the Union once again with volatile and rising energy prices driven by Europe’s </w:t>
            </w:r>
            <w:r w:rsidRPr="00FC4A49">
              <w:rPr>
                <w:lang w:val="en-GB"/>
              </w:rPr>
              <w:t xml:space="preserve">dependence on imported fossil fuels, which damage the competitiveness of European industry. </w:t>
            </w:r>
            <w:r w:rsidRPr="00FC4A49">
              <w:rPr>
                <w:b/>
                <w:i/>
                <w:lang w:val="en-GB"/>
              </w:rPr>
              <w:t>The EU ETS should continue to be a robust, predictable and fit for purpose driver of decarbonisation, thereby lowering the EU’s dependence on fossil fuel imports and strengthening its resilience, while fostering investments in the clean energy transition in homegrown renewables and other zero- and low-carbon energy sources.</w:t>
            </w:r>
          </w:p>
        </w:tc>
        <w:tc>
          <w:tcPr>
            <w:tcW w:w="4876" w:type="dxa"/>
          </w:tcPr>
          <w:p w:rsidR="00343C6C" w:rsidRPr="00FC4A49" w:rsidP="005D58F9" w14:paraId="6E2FC8B7" w14:textId="77777777">
            <w:pPr>
              <w:pStyle w:val="Normal6"/>
              <w:rPr>
                <w:szCs w:val="24"/>
                <w:lang w:val="en-GB"/>
              </w:rPr>
            </w:pPr>
            <w:r w:rsidRPr="00FC4A49">
              <w:rPr>
                <w:lang w:val="en-GB"/>
              </w:rPr>
              <w:t>(6)</w:t>
            </w:r>
            <w:r w:rsidRPr="00FC4A49">
              <w:rPr>
                <w:lang w:val="en-GB"/>
              </w:rPr>
              <w:tab/>
              <w:t xml:space="preserve">The rapidly changing geopolitical context further emphasised the importance of delivering on the Clean Industrial Deal to enhance resource security and address Europe’s dependence on imported fossil fuels. Conflicts in Ukraine and the Middle East confront the Union once again with volatile and rising energy prices driven by Europe’s dependence on imported fossil fuels, which damage the competitiveness </w:t>
            </w:r>
            <w:r w:rsidRPr="00FC4A49">
              <w:rPr>
                <w:lang w:val="en-GB"/>
              </w:rPr>
              <w:t>of European industry.</w:t>
            </w:r>
          </w:p>
        </w:tc>
      </w:tr>
    </w:tbl>
    <w:p w:rsidR="00343C6C" w:rsidRPr="00804E2D" w:rsidP="00343C6C" w14:paraId="7644A65B" w14:textId="77777777">
      <w:pPr>
        <w:pStyle w:val="Olang"/>
        <w:rPr>
          <w:lang w:val="sv-SE"/>
        </w:rPr>
      </w:pPr>
      <w:r w:rsidRPr="00804E2D">
        <w:rPr>
          <w:lang w:val="sv-SE"/>
        </w:rPr>
        <w:t xml:space="preserve">Or. </w:t>
      </w:r>
      <w:r w:rsidRPr="00804E2D">
        <w:rPr>
          <w:rStyle w:val="HideTWBExt"/>
          <w:lang w:val="sv-SE"/>
        </w:rPr>
        <w:t>&lt;Original&gt;</w:t>
      </w:r>
      <w:r w:rsidRPr="00804E2D">
        <w:rPr>
          <w:rStyle w:val="HideTWBInt"/>
          <w:lang w:val="sv-SE"/>
        </w:rPr>
        <w:t>{EN}</w:t>
      </w:r>
      <w:r w:rsidRPr="00804E2D">
        <w:rPr>
          <w:lang w:val="sv-SE"/>
        </w:rPr>
        <w:t>en</w:t>
      </w:r>
      <w:r w:rsidRPr="00804E2D">
        <w:rPr>
          <w:rStyle w:val="HideTWBExt"/>
          <w:lang w:val="sv-SE"/>
        </w:rPr>
        <w:t>&lt;/Original&gt;</w:t>
      </w:r>
    </w:p>
    <w:p w:rsidR="00343C6C" w:rsidRPr="00804E2D" w:rsidP="00343C6C" w14:paraId="42AEF17C" w14:textId="77777777">
      <w:pPr>
        <w:rPr>
          <w:lang w:val="sv-SE"/>
        </w:rPr>
      </w:pPr>
      <w:r w:rsidRPr="00804E2D">
        <w:rPr>
          <w:rStyle w:val="HideTWBExt"/>
          <w:lang w:val="sv-SE"/>
        </w:rPr>
        <w:t>&lt;/Amend&gt;</w:t>
      </w:r>
    </w:p>
    <w:p w:rsidR="00343C6C" w:rsidRPr="00804E2D" w:rsidP="00343C6C" w14:paraId="3F06A5E2" w14:textId="77777777">
      <w:pPr>
        <w:pStyle w:val="AMNumberTabs0"/>
        <w:keepNext/>
        <w:rPr>
          <w:lang w:val="sv-SE"/>
        </w:rPr>
      </w:pPr>
      <w:r w:rsidRPr="00804E2D">
        <w:rPr>
          <w:rStyle w:val="HideTWBExt"/>
          <w:b w:val="0"/>
          <w:lang w:val="sv-SE"/>
        </w:rPr>
        <w:t>&lt;Amend&gt;</w:t>
      </w:r>
      <w:r w:rsidRPr="00804E2D">
        <w:rPr>
          <w:lang w:val="sv-SE"/>
        </w:rPr>
        <w:t>Amendment</w:t>
      </w:r>
      <w:r w:rsidRPr="00804E2D">
        <w:rPr>
          <w:lang w:val="sv-SE"/>
        </w:rPr>
        <w:tab/>
      </w:r>
      <w:r w:rsidRPr="00804E2D">
        <w:rPr>
          <w:lang w:val="sv-SE"/>
        </w:rPr>
        <w:tab/>
      </w:r>
      <w:r w:rsidRPr="00804E2D">
        <w:rPr>
          <w:rStyle w:val="HideTWBExt"/>
          <w:b w:val="0"/>
          <w:lang w:val="sv-SE"/>
        </w:rPr>
        <w:t>&lt;NumAm&gt;</w:t>
      </w:r>
      <w:r w:rsidRPr="00804E2D">
        <w:rPr>
          <w:lang w:val="sv-SE"/>
        </w:rPr>
        <w:t>112</w:t>
      </w:r>
      <w:r w:rsidRPr="00804E2D">
        <w:rPr>
          <w:rStyle w:val="HideTWBExt"/>
          <w:b w:val="0"/>
          <w:lang w:val="sv-SE"/>
        </w:rPr>
        <w:t>&lt;/</w:t>
      </w:r>
      <w:r w:rsidRPr="00804E2D">
        <w:rPr>
          <w:rStyle w:val="HideTWBExt"/>
          <w:b w:val="0"/>
          <w:lang w:val="sv-SE"/>
        </w:rPr>
        <w:t>NumAm</w:t>
      </w:r>
      <w:r w:rsidRPr="00804E2D">
        <w:rPr>
          <w:rStyle w:val="HideTWBExt"/>
          <w:b w:val="0"/>
          <w:lang w:val="sv-SE"/>
        </w:rPr>
        <w:t>&gt;</w:t>
      </w:r>
    </w:p>
    <w:p w:rsidR="00343C6C" w:rsidRPr="00804E2D" w:rsidP="00343C6C" w14:paraId="7D169BF9" w14:textId="77777777">
      <w:pPr>
        <w:pStyle w:val="NormalBold"/>
        <w:rPr>
          <w:lang w:val="sv-SE"/>
        </w:rPr>
      </w:pPr>
      <w:r w:rsidRPr="00804E2D">
        <w:rPr>
          <w:rStyle w:val="HideTWBExt"/>
          <w:b w:val="0"/>
          <w:lang w:val="sv-SE"/>
        </w:rPr>
        <w:t>&lt;RepeatBlock-By&gt;&lt;Members&gt;</w:t>
      </w:r>
      <w:r w:rsidRPr="00804E2D">
        <w:rPr>
          <w:lang w:val="sv-SE"/>
        </w:rPr>
        <w:t>Li Andersson, Jonas Sjöstedt, Per Clausen</w:t>
      </w:r>
      <w:r w:rsidRPr="00804E2D">
        <w:rPr>
          <w:rStyle w:val="HideTWBExt"/>
          <w:b w:val="0"/>
          <w:lang w:val="sv-SE"/>
        </w:rPr>
        <w:t>&lt;/</w:t>
      </w:r>
      <w:r w:rsidRPr="00804E2D">
        <w:rPr>
          <w:rStyle w:val="HideTWBExt"/>
          <w:b w:val="0"/>
          <w:lang w:val="sv-SE"/>
        </w:rPr>
        <w:t>Members</w:t>
      </w:r>
      <w:r w:rsidRPr="00804E2D">
        <w:rPr>
          <w:rStyle w:val="HideTWBExt"/>
          <w:b w:val="0"/>
          <w:lang w:val="sv-SE"/>
        </w:rPr>
        <w:t>&gt;</w:t>
      </w:r>
    </w:p>
    <w:p w:rsidR="00343C6C" w:rsidRPr="00804E2D" w:rsidP="00343C6C" w14:paraId="676AAD98" w14:textId="77777777">
      <w:pPr>
        <w:rPr>
          <w:lang w:val="sv-SE"/>
        </w:rPr>
      </w:pPr>
      <w:r w:rsidRPr="00804E2D">
        <w:rPr>
          <w:rStyle w:val="HideTWBExt"/>
          <w:lang w:val="sv-SE"/>
        </w:rPr>
        <w:t>&lt;/RepeatBlock-By&gt;</w:t>
      </w:r>
    </w:p>
    <w:p w:rsidR="00343C6C" w:rsidRPr="00FC4A49" w:rsidP="00343C6C" w14:paraId="02929017" w14:textId="77777777">
      <w:pPr>
        <w:pStyle w:val="NormalBold"/>
        <w:keepNext/>
      </w:pPr>
      <w:r w:rsidRPr="00FC4A49">
        <w:rPr>
          <w:rStyle w:val="HideTWBExt"/>
          <w:b w:val="0"/>
        </w:rPr>
        <w:t>&lt;DocAmend&gt;</w:t>
      </w:r>
      <w:r w:rsidRPr="00FC4A49">
        <w:t>Proposal for a directive</w:t>
      </w:r>
      <w:r w:rsidRPr="00FC4A49">
        <w:rPr>
          <w:rStyle w:val="HideTWBExt"/>
          <w:b w:val="0"/>
        </w:rPr>
        <w:t>&lt;/</w:t>
      </w:r>
      <w:r w:rsidRPr="00FC4A49">
        <w:rPr>
          <w:rStyle w:val="HideTWBExt"/>
          <w:b w:val="0"/>
        </w:rPr>
        <w:t>DocAmend</w:t>
      </w:r>
      <w:r w:rsidRPr="00FC4A49">
        <w:rPr>
          <w:rStyle w:val="HideTWBExt"/>
          <w:b w:val="0"/>
        </w:rPr>
        <w:t>&gt;</w:t>
      </w:r>
    </w:p>
    <w:p w:rsidR="00343C6C" w:rsidRPr="00FC4A49" w:rsidP="00343C6C" w14:paraId="4BAE7D19" w14:textId="77777777">
      <w:pPr>
        <w:pStyle w:val="NormalBold"/>
      </w:pPr>
      <w:r w:rsidRPr="00FC4A49">
        <w:rPr>
          <w:rStyle w:val="HideTWBExt"/>
          <w:b w:val="0"/>
        </w:rPr>
        <w:t>&lt;Article&gt;</w:t>
      </w:r>
      <w:r w:rsidRPr="00FC4A49">
        <w:t>Recital 6</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66888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0021183" w14:textId="77777777">
            <w:pPr>
              <w:keepNext/>
            </w:pPr>
          </w:p>
        </w:tc>
      </w:tr>
      <w:tr w14:paraId="1D84C77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A8FCCB9" w14:textId="77777777">
            <w:pPr>
              <w:pStyle w:val="ColumnHeading"/>
              <w:keepNext/>
              <w:rPr>
                <w:lang w:val="en-GB"/>
              </w:rPr>
            </w:pPr>
            <w:r w:rsidRPr="00FC4A49">
              <w:rPr>
                <w:lang w:val="en-GB"/>
              </w:rPr>
              <w:t>Text proposed by the Commission</w:t>
            </w:r>
          </w:p>
        </w:tc>
        <w:tc>
          <w:tcPr>
            <w:tcW w:w="4876" w:type="dxa"/>
          </w:tcPr>
          <w:p w:rsidR="00343C6C" w:rsidRPr="00FC4A49" w:rsidP="005D58F9" w14:paraId="79ADD9AD" w14:textId="77777777">
            <w:pPr>
              <w:pStyle w:val="ColumnHeading"/>
              <w:keepNext/>
              <w:rPr>
                <w:lang w:val="en-GB"/>
              </w:rPr>
            </w:pPr>
            <w:r w:rsidRPr="00FC4A49">
              <w:rPr>
                <w:lang w:val="en-GB"/>
              </w:rPr>
              <w:t>Amendment</w:t>
            </w:r>
          </w:p>
        </w:tc>
      </w:tr>
      <w:tr w14:paraId="09D3265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9E43529" w14:textId="77777777">
            <w:pPr>
              <w:pStyle w:val="Normal6"/>
              <w:rPr>
                <w:lang w:val="en-GB"/>
              </w:rPr>
            </w:pPr>
            <w:r w:rsidRPr="00FC4A49">
              <w:rPr>
                <w:lang w:val="en-GB"/>
              </w:rPr>
              <w:t>(6)</w:t>
            </w:r>
            <w:r w:rsidRPr="00FC4A49">
              <w:rPr>
                <w:lang w:val="en-GB"/>
              </w:rPr>
              <w:tab/>
              <w:t xml:space="preserve">The rapidly changing geopolitical context further emphasised the importance of delivering on the Clean Industrial Deal to enhance resource security and address Europe’s dependence on imported fossil fuels, which is the main cause of higher, and more volatile, energy prices. Conflicts in Ukraine and the Middle East confront the Union once again with volatile and rising energy prices driven by Europe’s dependence on </w:t>
            </w:r>
            <w:r w:rsidRPr="00FC4A49">
              <w:rPr>
                <w:b/>
                <w:i/>
                <w:lang w:val="en-GB"/>
              </w:rPr>
              <w:t>imported</w:t>
            </w:r>
            <w:r w:rsidRPr="00FC4A49">
              <w:rPr>
                <w:lang w:val="en-GB"/>
              </w:rPr>
              <w:t xml:space="preserve"> fossil fuels, which damage the competitiveness of European industry. The EU ETS should continue to be a robust, predictable and fit for purpose driver of decarbonisation, thereby lowering the EU’s dependence on fossil fuel imports and strengthening its resilience, while fostering investments in the clean energy transition in homegrown renewables and other zero- and low-carbon energy sources.</w:t>
            </w:r>
          </w:p>
        </w:tc>
        <w:tc>
          <w:tcPr>
            <w:tcW w:w="4876" w:type="dxa"/>
          </w:tcPr>
          <w:p w:rsidR="00343C6C" w:rsidRPr="00FC4A49" w:rsidP="005D58F9" w14:paraId="12D82A15" w14:textId="77777777">
            <w:pPr>
              <w:pStyle w:val="Normal6"/>
              <w:rPr>
                <w:szCs w:val="24"/>
                <w:lang w:val="en-GB"/>
              </w:rPr>
            </w:pPr>
            <w:r w:rsidRPr="00FC4A49">
              <w:rPr>
                <w:lang w:val="en-GB"/>
              </w:rPr>
              <w:t>(6)</w:t>
            </w:r>
            <w:r w:rsidRPr="00FC4A49">
              <w:rPr>
                <w:lang w:val="en-GB"/>
              </w:rPr>
              <w:tab/>
              <w:t>The rapidly changing geopolitical context further emphasised the importance of delivering on the Clean Industrial Deal to enhance resource security and address Europe’s dependence on imported fossil fuels, which is the main cause of higher, and more volatile, energy prices. Conflicts in Ukraine and the Middle East confront the Union once again with volatile and rising energy prices driven by Europe’s dependence on fossil fuels, which damage the competitiveness of European industry. The EU ETS should continue to be a robust, predictable and fit for purpose driver of decarbonisation, thereby lowering the EU’s dependence on fossil fuel imports and strengthening its resilience, while fostering investments in the clean energy transition in homegrown renewables and other zero- and low-carbon energy sources.</w:t>
            </w:r>
          </w:p>
        </w:tc>
      </w:tr>
    </w:tbl>
    <w:p w:rsidR="00343C6C" w:rsidRPr="00FC4A49" w:rsidP="00343C6C" w14:paraId="0472D916"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4FECFAC" w14:textId="77777777">
      <w:r w:rsidRPr="00FC4A49">
        <w:rPr>
          <w:rStyle w:val="HideTWBExt"/>
        </w:rPr>
        <w:t>&lt;/Amend&gt;</w:t>
      </w:r>
    </w:p>
    <w:p w:rsidR="00343C6C" w:rsidRPr="00FC4A49" w:rsidP="00343C6C" w14:paraId="72986956"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113</w:t>
      </w:r>
      <w:r w:rsidRPr="00FC4A49">
        <w:rPr>
          <w:rStyle w:val="HideTWBExt"/>
          <w:b w:val="0"/>
          <w:lang w:val="en-GB"/>
        </w:rPr>
        <w:t>&lt;/</w:t>
      </w:r>
      <w:r w:rsidRPr="00FC4A49">
        <w:rPr>
          <w:rStyle w:val="HideTWBExt"/>
          <w:b w:val="0"/>
          <w:lang w:val="en-GB"/>
        </w:rPr>
        <w:t>NumAm</w:t>
      </w:r>
      <w:r w:rsidRPr="00FC4A49">
        <w:rPr>
          <w:rStyle w:val="HideTWBExt"/>
          <w:b w:val="0"/>
          <w:lang w:val="en-GB"/>
        </w:rPr>
        <w:t>&gt;</w:t>
      </w:r>
    </w:p>
    <w:p w:rsidR="00343C6C" w:rsidRPr="00FC4A49" w:rsidP="00343C6C" w14:paraId="5C0DEF7E"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1DA99A4E" w14:textId="77777777">
      <w:r w:rsidRPr="00FC4A49">
        <w:rPr>
          <w:rStyle w:val="HideTWBExt"/>
        </w:rPr>
        <w:t>&lt;/RepeatBlock-By&gt;</w:t>
      </w:r>
    </w:p>
    <w:p w:rsidR="00343C6C" w:rsidRPr="00FC4A49" w:rsidP="00343C6C" w14:paraId="0E915A89" w14:textId="77777777">
      <w:pPr>
        <w:pStyle w:val="NormalBold"/>
        <w:keepNext/>
      </w:pPr>
      <w:r w:rsidRPr="00FC4A49">
        <w:rPr>
          <w:rStyle w:val="HideTWBExt"/>
          <w:b w:val="0"/>
        </w:rPr>
        <w:t>&lt;DocAmend&gt;</w:t>
      </w:r>
      <w:r w:rsidRPr="00FC4A49">
        <w:t>Proposal for a directive</w:t>
      </w:r>
      <w:r w:rsidRPr="00FC4A49">
        <w:rPr>
          <w:rStyle w:val="HideTWBExt"/>
          <w:b w:val="0"/>
        </w:rPr>
        <w:t>&lt;/</w:t>
      </w:r>
      <w:r w:rsidRPr="00FC4A49">
        <w:rPr>
          <w:rStyle w:val="HideTWBExt"/>
          <w:b w:val="0"/>
        </w:rPr>
        <w:t>DocAmend</w:t>
      </w:r>
      <w:r w:rsidRPr="00FC4A49">
        <w:rPr>
          <w:rStyle w:val="HideTWBExt"/>
          <w:b w:val="0"/>
        </w:rPr>
        <w:t>&gt;</w:t>
      </w:r>
    </w:p>
    <w:p w:rsidR="00343C6C" w:rsidRPr="00FC4A49" w:rsidP="00343C6C" w14:paraId="794AF615" w14:textId="77777777">
      <w:pPr>
        <w:pStyle w:val="NormalBold"/>
      </w:pPr>
      <w:r w:rsidRPr="00FC4A49">
        <w:rPr>
          <w:rStyle w:val="HideTWBExt"/>
          <w:b w:val="0"/>
        </w:rPr>
        <w:t>&lt;Article&gt;</w:t>
      </w:r>
      <w:r w:rsidRPr="00FC4A49">
        <w:t>Recital 6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46256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BCF8C4C" w14:textId="77777777">
            <w:pPr>
              <w:keepNext/>
            </w:pPr>
          </w:p>
        </w:tc>
      </w:tr>
      <w:tr w14:paraId="4CEE730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2170DC2" w14:textId="77777777">
            <w:pPr>
              <w:pStyle w:val="ColumnHeading"/>
              <w:keepNext/>
              <w:rPr>
                <w:lang w:val="en-GB"/>
              </w:rPr>
            </w:pPr>
            <w:r w:rsidRPr="00FC4A49">
              <w:rPr>
                <w:lang w:val="en-GB"/>
              </w:rPr>
              <w:t>Text proposed by the Commission</w:t>
            </w:r>
          </w:p>
        </w:tc>
        <w:tc>
          <w:tcPr>
            <w:tcW w:w="4876" w:type="dxa"/>
          </w:tcPr>
          <w:p w:rsidR="00343C6C" w:rsidRPr="00FC4A49" w:rsidP="005D58F9" w14:paraId="09779DD4" w14:textId="77777777">
            <w:pPr>
              <w:pStyle w:val="ColumnHeading"/>
              <w:keepNext/>
              <w:rPr>
                <w:lang w:val="en-GB"/>
              </w:rPr>
            </w:pPr>
            <w:r w:rsidRPr="00FC4A49">
              <w:rPr>
                <w:lang w:val="en-GB"/>
              </w:rPr>
              <w:t>Amendment</w:t>
            </w:r>
          </w:p>
        </w:tc>
      </w:tr>
      <w:tr w14:paraId="5251BBE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2BFC967" w14:textId="77777777">
            <w:pPr>
              <w:pStyle w:val="Normal6"/>
              <w:rPr>
                <w:lang w:val="en-GB"/>
              </w:rPr>
            </w:pPr>
          </w:p>
        </w:tc>
        <w:tc>
          <w:tcPr>
            <w:tcW w:w="4876" w:type="dxa"/>
          </w:tcPr>
          <w:p w:rsidR="00343C6C" w:rsidRPr="00FC4A49" w:rsidP="005D58F9" w14:paraId="429E69E8" w14:textId="77777777">
            <w:pPr>
              <w:pStyle w:val="Normal6"/>
              <w:rPr>
                <w:szCs w:val="24"/>
                <w:lang w:val="en-GB"/>
              </w:rPr>
            </w:pPr>
            <w:r w:rsidRPr="00FC4A49">
              <w:rPr>
                <w:b/>
                <w:i/>
                <w:lang w:val="en-GB"/>
              </w:rPr>
              <w:t>(6a)</w:t>
            </w:r>
            <w:r w:rsidRPr="00FC4A49">
              <w:rPr>
                <w:b/>
                <w:i/>
                <w:lang w:val="en-GB"/>
              </w:rPr>
              <w:tab/>
              <w:t>The Electrification Action Plan</w:t>
            </w:r>
            <w:r w:rsidRPr="00FC4A49">
              <w:rPr>
                <w:b/>
                <w:i/>
                <w:vertAlign w:val="superscript"/>
                <w:lang w:val="en-GB"/>
              </w:rPr>
              <w:t>1a</w:t>
            </w:r>
            <w:r w:rsidRPr="00FC4A49">
              <w:rPr>
                <w:lang w:val="en-GB"/>
              </w:rPr>
              <w:t xml:space="preserve"> </w:t>
            </w:r>
            <w:r w:rsidRPr="00FC4A49">
              <w:rPr>
                <w:b/>
                <w:i/>
                <w:lang w:val="en-GB"/>
              </w:rPr>
              <w:t>aims at speeding up the shift from fossil fuels to electricity in Europe across industry, transport and buildings. It sets the goal of making Europe the world’s first electro-powered continent by increasing electrification of energy use to at least 46% by 2040. Maintaining a robust EU ETS will play a key role in reaching this objective. The EU ETS should also provide dedicated investments for electrification wherever possible, including in the deployment of the ETS Investment Booster, the Industrial Electrification and Decarbonisation Bank, the Innovation and Modernisation Funds, and through the use of Member States’ national ETS revenues.</w:t>
            </w:r>
          </w:p>
        </w:tc>
      </w:tr>
      <w:tr w14:paraId="5C252FB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4A35A5A" w14:textId="77777777">
            <w:pPr>
              <w:pStyle w:val="Normal6"/>
              <w:rPr>
                <w:lang w:val="en-GB"/>
              </w:rPr>
            </w:pPr>
          </w:p>
        </w:tc>
        <w:tc>
          <w:tcPr>
            <w:tcW w:w="4876" w:type="dxa"/>
          </w:tcPr>
          <w:p w:rsidR="00343C6C" w:rsidRPr="00FC4A49" w:rsidP="005D58F9" w14:paraId="29CDEDB6" w14:textId="77777777">
            <w:pPr>
              <w:pStyle w:val="Normal6"/>
              <w:rPr>
                <w:szCs w:val="24"/>
                <w:lang w:val="en-GB"/>
              </w:rPr>
            </w:pPr>
            <w:r w:rsidRPr="00FC4A49">
              <w:rPr>
                <w:b/>
                <w:i/>
                <w:lang w:val="en-GB"/>
              </w:rPr>
              <w:t>__________________</w:t>
            </w:r>
          </w:p>
        </w:tc>
      </w:tr>
      <w:tr w14:paraId="0FAB377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9A55096" w14:textId="77777777">
            <w:pPr>
              <w:pStyle w:val="Normal6"/>
              <w:rPr>
                <w:lang w:val="en-GB"/>
              </w:rPr>
            </w:pPr>
          </w:p>
        </w:tc>
        <w:tc>
          <w:tcPr>
            <w:tcW w:w="4876" w:type="dxa"/>
          </w:tcPr>
          <w:p w:rsidR="00343C6C" w:rsidRPr="00FC4A49" w:rsidP="005D58F9" w14:paraId="761145AF" w14:textId="77777777">
            <w:pPr>
              <w:pStyle w:val="Normal6"/>
              <w:rPr>
                <w:szCs w:val="24"/>
                <w:lang w:val="en-GB"/>
              </w:rPr>
            </w:pPr>
            <w:r w:rsidRPr="00FC4A49">
              <w:rPr>
                <w:b/>
                <w:i/>
                <w:vertAlign w:val="superscript"/>
                <w:lang w:val="en-GB"/>
              </w:rPr>
              <w:t>1a</w:t>
            </w:r>
            <w:r w:rsidRPr="00FC4A49">
              <w:rPr>
                <w:lang w:val="en-GB"/>
              </w:rPr>
              <w:t xml:space="preserve"> </w:t>
            </w:r>
            <w:r w:rsidRPr="00FC4A49">
              <w:rPr>
                <w:b/>
                <w:i/>
                <w:lang w:val="en-GB"/>
              </w:rPr>
              <w:t>Electrification Action Plan, COM(2026) 595 final.</w:t>
            </w:r>
          </w:p>
        </w:tc>
      </w:tr>
    </w:tbl>
    <w:p w:rsidR="00343C6C" w:rsidRPr="00FC4A49" w:rsidP="00343C6C" w14:paraId="367AE76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40C5634" w14:textId="77777777">
      <w:r w:rsidRPr="00FC4A49">
        <w:rPr>
          <w:rStyle w:val="HideTWBExt"/>
        </w:rPr>
        <w:t>&lt;/Amend&gt;</w:t>
      </w:r>
    </w:p>
    <w:p w:rsidR="00343C6C" w:rsidRPr="00FC4A49" w:rsidP="00343C6C" w14:paraId="41DB149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114</w:t>
      </w:r>
      <w:r w:rsidRPr="00FC4A49">
        <w:rPr>
          <w:rStyle w:val="HideTWBExt"/>
          <w:b w:val="0"/>
          <w:lang w:val="en-GB"/>
        </w:rPr>
        <w:t>&lt;/</w:t>
      </w:r>
      <w:r w:rsidRPr="00FC4A49">
        <w:rPr>
          <w:rStyle w:val="HideTWBExt"/>
          <w:b w:val="0"/>
          <w:lang w:val="en-GB"/>
        </w:rPr>
        <w:t>NumAm</w:t>
      </w:r>
      <w:r w:rsidRPr="00FC4A49">
        <w:rPr>
          <w:rStyle w:val="HideTWBExt"/>
          <w:b w:val="0"/>
          <w:lang w:val="en-GB"/>
        </w:rPr>
        <w:t>&gt;</w:t>
      </w:r>
    </w:p>
    <w:p w:rsidR="00343C6C" w:rsidRPr="00FC4A49" w:rsidP="00343C6C" w14:paraId="0CB0A5CB"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6FD5092D" w14:textId="77777777">
      <w:r w:rsidRPr="00FC4A49">
        <w:rPr>
          <w:rStyle w:val="HideTWBExt"/>
        </w:rPr>
        <w:t>&lt;/RepeatBlock-By&gt;</w:t>
      </w:r>
    </w:p>
    <w:p w:rsidR="00343C6C" w:rsidRPr="00FC4A49" w:rsidP="00343C6C" w14:paraId="5ACDF889" w14:textId="77777777">
      <w:pPr>
        <w:pStyle w:val="NormalBold"/>
        <w:keepNext/>
      </w:pPr>
      <w:r w:rsidRPr="00FC4A49">
        <w:rPr>
          <w:rStyle w:val="HideTWBExt"/>
          <w:b w:val="0"/>
        </w:rPr>
        <w:t>&lt;DocAmend&gt;</w:t>
      </w:r>
      <w:r w:rsidRPr="00FC4A49">
        <w:t>Proposal for a directive</w:t>
      </w:r>
      <w:r w:rsidRPr="00FC4A49">
        <w:rPr>
          <w:rStyle w:val="HideTWBExt"/>
          <w:b w:val="0"/>
        </w:rPr>
        <w:t>&lt;/</w:t>
      </w:r>
      <w:r w:rsidRPr="00FC4A49">
        <w:rPr>
          <w:rStyle w:val="HideTWBExt"/>
          <w:b w:val="0"/>
        </w:rPr>
        <w:t>DocAmend</w:t>
      </w:r>
      <w:r w:rsidRPr="00FC4A49">
        <w:rPr>
          <w:rStyle w:val="HideTWBExt"/>
          <w:b w:val="0"/>
        </w:rPr>
        <w:t>&gt;</w:t>
      </w:r>
    </w:p>
    <w:p w:rsidR="00343C6C" w:rsidRPr="00FC4A49" w:rsidP="00343C6C" w14:paraId="2AC47CE8" w14:textId="77777777">
      <w:pPr>
        <w:pStyle w:val="NormalBold"/>
      </w:pPr>
      <w:r w:rsidRPr="00FC4A49">
        <w:rPr>
          <w:rStyle w:val="HideTWBExt"/>
          <w:b w:val="0"/>
        </w:rPr>
        <w:t>&lt;Article&gt;</w:t>
      </w:r>
      <w:r w:rsidRPr="00FC4A49">
        <w:t>Recital 7</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5E678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EF8A1A7" w14:textId="77777777">
            <w:pPr>
              <w:keepNext/>
            </w:pPr>
          </w:p>
        </w:tc>
      </w:tr>
      <w:tr w14:paraId="742A9A4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7B74492" w14:textId="77777777">
            <w:pPr>
              <w:pStyle w:val="ColumnHeading"/>
              <w:keepNext/>
              <w:rPr>
                <w:lang w:val="en-GB"/>
              </w:rPr>
            </w:pPr>
            <w:r w:rsidRPr="00FC4A49">
              <w:rPr>
                <w:lang w:val="en-GB"/>
              </w:rPr>
              <w:t>Text proposed by the Commission</w:t>
            </w:r>
          </w:p>
        </w:tc>
        <w:tc>
          <w:tcPr>
            <w:tcW w:w="4876" w:type="dxa"/>
          </w:tcPr>
          <w:p w:rsidR="00343C6C" w:rsidRPr="00FC4A49" w:rsidP="005D58F9" w14:paraId="5CCE5F4B" w14:textId="77777777">
            <w:pPr>
              <w:pStyle w:val="ColumnHeading"/>
              <w:keepNext/>
              <w:rPr>
                <w:lang w:val="en-GB"/>
              </w:rPr>
            </w:pPr>
            <w:r w:rsidRPr="00FC4A49">
              <w:rPr>
                <w:lang w:val="en-GB"/>
              </w:rPr>
              <w:t>Amendment</w:t>
            </w:r>
          </w:p>
        </w:tc>
      </w:tr>
      <w:tr w14:paraId="756D3E8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16EAF47" w14:textId="77777777">
            <w:pPr>
              <w:pStyle w:val="Normal6"/>
              <w:rPr>
                <w:lang w:val="en-GB"/>
              </w:rPr>
            </w:pPr>
            <w:r w:rsidRPr="00FC4A49">
              <w:rPr>
                <w:lang w:val="en-GB"/>
              </w:rPr>
              <w:t>(7)</w:t>
            </w:r>
            <w:r w:rsidRPr="00FC4A49">
              <w:rPr>
                <w:lang w:val="en-GB"/>
              </w:rPr>
              <w:tab/>
              <w:t>In its conclusions of 19 March 2026</w:t>
            </w:r>
            <w:r w:rsidRPr="00FC4A49">
              <w:rPr>
                <w:vertAlign w:val="superscript"/>
                <w:lang w:val="en-GB"/>
              </w:rPr>
              <w:t>7</w:t>
            </w:r>
            <w:r w:rsidRPr="00FC4A49">
              <w:rPr>
                <w:lang w:val="en-GB"/>
              </w:rPr>
              <w:t xml:space="preserve"> the Council invited the Commission to present a review of the EU ETS by July 2026 at the latest, to reduce the volatility of the carbon price and mitigate its impact on electricity prices, including related supply </w:t>
            </w:r>
            <w:r w:rsidRPr="00FC4A49">
              <w:rPr>
                <w:lang w:val="en-GB"/>
              </w:rPr>
              <w:t>chain costs, and on diversion of activities</w:t>
            </w:r>
            <w:r w:rsidRPr="00FC4A49">
              <w:rPr>
                <w:b/>
                <w:bCs/>
                <w:i/>
                <w:iCs/>
                <w:lang w:val="en-GB"/>
              </w:rPr>
              <w:t>, while preserving the essential role of the ETS in the climate and energy transition through a market-based price signal for carbon emissions that drives investment and innovation</w:t>
            </w:r>
            <w:r w:rsidRPr="00FC4A49">
              <w:rPr>
                <w:lang w:val="en-GB"/>
              </w:rPr>
              <w:t>. The Parliament, the Council and the Commission, signed the ‘One Europe, One Market’ roadmap setting Q1 2027 as target for agreement for the review of the EU ETS.</w:t>
            </w:r>
            <w:r w:rsidRPr="00FC4A49">
              <w:rPr>
                <w:vertAlign w:val="superscript"/>
                <w:lang w:val="en-GB"/>
              </w:rPr>
              <w:t>8</w:t>
            </w:r>
          </w:p>
        </w:tc>
        <w:tc>
          <w:tcPr>
            <w:tcW w:w="4876" w:type="dxa"/>
          </w:tcPr>
          <w:p w:rsidR="00343C6C" w:rsidRPr="00FC4A49" w:rsidP="005D58F9" w14:paraId="2E4703E5" w14:textId="77777777">
            <w:pPr>
              <w:pStyle w:val="Normal6"/>
              <w:rPr>
                <w:szCs w:val="24"/>
                <w:lang w:val="en-GB"/>
              </w:rPr>
            </w:pPr>
            <w:r w:rsidRPr="00FC4A49">
              <w:rPr>
                <w:lang w:val="en-GB"/>
              </w:rPr>
              <w:t>(7)</w:t>
            </w:r>
            <w:r w:rsidRPr="00FC4A49">
              <w:rPr>
                <w:lang w:val="en-GB"/>
              </w:rPr>
              <w:tab/>
              <w:t>In its conclusions of 19 March 2026</w:t>
            </w:r>
            <w:r w:rsidRPr="00FC4A49">
              <w:rPr>
                <w:vertAlign w:val="superscript"/>
                <w:lang w:val="en-GB"/>
              </w:rPr>
              <w:t>7</w:t>
            </w:r>
            <w:r w:rsidRPr="00FC4A49">
              <w:rPr>
                <w:lang w:val="en-GB"/>
              </w:rPr>
              <w:t xml:space="preserve"> the Council invited the Commission to present a review of the EU ETS by July 2026 at the latest, to reduce the volatility of the carbon price and mitigate its impact on electricity prices, including related supply </w:t>
            </w:r>
            <w:r w:rsidRPr="00FC4A49">
              <w:rPr>
                <w:lang w:val="en-GB"/>
              </w:rPr>
              <w:t>chain costs, and on diversion of activities. The Parliament, the Council and the Commission, signed the ‘One Europe, One Market’ roadmap setting Q1 2027 as target for agreement for the review of the EU ETS.</w:t>
            </w:r>
            <w:r w:rsidRPr="00FC4A49">
              <w:rPr>
                <w:vertAlign w:val="superscript"/>
                <w:lang w:val="en-GB"/>
              </w:rPr>
              <w:t>8</w:t>
            </w:r>
          </w:p>
        </w:tc>
      </w:tr>
      <w:tr w14:paraId="2E7DEC2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B03E4A7" w14:textId="77777777">
            <w:pPr>
              <w:pStyle w:val="Normal6"/>
              <w:rPr>
                <w:lang w:val="en-GB"/>
              </w:rPr>
            </w:pPr>
            <w:r w:rsidRPr="00FC4A49">
              <w:rPr>
                <w:lang w:val="en-GB"/>
              </w:rPr>
              <w:t>__________________</w:t>
            </w:r>
          </w:p>
        </w:tc>
        <w:tc>
          <w:tcPr>
            <w:tcW w:w="4876" w:type="dxa"/>
          </w:tcPr>
          <w:p w:rsidR="00343C6C" w:rsidRPr="00FC4A49" w:rsidP="005D58F9" w14:paraId="5F67DC5E" w14:textId="77777777">
            <w:pPr>
              <w:pStyle w:val="Normal6"/>
              <w:rPr>
                <w:szCs w:val="24"/>
                <w:lang w:val="en-GB"/>
              </w:rPr>
            </w:pPr>
            <w:r w:rsidRPr="00FC4A49">
              <w:rPr>
                <w:lang w:val="en-GB"/>
              </w:rPr>
              <w:t>__________________</w:t>
            </w:r>
          </w:p>
        </w:tc>
      </w:tr>
      <w:tr w14:paraId="086ADB5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FDA2EA6" w14:textId="77777777">
            <w:pPr>
              <w:pStyle w:val="Normal6"/>
              <w:rPr>
                <w:lang w:val="en-GB"/>
              </w:rPr>
            </w:pPr>
            <w:r w:rsidRPr="00FC4A49">
              <w:rPr>
                <w:vertAlign w:val="superscript"/>
                <w:lang w:val="en-GB"/>
              </w:rPr>
              <w:t>7</w:t>
            </w:r>
            <w:r w:rsidRPr="00FC4A49">
              <w:rPr>
                <w:lang w:val="en-GB"/>
              </w:rPr>
              <w:t xml:space="preserve"> European Council Conclusions 19 March 2026 EUCO 1/26 CO EUR 1 CONCL 1.</w:t>
            </w:r>
          </w:p>
        </w:tc>
        <w:tc>
          <w:tcPr>
            <w:tcW w:w="4876" w:type="dxa"/>
          </w:tcPr>
          <w:p w:rsidR="00343C6C" w:rsidRPr="00FC4A49" w:rsidP="005D58F9" w14:paraId="603C67E6" w14:textId="77777777">
            <w:pPr>
              <w:pStyle w:val="Normal6"/>
              <w:rPr>
                <w:szCs w:val="24"/>
                <w:lang w:val="en-GB"/>
              </w:rPr>
            </w:pPr>
            <w:r w:rsidRPr="00FC4A49">
              <w:rPr>
                <w:vertAlign w:val="superscript"/>
                <w:lang w:val="en-GB"/>
              </w:rPr>
              <w:t>7</w:t>
            </w:r>
            <w:r w:rsidRPr="00FC4A49">
              <w:rPr>
                <w:lang w:val="en-GB"/>
              </w:rPr>
              <w:t xml:space="preserve"> European Council Conclusions 19 March 2026 EUCO 1/26 CO EUR 1 CONCL 1.</w:t>
            </w:r>
          </w:p>
        </w:tc>
      </w:tr>
      <w:tr w14:paraId="38CE355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66D6AF5" w14:textId="77777777">
            <w:pPr>
              <w:pStyle w:val="Normal6"/>
              <w:rPr>
                <w:lang w:val="en-GB"/>
              </w:rPr>
            </w:pPr>
            <w:r w:rsidRPr="00FC4A49">
              <w:rPr>
                <w:vertAlign w:val="superscript"/>
                <w:lang w:val="en-GB"/>
              </w:rPr>
              <w:t>8</w:t>
            </w:r>
            <w:r w:rsidRPr="00FC4A49">
              <w:rPr>
                <w:lang w:val="en-GB"/>
              </w:rPr>
              <w:t xml:space="preserve"> One Europe, One Market Roadmap of the European Parliament, the Council of the European Union and the European Commission.</w:t>
            </w:r>
          </w:p>
        </w:tc>
        <w:tc>
          <w:tcPr>
            <w:tcW w:w="4876" w:type="dxa"/>
          </w:tcPr>
          <w:p w:rsidR="00343C6C" w:rsidRPr="00FC4A49" w:rsidP="005D58F9" w14:paraId="2EACDE05" w14:textId="77777777">
            <w:pPr>
              <w:pStyle w:val="Normal6"/>
              <w:rPr>
                <w:szCs w:val="24"/>
                <w:lang w:val="en-GB"/>
              </w:rPr>
            </w:pPr>
            <w:r w:rsidRPr="00FC4A49">
              <w:rPr>
                <w:vertAlign w:val="superscript"/>
                <w:lang w:val="en-GB"/>
              </w:rPr>
              <w:t>8</w:t>
            </w:r>
            <w:r w:rsidRPr="00FC4A49">
              <w:rPr>
                <w:lang w:val="en-GB"/>
              </w:rPr>
              <w:t xml:space="preserve"> One Europe, One Market Roadmap of the European Parliament, the Council of the European Union and the European Commission.</w:t>
            </w:r>
          </w:p>
        </w:tc>
      </w:tr>
    </w:tbl>
    <w:p w:rsidR="00343C6C" w:rsidRPr="00FC4A49" w:rsidP="00343C6C" w14:paraId="59E0338C"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09267ADF" w14:textId="77777777">
      <w:r w:rsidRPr="00FC4A49">
        <w:rPr>
          <w:rStyle w:val="HideTWBExt"/>
        </w:rPr>
        <w:t>&lt;/Amend&gt;</w:t>
      </w:r>
    </w:p>
    <w:p w:rsidR="00343C6C" w:rsidRPr="00FC4A49" w:rsidP="00343C6C" w14:paraId="3F2B09D1"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115</w:t>
      </w:r>
      <w:r w:rsidRPr="00FC4A49">
        <w:rPr>
          <w:rStyle w:val="HideTWBExt"/>
          <w:b w:val="0"/>
          <w:lang w:val="en-GB"/>
        </w:rPr>
        <w:t>&lt;/</w:t>
      </w:r>
      <w:r w:rsidRPr="00FC4A49">
        <w:rPr>
          <w:rStyle w:val="HideTWBExt"/>
          <w:b w:val="0"/>
          <w:lang w:val="en-GB"/>
        </w:rPr>
        <w:t>NumAm</w:t>
      </w:r>
      <w:r w:rsidRPr="00FC4A49">
        <w:rPr>
          <w:rStyle w:val="HideTWBExt"/>
          <w:b w:val="0"/>
          <w:lang w:val="en-GB"/>
        </w:rPr>
        <w:t>&gt;</w:t>
      </w:r>
    </w:p>
    <w:p w:rsidR="00343C6C" w:rsidRPr="00FC4A49" w:rsidP="00343C6C" w14:paraId="71246B4B"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1D350A51" w14:textId="77777777">
      <w:r w:rsidRPr="00FC4A49">
        <w:rPr>
          <w:rStyle w:val="HideTWBExt"/>
        </w:rPr>
        <w:t>&lt;/RepeatBlock-By&gt;</w:t>
      </w:r>
    </w:p>
    <w:p w:rsidR="00343C6C" w:rsidRPr="00FC4A49" w:rsidP="00343C6C" w14:paraId="16D998D3" w14:textId="77777777">
      <w:pPr>
        <w:pStyle w:val="NormalBold"/>
        <w:keepNext/>
      </w:pPr>
      <w:r w:rsidRPr="00FC4A49">
        <w:rPr>
          <w:rStyle w:val="HideTWBExt"/>
          <w:b w:val="0"/>
        </w:rPr>
        <w:t>&lt;DocAmend&gt;</w:t>
      </w:r>
      <w:r w:rsidRPr="00FC4A49">
        <w:t>Proposal for a directive</w:t>
      </w:r>
      <w:r w:rsidRPr="00FC4A49">
        <w:rPr>
          <w:rStyle w:val="HideTWBExt"/>
          <w:b w:val="0"/>
        </w:rPr>
        <w:t>&lt;/</w:t>
      </w:r>
      <w:r w:rsidRPr="00FC4A49">
        <w:rPr>
          <w:rStyle w:val="HideTWBExt"/>
          <w:b w:val="0"/>
        </w:rPr>
        <w:t>DocAmend</w:t>
      </w:r>
      <w:r w:rsidRPr="00FC4A49">
        <w:rPr>
          <w:rStyle w:val="HideTWBExt"/>
          <w:b w:val="0"/>
        </w:rPr>
        <w:t>&gt;</w:t>
      </w:r>
    </w:p>
    <w:p w:rsidR="00343C6C" w:rsidRPr="00FC4A49" w:rsidP="00343C6C" w14:paraId="34C8907F" w14:textId="77777777">
      <w:pPr>
        <w:pStyle w:val="NormalBold"/>
      </w:pPr>
      <w:r w:rsidRPr="00FC4A49">
        <w:rPr>
          <w:rStyle w:val="HideTWBExt"/>
          <w:b w:val="0"/>
        </w:rPr>
        <w:t>&lt;Article&gt;</w:t>
      </w:r>
      <w:r w:rsidRPr="00FC4A49">
        <w:t>Recital 8</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43867E"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D5C3AAC" w14:textId="77777777">
            <w:pPr>
              <w:keepNext/>
            </w:pPr>
          </w:p>
        </w:tc>
      </w:tr>
      <w:tr w14:paraId="4DD6489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78B577C" w14:textId="77777777">
            <w:pPr>
              <w:pStyle w:val="ColumnHeading"/>
              <w:keepNext/>
              <w:rPr>
                <w:lang w:val="en-GB"/>
              </w:rPr>
            </w:pPr>
            <w:r w:rsidRPr="00FC4A49">
              <w:rPr>
                <w:lang w:val="en-GB"/>
              </w:rPr>
              <w:t>Text proposed by the Commission</w:t>
            </w:r>
          </w:p>
        </w:tc>
        <w:tc>
          <w:tcPr>
            <w:tcW w:w="4876" w:type="dxa"/>
          </w:tcPr>
          <w:p w:rsidR="00343C6C" w:rsidRPr="00FC4A49" w:rsidP="005D58F9" w14:paraId="07A7DD02" w14:textId="77777777">
            <w:pPr>
              <w:pStyle w:val="ColumnHeading"/>
              <w:keepNext/>
              <w:rPr>
                <w:lang w:val="en-GB"/>
              </w:rPr>
            </w:pPr>
            <w:r w:rsidRPr="00FC4A49">
              <w:rPr>
                <w:lang w:val="en-GB"/>
              </w:rPr>
              <w:t>Amendment</w:t>
            </w:r>
          </w:p>
        </w:tc>
      </w:tr>
      <w:tr w14:paraId="7006C7F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0AC2299" w14:textId="77777777">
            <w:pPr>
              <w:pStyle w:val="Normal6"/>
              <w:rPr>
                <w:lang w:val="en-GB"/>
              </w:rPr>
            </w:pPr>
            <w:r w:rsidRPr="00FC4A49">
              <w:rPr>
                <w:b/>
                <w:i/>
                <w:lang w:val="en-GB"/>
              </w:rPr>
              <w:t>(8)</w:t>
            </w:r>
            <w:r w:rsidRPr="00FC4A49">
              <w:rPr>
                <w:b/>
                <w:i/>
                <w:lang w:val="en-GB"/>
              </w:rPr>
              <w:tab/>
            </w:r>
            <w:r w:rsidRPr="00FC4A49">
              <w:rPr>
                <w:b/>
                <w:bCs/>
                <w:i/>
                <w:iCs/>
                <w:lang w:val="en-GB"/>
              </w:rPr>
              <w:t>By Regulation (EU) 2021/1119 of the European Parliament and of the Council</w:t>
            </w:r>
            <w:r w:rsidRPr="00FC4A49">
              <w:rPr>
                <w:b/>
                <w:bCs/>
                <w:i/>
                <w:iCs/>
                <w:vertAlign w:val="superscript"/>
                <w:lang w:val="en-GB"/>
              </w:rPr>
              <w:t>9</w:t>
            </w:r>
            <w:r w:rsidRPr="00FC4A49">
              <w:rPr>
                <w:b/>
                <w:bCs/>
                <w:i/>
                <w:iCs/>
                <w:lang w:val="en-GB"/>
              </w:rPr>
              <w:t>, the Union has laid down the objective of economy-wide climate neutrality by 2050 at the latest and the aim of achieving negative emissions thereafter.</w:t>
            </w:r>
            <w:r w:rsidRPr="00FC4A49">
              <w:rPr>
                <w:b/>
                <w:i/>
                <w:lang w:val="en-GB"/>
              </w:rPr>
              <w:t xml:space="preserve"> That Regulation also provides that the Commission is to endeavour to align all future draft measures or legislative proposals, including budgetary proposals, with the objectives of that Regulation and, in any case of non-alignment, provide the reasons for such non-alignment as part of the impact assessment accompanying those proposals.</w:t>
            </w:r>
          </w:p>
        </w:tc>
        <w:tc>
          <w:tcPr>
            <w:tcW w:w="4876" w:type="dxa"/>
          </w:tcPr>
          <w:p w:rsidR="00343C6C" w:rsidRPr="00FC4A49" w:rsidP="005D58F9" w14:paraId="56B81B93" w14:textId="77777777">
            <w:pPr>
              <w:pStyle w:val="Normal6"/>
              <w:rPr>
                <w:szCs w:val="24"/>
                <w:lang w:val="en-GB"/>
              </w:rPr>
            </w:pPr>
            <w:r w:rsidRPr="00FC4A49">
              <w:rPr>
                <w:b/>
                <w:i/>
                <w:lang w:val="en-GB"/>
              </w:rPr>
              <w:t>deleted</w:t>
            </w:r>
          </w:p>
        </w:tc>
      </w:tr>
      <w:tr w14:paraId="009B4CF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F334333" w14:textId="77777777">
            <w:pPr>
              <w:pStyle w:val="Normal6"/>
              <w:rPr>
                <w:lang w:val="en-GB"/>
              </w:rPr>
            </w:pPr>
            <w:r w:rsidRPr="00FC4A49">
              <w:rPr>
                <w:b/>
                <w:i/>
                <w:lang w:val="en-GB"/>
              </w:rPr>
              <w:t>__________________</w:t>
            </w:r>
          </w:p>
        </w:tc>
        <w:tc>
          <w:tcPr>
            <w:tcW w:w="4876" w:type="dxa"/>
          </w:tcPr>
          <w:p w:rsidR="00343C6C" w:rsidRPr="00FC4A49" w:rsidP="005D58F9" w14:paraId="7CA5D2F7" w14:textId="77777777">
            <w:pPr>
              <w:pStyle w:val="Normal6"/>
              <w:rPr>
                <w:szCs w:val="24"/>
                <w:lang w:val="en-GB"/>
              </w:rPr>
            </w:pPr>
          </w:p>
        </w:tc>
      </w:tr>
      <w:tr w14:paraId="4FC245E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0E43D53" w14:textId="77777777">
            <w:pPr>
              <w:pStyle w:val="Normal6"/>
              <w:rPr>
                <w:lang w:val="en-GB"/>
              </w:rPr>
            </w:pPr>
            <w:r w:rsidRPr="00FC4A49">
              <w:rPr>
                <w:b/>
                <w:bCs/>
                <w:i/>
                <w:iCs/>
                <w:vertAlign w:val="superscript"/>
                <w:lang w:val="en-GB"/>
              </w:rPr>
              <w:t>9</w:t>
            </w:r>
            <w:r w:rsidRPr="00FC4A49">
              <w:rPr>
                <w:b/>
                <w:bCs/>
                <w:i/>
                <w:iCs/>
                <w:lang w:val="en-GB"/>
              </w:rPr>
              <w:t xml:space="preserve"> Regulation (EU) 2021/1119 of the European Parliament and of the Council of 30 June 2021 establishing the framework for achieving climate neutrality and amending Regulations (EC) No 401/2009 and (EU) 2018/1999 (‘European Climate Law’) (OJ L 243, 9.7.2021, p. 1, ELI:</w:t>
            </w:r>
            <w:r w:rsidRPr="00FC4A49">
              <w:rPr>
                <w:b/>
                <w:i/>
                <w:lang w:val="en-GB"/>
              </w:rPr>
              <w:t xml:space="preserve"> http://data.europa.eu/eli/reg/2021/1119/oj).</w:t>
            </w:r>
          </w:p>
        </w:tc>
        <w:tc>
          <w:tcPr>
            <w:tcW w:w="4876" w:type="dxa"/>
          </w:tcPr>
          <w:p w:rsidR="00343C6C" w:rsidRPr="00FC4A49" w:rsidP="005D58F9" w14:paraId="2F118FB1" w14:textId="77777777">
            <w:pPr>
              <w:pStyle w:val="Normal6"/>
              <w:rPr>
                <w:szCs w:val="24"/>
                <w:lang w:val="en-GB"/>
              </w:rPr>
            </w:pPr>
          </w:p>
        </w:tc>
      </w:tr>
    </w:tbl>
    <w:p w:rsidR="00343C6C" w:rsidRPr="00FC4A49" w:rsidP="00343C6C" w14:paraId="6AFF94A3"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69F6317D" w14:textId="77777777">
      <w:r w:rsidRPr="00FC4A49">
        <w:rPr>
          <w:rStyle w:val="HideTWBExt"/>
        </w:rPr>
        <w:t>&lt;/Amend&gt;</w:t>
      </w:r>
    </w:p>
    <w:p w:rsidR="00343C6C" w:rsidRPr="00FC4A49" w:rsidP="00343C6C" w14:paraId="3DE1CD9B"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116</w:t>
      </w:r>
      <w:r w:rsidRPr="00FC4A49">
        <w:rPr>
          <w:rStyle w:val="HideTWBExt"/>
          <w:b w:val="0"/>
          <w:lang w:val="en-GB"/>
        </w:rPr>
        <w:t>&lt;/</w:t>
      </w:r>
      <w:r w:rsidRPr="00FC4A49">
        <w:rPr>
          <w:rStyle w:val="HideTWBExt"/>
          <w:b w:val="0"/>
          <w:lang w:val="en-GB"/>
        </w:rPr>
        <w:t>NumAm</w:t>
      </w:r>
      <w:r w:rsidRPr="00FC4A49">
        <w:rPr>
          <w:rStyle w:val="HideTWBExt"/>
          <w:b w:val="0"/>
          <w:lang w:val="en-GB"/>
        </w:rPr>
        <w:t>&gt;</w:t>
      </w:r>
    </w:p>
    <w:p w:rsidR="00343C6C" w:rsidRPr="00FC4A49" w:rsidP="00343C6C" w14:paraId="1A997DCA" w14:textId="77777777">
      <w:pPr>
        <w:pStyle w:val="NormalBold"/>
      </w:pPr>
      <w:r w:rsidRPr="00FC4A49">
        <w:rPr>
          <w:rStyle w:val="HideTWBExt"/>
          <w:b w:val="0"/>
        </w:rPr>
        <w:t>&lt;RepeatBlock-By&gt;&lt;Members&gt;</w:t>
      </w:r>
      <w:r w:rsidRPr="00FC4A49">
        <w:t>Li Andersson, Jonas Sjöstedt, Per Clausen</w:t>
      </w:r>
      <w:r w:rsidRPr="00FC4A49">
        <w:rPr>
          <w:rStyle w:val="HideTWBExt"/>
          <w:b w:val="0"/>
        </w:rPr>
        <w:t>&lt;/Members&gt;</w:t>
      </w:r>
    </w:p>
    <w:p w:rsidR="00343C6C" w:rsidRPr="00FC4A49" w:rsidP="00343C6C" w14:paraId="0D7B76FE" w14:textId="77777777">
      <w:r w:rsidRPr="00FC4A49">
        <w:rPr>
          <w:rStyle w:val="HideTWBExt"/>
        </w:rPr>
        <w:t>&lt;/RepeatBlock-By&gt;</w:t>
      </w:r>
    </w:p>
    <w:p w:rsidR="00343C6C" w:rsidRPr="00FC4A49" w:rsidP="00343C6C" w14:paraId="5490A21F" w14:textId="77777777">
      <w:pPr>
        <w:pStyle w:val="NormalBold"/>
        <w:keepNext/>
      </w:pPr>
      <w:r w:rsidRPr="00FC4A49">
        <w:rPr>
          <w:rStyle w:val="HideTWBExt"/>
          <w:b w:val="0"/>
        </w:rPr>
        <w:t>&lt;DocAmend&gt;</w:t>
      </w:r>
      <w:r w:rsidRPr="00FC4A49">
        <w:t>Proposal for a directive</w:t>
      </w:r>
      <w:r w:rsidRPr="00FC4A49">
        <w:rPr>
          <w:rStyle w:val="HideTWBExt"/>
          <w:b w:val="0"/>
        </w:rPr>
        <w:t>&lt;/</w:t>
      </w:r>
      <w:r w:rsidRPr="00FC4A49">
        <w:rPr>
          <w:rStyle w:val="HideTWBExt"/>
          <w:b w:val="0"/>
        </w:rPr>
        <w:t>DocAmend</w:t>
      </w:r>
      <w:r w:rsidRPr="00FC4A49">
        <w:rPr>
          <w:rStyle w:val="HideTWBExt"/>
          <w:b w:val="0"/>
        </w:rPr>
        <w:t>&gt;</w:t>
      </w:r>
    </w:p>
    <w:p w:rsidR="00343C6C" w:rsidRPr="00FC4A49" w:rsidP="00343C6C" w14:paraId="4BA873C6" w14:textId="77777777">
      <w:pPr>
        <w:pStyle w:val="NormalBold"/>
      </w:pPr>
      <w:r w:rsidRPr="00FC4A49">
        <w:rPr>
          <w:rStyle w:val="HideTWBExt"/>
          <w:b w:val="0"/>
        </w:rPr>
        <w:t>&lt;Article&gt;</w:t>
      </w:r>
      <w:r w:rsidRPr="00FC4A49">
        <w:t>Recital 8</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1BF55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86E5E14" w14:textId="77777777">
            <w:pPr>
              <w:keepNext/>
            </w:pPr>
          </w:p>
        </w:tc>
      </w:tr>
      <w:tr w14:paraId="618694C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4A0D14C" w14:textId="77777777">
            <w:pPr>
              <w:pStyle w:val="ColumnHeading"/>
              <w:keepNext/>
              <w:rPr>
                <w:lang w:val="en-GB"/>
              </w:rPr>
            </w:pPr>
            <w:r w:rsidRPr="00FC4A49">
              <w:rPr>
                <w:lang w:val="en-GB"/>
              </w:rPr>
              <w:t>Text proposed by the Commission</w:t>
            </w:r>
          </w:p>
        </w:tc>
        <w:tc>
          <w:tcPr>
            <w:tcW w:w="4876" w:type="dxa"/>
          </w:tcPr>
          <w:p w:rsidR="00343C6C" w:rsidRPr="00FC4A49" w:rsidP="005D58F9" w14:paraId="788A0249" w14:textId="77777777">
            <w:pPr>
              <w:pStyle w:val="ColumnHeading"/>
              <w:keepNext/>
              <w:rPr>
                <w:lang w:val="en-GB"/>
              </w:rPr>
            </w:pPr>
            <w:r w:rsidRPr="00FC4A49">
              <w:rPr>
                <w:lang w:val="en-GB"/>
              </w:rPr>
              <w:t>Amendment</w:t>
            </w:r>
          </w:p>
        </w:tc>
      </w:tr>
      <w:tr w14:paraId="6BDF219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30612ED" w14:textId="77777777">
            <w:pPr>
              <w:pStyle w:val="Normal6"/>
              <w:rPr>
                <w:lang w:val="en-GB"/>
              </w:rPr>
            </w:pPr>
            <w:r w:rsidRPr="00FC4A49">
              <w:rPr>
                <w:lang w:val="en-GB"/>
              </w:rPr>
              <w:t>(8)</w:t>
            </w:r>
            <w:r w:rsidRPr="00FC4A49">
              <w:rPr>
                <w:lang w:val="en-GB"/>
              </w:rPr>
              <w:tab/>
              <w:t>By Regulation (EU) 2021/1119 of the European Parliament and of the Council</w:t>
            </w:r>
            <w:r w:rsidRPr="00FC4A49">
              <w:rPr>
                <w:vertAlign w:val="superscript"/>
                <w:lang w:val="en-GB"/>
              </w:rPr>
              <w:t>9</w:t>
            </w:r>
            <w:r w:rsidRPr="00FC4A49">
              <w:rPr>
                <w:lang w:val="en-GB"/>
              </w:rPr>
              <w:t xml:space="preserve"> , the Union has laid down the objective of economy-wide climate neutrality by 2050 at the latest and the aim of achieving negative emissions thereafter. That Regulation also provides that the Commission is to endeavour to align all future draft measures or legislative proposals, including budgetary proposals, with the objectives of that Regulation and, in any case of non-alignment, provide the reasons for such non-alignment as part of the impact assessment accompanying those proposals.</w:t>
            </w:r>
          </w:p>
        </w:tc>
        <w:tc>
          <w:tcPr>
            <w:tcW w:w="4876" w:type="dxa"/>
          </w:tcPr>
          <w:p w:rsidR="00343C6C" w:rsidRPr="00FC4A49" w:rsidP="005D58F9" w14:paraId="1B10BAE8" w14:textId="77777777">
            <w:pPr>
              <w:pStyle w:val="Normal6"/>
              <w:rPr>
                <w:szCs w:val="24"/>
                <w:lang w:val="en-GB"/>
              </w:rPr>
            </w:pPr>
            <w:r w:rsidRPr="00FC4A49">
              <w:rPr>
                <w:lang w:val="en-GB"/>
              </w:rPr>
              <w:t>(8)</w:t>
            </w:r>
            <w:r w:rsidRPr="00FC4A49">
              <w:rPr>
                <w:lang w:val="en-GB"/>
              </w:rPr>
              <w:tab/>
              <w:t>By Regulation (EU) 2021/1119 of the European Parliament and of the Council</w:t>
            </w:r>
            <w:r w:rsidRPr="00FC4A49">
              <w:rPr>
                <w:vertAlign w:val="superscript"/>
                <w:lang w:val="en-GB"/>
              </w:rPr>
              <w:t>9</w:t>
            </w:r>
            <w:r w:rsidRPr="00FC4A49">
              <w:rPr>
                <w:lang w:val="en-GB"/>
              </w:rPr>
              <w:t xml:space="preserve"> , the Union has laid down the objective of economy-wide climate neutrality by 2050 at the latest and the aim of achieving negative emissions thereafter. That Regulation also provides that the Commission is to endeavour to align all future draft measures or legislative proposals, including budgetary proposals, with the objectives of that Regulation and, in any case of non-alignment, provide the reasons for such non-alignment as part of the impact assessment accompanying those proposals. </w:t>
            </w:r>
            <w:r w:rsidRPr="00FC4A49">
              <w:rPr>
                <w:b/>
                <w:i/>
                <w:lang w:val="en-GB"/>
              </w:rPr>
              <w:t>Regulation (EU) 2021/1119 is the cornerstone of Union climate policy, and puts into law the binding legal decarbonisation objectives of the Union.</w:t>
            </w:r>
          </w:p>
        </w:tc>
      </w:tr>
      <w:tr w14:paraId="2B4D792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A185706" w14:textId="77777777">
            <w:pPr>
              <w:pStyle w:val="Normal6"/>
              <w:rPr>
                <w:lang w:val="en-GB"/>
              </w:rPr>
            </w:pPr>
            <w:r w:rsidRPr="00FC4A49">
              <w:rPr>
                <w:lang w:val="en-GB"/>
              </w:rPr>
              <w:t>__________________</w:t>
            </w:r>
          </w:p>
        </w:tc>
        <w:tc>
          <w:tcPr>
            <w:tcW w:w="4876" w:type="dxa"/>
          </w:tcPr>
          <w:p w:rsidR="00343C6C" w:rsidRPr="00FC4A49" w:rsidP="005D58F9" w14:paraId="42CF71CC" w14:textId="77777777">
            <w:pPr>
              <w:pStyle w:val="Normal6"/>
              <w:rPr>
                <w:szCs w:val="24"/>
                <w:lang w:val="en-GB"/>
              </w:rPr>
            </w:pPr>
            <w:r w:rsidRPr="00FC4A49">
              <w:rPr>
                <w:lang w:val="en-GB"/>
              </w:rPr>
              <w:t>__________________</w:t>
            </w:r>
          </w:p>
        </w:tc>
      </w:tr>
      <w:tr w14:paraId="535C60F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62E738F" w14:textId="77777777">
            <w:pPr>
              <w:pStyle w:val="Normal6"/>
              <w:rPr>
                <w:lang w:val="en-GB"/>
              </w:rPr>
            </w:pPr>
            <w:r w:rsidRPr="00FC4A49">
              <w:rPr>
                <w:vertAlign w:val="superscript"/>
                <w:lang w:val="en-GB"/>
              </w:rPr>
              <w:t>9</w:t>
            </w:r>
            <w:r w:rsidRPr="00FC4A49">
              <w:rPr>
                <w:lang w:val="en-GB"/>
              </w:rPr>
              <w:t xml:space="preserve"> Regulation (EU) 2021/1119 of the European Parliament and of the Council of 30 June 2021 establishing the framework for achieving climate neutrality and amending Regulations (EC) No 401/2009 and (EU) 2018/1999 (‘European Climate </w:t>
            </w:r>
            <w:r w:rsidRPr="00FC4A49">
              <w:rPr>
                <w:lang w:val="en-GB"/>
              </w:rPr>
              <w:t>Law’) (OJ L 243, 9.7.2021, p. 1, ELI: http://data.europa.eu/eli/reg/2021/1119/oj).</w:t>
            </w:r>
          </w:p>
        </w:tc>
        <w:tc>
          <w:tcPr>
            <w:tcW w:w="4876" w:type="dxa"/>
          </w:tcPr>
          <w:p w:rsidR="00343C6C" w:rsidRPr="00FC4A49" w:rsidP="005D58F9" w14:paraId="4F142857" w14:textId="77777777">
            <w:pPr>
              <w:pStyle w:val="Normal6"/>
              <w:rPr>
                <w:szCs w:val="24"/>
                <w:lang w:val="en-GB"/>
              </w:rPr>
            </w:pPr>
            <w:r w:rsidRPr="00FC4A49">
              <w:rPr>
                <w:vertAlign w:val="superscript"/>
                <w:lang w:val="en-GB"/>
              </w:rPr>
              <w:t>9</w:t>
            </w:r>
            <w:r w:rsidRPr="00FC4A49">
              <w:rPr>
                <w:lang w:val="en-GB"/>
              </w:rPr>
              <w:t xml:space="preserve"> Regulation (EU) 2021/1119 of the European Parliament and of the Council of 30 June 2021 establishing the framework for achieving climate neutrality and amending Regulations (EC) No 401/2009 and (EU) 2018/1999 (‘European Climate </w:t>
            </w:r>
            <w:r w:rsidRPr="00FC4A49">
              <w:rPr>
                <w:lang w:val="en-GB"/>
              </w:rPr>
              <w:t>Law’) (OJ L 243, 9.7.2021, p. 1, ELI: http://data.europa.eu/eli/reg/2021/1119/oj).</w:t>
            </w:r>
          </w:p>
        </w:tc>
      </w:tr>
    </w:tbl>
    <w:p w:rsidR="00343C6C" w:rsidRPr="00FC4A49" w:rsidP="00343C6C" w14:paraId="1A00583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A442AB1" w14:textId="77777777">
      <w:r w:rsidRPr="00FC4A49">
        <w:rPr>
          <w:rStyle w:val="HideTWBExt"/>
        </w:rPr>
        <w:t>&lt;/Amend&gt;</w:t>
      </w:r>
    </w:p>
    <w:p w:rsidR="00343C6C" w:rsidRPr="00FC4A49" w:rsidP="00343C6C" w14:paraId="0B5D9619"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117</w:t>
      </w:r>
      <w:r w:rsidRPr="00FC4A49">
        <w:rPr>
          <w:rStyle w:val="HideTWBExt"/>
          <w:b w:val="0"/>
          <w:lang w:val="en-GB"/>
        </w:rPr>
        <w:t>&lt;/</w:t>
      </w:r>
      <w:r w:rsidRPr="00FC4A49">
        <w:rPr>
          <w:rStyle w:val="HideTWBExt"/>
          <w:b w:val="0"/>
          <w:lang w:val="en-GB"/>
        </w:rPr>
        <w:t>NumAm</w:t>
      </w:r>
      <w:r w:rsidRPr="00FC4A49">
        <w:rPr>
          <w:rStyle w:val="HideTWBExt"/>
          <w:b w:val="0"/>
          <w:lang w:val="en-GB"/>
        </w:rPr>
        <w:t>&gt;</w:t>
      </w:r>
    </w:p>
    <w:p w:rsidR="00343C6C" w:rsidRPr="00FC4A49" w:rsidP="00343C6C" w14:paraId="2053FE32"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514B9815" w14:textId="77777777">
      <w:r w:rsidRPr="00FC4A49">
        <w:rPr>
          <w:rStyle w:val="HideTWBExt"/>
        </w:rPr>
        <w:t>&lt;/RepeatBlock-By&gt;</w:t>
      </w:r>
    </w:p>
    <w:p w:rsidR="00343C6C" w:rsidRPr="00FC4A49" w:rsidP="00343C6C" w14:paraId="5C164840" w14:textId="77777777">
      <w:pPr>
        <w:pStyle w:val="NormalBold"/>
        <w:keepNext/>
      </w:pPr>
      <w:r w:rsidRPr="00FC4A49">
        <w:rPr>
          <w:rStyle w:val="HideTWBExt"/>
          <w:b w:val="0"/>
        </w:rPr>
        <w:t>&lt;DocAmend&gt;</w:t>
      </w:r>
      <w:r w:rsidRPr="00FC4A49">
        <w:t>Proposal for a directive</w:t>
      </w:r>
      <w:r w:rsidRPr="00FC4A49">
        <w:rPr>
          <w:rStyle w:val="HideTWBExt"/>
          <w:b w:val="0"/>
        </w:rPr>
        <w:t>&lt;/</w:t>
      </w:r>
      <w:r w:rsidRPr="00FC4A49">
        <w:rPr>
          <w:rStyle w:val="HideTWBExt"/>
          <w:b w:val="0"/>
        </w:rPr>
        <w:t>DocAmend</w:t>
      </w:r>
      <w:r w:rsidRPr="00FC4A49">
        <w:rPr>
          <w:rStyle w:val="HideTWBExt"/>
          <w:b w:val="0"/>
        </w:rPr>
        <w:t>&gt;</w:t>
      </w:r>
    </w:p>
    <w:p w:rsidR="00343C6C" w:rsidRPr="00FC4A49" w:rsidP="00343C6C" w14:paraId="5DDEAB4C" w14:textId="77777777">
      <w:pPr>
        <w:pStyle w:val="NormalBold"/>
      </w:pPr>
      <w:r w:rsidRPr="00FC4A49">
        <w:rPr>
          <w:rStyle w:val="HideTWBExt"/>
          <w:b w:val="0"/>
        </w:rPr>
        <w:t>&lt;Article&gt;</w:t>
      </w:r>
      <w:r w:rsidRPr="00FC4A49">
        <w:t>Recital 9</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A03E5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25E599A" w14:textId="77777777">
            <w:pPr>
              <w:keepNext/>
            </w:pPr>
          </w:p>
        </w:tc>
      </w:tr>
      <w:tr w14:paraId="5A9015B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6855252" w14:textId="77777777">
            <w:pPr>
              <w:pStyle w:val="ColumnHeading"/>
              <w:keepNext/>
              <w:rPr>
                <w:lang w:val="en-GB"/>
              </w:rPr>
            </w:pPr>
            <w:r w:rsidRPr="00FC4A49">
              <w:rPr>
                <w:lang w:val="en-GB"/>
              </w:rPr>
              <w:t>Text proposed by the Commission</w:t>
            </w:r>
          </w:p>
        </w:tc>
        <w:tc>
          <w:tcPr>
            <w:tcW w:w="4876" w:type="dxa"/>
          </w:tcPr>
          <w:p w:rsidR="00343C6C" w:rsidRPr="00FC4A49" w:rsidP="005D58F9" w14:paraId="73B3FA23" w14:textId="77777777">
            <w:pPr>
              <w:pStyle w:val="ColumnHeading"/>
              <w:keepNext/>
              <w:rPr>
                <w:lang w:val="en-GB"/>
              </w:rPr>
            </w:pPr>
            <w:r w:rsidRPr="00FC4A49">
              <w:rPr>
                <w:lang w:val="en-GB"/>
              </w:rPr>
              <w:t>Amendment</w:t>
            </w:r>
          </w:p>
        </w:tc>
      </w:tr>
      <w:tr w14:paraId="5F409F0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49DD0D7" w14:textId="77777777">
            <w:pPr>
              <w:pStyle w:val="Normal6"/>
              <w:rPr>
                <w:lang w:val="en-GB"/>
              </w:rPr>
            </w:pPr>
            <w:r w:rsidRPr="00FC4A49">
              <w:rPr>
                <w:lang w:val="en-GB"/>
              </w:rPr>
              <w:t>(9)</w:t>
            </w:r>
            <w:r w:rsidRPr="00FC4A49">
              <w:rPr>
                <w:lang w:val="en-GB"/>
              </w:rPr>
              <w:tab/>
              <w:t>Regulation (EU) 2021/1119, as amended Regulation (EU) 2026/667 of the European Parliament and of the Council</w:t>
            </w:r>
            <w:r w:rsidRPr="00FC4A49">
              <w:rPr>
                <w:vertAlign w:val="superscript"/>
                <w:lang w:val="en-GB"/>
              </w:rPr>
              <w:t>10</w:t>
            </w:r>
            <w:r w:rsidRPr="00FC4A49">
              <w:rPr>
                <w:lang w:val="en-GB"/>
              </w:rPr>
              <w:t>, establishes a binding Union reduction target for net greenhouse gas emissions (emissions after deduction of removals) of 90 % compared to 1990 levels by 2040. This target includes a possibility to use a limited quantity of high-quality international credits to make an ‘adequate contribution’ towards the 2040 target, starting in 2036. This amount can be up to 5% of 1990 EU net GHG emissions, corresponding to a domestic reduction of net GHG emissions of at least by 85% compared to 1990 levels by 2040. In accordance with Article 4(5)(a) of Regulation (EU) 2021/1119, a pilot period in 2031-2035 may be considered.</w:t>
            </w:r>
          </w:p>
        </w:tc>
        <w:tc>
          <w:tcPr>
            <w:tcW w:w="4876" w:type="dxa"/>
          </w:tcPr>
          <w:p w:rsidR="00343C6C" w:rsidRPr="00FC4A49" w:rsidP="005D58F9" w14:paraId="1561AD43" w14:textId="77777777">
            <w:pPr>
              <w:pStyle w:val="Normal6"/>
              <w:rPr>
                <w:szCs w:val="24"/>
                <w:lang w:val="en-GB"/>
              </w:rPr>
            </w:pPr>
            <w:r w:rsidRPr="00FC4A49">
              <w:rPr>
                <w:lang w:val="en-GB"/>
              </w:rPr>
              <w:t>(9)</w:t>
            </w:r>
            <w:r w:rsidRPr="00FC4A49">
              <w:rPr>
                <w:lang w:val="en-GB"/>
              </w:rPr>
              <w:tab/>
              <w:t>Regulation (EU) 2021/1119, as amended Regulation (EU) 2026/667 of the European Parliament and of the Council</w:t>
            </w:r>
            <w:r w:rsidRPr="00FC4A49">
              <w:rPr>
                <w:vertAlign w:val="superscript"/>
                <w:lang w:val="en-GB"/>
              </w:rPr>
              <w:t>10</w:t>
            </w:r>
            <w:r w:rsidRPr="00FC4A49">
              <w:rPr>
                <w:lang w:val="en-GB"/>
              </w:rPr>
              <w:t xml:space="preserve">, establishes a binding Union reduction target for net greenhouse gas emissions (emissions after deduction of removals) of 90 % compared to 1990 levels by 2040. This target includes a possibility to use a limited quantity of high-quality international credits to make an ‘adequate contribution’ towards the 2040 target, starting in 2036. This amount can be up to 5% of 1990 EU net GHG emissions, corresponding to a domestic reduction of net GHG emissions of at least by 85% compared to 1990 levels by 2040. In accordance with Article 4(5)(a) of Regulation (EU) 2021/1119, a pilot period in 2031-2035 may be considered. </w:t>
            </w:r>
            <w:r w:rsidRPr="00FC4A49">
              <w:rPr>
                <w:b/>
                <w:i/>
                <w:lang w:val="en-GB"/>
              </w:rPr>
              <w:t>It is acknowledged that these targets belonged to an ideological vision that had nothing in common with real economic indicators. They are impossible to achieve, and further reductions will only widen the gulf between EU national economies and their competitors on the global market.</w:t>
            </w:r>
          </w:p>
        </w:tc>
      </w:tr>
      <w:tr w14:paraId="2D50EBF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D22D35F" w14:textId="77777777">
            <w:pPr>
              <w:pStyle w:val="Normal6"/>
              <w:rPr>
                <w:lang w:val="en-GB"/>
              </w:rPr>
            </w:pPr>
            <w:r w:rsidRPr="00FC4A49">
              <w:rPr>
                <w:lang w:val="en-GB"/>
              </w:rPr>
              <w:t>__________________</w:t>
            </w:r>
          </w:p>
        </w:tc>
        <w:tc>
          <w:tcPr>
            <w:tcW w:w="4876" w:type="dxa"/>
          </w:tcPr>
          <w:p w:rsidR="00343C6C" w:rsidRPr="00FC4A49" w:rsidP="005D58F9" w14:paraId="4C13C3F2" w14:textId="77777777">
            <w:pPr>
              <w:pStyle w:val="Normal6"/>
              <w:rPr>
                <w:szCs w:val="24"/>
                <w:lang w:val="en-GB"/>
              </w:rPr>
            </w:pPr>
            <w:r w:rsidRPr="00FC4A49">
              <w:rPr>
                <w:lang w:val="en-GB"/>
              </w:rPr>
              <w:t>__________________</w:t>
            </w:r>
          </w:p>
        </w:tc>
      </w:tr>
      <w:tr w14:paraId="3D2B23A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47A10EB" w14:textId="77777777">
            <w:pPr>
              <w:pStyle w:val="Normal6"/>
              <w:rPr>
                <w:lang w:val="en-GB"/>
              </w:rPr>
            </w:pPr>
            <w:r w:rsidRPr="00FC4A49">
              <w:rPr>
                <w:vertAlign w:val="superscript"/>
                <w:lang w:val="en-GB"/>
              </w:rPr>
              <w:t>10</w:t>
            </w:r>
            <w:r w:rsidRPr="00FC4A49">
              <w:rPr>
                <w:lang w:val="en-GB"/>
              </w:rPr>
              <w:t xml:space="preserve"> Regulation (EU) 2026/667 of the European Parliament and of the Council of 11 March 2026 amending Regulation (EU) 2021/1119 as regards the setting of a Union intermediate climate target for 2040 (OJ L, 2026/667, ELI: </w:t>
            </w:r>
            <w:r w:rsidRPr="00FC4A49">
              <w:rPr>
                <w:lang w:val="en-GB"/>
              </w:rPr>
              <w:t>http://data.europa.eu/eli/reg/2026/667/oj).</w:t>
            </w:r>
          </w:p>
        </w:tc>
        <w:tc>
          <w:tcPr>
            <w:tcW w:w="4876" w:type="dxa"/>
          </w:tcPr>
          <w:p w:rsidR="00343C6C" w:rsidRPr="00FC4A49" w:rsidP="005D58F9" w14:paraId="29E7D034" w14:textId="77777777">
            <w:pPr>
              <w:pStyle w:val="Normal6"/>
              <w:rPr>
                <w:szCs w:val="24"/>
                <w:lang w:val="en-GB"/>
              </w:rPr>
            </w:pPr>
            <w:r w:rsidRPr="00FC4A49">
              <w:rPr>
                <w:vertAlign w:val="superscript"/>
                <w:lang w:val="en-GB"/>
              </w:rPr>
              <w:t>10</w:t>
            </w:r>
            <w:r w:rsidRPr="00FC4A49">
              <w:rPr>
                <w:lang w:val="en-GB"/>
              </w:rPr>
              <w:t xml:space="preserve"> Regulation (EU) 2026/667 of the European Parliament and of the Council of 11 March 2026 amending Regulation (EU) 2021/1119 as regards the setting of a Union intermediate climate target for 2040 (OJ L, 2026/667, ELI: </w:t>
            </w:r>
            <w:r w:rsidRPr="00FC4A49">
              <w:rPr>
                <w:lang w:val="en-GB"/>
              </w:rPr>
              <w:t>http://data.europa.eu/eli/reg/2026/667/oj).</w:t>
            </w:r>
          </w:p>
        </w:tc>
      </w:tr>
    </w:tbl>
    <w:p w:rsidR="00343C6C" w:rsidRPr="00FC4A49" w:rsidP="00343C6C" w14:paraId="3B03591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0A7DB3A1" w14:textId="77777777">
      <w:r w:rsidRPr="00FC4A49">
        <w:rPr>
          <w:rStyle w:val="HideTWBExt"/>
        </w:rPr>
        <w:t>&lt;/Amend&gt;</w:t>
      </w:r>
    </w:p>
    <w:p w:rsidR="00343C6C" w:rsidRPr="00FC4A49" w:rsidP="00343C6C" w14:paraId="698F6AC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118</w:t>
      </w:r>
      <w:r w:rsidRPr="00FC4A49">
        <w:rPr>
          <w:rStyle w:val="HideTWBExt"/>
          <w:b w:val="0"/>
          <w:lang w:val="en-GB"/>
        </w:rPr>
        <w:t>&lt;/</w:t>
      </w:r>
      <w:r w:rsidRPr="00FC4A49">
        <w:rPr>
          <w:rStyle w:val="HideTWBExt"/>
          <w:b w:val="0"/>
          <w:lang w:val="en-GB"/>
        </w:rPr>
        <w:t>NumAm</w:t>
      </w:r>
      <w:r w:rsidRPr="00FC4A49">
        <w:rPr>
          <w:rStyle w:val="HideTWBExt"/>
          <w:b w:val="0"/>
          <w:lang w:val="en-GB"/>
        </w:rPr>
        <w:t>&gt;</w:t>
      </w:r>
    </w:p>
    <w:p w:rsidR="00343C6C" w:rsidRPr="00FC4A49" w:rsidP="00343C6C" w14:paraId="3DFF3A17" w14:textId="77777777">
      <w:pPr>
        <w:pStyle w:val="NormalBold"/>
      </w:pPr>
      <w:r w:rsidRPr="00FC4A49">
        <w:rPr>
          <w:rStyle w:val="HideTWBExt"/>
          <w:b w:val="0"/>
        </w:rPr>
        <w:t>&lt;RepeatBlock-By&gt;&lt;Members&gt;</w:t>
      </w:r>
      <w:r w:rsidRPr="00FC4A49">
        <w:t>Li Andersson, Jonas Sjöstedt, Per Clausen</w:t>
      </w:r>
      <w:r w:rsidRPr="00FC4A49">
        <w:rPr>
          <w:rStyle w:val="HideTWBExt"/>
          <w:b w:val="0"/>
        </w:rPr>
        <w:t>&lt;/Members&gt;</w:t>
      </w:r>
    </w:p>
    <w:p w:rsidR="00343C6C" w:rsidRPr="00FC4A49" w:rsidP="00343C6C" w14:paraId="0364653E" w14:textId="77777777">
      <w:r w:rsidRPr="00FC4A49">
        <w:rPr>
          <w:rStyle w:val="HideTWBExt"/>
        </w:rPr>
        <w:t>&lt;/RepeatBlock-By&gt;</w:t>
      </w:r>
    </w:p>
    <w:p w:rsidR="00343C6C" w:rsidRPr="00FC4A49" w:rsidP="00343C6C" w14:paraId="3D8CA9AE" w14:textId="77777777">
      <w:pPr>
        <w:pStyle w:val="NormalBold"/>
        <w:keepNext/>
      </w:pPr>
      <w:r w:rsidRPr="00FC4A49">
        <w:rPr>
          <w:rStyle w:val="HideTWBExt"/>
          <w:b w:val="0"/>
        </w:rPr>
        <w:t>&lt;DocAmend&gt;</w:t>
      </w:r>
      <w:r w:rsidRPr="00FC4A49">
        <w:t>Proposal for a directive</w:t>
      </w:r>
      <w:r w:rsidRPr="00FC4A49">
        <w:rPr>
          <w:rStyle w:val="HideTWBExt"/>
          <w:b w:val="0"/>
        </w:rPr>
        <w:t>&lt;/</w:t>
      </w:r>
      <w:r w:rsidRPr="00FC4A49">
        <w:rPr>
          <w:rStyle w:val="HideTWBExt"/>
          <w:b w:val="0"/>
        </w:rPr>
        <w:t>DocAmend</w:t>
      </w:r>
      <w:r w:rsidRPr="00FC4A49">
        <w:rPr>
          <w:rStyle w:val="HideTWBExt"/>
          <w:b w:val="0"/>
        </w:rPr>
        <w:t>&gt;</w:t>
      </w:r>
    </w:p>
    <w:p w:rsidR="00343C6C" w:rsidRPr="00FC4A49" w:rsidP="00343C6C" w14:paraId="58564DDA" w14:textId="77777777">
      <w:pPr>
        <w:pStyle w:val="NormalBold"/>
      </w:pPr>
      <w:r w:rsidRPr="00FC4A49">
        <w:rPr>
          <w:rStyle w:val="HideTWBExt"/>
          <w:b w:val="0"/>
        </w:rPr>
        <w:t>&lt;Article&gt;</w:t>
      </w:r>
      <w:r w:rsidRPr="00FC4A49">
        <w:t>Recital 9</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7A6834"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1F595A4" w14:textId="77777777">
            <w:pPr>
              <w:keepNext/>
            </w:pPr>
          </w:p>
        </w:tc>
      </w:tr>
      <w:tr w14:paraId="48714C9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3FC7281" w14:textId="77777777">
            <w:pPr>
              <w:pStyle w:val="ColumnHeading"/>
              <w:keepNext/>
              <w:rPr>
                <w:lang w:val="en-GB"/>
              </w:rPr>
            </w:pPr>
            <w:r w:rsidRPr="00FC4A49">
              <w:rPr>
                <w:lang w:val="en-GB"/>
              </w:rPr>
              <w:t>Text proposed by the Commission</w:t>
            </w:r>
          </w:p>
        </w:tc>
        <w:tc>
          <w:tcPr>
            <w:tcW w:w="4876" w:type="dxa"/>
          </w:tcPr>
          <w:p w:rsidR="00343C6C" w:rsidRPr="00FC4A49" w:rsidP="005D58F9" w14:paraId="06C180A7" w14:textId="77777777">
            <w:pPr>
              <w:pStyle w:val="ColumnHeading"/>
              <w:keepNext/>
              <w:rPr>
                <w:lang w:val="en-GB"/>
              </w:rPr>
            </w:pPr>
            <w:r w:rsidRPr="00FC4A49">
              <w:rPr>
                <w:lang w:val="en-GB"/>
              </w:rPr>
              <w:t>Amendment</w:t>
            </w:r>
          </w:p>
        </w:tc>
      </w:tr>
      <w:tr w14:paraId="09A4583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D938F4D" w14:textId="77777777">
            <w:pPr>
              <w:pStyle w:val="Normal6"/>
              <w:rPr>
                <w:lang w:val="en-GB"/>
              </w:rPr>
            </w:pPr>
            <w:r w:rsidRPr="00FC4A49">
              <w:rPr>
                <w:lang w:val="en-GB"/>
              </w:rPr>
              <w:t>(9)</w:t>
            </w:r>
            <w:r w:rsidRPr="00FC4A49">
              <w:rPr>
                <w:lang w:val="en-GB"/>
              </w:rPr>
              <w:tab/>
              <w:t>Regulation (EU) 2021/1119, as amended Regulation (EU) 2026/667 of the European Parliament and of the Council</w:t>
            </w:r>
            <w:r w:rsidRPr="00FC4A49">
              <w:rPr>
                <w:vertAlign w:val="superscript"/>
                <w:lang w:val="en-GB"/>
              </w:rPr>
              <w:t>10</w:t>
            </w:r>
            <w:r w:rsidRPr="00FC4A49">
              <w:rPr>
                <w:lang w:val="en-GB"/>
              </w:rPr>
              <w:t xml:space="preserve"> , establishes a binding Union reduction target for net greenhouse gas emissions (emissions after deduction of removals) of 90 % compared to 1990 levels by 2040. This target includes a possibility to use a limited quantity of high-quality international credits to make an ‘adequate contribution’ towards the 2040 target, starting in 2036. This amount can be up to 5% of 1990 EU net GHG emissions, corresponding to </w:t>
            </w:r>
            <w:r w:rsidRPr="00FC4A49">
              <w:rPr>
                <w:b/>
                <w:i/>
                <w:lang w:val="en-GB"/>
              </w:rPr>
              <w:t>a</w:t>
            </w:r>
            <w:r w:rsidRPr="00FC4A49">
              <w:rPr>
                <w:lang w:val="en-GB"/>
              </w:rPr>
              <w:t xml:space="preserve"> domestic reduction of net GHG emissions of at least by 85% compared to 1990 levels by 2040. In accordance with Article 4(5)(a) of Regulation (EU) 2021/1119, a pilot period in 2031-2035 may be considered.</w:t>
            </w:r>
          </w:p>
        </w:tc>
        <w:tc>
          <w:tcPr>
            <w:tcW w:w="4876" w:type="dxa"/>
          </w:tcPr>
          <w:p w:rsidR="00343C6C" w:rsidRPr="00FC4A49" w:rsidP="005D58F9" w14:paraId="60ED4607" w14:textId="77777777">
            <w:pPr>
              <w:pStyle w:val="Normal6"/>
              <w:rPr>
                <w:szCs w:val="24"/>
                <w:lang w:val="en-GB"/>
              </w:rPr>
            </w:pPr>
            <w:r w:rsidRPr="00FC4A49">
              <w:rPr>
                <w:lang w:val="en-GB"/>
              </w:rPr>
              <w:t>(9)</w:t>
            </w:r>
            <w:r w:rsidRPr="00FC4A49">
              <w:rPr>
                <w:lang w:val="en-GB"/>
              </w:rPr>
              <w:tab/>
              <w:t>Regulation (EU) 2021/1119, as amended Regulation (EU) 2026/667 of the European Parliament and of the Council</w:t>
            </w:r>
            <w:r w:rsidRPr="00FC4A49">
              <w:rPr>
                <w:vertAlign w:val="superscript"/>
                <w:lang w:val="en-GB"/>
              </w:rPr>
              <w:t>10</w:t>
            </w:r>
            <w:r w:rsidRPr="00FC4A49">
              <w:rPr>
                <w:lang w:val="en-GB"/>
              </w:rPr>
              <w:t xml:space="preserve"> , establishes a binding Union reduction target for net greenhouse gas emissions (emissions after deduction of removals) of 90 % compared to 1990 levels by 2040. This target includes a possibility to use a limited quantity of high-quality international credits to make an ‘adequate contribution’ towards the 2040 target, starting in 2036. This amount can be up to 5% of 1990 EU net GHG emissions, corresponding to </w:t>
            </w:r>
            <w:r w:rsidRPr="00FC4A49">
              <w:rPr>
                <w:b/>
                <w:i/>
                <w:lang w:val="en-GB"/>
              </w:rPr>
              <w:t>at the very least</w:t>
            </w:r>
            <w:r w:rsidRPr="00FC4A49">
              <w:rPr>
                <w:lang w:val="en-GB"/>
              </w:rPr>
              <w:t xml:space="preserve"> domestic reduction of net GHG emissions of at least by 85% compared to 1990 levels by 2040 </w:t>
            </w:r>
            <w:r w:rsidRPr="00FC4A49">
              <w:rPr>
                <w:b/>
                <w:i/>
                <w:lang w:val="en-GB"/>
              </w:rPr>
              <w:t>in the case that the full 5% carbon credit flexibility is used</w:t>
            </w:r>
            <w:r w:rsidRPr="00FC4A49">
              <w:rPr>
                <w:lang w:val="en-GB"/>
              </w:rPr>
              <w:t>. In accordance with Article 4(5)(a) of Regulation (EU) 2021/1119, a pilot period in 2031-2035 may be considered.</w:t>
            </w:r>
          </w:p>
        </w:tc>
      </w:tr>
      <w:tr w14:paraId="35496BD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0D89EAF" w14:textId="77777777">
            <w:pPr>
              <w:pStyle w:val="Normal6"/>
              <w:rPr>
                <w:lang w:val="en-GB"/>
              </w:rPr>
            </w:pPr>
            <w:r w:rsidRPr="00FC4A49">
              <w:rPr>
                <w:lang w:val="en-GB"/>
              </w:rPr>
              <w:t>__________________</w:t>
            </w:r>
          </w:p>
        </w:tc>
        <w:tc>
          <w:tcPr>
            <w:tcW w:w="4876" w:type="dxa"/>
          </w:tcPr>
          <w:p w:rsidR="00343C6C" w:rsidRPr="00FC4A49" w:rsidP="005D58F9" w14:paraId="114C403F" w14:textId="77777777">
            <w:pPr>
              <w:pStyle w:val="Normal6"/>
              <w:rPr>
                <w:szCs w:val="24"/>
                <w:lang w:val="en-GB"/>
              </w:rPr>
            </w:pPr>
            <w:r w:rsidRPr="00FC4A49">
              <w:rPr>
                <w:lang w:val="en-GB"/>
              </w:rPr>
              <w:t>__________________</w:t>
            </w:r>
          </w:p>
        </w:tc>
      </w:tr>
      <w:tr w14:paraId="34B3ABF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CBB9406" w14:textId="77777777">
            <w:pPr>
              <w:pStyle w:val="Normal6"/>
              <w:rPr>
                <w:lang w:val="en-GB"/>
              </w:rPr>
            </w:pPr>
            <w:r w:rsidRPr="00FC4A49">
              <w:rPr>
                <w:vertAlign w:val="superscript"/>
                <w:lang w:val="en-GB"/>
              </w:rPr>
              <w:t>10</w:t>
            </w:r>
            <w:r w:rsidRPr="00FC4A49">
              <w:rPr>
                <w:lang w:val="en-GB"/>
              </w:rPr>
              <w:t xml:space="preserve"> Regulation (EU) 2026/667 of the European Parliament and of the Council of 11 March 2026 amending Regulation (EU) 2021/1119 as regards the setting of a Union intermediate climate target for 2040 (OJ L, 2026/667, ELI: http://data.europa.eu/eli/reg/2026/667/oj).</w:t>
            </w:r>
          </w:p>
        </w:tc>
        <w:tc>
          <w:tcPr>
            <w:tcW w:w="4876" w:type="dxa"/>
          </w:tcPr>
          <w:p w:rsidR="00343C6C" w:rsidRPr="00FC4A49" w:rsidP="005D58F9" w14:paraId="232A9C1C" w14:textId="77777777">
            <w:pPr>
              <w:pStyle w:val="Normal6"/>
              <w:rPr>
                <w:szCs w:val="24"/>
                <w:lang w:val="en-GB"/>
              </w:rPr>
            </w:pPr>
            <w:r w:rsidRPr="00FC4A49">
              <w:rPr>
                <w:vertAlign w:val="superscript"/>
                <w:lang w:val="en-GB"/>
              </w:rPr>
              <w:t>10</w:t>
            </w:r>
            <w:r w:rsidRPr="00FC4A49">
              <w:rPr>
                <w:lang w:val="en-GB"/>
              </w:rPr>
              <w:t xml:space="preserve"> Regulation (EU) 2026/667 of the European Parliament and of the Council of 11 March 2026 amending Regulation (EU) 2021/1119 as regards the setting of a Union intermediate climate target for 2040 (OJ L, 2026/667, ELI: http://data.europa.eu/eli/reg/2026/667/oj).</w:t>
            </w:r>
          </w:p>
        </w:tc>
      </w:tr>
    </w:tbl>
    <w:p w:rsidR="00343C6C" w:rsidRPr="00804E2D" w:rsidP="00343C6C" w14:paraId="6BD85195" w14:textId="77777777">
      <w:pPr>
        <w:pStyle w:val="Olang"/>
        <w:rPr>
          <w:lang w:val="sv-SE"/>
        </w:rPr>
      </w:pPr>
      <w:r w:rsidRPr="00804E2D">
        <w:rPr>
          <w:lang w:val="sv-SE"/>
        </w:rPr>
        <w:t xml:space="preserve">Or. </w:t>
      </w:r>
      <w:r w:rsidRPr="00804E2D">
        <w:rPr>
          <w:rStyle w:val="HideTWBExt"/>
          <w:lang w:val="sv-SE"/>
        </w:rPr>
        <w:t>&lt;Original&gt;</w:t>
      </w:r>
      <w:r w:rsidRPr="00804E2D">
        <w:rPr>
          <w:rStyle w:val="HideTWBInt"/>
          <w:lang w:val="sv-SE"/>
        </w:rPr>
        <w:t>{EN}</w:t>
      </w:r>
      <w:r w:rsidRPr="00804E2D">
        <w:rPr>
          <w:lang w:val="sv-SE"/>
        </w:rPr>
        <w:t>en</w:t>
      </w:r>
      <w:r w:rsidRPr="00804E2D">
        <w:rPr>
          <w:rStyle w:val="HideTWBExt"/>
          <w:lang w:val="sv-SE"/>
        </w:rPr>
        <w:t>&lt;/Original&gt;</w:t>
      </w:r>
    </w:p>
    <w:p w:rsidR="00343C6C" w:rsidRPr="00804E2D" w:rsidP="00343C6C" w14:paraId="64BEA5D5" w14:textId="77777777">
      <w:pPr>
        <w:rPr>
          <w:lang w:val="sv-SE"/>
        </w:rPr>
      </w:pPr>
      <w:r w:rsidRPr="00804E2D">
        <w:rPr>
          <w:rStyle w:val="HideTWBExt"/>
          <w:lang w:val="sv-SE"/>
        </w:rPr>
        <w:t>&lt;/Amend&gt;</w:t>
      </w:r>
    </w:p>
    <w:p w:rsidR="00343C6C" w:rsidRPr="00804E2D" w:rsidP="00343C6C" w14:paraId="4A70E331" w14:textId="77777777">
      <w:pPr>
        <w:pStyle w:val="AMNumberTabs0"/>
        <w:keepNext/>
        <w:rPr>
          <w:lang w:val="sv-SE"/>
        </w:rPr>
      </w:pPr>
      <w:r w:rsidRPr="00804E2D">
        <w:rPr>
          <w:rStyle w:val="HideTWBExt"/>
          <w:b w:val="0"/>
          <w:lang w:val="sv-SE"/>
        </w:rPr>
        <w:t>&lt;Amend&gt;</w:t>
      </w:r>
      <w:r w:rsidRPr="00804E2D">
        <w:rPr>
          <w:lang w:val="sv-SE"/>
        </w:rPr>
        <w:t>Amendment</w:t>
      </w:r>
      <w:r w:rsidRPr="00804E2D">
        <w:rPr>
          <w:lang w:val="sv-SE"/>
        </w:rPr>
        <w:tab/>
      </w:r>
      <w:r w:rsidRPr="00804E2D">
        <w:rPr>
          <w:lang w:val="sv-SE"/>
        </w:rPr>
        <w:tab/>
      </w:r>
      <w:r w:rsidRPr="00804E2D">
        <w:rPr>
          <w:rStyle w:val="HideTWBExt"/>
          <w:b w:val="0"/>
          <w:lang w:val="sv-SE"/>
        </w:rPr>
        <w:t>&lt;NumAm&gt;</w:t>
      </w:r>
      <w:r w:rsidRPr="00804E2D">
        <w:rPr>
          <w:lang w:val="sv-SE"/>
        </w:rPr>
        <w:t>119</w:t>
      </w:r>
      <w:r w:rsidRPr="00804E2D">
        <w:rPr>
          <w:rStyle w:val="HideTWBExt"/>
          <w:b w:val="0"/>
          <w:lang w:val="sv-SE"/>
        </w:rPr>
        <w:t>&lt;/NumAm&gt;</w:t>
      </w:r>
    </w:p>
    <w:p w:rsidR="00343C6C" w:rsidRPr="00804E2D" w:rsidP="00343C6C" w14:paraId="67C8A531" w14:textId="77777777">
      <w:pPr>
        <w:pStyle w:val="NormalBold"/>
        <w:rPr>
          <w:lang w:val="sv-SE"/>
        </w:rPr>
      </w:pPr>
      <w:r w:rsidRPr="00804E2D">
        <w:rPr>
          <w:rStyle w:val="HideTWBExt"/>
          <w:b w:val="0"/>
          <w:lang w:val="sv-SE"/>
        </w:rPr>
        <w:t>&lt;RepeatBlock-By&gt;&lt;Members&gt;</w:t>
      </w:r>
      <w:r w:rsidRPr="00804E2D">
        <w:rPr>
          <w:lang w:val="sv-SE"/>
        </w:rPr>
        <w:t>Li Andersson, Jonas Sjöstedt, Per Clausen</w:t>
      </w:r>
      <w:r w:rsidRPr="00804E2D">
        <w:rPr>
          <w:rStyle w:val="HideTWBExt"/>
          <w:b w:val="0"/>
          <w:lang w:val="sv-SE"/>
        </w:rPr>
        <w:t>&lt;/Members&gt;</w:t>
      </w:r>
    </w:p>
    <w:p w:rsidR="00343C6C" w:rsidRPr="00804E2D" w:rsidP="00343C6C" w14:paraId="17763334" w14:textId="77777777">
      <w:pPr>
        <w:rPr>
          <w:lang w:val="sv-SE"/>
        </w:rPr>
      </w:pPr>
      <w:r w:rsidRPr="00804E2D">
        <w:rPr>
          <w:rStyle w:val="HideTWBExt"/>
          <w:lang w:val="sv-SE"/>
        </w:rPr>
        <w:t>&lt;/RepeatBlock-By&gt;</w:t>
      </w:r>
    </w:p>
    <w:p w:rsidR="00343C6C" w:rsidRPr="00FC4A49" w:rsidP="00343C6C" w14:paraId="2C9702AC"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84E3D7A" w14:textId="77777777">
      <w:pPr>
        <w:pStyle w:val="NormalBold"/>
      </w:pPr>
      <w:r w:rsidRPr="00FC4A49">
        <w:rPr>
          <w:rStyle w:val="HideTWBExt"/>
          <w:b w:val="0"/>
        </w:rPr>
        <w:t>&lt;Article&gt;</w:t>
      </w:r>
      <w:r w:rsidRPr="00FC4A49">
        <w:t>Recital 9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107F24"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C99459E" w14:textId="77777777">
            <w:pPr>
              <w:keepNext/>
            </w:pPr>
          </w:p>
        </w:tc>
      </w:tr>
      <w:tr w14:paraId="1DD9E8D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6EA3929" w14:textId="77777777">
            <w:pPr>
              <w:pStyle w:val="ColumnHeading"/>
              <w:keepNext/>
              <w:rPr>
                <w:lang w:val="en-GB"/>
              </w:rPr>
            </w:pPr>
            <w:r w:rsidRPr="00FC4A49">
              <w:rPr>
                <w:lang w:val="en-GB"/>
              </w:rPr>
              <w:t>Text proposed by the Commission</w:t>
            </w:r>
          </w:p>
        </w:tc>
        <w:tc>
          <w:tcPr>
            <w:tcW w:w="4876" w:type="dxa"/>
          </w:tcPr>
          <w:p w:rsidR="00343C6C" w:rsidRPr="00FC4A49" w:rsidP="005D58F9" w14:paraId="629F8C65" w14:textId="77777777">
            <w:pPr>
              <w:pStyle w:val="ColumnHeading"/>
              <w:keepNext/>
              <w:rPr>
                <w:lang w:val="en-GB"/>
              </w:rPr>
            </w:pPr>
            <w:r w:rsidRPr="00FC4A49">
              <w:rPr>
                <w:lang w:val="en-GB"/>
              </w:rPr>
              <w:t>Amendment</w:t>
            </w:r>
          </w:p>
        </w:tc>
      </w:tr>
      <w:tr w14:paraId="43AD027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BC74EE2" w14:textId="77777777">
            <w:pPr>
              <w:pStyle w:val="Normal6"/>
              <w:rPr>
                <w:lang w:val="en-GB"/>
              </w:rPr>
            </w:pPr>
          </w:p>
        </w:tc>
        <w:tc>
          <w:tcPr>
            <w:tcW w:w="4876" w:type="dxa"/>
          </w:tcPr>
          <w:p w:rsidR="00343C6C" w:rsidRPr="00FC4A49" w:rsidP="005D58F9" w14:paraId="382A23D2" w14:textId="77777777">
            <w:pPr>
              <w:pStyle w:val="Normal6"/>
              <w:rPr>
                <w:szCs w:val="24"/>
                <w:lang w:val="en-GB"/>
              </w:rPr>
            </w:pPr>
            <w:r w:rsidRPr="00FC4A49">
              <w:rPr>
                <w:b/>
                <w:i/>
                <w:lang w:val="en-GB"/>
              </w:rPr>
              <w:t>(9a)</w:t>
            </w:r>
            <w:r w:rsidRPr="00FC4A49">
              <w:rPr>
                <w:b/>
                <w:i/>
                <w:lang w:val="en-GB"/>
              </w:rPr>
              <w:tab/>
              <w:t>The European Scientific Advisory Board on Climate Change (the ‘Advisory Board’), established under Regulation (EC) No 401/2009 of the European Parliament and of the Council</w:t>
            </w:r>
            <w:r w:rsidRPr="00FC4A49">
              <w:rPr>
                <w:b/>
                <w:i/>
                <w:vertAlign w:val="superscript"/>
                <w:lang w:val="en-GB"/>
              </w:rPr>
              <w:t>10a</w:t>
            </w:r>
            <w:r w:rsidRPr="00FC4A49">
              <w:rPr>
                <w:b/>
                <w:i/>
                <w:lang w:val="en-GB"/>
              </w:rPr>
              <w:t>, recommends a 90-95% net domestic greenhouse gas emissions reduction by 2040 to support Union’s long-term interests and reach climate neutrality by 2050. The Advisory Board advises against using international carbon credits to meet the 2040 target, as they risk diverting resources from domestic investments and could undermine environmental integrity.</w:t>
            </w:r>
          </w:p>
        </w:tc>
      </w:tr>
      <w:tr w14:paraId="445B4F3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F44342B" w14:textId="77777777">
            <w:pPr>
              <w:pStyle w:val="Normal6"/>
              <w:rPr>
                <w:lang w:val="en-GB"/>
              </w:rPr>
            </w:pPr>
          </w:p>
        </w:tc>
        <w:tc>
          <w:tcPr>
            <w:tcW w:w="4876" w:type="dxa"/>
          </w:tcPr>
          <w:p w:rsidR="00343C6C" w:rsidRPr="00FC4A49" w:rsidP="005D58F9" w14:paraId="56924484" w14:textId="77777777">
            <w:pPr>
              <w:pStyle w:val="Normal6"/>
              <w:rPr>
                <w:szCs w:val="24"/>
                <w:lang w:val="en-GB"/>
              </w:rPr>
            </w:pPr>
            <w:r w:rsidRPr="00FC4A49">
              <w:rPr>
                <w:b/>
                <w:i/>
                <w:lang w:val="en-GB"/>
              </w:rPr>
              <w:t>__________________</w:t>
            </w:r>
          </w:p>
        </w:tc>
      </w:tr>
      <w:tr w14:paraId="1F11EEC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DFA29CC" w14:textId="77777777">
            <w:pPr>
              <w:pStyle w:val="Normal6"/>
              <w:rPr>
                <w:lang w:val="en-GB"/>
              </w:rPr>
            </w:pPr>
          </w:p>
        </w:tc>
        <w:tc>
          <w:tcPr>
            <w:tcW w:w="4876" w:type="dxa"/>
          </w:tcPr>
          <w:p w:rsidR="00343C6C" w:rsidRPr="00FC4A49" w:rsidP="005D58F9" w14:paraId="012261E3" w14:textId="77777777">
            <w:pPr>
              <w:pStyle w:val="Normal6"/>
              <w:rPr>
                <w:szCs w:val="24"/>
                <w:lang w:val="en-GB"/>
              </w:rPr>
            </w:pPr>
            <w:r w:rsidRPr="00FC4A49">
              <w:rPr>
                <w:b/>
                <w:i/>
                <w:vertAlign w:val="superscript"/>
                <w:lang w:val="en-GB"/>
              </w:rPr>
              <w:t>10a</w:t>
            </w:r>
            <w:r w:rsidRPr="00FC4A49">
              <w:rPr>
                <w:lang w:val="en-GB"/>
              </w:rPr>
              <w:t xml:space="preserve"> </w:t>
            </w:r>
            <w:r w:rsidRPr="00FC4A49">
              <w:rPr>
                <w:b/>
                <w:i/>
                <w:lang w:val="en-GB"/>
              </w:rPr>
              <w:t>Regulation (EC) No 401/2009 of the European Parliament and of the Council of 23 April 2009 on the European Environment Agency and the European Environment Information and Observation Network (OJ L 126, 21.5.2009, p. 13, ELI: http://data.europa.eu/eli/reg/2009/401/oj).</w:t>
            </w:r>
          </w:p>
        </w:tc>
      </w:tr>
    </w:tbl>
    <w:p w:rsidR="00343C6C" w:rsidRPr="00FC4A49" w:rsidP="00343C6C" w14:paraId="0E02DDD5"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F04EB91" w14:textId="77777777">
      <w:r w:rsidRPr="00FC4A49">
        <w:rPr>
          <w:rStyle w:val="HideTWBExt"/>
        </w:rPr>
        <w:t>&lt;/Amend&gt;</w:t>
      </w:r>
    </w:p>
    <w:p w:rsidR="00343C6C" w:rsidRPr="00FC4A49" w:rsidP="00343C6C" w14:paraId="313DC87A"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120</w:t>
      </w:r>
      <w:r w:rsidRPr="00FC4A49">
        <w:rPr>
          <w:rStyle w:val="HideTWBExt"/>
          <w:b w:val="0"/>
          <w:lang w:val="en-GB"/>
        </w:rPr>
        <w:t>&lt;/NumAm&gt;</w:t>
      </w:r>
    </w:p>
    <w:p w:rsidR="00343C6C" w:rsidRPr="00FC4A49" w:rsidP="00343C6C" w14:paraId="2A40B495"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0F5C7DD1" w14:textId="77777777">
      <w:r w:rsidRPr="00FC4A49">
        <w:rPr>
          <w:rStyle w:val="HideTWBExt"/>
        </w:rPr>
        <w:t>&lt;/RepeatBlock-By&gt;</w:t>
      </w:r>
    </w:p>
    <w:p w:rsidR="00343C6C" w:rsidRPr="00FC4A49" w:rsidP="00343C6C" w14:paraId="6A536B8D"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D51FC02" w14:textId="77777777">
      <w:pPr>
        <w:pStyle w:val="NormalBold"/>
      </w:pPr>
      <w:r w:rsidRPr="00FC4A49">
        <w:rPr>
          <w:rStyle w:val="HideTWBExt"/>
          <w:b w:val="0"/>
        </w:rPr>
        <w:t>&lt;Article&gt;</w:t>
      </w:r>
      <w:r w:rsidRPr="00FC4A49">
        <w:t>Recital 10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9FF3E7"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D3D8EE6" w14:textId="77777777">
            <w:pPr>
              <w:keepNext/>
            </w:pPr>
          </w:p>
        </w:tc>
      </w:tr>
      <w:tr w14:paraId="5EAAAE1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C5CE9EB" w14:textId="77777777">
            <w:pPr>
              <w:pStyle w:val="ColumnHeading"/>
              <w:keepNext/>
              <w:rPr>
                <w:lang w:val="en-GB"/>
              </w:rPr>
            </w:pPr>
            <w:r w:rsidRPr="00FC4A49">
              <w:rPr>
                <w:lang w:val="en-GB"/>
              </w:rPr>
              <w:t>Text proposed by the Commission</w:t>
            </w:r>
          </w:p>
        </w:tc>
        <w:tc>
          <w:tcPr>
            <w:tcW w:w="4876" w:type="dxa"/>
          </w:tcPr>
          <w:p w:rsidR="00343C6C" w:rsidRPr="00FC4A49" w:rsidP="005D58F9" w14:paraId="03869FBC" w14:textId="77777777">
            <w:pPr>
              <w:pStyle w:val="ColumnHeading"/>
              <w:keepNext/>
              <w:rPr>
                <w:lang w:val="en-GB"/>
              </w:rPr>
            </w:pPr>
            <w:r w:rsidRPr="00FC4A49">
              <w:rPr>
                <w:lang w:val="en-GB"/>
              </w:rPr>
              <w:t>Amendment</w:t>
            </w:r>
          </w:p>
        </w:tc>
      </w:tr>
      <w:tr w14:paraId="61E2681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4E56413" w14:textId="77777777">
            <w:pPr>
              <w:pStyle w:val="Normal6"/>
              <w:rPr>
                <w:lang w:val="en-GB"/>
              </w:rPr>
            </w:pPr>
            <w:r w:rsidRPr="00FC4A49">
              <w:rPr>
                <w:b/>
                <w:i/>
                <w:lang w:val="en-GB"/>
              </w:rPr>
              <w:t>(10)</w:t>
            </w:r>
            <w:r w:rsidRPr="00FC4A49">
              <w:rPr>
                <w:b/>
                <w:i/>
                <w:lang w:val="en-GB"/>
              </w:rPr>
              <w:tab/>
              <w:t xml:space="preserve">All sectors of the economy need to contribute to achieving the emission reductions established by Regulation (EU) 2021/1119. Therefore, the ambition of the </w:t>
            </w:r>
            <w:r w:rsidRPr="00FC4A49">
              <w:rPr>
                <w:b/>
                <w:i/>
                <w:lang w:val="en-GB"/>
              </w:rPr>
              <w:t xml:space="preserve">EU ETS should be adjusted to be in line with the economy-wide net greenhouse gas emission reduction target for 2040, the objective of achieving climate neutrality by 2050 at the latest and the aim of achieving negative </w:t>
            </w:r>
            <w:r w:rsidRPr="00FC4A49">
              <w:rPr>
                <w:b/>
                <w:i/>
                <w:lang w:val="en-GB"/>
              </w:rPr>
              <w:t>emissions</w:t>
            </w:r>
            <w:r w:rsidRPr="00FC4A49">
              <w:rPr>
                <w:b/>
                <w:i/>
                <w:lang w:val="en-GB"/>
              </w:rPr>
              <w:t xml:space="preserve"> thereafter, as laid down in Regulation (EU) 2021/1119.</w:t>
            </w:r>
          </w:p>
        </w:tc>
        <w:tc>
          <w:tcPr>
            <w:tcW w:w="4876" w:type="dxa"/>
          </w:tcPr>
          <w:p w:rsidR="00343C6C" w:rsidRPr="00FC4A49" w:rsidP="005D58F9" w14:paraId="7F3CFDD2" w14:textId="77777777">
            <w:pPr>
              <w:pStyle w:val="Normal6"/>
              <w:rPr>
                <w:szCs w:val="24"/>
                <w:lang w:val="en-GB"/>
              </w:rPr>
            </w:pPr>
            <w:r w:rsidRPr="00FC4A49">
              <w:rPr>
                <w:b/>
                <w:i/>
                <w:lang w:val="en-GB"/>
              </w:rPr>
              <w:t>deleted</w:t>
            </w:r>
          </w:p>
        </w:tc>
      </w:tr>
    </w:tbl>
    <w:p w:rsidR="00343C6C" w:rsidRPr="00FC4A49" w:rsidP="00343C6C" w14:paraId="45BFE524"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6DC6650D" w14:textId="77777777">
      <w:r w:rsidRPr="00FC4A49">
        <w:rPr>
          <w:rStyle w:val="HideTWBExt"/>
        </w:rPr>
        <w:t>&lt;/Amend&gt;</w:t>
      </w:r>
    </w:p>
    <w:p w:rsidR="00343C6C" w:rsidRPr="00FC4A49" w:rsidP="00343C6C" w14:paraId="4CC1B186"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121</w:t>
      </w:r>
      <w:r w:rsidRPr="00FC4A49">
        <w:rPr>
          <w:rStyle w:val="HideTWBExt"/>
          <w:b w:val="0"/>
          <w:lang w:val="en-GB"/>
        </w:rPr>
        <w:t>&lt;/NumAm&gt;</w:t>
      </w:r>
    </w:p>
    <w:p w:rsidR="00343C6C" w:rsidRPr="00FC4A49" w:rsidP="00343C6C" w14:paraId="3DC43526" w14:textId="77777777">
      <w:pPr>
        <w:pStyle w:val="NormalBold"/>
      </w:pPr>
      <w:r w:rsidRPr="00FC4A49">
        <w:rPr>
          <w:rStyle w:val="HideTWBExt"/>
          <w:b w:val="0"/>
        </w:rPr>
        <w:t>&lt;RepeatBlock-By&gt;&lt;Members&gt;</w:t>
      </w:r>
      <w:r w:rsidRPr="00FC4A49">
        <w:t>Ondřej Knotek, Jana Nagyová, Antonín Staněk, Roman Haider, Viktória Ferenc</w:t>
      </w:r>
      <w:r w:rsidRPr="00FC4A49">
        <w:rPr>
          <w:rStyle w:val="HideTWBExt"/>
          <w:b w:val="0"/>
        </w:rPr>
        <w:t>&lt;/Members&gt;</w:t>
      </w:r>
    </w:p>
    <w:p w:rsidR="00343C6C" w:rsidRPr="00FC4A49" w:rsidP="00343C6C" w14:paraId="2B37D9FC" w14:textId="77777777">
      <w:r w:rsidRPr="00FC4A49">
        <w:rPr>
          <w:rStyle w:val="HideTWBExt"/>
        </w:rPr>
        <w:t>&lt;/RepeatBlock-By&gt;</w:t>
      </w:r>
    </w:p>
    <w:p w:rsidR="00343C6C" w:rsidRPr="00FC4A49" w:rsidP="00343C6C" w14:paraId="18B2509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BCAABF7" w14:textId="77777777">
      <w:pPr>
        <w:pStyle w:val="NormalBold"/>
      </w:pPr>
      <w:r w:rsidRPr="00FC4A49">
        <w:rPr>
          <w:rStyle w:val="HideTWBExt"/>
          <w:b w:val="0"/>
        </w:rPr>
        <w:t>&lt;Article&gt;</w:t>
      </w:r>
      <w:r w:rsidRPr="00FC4A49">
        <w:t>Recital 10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2E841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7933E6E9" w14:textId="77777777">
            <w:pPr>
              <w:keepNext/>
            </w:pPr>
          </w:p>
        </w:tc>
      </w:tr>
      <w:tr w14:paraId="7C57882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E8E1B2E" w14:textId="77777777">
            <w:pPr>
              <w:pStyle w:val="ColumnHeading"/>
              <w:keepNext/>
              <w:rPr>
                <w:lang w:val="en-GB"/>
              </w:rPr>
            </w:pPr>
            <w:r w:rsidRPr="00FC4A49">
              <w:rPr>
                <w:lang w:val="en-GB"/>
              </w:rPr>
              <w:t>Text proposed by the Commission</w:t>
            </w:r>
          </w:p>
        </w:tc>
        <w:tc>
          <w:tcPr>
            <w:tcW w:w="4876" w:type="dxa"/>
          </w:tcPr>
          <w:p w:rsidR="00343C6C" w:rsidRPr="00FC4A49" w:rsidP="005D58F9" w14:paraId="1CB58FBA" w14:textId="77777777">
            <w:pPr>
              <w:pStyle w:val="ColumnHeading"/>
              <w:keepNext/>
              <w:rPr>
                <w:lang w:val="en-GB"/>
              </w:rPr>
            </w:pPr>
            <w:r w:rsidRPr="00FC4A49">
              <w:rPr>
                <w:lang w:val="en-GB"/>
              </w:rPr>
              <w:t>Amendment</w:t>
            </w:r>
          </w:p>
        </w:tc>
      </w:tr>
      <w:tr w14:paraId="0CDEBF4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50EC869" w14:textId="77777777">
            <w:pPr>
              <w:pStyle w:val="Normal6"/>
              <w:rPr>
                <w:lang w:val="en-GB"/>
              </w:rPr>
            </w:pPr>
            <w:r w:rsidRPr="00FC4A49">
              <w:rPr>
                <w:lang w:val="en-GB"/>
              </w:rPr>
              <w:t>(10)</w:t>
            </w:r>
            <w:r w:rsidRPr="00FC4A49">
              <w:rPr>
                <w:lang w:val="en-GB"/>
              </w:rPr>
              <w:tab/>
              <w:t xml:space="preserve">All sectors of the economy need to contribute to achieving the emission reductions established by Regulation (EU) 2021/1119. </w:t>
            </w:r>
            <w:r w:rsidRPr="00FC4A49">
              <w:rPr>
                <w:b/>
                <w:i/>
                <w:lang w:val="en-GB"/>
              </w:rPr>
              <w:t>Therefore</w:t>
            </w:r>
            <w:r w:rsidRPr="00FC4A49">
              <w:rPr>
                <w:lang w:val="en-GB"/>
              </w:rPr>
              <w:t xml:space="preserve">, the ambition of the EU ETS should be adjusted to be in line with the economy-wide net greenhouse gas emission reduction target for 2040, the objective of achieving climate neutrality by 2050 at the latest and the aim of achieving negative </w:t>
            </w:r>
            <w:r w:rsidRPr="00FC4A49">
              <w:rPr>
                <w:lang w:val="en-GB"/>
              </w:rPr>
              <w:t>emissions</w:t>
            </w:r>
            <w:r w:rsidRPr="00FC4A49">
              <w:rPr>
                <w:lang w:val="en-GB"/>
              </w:rPr>
              <w:t xml:space="preserve"> thereafter, as laid down in Regulation (EU) 2021/1119.</w:t>
            </w:r>
          </w:p>
        </w:tc>
        <w:tc>
          <w:tcPr>
            <w:tcW w:w="4876" w:type="dxa"/>
          </w:tcPr>
          <w:p w:rsidR="00343C6C" w:rsidRPr="00FC4A49" w:rsidP="005D58F9" w14:paraId="632B3D62" w14:textId="77777777">
            <w:pPr>
              <w:pStyle w:val="Normal6"/>
              <w:rPr>
                <w:szCs w:val="24"/>
                <w:lang w:val="en-GB"/>
              </w:rPr>
            </w:pPr>
            <w:r w:rsidRPr="00FC4A49">
              <w:rPr>
                <w:lang w:val="en-GB"/>
              </w:rPr>
              <w:t>(10)</w:t>
            </w:r>
            <w:r w:rsidRPr="00FC4A49">
              <w:rPr>
                <w:lang w:val="en-GB"/>
              </w:rPr>
              <w:tab/>
            </w:r>
            <w:r w:rsidRPr="00FC4A49">
              <w:rPr>
                <w:b/>
                <w:i/>
                <w:lang w:val="en-GB"/>
              </w:rPr>
              <w:t>According to current Union legislation,</w:t>
            </w:r>
            <w:r w:rsidRPr="00FC4A49">
              <w:rPr>
                <w:lang w:val="en-GB"/>
              </w:rPr>
              <w:t xml:space="preserve"> all sectors of the economy need to contribute to achieving the emission reductions established by Regulation (EU) 2021/1119. </w:t>
            </w:r>
            <w:r w:rsidRPr="00FC4A49">
              <w:rPr>
                <w:b/>
                <w:i/>
                <w:lang w:val="en-GB"/>
              </w:rPr>
              <w:t>However</w:t>
            </w:r>
            <w:r w:rsidRPr="00FC4A49">
              <w:rPr>
                <w:lang w:val="en-GB"/>
              </w:rPr>
              <w:t xml:space="preserve">, </w:t>
            </w:r>
            <w:r w:rsidRPr="00FC4A49">
              <w:rPr>
                <w:b/>
                <w:i/>
                <w:lang w:val="en-GB"/>
              </w:rPr>
              <w:t>it is necessary to take into consideration the competitiveness of industry in the Union notwithstanding the fact that according to current Union legislation</w:t>
            </w:r>
            <w:r w:rsidRPr="00FC4A49">
              <w:rPr>
                <w:lang w:val="en-GB"/>
              </w:rPr>
              <w:t xml:space="preserve"> the ambition of the EU ETS should be adjusted to be in line with the economy-wide net greenhouse gas emission reduction target for 2040, the objective of achieving climate neutrality by 2050 at the latest and the aim of achieving negative </w:t>
            </w:r>
            <w:r w:rsidRPr="00FC4A49">
              <w:rPr>
                <w:lang w:val="en-GB"/>
              </w:rPr>
              <w:t>emissions</w:t>
            </w:r>
            <w:r w:rsidRPr="00FC4A49">
              <w:rPr>
                <w:lang w:val="en-GB"/>
              </w:rPr>
              <w:t xml:space="preserve"> thereafter, as laid down in Regulation (EU) 2021/1119.</w:t>
            </w:r>
          </w:p>
        </w:tc>
      </w:tr>
    </w:tbl>
    <w:p w:rsidR="00343C6C" w:rsidRPr="00804E2D" w:rsidP="00343C6C" w14:paraId="585BF49B" w14:textId="77777777">
      <w:pPr>
        <w:pStyle w:val="Olang"/>
        <w:rPr>
          <w:lang w:val="sv-SE"/>
        </w:rPr>
      </w:pPr>
      <w:r w:rsidRPr="00804E2D">
        <w:rPr>
          <w:lang w:val="sv-SE"/>
        </w:rPr>
        <w:t xml:space="preserve">Or. </w:t>
      </w:r>
      <w:r w:rsidRPr="00804E2D">
        <w:rPr>
          <w:rStyle w:val="HideTWBExt"/>
          <w:lang w:val="sv-SE"/>
        </w:rPr>
        <w:t>&lt;Original&gt;</w:t>
      </w:r>
      <w:r w:rsidRPr="00804E2D">
        <w:rPr>
          <w:rStyle w:val="HideTWBInt"/>
          <w:lang w:val="sv-SE"/>
        </w:rPr>
        <w:t>{EN}</w:t>
      </w:r>
      <w:r w:rsidRPr="00804E2D">
        <w:rPr>
          <w:lang w:val="sv-SE"/>
        </w:rPr>
        <w:t>en</w:t>
      </w:r>
      <w:r w:rsidRPr="00804E2D">
        <w:rPr>
          <w:rStyle w:val="HideTWBExt"/>
          <w:lang w:val="sv-SE"/>
        </w:rPr>
        <w:t>&lt;/Original&gt;</w:t>
      </w:r>
    </w:p>
    <w:p w:rsidR="00343C6C" w:rsidRPr="00804E2D" w:rsidP="00343C6C" w14:paraId="5AC3CFE6" w14:textId="77777777">
      <w:pPr>
        <w:rPr>
          <w:lang w:val="sv-SE"/>
        </w:rPr>
      </w:pPr>
      <w:r w:rsidRPr="00804E2D">
        <w:rPr>
          <w:rStyle w:val="HideTWBExt"/>
          <w:lang w:val="sv-SE"/>
        </w:rPr>
        <w:t>&lt;/Amend&gt;</w:t>
      </w:r>
    </w:p>
    <w:p w:rsidR="00343C6C" w:rsidRPr="00804E2D" w:rsidP="00343C6C" w14:paraId="578B608F" w14:textId="77777777">
      <w:pPr>
        <w:pStyle w:val="AMNumberTabs0"/>
        <w:keepNext/>
        <w:rPr>
          <w:lang w:val="sv-SE"/>
        </w:rPr>
      </w:pPr>
      <w:r w:rsidRPr="00804E2D">
        <w:rPr>
          <w:rStyle w:val="HideTWBExt"/>
          <w:b w:val="0"/>
          <w:lang w:val="sv-SE"/>
        </w:rPr>
        <w:t>&lt;Amend&gt;</w:t>
      </w:r>
      <w:r w:rsidRPr="00804E2D">
        <w:rPr>
          <w:lang w:val="sv-SE"/>
        </w:rPr>
        <w:t>Amendment</w:t>
      </w:r>
      <w:r w:rsidRPr="00804E2D">
        <w:rPr>
          <w:lang w:val="sv-SE"/>
        </w:rPr>
        <w:tab/>
      </w:r>
      <w:r w:rsidRPr="00804E2D">
        <w:rPr>
          <w:lang w:val="sv-SE"/>
        </w:rPr>
        <w:tab/>
      </w:r>
      <w:r w:rsidRPr="00804E2D">
        <w:rPr>
          <w:rStyle w:val="HideTWBExt"/>
          <w:b w:val="0"/>
          <w:lang w:val="sv-SE"/>
        </w:rPr>
        <w:t>&lt;NumAm&gt;</w:t>
      </w:r>
      <w:r w:rsidRPr="00804E2D">
        <w:rPr>
          <w:lang w:val="sv-SE"/>
        </w:rPr>
        <w:t>122</w:t>
      </w:r>
      <w:r w:rsidRPr="00804E2D">
        <w:rPr>
          <w:rStyle w:val="HideTWBExt"/>
          <w:b w:val="0"/>
          <w:lang w:val="sv-SE"/>
        </w:rPr>
        <w:t>&lt;/NumAm&gt;</w:t>
      </w:r>
    </w:p>
    <w:p w:rsidR="00343C6C" w:rsidRPr="00804E2D" w:rsidP="00343C6C" w14:paraId="19042312" w14:textId="77777777">
      <w:pPr>
        <w:pStyle w:val="NormalBold"/>
        <w:rPr>
          <w:lang w:val="sv-SE"/>
        </w:rPr>
      </w:pPr>
      <w:r w:rsidRPr="00804E2D">
        <w:rPr>
          <w:rStyle w:val="HideTWBExt"/>
          <w:b w:val="0"/>
          <w:lang w:val="sv-SE"/>
        </w:rPr>
        <w:t>&lt;RepeatBlock-By&gt;&lt;Members&gt;</w:t>
      </w:r>
      <w:r w:rsidRPr="00804E2D">
        <w:rPr>
          <w:lang w:val="sv-SE"/>
        </w:rPr>
        <w:t>Kateřina</w:t>
      </w:r>
      <w:r w:rsidRPr="00804E2D">
        <w:rPr>
          <w:lang w:val="sv-SE"/>
        </w:rPr>
        <w:t xml:space="preserve"> </w:t>
      </w:r>
      <w:r w:rsidRPr="00804E2D">
        <w:rPr>
          <w:lang w:val="sv-SE"/>
        </w:rPr>
        <w:t>Konečná</w:t>
      </w:r>
      <w:r w:rsidRPr="00804E2D">
        <w:rPr>
          <w:rStyle w:val="HideTWBExt"/>
          <w:b w:val="0"/>
          <w:lang w:val="sv-SE"/>
        </w:rPr>
        <w:t>&lt;/Members&gt;</w:t>
      </w:r>
    </w:p>
    <w:p w:rsidR="00343C6C" w:rsidRPr="00804E2D" w:rsidP="00343C6C" w14:paraId="4EC235AA" w14:textId="77777777">
      <w:pPr>
        <w:rPr>
          <w:lang w:val="sv-SE"/>
        </w:rPr>
      </w:pPr>
      <w:r w:rsidRPr="00804E2D">
        <w:rPr>
          <w:rStyle w:val="HideTWBExt"/>
          <w:lang w:val="sv-SE"/>
        </w:rPr>
        <w:t>&lt;/RepeatBlock-By&gt;</w:t>
      </w:r>
    </w:p>
    <w:p w:rsidR="00343C6C" w:rsidRPr="00FC4A49" w:rsidP="00343C6C" w14:paraId="0B91A995"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E235F0A" w14:textId="77777777">
      <w:pPr>
        <w:pStyle w:val="NormalBold"/>
      </w:pPr>
      <w:r w:rsidRPr="00FC4A49">
        <w:rPr>
          <w:rStyle w:val="HideTWBExt"/>
          <w:b w:val="0"/>
        </w:rPr>
        <w:t>&lt;Article&gt;</w:t>
      </w:r>
      <w:r w:rsidRPr="00FC4A49">
        <w:t>Recital 10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AF6371"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E01FF63" w14:textId="77777777">
            <w:pPr>
              <w:keepNext/>
            </w:pPr>
          </w:p>
        </w:tc>
      </w:tr>
      <w:tr w14:paraId="574256A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C869DCD" w14:textId="77777777">
            <w:pPr>
              <w:pStyle w:val="ColumnHeading"/>
              <w:keepNext/>
              <w:rPr>
                <w:lang w:val="en-GB"/>
              </w:rPr>
            </w:pPr>
            <w:r w:rsidRPr="00FC4A49">
              <w:rPr>
                <w:lang w:val="en-GB"/>
              </w:rPr>
              <w:t>Text proposed by the Commission</w:t>
            </w:r>
          </w:p>
        </w:tc>
        <w:tc>
          <w:tcPr>
            <w:tcW w:w="4876" w:type="dxa"/>
          </w:tcPr>
          <w:p w:rsidR="00343C6C" w:rsidRPr="00FC4A49" w:rsidP="005D58F9" w14:paraId="73607A57" w14:textId="77777777">
            <w:pPr>
              <w:pStyle w:val="ColumnHeading"/>
              <w:keepNext/>
              <w:rPr>
                <w:lang w:val="en-GB"/>
              </w:rPr>
            </w:pPr>
            <w:r w:rsidRPr="00FC4A49">
              <w:rPr>
                <w:lang w:val="en-GB"/>
              </w:rPr>
              <w:t>Amendment</w:t>
            </w:r>
          </w:p>
        </w:tc>
      </w:tr>
      <w:tr w14:paraId="3ACAF46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7028EF2" w14:textId="77777777">
            <w:pPr>
              <w:pStyle w:val="Normal6"/>
              <w:rPr>
                <w:lang w:val="en-GB"/>
              </w:rPr>
            </w:pPr>
            <w:r w:rsidRPr="00FC4A49">
              <w:rPr>
                <w:lang w:val="en-GB"/>
              </w:rPr>
              <w:t>(10)</w:t>
            </w:r>
            <w:r w:rsidRPr="00FC4A49">
              <w:rPr>
                <w:lang w:val="en-GB"/>
              </w:rPr>
              <w:tab/>
              <w:t xml:space="preserve">All sectors of the economy need to contribute to achieving the emission reductions established by Regulation (EU) 2021/1119. Therefore, the ambition of the EU ETS should be adjusted to be in line with the economy-wide net greenhouse gas emission reduction target for 2040, the objective of achieving climate neutrality by 2050 at the latest and the aim of achieving negative </w:t>
            </w:r>
            <w:r w:rsidRPr="00FC4A49">
              <w:rPr>
                <w:lang w:val="en-GB"/>
              </w:rPr>
              <w:t>emissions</w:t>
            </w:r>
            <w:r w:rsidRPr="00FC4A49">
              <w:rPr>
                <w:lang w:val="en-GB"/>
              </w:rPr>
              <w:t xml:space="preserve"> thereafter, as laid down in Regulation (EU) 2021/1119.</w:t>
            </w:r>
          </w:p>
        </w:tc>
        <w:tc>
          <w:tcPr>
            <w:tcW w:w="4876" w:type="dxa"/>
          </w:tcPr>
          <w:p w:rsidR="00343C6C" w:rsidRPr="00FC4A49" w:rsidP="005D58F9" w14:paraId="2832AAB0" w14:textId="77777777">
            <w:pPr>
              <w:pStyle w:val="Normal6"/>
              <w:rPr>
                <w:szCs w:val="24"/>
                <w:lang w:val="en-GB"/>
              </w:rPr>
            </w:pPr>
            <w:r w:rsidRPr="00FC4A49">
              <w:rPr>
                <w:lang w:val="en-GB"/>
              </w:rPr>
              <w:t>(10)</w:t>
            </w:r>
            <w:r w:rsidRPr="00FC4A49">
              <w:rPr>
                <w:lang w:val="en-GB"/>
              </w:rPr>
              <w:tab/>
              <w:t xml:space="preserve">All sectors of the economy need to contribute </w:t>
            </w:r>
            <w:r w:rsidRPr="00FC4A49">
              <w:rPr>
                <w:b/>
                <w:i/>
                <w:lang w:val="en-GB"/>
              </w:rPr>
              <w:t>in a cost-effective</w:t>
            </w:r>
            <w:r w:rsidRPr="00FC4A49">
              <w:rPr>
                <w:lang w:val="en-GB"/>
              </w:rPr>
              <w:t xml:space="preserve"> to achieving the emission reductions established by Regulation (EU) 2021/1119. Therefore, the ambition of the EU ETS should be adjusted to be in line with the economy-wide net greenhouse gas emission reduction target for 2040, the objective of achieving climate neutrality by 2050 at the latest and the aim of achieving negative </w:t>
            </w:r>
            <w:r w:rsidRPr="00FC4A49">
              <w:rPr>
                <w:lang w:val="en-GB"/>
              </w:rPr>
              <w:t>emissions</w:t>
            </w:r>
            <w:r w:rsidRPr="00FC4A49">
              <w:rPr>
                <w:lang w:val="en-GB"/>
              </w:rPr>
              <w:t xml:space="preserve"> thereafter, as laid down in Regulation (EU) 2021/1119. </w:t>
            </w:r>
            <w:r w:rsidRPr="00FC4A49">
              <w:rPr>
                <w:b/>
                <w:i/>
                <w:lang w:val="en-GB"/>
              </w:rPr>
              <w:t>The EU ETS trajectory should provide a credible and predictable long-term signal for investments in industrial decarbonisation and low-carbon solutions.</w:t>
            </w:r>
          </w:p>
        </w:tc>
      </w:tr>
    </w:tbl>
    <w:p w:rsidR="00343C6C" w:rsidRPr="00FC4A49" w:rsidP="00343C6C" w14:paraId="17101FA4"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09A9DD5" w14:textId="77777777">
      <w:r w:rsidRPr="00FC4A49">
        <w:rPr>
          <w:rStyle w:val="HideTWBExt"/>
        </w:rPr>
        <w:t>&lt;/Amend&gt;</w:t>
      </w:r>
    </w:p>
    <w:p w:rsidR="00343C6C" w:rsidRPr="00FC4A49" w:rsidP="00343C6C" w14:paraId="058EE42F"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123</w:t>
      </w:r>
      <w:r w:rsidRPr="00FC4A49">
        <w:rPr>
          <w:rStyle w:val="HideTWBExt"/>
          <w:b w:val="0"/>
          <w:lang w:val="en-GB"/>
        </w:rPr>
        <w:t>&lt;/NumAm&gt;</w:t>
      </w:r>
    </w:p>
    <w:p w:rsidR="00343C6C" w:rsidRPr="00FC4A49" w:rsidP="00343C6C" w14:paraId="55D48776" w14:textId="77777777">
      <w:pPr>
        <w:pStyle w:val="NormalBold"/>
      </w:pPr>
      <w:r w:rsidRPr="00FC4A49">
        <w:rPr>
          <w:rStyle w:val="HideTWBExt"/>
          <w:b w:val="0"/>
        </w:rPr>
        <w:t>&lt;RepeatBlock-By&gt;&lt;Members&gt;</w:t>
      </w:r>
      <w:r w:rsidRPr="00FC4A49">
        <w:t>Alexandr Vondra</w:t>
      </w:r>
      <w:r w:rsidRPr="00FC4A49">
        <w:rPr>
          <w:rStyle w:val="HideTWBExt"/>
          <w:b w:val="0"/>
        </w:rPr>
        <w:t>&lt;/Members&gt;</w:t>
      </w:r>
    </w:p>
    <w:p w:rsidR="00343C6C" w:rsidRPr="00FC4A49" w:rsidP="00343C6C" w14:paraId="555D9009" w14:textId="77777777">
      <w:r w:rsidRPr="00FC4A49">
        <w:rPr>
          <w:rStyle w:val="HideTWBExt"/>
        </w:rPr>
        <w:t>&lt;AuNomDe&gt;</w:t>
      </w:r>
      <w:r w:rsidRPr="00FC4A49">
        <w:rPr>
          <w:rStyle w:val="HideTWBInt"/>
        </w:rPr>
        <w:t>{ECR}</w:t>
      </w:r>
      <w:r w:rsidRPr="00FC4A49">
        <w:t>on behalf of the ECR Group</w:t>
      </w:r>
      <w:r w:rsidRPr="00FC4A49">
        <w:rPr>
          <w:rStyle w:val="HideTWBExt"/>
        </w:rPr>
        <w:t>&lt;/AuNomDe&gt;</w:t>
      </w:r>
    </w:p>
    <w:p w:rsidR="00343C6C" w:rsidRPr="00FC4A49" w:rsidP="00343C6C" w14:paraId="016B7EC4" w14:textId="77777777">
      <w:pPr>
        <w:pStyle w:val="NormalBold"/>
      </w:pPr>
      <w:r w:rsidRPr="00FC4A49">
        <w:rPr>
          <w:rStyle w:val="HideTWBExt"/>
          <w:b w:val="0"/>
        </w:rPr>
        <w:t>&lt;Members&gt;</w:t>
      </w:r>
      <w:r w:rsidRPr="00FC4A49">
        <w:t xml:space="preserve">Ondřej Krutílek, Anna Zalewska, Aurelijus </w:t>
      </w:r>
      <w:r w:rsidRPr="00FC4A49">
        <w:t>Veryga</w:t>
      </w:r>
      <w:r w:rsidRPr="00FC4A49">
        <w:t xml:space="preserve">, Laurence Trochu, Adrian-George </w:t>
      </w:r>
      <w:r w:rsidRPr="00FC4A49">
        <w:t>Axinia</w:t>
      </w:r>
      <w:r w:rsidRPr="00FC4A49">
        <w:rPr>
          <w:rStyle w:val="HideTWBExt"/>
          <w:b w:val="0"/>
        </w:rPr>
        <w:t>&lt;/Members&gt;</w:t>
      </w:r>
    </w:p>
    <w:p w:rsidR="00343C6C" w:rsidRPr="00FC4A49" w:rsidP="00343C6C" w14:paraId="13EAE259" w14:textId="77777777">
      <w:r w:rsidRPr="00FC4A49">
        <w:rPr>
          <w:rStyle w:val="HideTWBExt"/>
        </w:rPr>
        <w:t>&lt;/RepeatBlock-By&gt;</w:t>
      </w:r>
    </w:p>
    <w:p w:rsidR="00343C6C" w:rsidRPr="00FC4A49" w:rsidP="00343C6C" w14:paraId="34FA2C34"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C7E8AE2" w14:textId="77777777">
      <w:pPr>
        <w:pStyle w:val="NormalBold"/>
      </w:pPr>
      <w:r w:rsidRPr="00FC4A49">
        <w:rPr>
          <w:rStyle w:val="HideTWBExt"/>
          <w:b w:val="0"/>
        </w:rPr>
        <w:t>&lt;Article&gt;</w:t>
      </w:r>
      <w:r w:rsidRPr="00FC4A49">
        <w:t>Recital 10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423BA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DA30D4E" w14:textId="77777777">
            <w:pPr>
              <w:keepNext/>
            </w:pPr>
          </w:p>
        </w:tc>
      </w:tr>
      <w:tr w14:paraId="2B3B5F4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EF873F3" w14:textId="77777777">
            <w:pPr>
              <w:pStyle w:val="ColumnHeading"/>
              <w:keepNext/>
              <w:rPr>
                <w:lang w:val="en-GB"/>
              </w:rPr>
            </w:pPr>
            <w:r w:rsidRPr="00FC4A49">
              <w:rPr>
                <w:lang w:val="en-GB"/>
              </w:rPr>
              <w:t>Text proposed by the Commission</w:t>
            </w:r>
          </w:p>
        </w:tc>
        <w:tc>
          <w:tcPr>
            <w:tcW w:w="4876" w:type="dxa"/>
          </w:tcPr>
          <w:p w:rsidR="00343C6C" w:rsidRPr="00FC4A49" w:rsidP="005D58F9" w14:paraId="4C852724" w14:textId="77777777">
            <w:pPr>
              <w:pStyle w:val="ColumnHeading"/>
              <w:keepNext/>
              <w:rPr>
                <w:lang w:val="en-GB"/>
              </w:rPr>
            </w:pPr>
            <w:r w:rsidRPr="00FC4A49">
              <w:rPr>
                <w:lang w:val="en-GB"/>
              </w:rPr>
              <w:t>Amendment</w:t>
            </w:r>
          </w:p>
        </w:tc>
      </w:tr>
      <w:tr w14:paraId="1572686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FC30069" w14:textId="77777777">
            <w:pPr>
              <w:pStyle w:val="Normal6"/>
              <w:rPr>
                <w:lang w:val="en-GB"/>
              </w:rPr>
            </w:pPr>
            <w:r w:rsidRPr="00FC4A49">
              <w:rPr>
                <w:lang w:val="en-GB"/>
              </w:rPr>
              <w:t>(10)</w:t>
            </w:r>
            <w:r w:rsidRPr="00FC4A49">
              <w:rPr>
                <w:lang w:val="en-GB"/>
              </w:rPr>
              <w:tab/>
              <w:t xml:space="preserve">All sectors of the economy need to contribute to achieving the emission reductions established by Regulation (EU) 2021/1119. Therefore, the ambition of the EU ETS should be adjusted to be in line with </w:t>
            </w:r>
            <w:r w:rsidRPr="00FC4A49">
              <w:rPr>
                <w:b/>
                <w:i/>
                <w:lang w:val="en-GB"/>
              </w:rPr>
              <w:t>the economy-wide net greenhouse gas emission reduction target for 2040,</w:t>
            </w:r>
            <w:r w:rsidRPr="00FC4A49">
              <w:rPr>
                <w:lang w:val="en-GB"/>
              </w:rPr>
              <w:t xml:space="preserve"> the objective of achieving climate neutrality by 2050 at the latest and the aim of achieving negative </w:t>
            </w:r>
            <w:r w:rsidRPr="00FC4A49">
              <w:rPr>
                <w:lang w:val="en-GB"/>
              </w:rPr>
              <w:t>emissions</w:t>
            </w:r>
            <w:r w:rsidRPr="00FC4A49">
              <w:rPr>
                <w:lang w:val="en-GB"/>
              </w:rPr>
              <w:t xml:space="preserve"> </w:t>
            </w:r>
            <w:r w:rsidRPr="00FC4A49">
              <w:rPr>
                <w:b/>
                <w:i/>
                <w:lang w:val="en-GB"/>
              </w:rPr>
              <w:t>thereafter, as laid down in Regulation (EU) 2021/1119</w:t>
            </w:r>
            <w:r w:rsidRPr="00FC4A49">
              <w:rPr>
                <w:lang w:val="en-GB"/>
              </w:rPr>
              <w:t>.</w:t>
            </w:r>
          </w:p>
        </w:tc>
        <w:tc>
          <w:tcPr>
            <w:tcW w:w="4876" w:type="dxa"/>
          </w:tcPr>
          <w:p w:rsidR="00343C6C" w:rsidRPr="00FC4A49" w:rsidP="005D58F9" w14:paraId="16F378EA" w14:textId="77777777">
            <w:pPr>
              <w:pStyle w:val="Normal6"/>
              <w:rPr>
                <w:szCs w:val="24"/>
                <w:lang w:val="en-GB"/>
              </w:rPr>
            </w:pPr>
            <w:r w:rsidRPr="00FC4A49">
              <w:rPr>
                <w:lang w:val="en-GB"/>
              </w:rPr>
              <w:t>(10)</w:t>
            </w:r>
            <w:r w:rsidRPr="00FC4A49">
              <w:rPr>
                <w:lang w:val="en-GB"/>
              </w:rPr>
              <w:tab/>
              <w:t>All sectors of the economy need to contribute to achieving the emission reductions established by Regulation (EU) 2021/1119</w:t>
            </w:r>
            <w:r w:rsidRPr="00FC4A49">
              <w:rPr>
                <w:b/>
                <w:i/>
                <w:lang w:val="en-GB"/>
              </w:rPr>
              <w:t>, where technically and economically feasible</w:t>
            </w:r>
            <w:r w:rsidRPr="00FC4A49">
              <w:rPr>
                <w:lang w:val="en-GB"/>
              </w:rPr>
              <w:t>. Therefore, the ambition of the EU ETS should be adjusted to be in line with the objective of achieving climate neutrality by 2050 at the latest and the aim of achieving negative emissions</w:t>
            </w:r>
            <w:r w:rsidRPr="00FC4A49">
              <w:rPr>
                <w:b/>
                <w:i/>
                <w:lang w:val="en-GB"/>
              </w:rPr>
              <w:t>,</w:t>
            </w:r>
            <w:r w:rsidRPr="00FC4A49">
              <w:rPr>
                <w:lang w:val="en-GB"/>
              </w:rPr>
              <w:t xml:space="preserve"> </w:t>
            </w:r>
            <w:r w:rsidRPr="00FC4A49">
              <w:rPr>
                <w:b/>
                <w:i/>
                <w:lang w:val="en-GB"/>
              </w:rPr>
              <w:t>based on the principle of technology neutrality</w:t>
            </w:r>
            <w:r w:rsidRPr="00FC4A49">
              <w:rPr>
                <w:lang w:val="en-GB"/>
              </w:rPr>
              <w:t>.</w:t>
            </w:r>
          </w:p>
        </w:tc>
      </w:tr>
    </w:tbl>
    <w:p w:rsidR="00343C6C" w:rsidRPr="00804E2D" w:rsidP="00343C6C" w14:paraId="611BDE27" w14:textId="77777777">
      <w:pPr>
        <w:pStyle w:val="Olang"/>
        <w:rPr>
          <w:lang w:val="sv-SE"/>
        </w:rPr>
      </w:pPr>
      <w:r w:rsidRPr="00804E2D">
        <w:rPr>
          <w:lang w:val="sv-SE"/>
        </w:rPr>
        <w:t xml:space="preserve">Or. </w:t>
      </w:r>
      <w:r w:rsidRPr="00804E2D">
        <w:rPr>
          <w:rStyle w:val="HideTWBExt"/>
          <w:lang w:val="sv-SE"/>
        </w:rPr>
        <w:t>&lt;Original&gt;</w:t>
      </w:r>
      <w:r w:rsidRPr="00804E2D">
        <w:rPr>
          <w:rStyle w:val="HideTWBInt"/>
          <w:lang w:val="sv-SE"/>
        </w:rPr>
        <w:t>{EN}</w:t>
      </w:r>
      <w:r w:rsidRPr="00804E2D">
        <w:rPr>
          <w:lang w:val="sv-SE"/>
        </w:rPr>
        <w:t>en</w:t>
      </w:r>
      <w:r w:rsidRPr="00804E2D">
        <w:rPr>
          <w:rStyle w:val="HideTWBExt"/>
          <w:lang w:val="sv-SE"/>
        </w:rPr>
        <w:t>&lt;/Original&gt;</w:t>
      </w:r>
    </w:p>
    <w:p w:rsidR="00343C6C" w:rsidRPr="00804E2D" w:rsidP="00343C6C" w14:paraId="05267ADA" w14:textId="77777777">
      <w:pPr>
        <w:rPr>
          <w:lang w:val="sv-SE"/>
        </w:rPr>
      </w:pPr>
      <w:r w:rsidRPr="00804E2D">
        <w:rPr>
          <w:rStyle w:val="HideTWBExt"/>
          <w:lang w:val="sv-SE"/>
        </w:rPr>
        <w:t>&lt;/Amend&gt;</w:t>
      </w:r>
    </w:p>
    <w:p w:rsidR="00343C6C" w:rsidRPr="00804E2D" w:rsidP="00343C6C" w14:paraId="47C159C5" w14:textId="77777777">
      <w:pPr>
        <w:pStyle w:val="AMNumberTabs0"/>
        <w:keepNext/>
        <w:rPr>
          <w:lang w:val="sv-SE"/>
        </w:rPr>
      </w:pPr>
      <w:r w:rsidRPr="00804E2D">
        <w:rPr>
          <w:rStyle w:val="HideTWBExt"/>
          <w:b w:val="0"/>
          <w:lang w:val="sv-SE"/>
        </w:rPr>
        <w:t>&lt;Amend&gt;</w:t>
      </w:r>
      <w:r w:rsidRPr="00804E2D">
        <w:rPr>
          <w:lang w:val="sv-SE"/>
        </w:rPr>
        <w:t>Amendment</w:t>
      </w:r>
      <w:r w:rsidRPr="00804E2D">
        <w:rPr>
          <w:lang w:val="sv-SE"/>
        </w:rPr>
        <w:tab/>
      </w:r>
      <w:r w:rsidRPr="00804E2D">
        <w:rPr>
          <w:lang w:val="sv-SE"/>
        </w:rPr>
        <w:tab/>
      </w:r>
      <w:r w:rsidRPr="00804E2D">
        <w:rPr>
          <w:rStyle w:val="HideTWBExt"/>
          <w:b w:val="0"/>
          <w:lang w:val="sv-SE"/>
        </w:rPr>
        <w:t>&lt;NumAm&gt;</w:t>
      </w:r>
      <w:r w:rsidRPr="00804E2D">
        <w:rPr>
          <w:lang w:val="sv-SE"/>
        </w:rPr>
        <w:t>124</w:t>
      </w:r>
      <w:r w:rsidRPr="00804E2D">
        <w:rPr>
          <w:rStyle w:val="HideTWBExt"/>
          <w:b w:val="0"/>
          <w:lang w:val="sv-SE"/>
        </w:rPr>
        <w:t>&lt;/NumAm&gt;</w:t>
      </w:r>
    </w:p>
    <w:p w:rsidR="00343C6C" w:rsidRPr="00804E2D" w:rsidP="00343C6C" w14:paraId="5F9DC616" w14:textId="77777777">
      <w:pPr>
        <w:pStyle w:val="NormalBold"/>
        <w:rPr>
          <w:lang w:val="sv-SE"/>
        </w:rPr>
      </w:pPr>
      <w:r w:rsidRPr="00804E2D">
        <w:rPr>
          <w:rStyle w:val="HideTWBExt"/>
          <w:b w:val="0"/>
          <w:lang w:val="sv-SE"/>
        </w:rPr>
        <w:t>&lt;RepeatBlock-By&gt;&lt;Members&gt;</w:t>
      </w:r>
      <w:r w:rsidRPr="00804E2D">
        <w:rPr>
          <w:lang w:val="sv-SE"/>
        </w:rPr>
        <w:t>Li Andersson, Jonas Sjöstedt, Per Clausen</w:t>
      </w:r>
      <w:r w:rsidRPr="00804E2D">
        <w:rPr>
          <w:rStyle w:val="HideTWBExt"/>
          <w:b w:val="0"/>
          <w:lang w:val="sv-SE"/>
        </w:rPr>
        <w:t>&lt;/Members&gt;</w:t>
      </w:r>
    </w:p>
    <w:p w:rsidR="00343C6C" w:rsidRPr="00804E2D" w:rsidP="00343C6C" w14:paraId="42C52CEF" w14:textId="77777777">
      <w:pPr>
        <w:rPr>
          <w:lang w:val="sv-SE"/>
        </w:rPr>
      </w:pPr>
      <w:r w:rsidRPr="00804E2D">
        <w:rPr>
          <w:rStyle w:val="HideTWBExt"/>
          <w:lang w:val="sv-SE"/>
        </w:rPr>
        <w:t>&lt;/RepeatBlock-By&gt;</w:t>
      </w:r>
    </w:p>
    <w:p w:rsidR="00343C6C" w:rsidRPr="00FC4A49" w:rsidP="00343C6C" w14:paraId="215998BB"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544F17D" w14:textId="77777777">
      <w:pPr>
        <w:pStyle w:val="NormalBold"/>
      </w:pPr>
      <w:r w:rsidRPr="00FC4A49">
        <w:rPr>
          <w:rStyle w:val="HideTWBExt"/>
          <w:b w:val="0"/>
        </w:rPr>
        <w:t>&lt;Article&gt;</w:t>
      </w:r>
      <w:r w:rsidRPr="00FC4A49">
        <w:t>Recital 10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CE0734"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0F0FAB0" w14:textId="77777777">
            <w:pPr>
              <w:keepNext/>
            </w:pPr>
          </w:p>
        </w:tc>
      </w:tr>
      <w:tr w14:paraId="663FB1F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5F74ADB" w14:textId="77777777">
            <w:pPr>
              <w:pStyle w:val="ColumnHeading"/>
              <w:keepNext/>
              <w:rPr>
                <w:lang w:val="en-GB"/>
              </w:rPr>
            </w:pPr>
            <w:r w:rsidRPr="00FC4A49">
              <w:rPr>
                <w:lang w:val="en-GB"/>
              </w:rPr>
              <w:t>Text proposed by the Commission</w:t>
            </w:r>
          </w:p>
        </w:tc>
        <w:tc>
          <w:tcPr>
            <w:tcW w:w="4876" w:type="dxa"/>
          </w:tcPr>
          <w:p w:rsidR="00343C6C" w:rsidRPr="00FC4A49" w:rsidP="005D58F9" w14:paraId="6AFF7BDD" w14:textId="77777777">
            <w:pPr>
              <w:pStyle w:val="ColumnHeading"/>
              <w:keepNext/>
              <w:rPr>
                <w:lang w:val="en-GB"/>
              </w:rPr>
            </w:pPr>
            <w:r w:rsidRPr="00FC4A49">
              <w:rPr>
                <w:lang w:val="en-GB"/>
              </w:rPr>
              <w:t>Amendment</w:t>
            </w:r>
          </w:p>
        </w:tc>
      </w:tr>
      <w:tr w14:paraId="2D95ECA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49C158C" w14:textId="77777777">
            <w:pPr>
              <w:pStyle w:val="Normal6"/>
              <w:rPr>
                <w:lang w:val="en-GB"/>
              </w:rPr>
            </w:pPr>
            <w:r w:rsidRPr="00FC4A49">
              <w:rPr>
                <w:lang w:val="en-GB"/>
              </w:rPr>
              <w:t>(10)</w:t>
            </w:r>
            <w:r w:rsidRPr="00FC4A49">
              <w:rPr>
                <w:lang w:val="en-GB"/>
              </w:rPr>
              <w:tab/>
              <w:t xml:space="preserve">All sectors of the economy need to contribute to achieving the emission reductions established by Regulation (EU) 2021/1119. Therefore, the ambition of the EU ETS should be adjusted to be in line with the economy-wide net greenhouse gas emission reduction target for 2040, the objective of achieving climate neutrality by 2050 at the latest and the aim of achieving negative </w:t>
            </w:r>
            <w:r w:rsidRPr="00FC4A49">
              <w:rPr>
                <w:lang w:val="en-GB"/>
              </w:rPr>
              <w:t>emissions</w:t>
            </w:r>
            <w:r w:rsidRPr="00FC4A49">
              <w:rPr>
                <w:lang w:val="en-GB"/>
              </w:rPr>
              <w:t xml:space="preserve"> thereafter, as laid down in Regulation (EU) 2021/1119.</w:t>
            </w:r>
          </w:p>
        </w:tc>
        <w:tc>
          <w:tcPr>
            <w:tcW w:w="4876" w:type="dxa"/>
          </w:tcPr>
          <w:p w:rsidR="00343C6C" w:rsidRPr="00FC4A49" w:rsidP="005D58F9" w14:paraId="62F35F25" w14:textId="77777777">
            <w:pPr>
              <w:pStyle w:val="Normal6"/>
              <w:rPr>
                <w:szCs w:val="24"/>
                <w:lang w:val="en-GB"/>
              </w:rPr>
            </w:pPr>
            <w:r w:rsidRPr="00FC4A49">
              <w:rPr>
                <w:lang w:val="en-GB"/>
              </w:rPr>
              <w:t>(10)</w:t>
            </w:r>
            <w:r w:rsidRPr="00FC4A49">
              <w:rPr>
                <w:lang w:val="en-GB"/>
              </w:rPr>
              <w:tab/>
              <w:t xml:space="preserve">All sectors of the economy need to </w:t>
            </w:r>
            <w:r w:rsidRPr="00FC4A49">
              <w:rPr>
                <w:b/>
                <w:i/>
                <w:lang w:val="en-GB"/>
              </w:rPr>
              <w:t>adequately</w:t>
            </w:r>
            <w:r w:rsidRPr="00FC4A49">
              <w:rPr>
                <w:lang w:val="en-GB"/>
              </w:rPr>
              <w:t xml:space="preserve"> contribute to achieving the emission reductions established by Regulation (EU) 2021/1119. Therefore, the ambition of the EU ETS should be adjusted to be in line with the economy-wide net greenhouse gas emission reduction </w:t>
            </w:r>
            <w:r w:rsidRPr="00FC4A49">
              <w:rPr>
                <w:b/>
                <w:i/>
                <w:lang w:val="en-GB"/>
              </w:rPr>
              <w:t>legal</w:t>
            </w:r>
            <w:r w:rsidRPr="00FC4A49">
              <w:rPr>
                <w:lang w:val="en-GB"/>
              </w:rPr>
              <w:t xml:space="preserve"> target for 2040, the objective of achieving climate neutrality by 2050 at the latest and the aim of achieving negative </w:t>
            </w:r>
            <w:r w:rsidRPr="00FC4A49">
              <w:rPr>
                <w:lang w:val="en-GB"/>
              </w:rPr>
              <w:t>emissions</w:t>
            </w:r>
            <w:r w:rsidRPr="00FC4A49">
              <w:rPr>
                <w:lang w:val="en-GB"/>
              </w:rPr>
              <w:t xml:space="preserve"> thereafter, as laid down in Regulation (EU) 2021/1119.</w:t>
            </w:r>
          </w:p>
        </w:tc>
      </w:tr>
    </w:tbl>
    <w:p w:rsidR="00343C6C" w:rsidRPr="00FC4A49" w:rsidP="00343C6C" w14:paraId="6BA39C53"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EB1130F" w14:textId="77777777">
      <w:r w:rsidRPr="00FC4A49">
        <w:rPr>
          <w:rStyle w:val="HideTWBExt"/>
        </w:rPr>
        <w:t>&lt;/Amend&gt;</w:t>
      </w:r>
    </w:p>
    <w:p w:rsidR="00343C6C" w:rsidRPr="00FC4A49" w:rsidP="00343C6C" w14:paraId="6DF5F89E"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125</w:t>
      </w:r>
      <w:r w:rsidRPr="00FC4A49">
        <w:rPr>
          <w:rStyle w:val="HideTWBExt"/>
          <w:b w:val="0"/>
          <w:lang w:val="en-GB"/>
        </w:rPr>
        <w:t>&lt;/NumAm&gt;</w:t>
      </w:r>
    </w:p>
    <w:p w:rsidR="00343C6C" w:rsidRPr="00FC4A49" w:rsidP="00343C6C" w14:paraId="104FA47C" w14:textId="77777777">
      <w:pPr>
        <w:pStyle w:val="NormalBold"/>
      </w:pPr>
      <w:r w:rsidRPr="00FC4A49">
        <w:rPr>
          <w:rStyle w:val="HideTWBExt"/>
          <w:b w:val="0"/>
        </w:rPr>
        <w:t>&lt;RepeatBlock-By&gt;&lt;Members&gt;</w:t>
      </w:r>
      <w:r w:rsidRPr="00FC4A49">
        <w:t xml:space="preserve">Alexandr Vondra, Ondřej Krutílek, Anna Zalewska, Aurelijus </w:t>
      </w:r>
      <w:r w:rsidRPr="00FC4A49">
        <w:t>Veryga</w:t>
      </w:r>
      <w:r w:rsidRPr="00FC4A49">
        <w:t xml:space="preserve">, Laurence Trochu, Adrian-George </w:t>
      </w:r>
      <w:r w:rsidRPr="00FC4A49">
        <w:t>Axinia</w:t>
      </w:r>
      <w:r w:rsidRPr="00FC4A49">
        <w:rPr>
          <w:rStyle w:val="HideTWBExt"/>
          <w:b w:val="0"/>
        </w:rPr>
        <w:t>&lt;/Members&gt;</w:t>
      </w:r>
    </w:p>
    <w:p w:rsidR="00343C6C" w:rsidRPr="00FC4A49" w:rsidP="00343C6C" w14:paraId="5A65EFDA" w14:textId="77777777">
      <w:r w:rsidRPr="00FC4A49">
        <w:rPr>
          <w:rStyle w:val="HideTWBExt"/>
        </w:rPr>
        <w:t>&lt;/RepeatBlock-By&gt;</w:t>
      </w:r>
    </w:p>
    <w:p w:rsidR="00343C6C" w:rsidRPr="00FC4A49" w:rsidP="00343C6C" w14:paraId="13AF70FD"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C8E57E0" w14:textId="77777777">
      <w:pPr>
        <w:pStyle w:val="NormalBold"/>
      </w:pPr>
      <w:r w:rsidRPr="00FC4A49">
        <w:rPr>
          <w:rStyle w:val="HideTWBExt"/>
          <w:b w:val="0"/>
        </w:rPr>
        <w:t>&lt;Article&gt;</w:t>
      </w:r>
      <w:r w:rsidRPr="00FC4A49">
        <w:t>Recital 11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104F4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BCE0E89" w14:textId="77777777">
            <w:pPr>
              <w:keepNext/>
            </w:pPr>
          </w:p>
        </w:tc>
      </w:tr>
      <w:tr w14:paraId="1224E49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BBEF2EC" w14:textId="77777777">
            <w:pPr>
              <w:pStyle w:val="ColumnHeading"/>
              <w:keepNext/>
              <w:rPr>
                <w:lang w:val="en-GB"/>
              </w:rPr>
            </w:pPr>
            <w:r w:rsidRPr="00FC4A49">
              <w:rPr>
                <w:lang w:val="en-GB"/>
              </w:rPr>
              <w:t>Text proposed by the Commission</w:t>
            </w:r>
          </w:p>
        </w:tc>
        <w:tc>
          <w:tcPr>
            <w:tcW w:w="4876" w:type="dxa"/>
          </w:tcPr>
          <w:p w:rsidR="00343C6C" w:rsidRPr="00FC4A49" w:rsidP="005D58F9" w14:paraId="277A192F" w14:textId="77777777">
            <w:pPr>
              <w:pStyle w:val="ColumnHeading"/>
              <w:keepNext/>
              <w:rPr>
                <w:lang w:val="en-GB"/>
              </w:rPr>
            </w:pPr>
            <w:r w:rsidRPr="00FC4A49">
              <w:rPr>
                <w:lang w:val="en-GB"/>
              </w:rPr>
              <w:t>Amendment</w:t>
            </w:r>
          </w:p>
        </w:tc>
      </w:tr>
      <w:tr w14:paraId="5C0DA36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C611C8A" w14:textId="77777777">
            <w:pPr>
              <w:pStyle w:val="Normal6"/>
              <w:rPr>
                <w:lang w:val="en-GB"/>
              </w:rPr>
            </w:pPr>
          </w:p>
        </w:tc>
        <w:tc>
          <w:tcPr>
            <w:tcW w:w="4876" w:type="dxa"/>
          </w:tcPr>
          <w:p w:rsidR="00343C6C" w:rsidRPr="00FC4A49" w:rsidP="005D58F9" w14:paraId="2490A4C3" w14:textId="77777777">
            <w:pPr>
              <w:pStyle w:val="Normal6"/>
              <w:rPr>
                <w:szCs w:val="24"/>
                <w:lang w:val="en-GB"/>
              </w:rPr>
            </w:pPr>
            <w:r w:rsidRPr="00FC4A49">
              <w:rPr>
                <w:b/>
                <w:i/>
                <w:lang w:val="en-GB"/>
              </w:rPr>
              <w:t>(11a)</w:t>
            </w:r>
            <w:r w:rsidRPr="00FC4A49">
              <w:rPr>
                <w:b/>
                <w:i/>
                <w:lang w:val="en-GB"/>
              </w:rPr>
              <w:tab/>
              <w:t>Through the European Energy Exchange (EEX) around 80% of EUAs were purchased by entities without direct compliance obligations under the EU ETS, with financial sector firms accounting for a growing share (49%) in the primary market. Moreover, secondary markets trading activities in EUAs increased by 35% in 2024.</w:t>
            </w:r>
            <w:r w:rsidRPr="00FC4A49">
              <w:rPr>
                <w:b/>
                <w:i/>
                <w:vertAlign w:val="superscript"/>
                <w:lang w:val="en-GB"/>
              </w:rPr>
              <w:t>11a</w:t>
            </w:r>
            <w:r w:rsidRPr="00FC4A49">
              <w:rPr>
                <w:vertAlign w:val="superscript"/>
                <w:lang w:val="en-GB"/>
              </w:rPr>
              <w:t xml:space="preserve"> </w:t>
            </w:r>
            <w:r w:rsidRPr="00FC4A49">
              <w:rPr>
                <w:b/>
                <w:i/>
                <w:lang w:val="en-GB"/>
              </w:rPr>
              <w:t xml:space="preserve">It is evident that the absence of standardised identifiers for ETS account holders exists, and that it is important to improve transparency and monitoring of the EU </w:t>
            </w:r>
            <w:r w:rsidRPr="00FC4A49">
              <w:rPr>
                <w:b/>
                <w:i/>
                <w:lang w:val="en-GB"/>
              </w:rPr>
              <w:t>carbon market.</w:t>
            </w:r>
          </w:p>
        </w:tc>
      </w:tr>
      <w:tr w14:paraId="44F5A41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241B894" w14:textId="77777777">
            <w:pPr>
              <w:pStyle w:val="Normal6"/>
              <w:rPr>
                <w:lang w:val="en-GB"/>
              </w:rPr>
            </w:pPr>
          </w:p>
        </w:tc>
        <w:tc>
          <w:tcPr>
            <w:tcW w:w="4876" w:type="dxa"/>
          </w:tcPr>
          <w:p w:rsidR="00343C6C" w:rsidRPr="00FC4A49" w:rsidP="005D58F9" w14:paraId="7E52AE4C" w14:textId="77777777">
            <w:pPr>
              <w:pStyle w:val="Normal6"/>
              <w:rPr>
                <w:szCs w:val="24"/>
                <w:lang w:val="en-GB"/>
              </w:rPr>
            </w:pPr>
            <w:r w:rsidRPr="00FC4A49">
              <w:rPr>
                <w:b/>
                <w:i/>
                <w:lang w:val="en-GB"/>
              </w:rPr>
              <w:t>__________________</w:t>
            </w:r>
          </w:p>
        </w:tc>
      </w:tr>
      <w:tr w14:paraId="596AA87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EA46085" w14:textId="77777777">
            <w:pPr>
              <w:pStyle w:val="Normal6"/>
              <w:rPr>
                <w:lang w:val="en-GB"/>
              </w:rPr>
            </w:pPr>
          </w:p>
        </w:tc>
        <w:tc>
          <w:tcPr>
            <w:tcW w:w="4876" w:type="dxa"/>
          </w:tcPr>
          <w:p w:rsidR="00343C6C" w:rsidRPr="00FC4A49" w:rsidP="005D58F9" w14:paraId="23178C36" w14:textId="77777777">
            <w:pPr>
              <w:pStyle w:val="Normal6"/>
              <w:rPr>
                <w:szCs w:val="24"/>
                <w:lang w:val="en-GB"/>
              </w:rPr>
            </w:pPr>
            <w:r w:rsidRPr="00FC4A49">
              <w:rPr>
                <w:b/>
                <w:i/>
                <w:vertAlign w:val="superscript"/>
                <w:lang w:val="en-GB"/>
              </w:rPr>
              <w:t>11a</w:t>
            </w:r>
            <w:r w:rsidRPr="00FC4A49">
              <w:rPr>
                <w:lang w:val="en-GB"/>
              </w:rPr>
              <w:t xml:space="preserve"> </w:t>
            </w:r>
            <w:r w:rsidRPr="00FC4A49">
              <w:rPr>
                <w:b/>
                <w:i/>
                <w:lang w:val="en-GB"/>
              </w:rPr>
              <w:t xml:space="preserve">ESMA Market Report, EU carbon markets 2025, 22 October 2025 ESMA50-481369926-30552 </w:t>
            </w:r>
          </w:p>
        </w:tc>
      </w:tr>
    </w:tbl>
    <w:p w:rsidR="00343C6C" w:rsidRPr="00FC4A49" w:rsidP="00343C6C" w14:paraId="6BCCD30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BC9E8C0" w14:textId="77777777">
      <w:r w:rsidRPr="00FC4A49">
        <w:rPr>
          <w:rStyle w:val="HideTWBExt"/>
        </w:rPr>
        <w:t>&lt;/Amend&gt;</w:t>
      </w:r>
    </w:p>
    <w:p w:rsidR="00343C6C" w:rsidRPr="00FC4A49" w:rsidP="00343C6C" w14:paraId="231C43A8"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126</w:t>
      </w:r>
      <w:r w:rsidRPr="00FC4A49">
        <w:rPr>
          <w:rStyle w:val="HideTWBExt"/>
          <w:b w:val="0"/>
          <w:lang w:val="en-GB"/>
        </w:rPr>
        <w:t>&lt;/NumAm&gt;</w:t>
      </w:r>
    </w:p>
    <w:p w:rsidR="00343C6C" w:rsidRPr="00FC4A49" w:rsidP="00343C6C" w14:paraId="0E5C59AD" w14:textId="77777777">
      <w:pPr>
        <w:pStyle w:val="NormalBold"/>
      </w:pPr>
      <w:r w:rsidRPr="00FC4A49">
        <w:rPr>
          <w:rStyle w:val="HideTWBExt"/>
          <w:b w:val="0"/>
        </w:rPr>
        <w:t>&lt;RepeatBlock-By&gt;&lt;Members&gt;</w:t>
      </w:r>
      <w:r w:rsidRPr="00FC4A49">
        <w:t>Matteo Ricci</w:t>
      </w:r>
      <w:r w:rsidRPr="00FC4A49">
        <w:rPr>
          <w:rStyle w:val="HideTWBExt"/>
          <w:b w:val="0"/>
        </w:rPr>
        <w:t>&lt;/Members&gt;</w:t>
      </w:r>
    </w:p>
    <w:p w:rsidR="00343C6C" w:rsidRPr="00FC4A49" w:rsidP="00343C6C" w14:paraId="07E90CEE" w14:textId="77777777">
      <w:r w:rsidRPr="00FC4A49">
        <w:rPr>
          <w:rStyle w:val="HideTWBExt"/>
        </w:rPr>
        <w:t>&lt;/RepeatBlock-By&gt;</w:t>
      </w:r>
    </w:p>
    <w:p w:rsidR="00343C6C" w:rsidRPr="00FC4A49" w:rsidP="00343C6C" w14:paraId="12A1BA17"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16CBD99" w14:textId="77777777">
      <w:pPr>
        <w:pStyle w:val="NormalBold"/>
      </w:pPr>
      <w:r w:rsidRPr="00FC4A49">
        <w:rPr>
          <w:rStyle w:val="HideTWBExt"/>
          <w:b w:val="0"/>
        </w:rPr>
        <w:t>&lt;Article&gt;</w:t>
      </w:r>
      <w:r w:rsidRPr="00FC4A49">
        <w:t>Recital 11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01FDB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3B28E18" w14:textId="77777777">
            <w:pPr>
              <w:keepNext/>
            </w:pPr>
          </w:p>
        </w:tc>
      </w:tr>
      <w:tr w14:paraId="348AB0F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B6E5A60" w14:textId="77777777">
            <w:pPr>
              <w:pStyle w:val="ColumnHeading"/>
              <w:keepNext/>
              <w:rPr>
                <w:lang w:val="en-GB"/>
              </w:rPr>
            </w:pPr>
            <w:r w:rsidRPr="00FC4A49">
              <w:rPr>
                <w:lang w:val="en-GB"/>
              </w:rPr>
              <w:t>Text proposed by the Commission</w:t>
            </w:r>
          </w:p>
        </w:tc>
        <w:tc>
          <w:tcPr>
            <w:tcW w:w="4876" w:type="dxa"/>
          </w:tcPr>
          <w:p w:rsidR="00343C6C" w:rsidRPr="00FC4A49" w:rsidP="005D58F9" w14:paraId="438DDE01" w14:textId="77777777">
            <w:pPr>
              <w:pStyle w:val="ColumnHeading"/>
              <w:keepNext/>
              <w:rPr>
                <w:lang w:val="en-GB"/>
              </w:rPr>
            </w:pPr>
            <w:r w:rsidRPr="00FC4A49">
              <w:rPr>
                <w:lang w:val="en-GB"/>
              </w:rPr>
              <w:t>Amendment</w:t>
            </w:r>
          </w:p>
        </w:tc>
      </w:tr>
      <w:tr w14:paraId="768437D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7B4D7F0" w14:textId="77777777">
            <w:pPr>
              <w:pStyle w:val="Normal6"/>
              <w:rPr>
                <w:lang w:val="en-GB"/>
              </w:rPr>
            </w:pPr>
          </w:p>
        </w:tc>
        <w:tc>
          <w:tcPr>
            <w:tcW w:w="4876" w:type="dxa"/>
          </w:tcPr>
          <w:p w:rsidR="00343C6C" w:rsidRPr="00FC4A49" w:rsidP="005D58F9" w14:paraId="7FCCFFF4" w14:textId="77777777">
            <w:pPr>
              <w:pStyle w:val="Normal6"/>
              <w:rPr>
                <w:szCs w:val="24"/>
                <w:lang w:val="en-GB"/>
              </w:rPr>
            </w:pPr>
            <w:r w:rsidRPr="00FC4A49">
              <w:rPr>
                <w:b/>
                <w:i/>
                <w:lang w:val="en-GB"/>
              </w:rPr>
              <w:t>(11a)</w:t>
            </w:r>
            <w:r w:rsidRPr="00FC4A49">
              <w:rPr>
                <w:b/>
                <w:i/>
                <w:lang w:val="en-GB"/>
              </w:rPr>
              <w:tab/>
              <w:t>The limited geographical extension provided for in this Directive leaves a substantial share of emissions from flights departing from the EEA without an effective carbon price. Such a limitation is justifiable only on a transitional basis and only where CORSIA delivers verifiable and equivalent results. In the absence of such results, the application of the system to all departing flights should constitute the default outcome.</w:t>
            </w:r>
          </w:p>
        </w:tc>
      </w:tr>
    </w:tbl>
    <w:p w:rsidR="00343C6C" w:rsidRPr="00FC4A49" w:rsidP="00343C6C" w14:paraId="495E1049"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8A3A5C0" w14:textId="77777777">
      <w:r w:rsidRPr="00FC4A49">
        <w:rPr>
          <w:rStyle w:val="HideTWBExt"/>
        </w:rPr>
        <w:t>&lt;/Amend&gt;</w:t>
      </w:r>
    </w:p>
    <w:p w:rsidR="00343C6C" w:rsidRPr="00FC4A49" w:rsidP="00343C6C" w14:paraId="03D66C91"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127</w:t>
      </w:r>
      <w:r w:rsidRPr="00FC4A49">
        <w:rPr>
          <w:rStyle w:val="HideTWBExt"/>
          <w:b w:val="0"/>
          <w:lang w:val="en-GB"/>
        </w:rPr>
        <w:t>&lt;/NumAm&gt;</w:t>
      </w:r>
    </w:p>
    <w:p w:rsidR="00343C6C" w:rsidRPr="00FC4A49" w:rsidP="00343C6C" w14:paraId="540F98EB" w14:textId="77777777">
      <w:pPr>
        <w:pStyle w:val="NormalBold"/>
      </w:pPr>
      <w:r w:rsidRPr="00FC4A49">
        <w:rPr>
          <w:rStyle w:val="HideTWBExt"/>
          <w:b w:val="0"/>
        </w:rPr>
        <w:t>&lt;RepeatBlock-By&gt;&lt;Members&gt;</w:t>
      </w:r>
      <w:r w:rsidRPr="00FC4A49">
        <w:t>Alexandr Vondra</w:t>
      </w:r>
      <w:r w:rsidRPr="00FC4A49">
        <w:rPr>
          <w:rStyle w:val="HideTWBExt"/>
          <w:b w:val="0"/>
        </w:rPr>
        <w:t>&lt;/Members&gt;</w:t>
      </w:r>
    </w:p>
    <w:p w:rsidR="00343C6C" w:rsidRPr="00FC4A49" w:rsidP="00343C6C" w14:paraId="756A4995" w14:textId="77777777">
      <w:r w:rsidRPr="00FC4A49">
        <w:rPr>
          <w:rStyle w:val="HideTWBExt"/>
        </w:rPr>
        <w:t>&lt;AuNomDe&gt;</w:t>
      </w:r>
      <w:r w:rsidRPr="00FC4A49">
        <w:rPr>
          <w:rStyle w:val="HideTWBInt"/>
        </w:rPr>
        <w:t>{ECR}</w:t>
      </w:r>
      <w:r w:rsidRPr="00FC4A49">
        <w:t>on behalf of the ECR Group</w:t>
      </w:r>
      <w:r w:rsidRPr="00FC4A49">
        <w:rPr>
          <w:rStyle w:val="HideTWBExt"/>
        </w:rPr>
        <w:t>&lt;/AuNomDe&gt;</w:t>
      </w:r>
    </w:p>
    <w:p w:rsidR="00343C6C" w:rsidRPr="00FC4A49" w:rsidP="00343C6C" w14:paraId="0995CDA5" w14:textId="77777777">
      <w:pPr>
        <w:pStyle w:val="NormalBold"/>
      </w:pPr>
      <w:r w:rsidRPr="00FC4A49">
        <w:rPr>
          <w:rStyle w:val="HideTWBExt"/>
          <w:b w:val="0"/>
        </w:rPr>
        <w:t>&lt;Members&gt;</w:t>
      </w:r>
      <w:r w:rsidRPr="00FC4A49">
        <w:t xml:space="preserve">Ondřej Krutílek, Anna Zalewska, Aurelijus </w:t>
      </w:r>
      <w:r w:rsidRPr="00FC4A49">
        <w:t>Veryga</w:t>
      </w:r>
      <w:r w:rsidRPr="00FC4A49">
        <w:t xml:space="preserve">, Laurence Trochu, Adrian-George </w:t>
      </w:r>
      <w:r w:rsidRPr="00FC4A49">
        <w:t>Axinia</w:t>
      </w:r>
      <w:r w:rsidRPr="00FC4A49">
        <w:rPr>
          <w:rStyle w:val="HideTWBExt"/>
          <w:b w:val="0"/>
        </w:rPr>
        <w:t>&lt;/Members&gt;</w:t>
      </w:r>
    </w:p>
    <w:p w:rsidR="00343C6C" w:rsidRPr="00FC4A49" w:rsidP="00343C6C" w14:paraId="52FEF7CD" w14:textId="77777777">
      <w:r w:rsidRPr="00FC4A49">
        <w:rPr>
          <w:rStyle w:val="HideTWBExt"/>
        </w:rPr>
        <w:t>&lt;/RepeatBlock-By&gt;</w:t>
      </w:r>
    </w:p>
    <w:p w:rsidR="00343C6C" w:rsidRPr="00FC4A49" w:rsidP="00343C6C" w14:paraId="1A754A8B"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0B96C86" w14:textId="77777777">
      <w:pPr>
        <w:pStyle w:val="NormalBold"/>
      </w:pPr>
      <w:r w:rsidRPr="00FC4A49">
        <w:rPr>
          <w:rStyle w:val="HideTWBExt"/>
          <w:b w:val="0"/>
        </w:rPr>
        <w:t>&lt;Article&gt;</w:t>
      </w:r>
      <w:r w:rsidRPr="00FC4A49">
        <w:t>Recital 11 b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C6A6A8"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48502BC" w14:textId="77777777">
            <w:pPr>
              <w:keepNext/>
            </w:pPr>
          </w:p>
        </w:tc>
      </w:tr>
      <w:tr w14:paraId="30AE8F1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8F47C5B" w14:textId="77777777">
            <w:pPr>
              <w:pStyle w:val="ColumnHeading"/>
              <w:keepNext/>
              <w:rPr>
                <w:lang w:val="en-GB"/>
              </w:rPr>
            </w:pPr>
            <w:r w:rsidRPr="00FC4A49">
              <w:rPr>
                <w:lang w:val="en-GB"/>
              </w:rPr>
              <w:t>Text proposed by the Commission</w:t>
            </w:r>
          </w:p>
        </w:tc>
        <w:tc>
          <w:tcPr>
            <w:tcW w:w="4876" w:type="dxa"/>
          </w:tcPr>
          <w:p w:rsidR="00343C6C" w:rsidRPr="00FC4A49" w:rsidP="005D58F9" w14:paraId="66539CAD" w14:textId="77777777">
            <w:pPr>
              <w:pStyle w:val="ColumnHeading"/>
              <w:keepNext/>
              <w:rPr>
                <w:lang w:val="en-GB"/>
              </w:rPr>
            </w:pPr>
            <w:r w:rsidRPr="00FC4A49">
              <w:rPr>
                <w:lang w:val="en-GB"/>
              </w:rPr>
              <w:t>Amendment</w:t>
            </w:r>
          </w:p>
        </w:tc>
      </w:tr>
      <w:tr w14:paraId="3C39B5E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3B40A99" w14:textId="77777777">
            <w:pPr>
              <w:pStyle w:val="Normal6"/>
              <w:rPr>
                <w:lang w:val="en-GB"/>
              </w:rPr>
            </w:pPr>
          </w:p>
        </w:tc>
        <w:tc>
          <w:tcPr>
            <w:tcW w:w="4876" w:type="dxa"/>
          </w:tcPr>
          <w:p w:rsidR="00343C6C" w:rsidRPr="00FC4A49" w:rsidP="005D58F9" w14:paraId="1D074DA0" w14:textId="77777777">
            <w:pPr>
              <w:pStyle w:val="Normal6"/>
              <w:rPr>
                <w:szCs w:val="24"/>
                <w:lang w:val="en-GB"/>
              </w:rPr>
            </w:pPr>
            <w:r w:rsidRPr="00FC4A49">
              <w:rPr>
                <w:b/>
                <w:i/>
                <w:lang w:val="en-GB"/>
              </w:rPr>
              <w:t>(11b)</w:t>
            </w:r>
            <w:r w:rsidRPr="00FC4A49">
              <w:rPr>
                <w:b/>
                <w:i/>
                <w:lang w:val="en-GB"/>
              </w:rPr>
              <w:tab/>
              <w:t xml:space="preserve">In order to prevent market distortions and excessive price volatility, </w:t>
            </w:r>
            <w:r w:rsidRPr="00FC4A49">
              <w:rPr>
                <w:b/>
                <w:i/>
                <w:lang w:val="en-GB"/>
              </w:rPr>
              <w:t xml:space="preserve">and to ensure predictability and affordability for businesses, the EU ETS needs to include an effective price-stabilisation mechanism ensuring that the carbon price does not exceed EUR 45 per </w:t>
            </w:r>
            <w:r w:rsidRPr="00FC4A49">
              <w:rPr>
                <w:b/>
                <w:i/>
                <w:lang w:val="en-GB"/>
              </w:rPr>
              <w:t>tone</w:t>
            </w:r>
            <w:r w:rsidRPr="00FC4A49">
              <w:rPr>
                <w:b/>
                <w:i/>
                <w:lang w:val="en-GB"/>
              </w:rPr>
              <w:t xml:space="preserve"> of CO</w:t>
            </w:r>
            <w:r w:rsidRPr="00FC4A49">
              <w:rPr>
                <w:b/>
                <w:i/>
                <w:vertAlign w:val="subscript"/>
                <w:lang w:val="en-GB"/>
              </w:rPr>
              <w:t>2</w:t>
            </w:r>
            <w:r w:rsidRPr="00FC4A49">
              <w:rPr>
                <w:b/>
                <w:i/>
                <w:lang w:val="en-GB"/>
              </w:rPr>
              <w:t>. Such mechanism is to be complemented by an adequately strengthened market stability reserve (MSR) and country-specific benchmarks reflecting national economic conditions, purchasing power and energy market specificities.</w:t>
            </w:r>
          </w:p>
        </w:tc>
      </w:tr>
    </w:tbl>
    <w:p w:rsidR="00343C6C" w:rsidRPr="00FC4A49" w:rsidP="00343C6C" w14:paraId="0D03993D"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E1A6F7B" w14:textId="77777777">
      <w:r w:rsidRPr="00FC4A49">
        <w:rPr>
          <w:rStyle w:val="HideTWBExt"/>
        </w:rPr>
        <w:t>&lt;/Amend&gt;</w:t>
      </w:r>
    </w:p>
    <w:p w:rsidR="00343C6C" w:rsidRPr="00FC4A49" w:rsidP="00343C6C" w14:paraId="2F7FCE3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128</w:t>
      </w:r>
      <w:r w:rsidRPr="00FC4A49">
        <w:rPr>
          <w:rStyle w:val="HideTWBExt"/>
          <w:b w:val="0"/>
          <w:lang w:val="en-GB"/>
        </w:rPr>
        <w:t>&lt;/NumAm&gt;</w:t>
      </w:r>
    </w:p>
    <w:p w:rsidR="00343C6C" w:rsidRPr="00FC4A49" w:rsidP="00343C6C" w14:paraId="5517967B" w14:textId="77777777">
      <w:pPr>
        <w:pStyle w:val="NormalBold"/>
      </w:pPr>
      <w:r w:rsidRPr="00FC4A49">
        <w:rPr>
          <w:rStyle w:val="HideTWBExt"/>
          <w:b w:val="0"/>
        </w:rPr>
        <w:t>&lt;RepeatBlock-By&gt;&lt;Members&gt;</w:t>
      </w:r>
      <w:r w:rsidRPr="00FC4A49">
        <w:t xml:space="preserve">Emma Wiesner, Pascal Canfin, Yvan </w:t>
      </w:r>
      <w:r w:rsidRPr="00FC4A49">
        <w:t>Verougstraete</w:t>
      </w:r>
      <w:r w:rsidRPr="00FC4A49">
        <w:t xml:space="preserve">, Jan-Christoph Oetjen, Anna </w:t>
      </w:r>
      <w:r w:rsidRPr="00FC4A49">
        <w:t>Stürgkh</w:t>
      </w:r>
      <w:r w:rsidRPr="00FC4A49">
        <w:rPr>
          <w:rStyle w:val="HideTWBExt"/>
          <w:b w:val="0"/>
        </w:rPr>
        <w:t>&lt;/Members&gt;</w:t>
      </w:r>
    </w:p>
    <w:p w:rsidR="00343C6C" w:rsidRPr="00FC4A49" w:rsidP="00343C6C" w14:paraId="04F4DFDA" w14:textId="77777777">
      <w:r w:rsidRPr="00FC4A49">
        <w:rPr>
          <w:rStyle w:val="HideTWBExt"/>
        </w:rPr>
        <w:t>&lt;/RepeatBlock-By&gt;</w:t>
      </w:r>
    </w:p>
    <w:p w:rsidR="00343C6C" w:rsidRPr="00FC4A49" w:rsidP="00343C6C" w14:paraId="413C68A4"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5872921" w14:textId="77777777">
      <w:pPr>
        <w:pStyle w:val="NormalBold"/>
      </w:pPr>
      <w:r w:rsidRPr="00FC4A49">
        <w:rPr>
          <w:rStyle w:val="HideTWBExt"/>
          <w:b w:val="0"/>
        </w:rPr>
        <w:t>&lt;Article&gt;</w:t>
      </w:r>
      <w:r w:rsidRPr="00FC4A49">
        <w:t>Recital 12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26A6D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D41B0C0" w14:textId="77777777">
            <w:pPr>
              <w:keepNext/>
            </w:pPr>
          </w:p>
        </w:tc>
      </w:tr>
      <w:tr w14:paraId="0D408A4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1DA7D83" w14:textId="77777777">
            <w:pPr>
              <w:pStyle w:val="ColumnHeading"/>
              <w:keepNext/>
              <w:rPr>
                <w:lang w:val="en-GB"/>
              </w:rPr>
            </w:pPr>
            <w:r w:rsidRPr="00FC4A49">
              <w:rPr>
                <w:lang w:val="en-GB"/>
              </w:rPr>
              <w:t>Text proposed by the Commission</w:t>
            </w:r>
          </w:p>
        </w:tc>
        <w:tc>
          <w:tcPr>
            <w:tcW w:w="4876" w:type="dxa"/>
          </w:tcPr>
          <w:p w:rsidR="00343C6C" w:rsidRPr="00FC4A49" w:rsidP="005D58F9" w14:paraId="760DDF68" w14:textId="77777777">
            <w:pPr>
              <w:pStyle w:val="ColumnHeading"/>
              <w:keepNext/>
              <w:rPr>
                <w:lang w:val="en-GB"/>
              </w:rPr>
            </w:pPr>
            <w:r w:rsidRPr="00FC4A49">
              <w:rPr>
                <w:lang w:val="en-GB"/>
              </w:rPr>
              <w:t>Amendment</w:t>
            </w:r>
          </w:p>
        </w:tc>
      </w:tr>
      <w:tr w14:paraId="5F821AA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00666A5" w14:textId="77777777">
            <w:pPr>
              <w:pStyle w:val="Normal6"/>
              <w:rPr>
                <w:lang w:val="en-GB"/>
              </w:rPr>
            </w:pPr>
            <w:r w:rsidRPr="00FC4A49">
              <w:rPr>
                <w:lang w:val="en-GB"/>
              </w:rPr>
              <w:t>(12)</w:t>
            </w:r>
            <w:r w:rsidRPr="00FC4A49">
              <w:rPr>
                <w:lang w:val="en-GB"/>
              </w:rPr>
              <w:tab/>
              <w:t>There should be further support from the EU ETS for the use of sustainable aviation fuels alongside binding legislative mandates pursuant to Regulation (EU) 2023/2405 of the European Parliament and of the Council</w:t>
            </w:r>
            <w:r w:rsidRPr="00FC4A49">
              <w:rPr>
                <w:vertAlign w:val="superscript"/>
                <w:lang w:val="en-GB"/>
              </w:rPr>
              <w:t>12</w:t>
            </w:r>
            <w:r w:rsidRPr="00FC4A49">
              <w:rPr>
                <w:lang w:val="en-GB"/>
              </w:rPr>
              <w:t xml:space="preserve"> , notwithstanding that these mandates are in place even without support from the EU ETS. Therefore, the availability of reserved allowances for the use of sustainable aviation fuels and other aviation fuels that are not derived from fossil fuels under Article 3c(6) of Directive 2003/87/EC should be extended until 2040. A lower proportion of the price difference should be covered, in order to enable a longer period of time for the mechanism being in place. There should also be equal treatment of all forms of propulsion, including electrification. The extension of the geographic scope of the EU ETS for aviation, in combination with the corresponding increase of the total amount of allowances to be allocated in respect of </w:t>
            </w:r>
            <w:r w:rsidRPr="00FC4A49">
              <w:rPr>
                <w:lang w:val="en-GB"/>
              </w:rPr>
              <w:t>aircraft operators, enables an increased number of allowances for supporting alternative propulsion technologies and fuels.</w:t>
            </w:r>
          </w:p>
        </w:tc>
        <w:tc>
          <w:tcPr>
            <w:tcW w:w="4876" w:type="dxa"/>
          </w:tcPr>
          <w:p w:rsidR="00343C6C" w:rsidRPr="00FC4A49" w:rsidP="005D58F9" w14:paraId="109C840A" w14:textId="77777777">
            <w:pPr>
              <w:pStyle w:val="Normal6"/>
              <w:rPr>
                <w:szCs w:val="24"/>
                <w:lang w:val="en-GB"/>
              </w:rPr>
            </w:pPr>
            <w:r w:rsidRPr="00FC4A49">
              <w:rPr>
                <w:lang w:val="en-GB"/>
              </w:rPr>
              <w:t>(12)</w:t>
            </w:r>
            <w:r w:rsidRPr="00FC4A49">
              <w:rPr>
                <w:lang w:val="en-GB"/>
              </w:rPr>
              <w:tab/>
              <w:t>There should be further support from the EU ETS for the use of sustainable aviation fuels alongside binding legislative mandates pursuant to Regulation (EU) 2023/2405 of the European Parliament and of the Council</w:t>
            </w:r>
            <w:r w:rsidRPr="00FC4A49">
              <w:rPr>
                <w:vertAlign w:val="superscript"/>
                <w:lang w:val="en-GB"/>
              </w:rPr>
              <w:t>12</w:t>
            </w:r>
            <w:r w:rsidRPr="00FC4A49">
              <w:rPr>
                <w:lang w:val="en-GB"/>
              </w:rPr>
              <w:t xml:space="preserve"> , notwithstanding that these mandates are in place even without support from the EU ETS. Therefore, the availability of reserved allowances for the use of sustainable aviation fuels and other aviation fuels that are not derived from fossil fuels under Article 3c(6) of Directive 2003/87/EC should be extended until 2040. A lower proportion of the price difference should be covered, in order to enable a longer period of time for the mechanism being in place. There should also be equal treatment of all forms of propulsion, including electrification. The extension of the geographic scope of the EU ETS for aviation, in combination with the corresponding increase of the total amount of allowances to be allocated in respect of </w:t>
            </w:r>
            <w:r w:rsidRPr="00FC4A49">
              <w:rPr>
                <w:lang w:val="en-GB"/>
              </w:rPr>
              <w:t xml:space="preserve">aircraft operators, enables an increased number of allowances for supporting alternative propulsion technologies and fuels. </w:t>
            </w:r>
            <w:r w:rsidRPr="00FC4A49">
              <w:rPr>
                <w:b/>
                <w:i/>
                <w:lang w:val="en-GB"/>
              </w:rPr>
              <w:t>Following an evaluation of the functioning of the reserve of 110 million allowances, the Commission may decide to submit a legislative act to allocate an additional capped and time-limited amount of allowances. A potential increase of SAF allowances should not be conditioned by another extension of the ETS scope.</w:t>
            </w:r>
          </w:p>
        </w:tc>
      </w:tr>
      <w:tr w14:paraId="4C7E081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D4611F8" w14:textId="77777777">
            <w:pPr>
              <w:pStyle w:val="Normal6"/>
              <w:rPr>
                <w:lang w:val="en-GB"/>
              </w:rPr>
            </w:pPr>
            <w:r w:rsidRPr="00FC4A49">
              <w:rPr>
                <w:lang w:val="en-GB"/>
              </w:rPr>
              <w:t>__________________</w:t>
            </w:r>
          </w:p>
        </w:tc>
        <w:tc>
          <w:tcPr>
            <w:tcW w:w="4876" w:type="dxa"/>
          </w:tcPr>
          <w:p w:rsidR="00343C6C" w:rsidRPr="00FC4A49" w:rsidP="005D58F9" w14:paraId="242C246C" w14:textId="77777777">
            <w:pPr>
              <w:pStyle w:val="Normal6"/>
              <w:rPr>
                <w:szCs w:val="24"/>
                <w:lang w:val="en-GB"/>
              </w:rPr>
            </w:pPr>
            <w:r w:rsidRPr="00FC4A49">
              <w:rPr>
                <w:lang w:val="en-GB"/>
              </w:rPr>
              <w:t>__________________</w:t>
            </w:r>
          </w:p>
        </w:tc>
      </w:tr>
      <w:tr w14:paraId="1A8BEC3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A0957CA" w14:textId="77777777">
            <w:pPr>
              <w:pStyle w:val="Normal6"/>
              <w:rPr>
                <w:lang w:val="en-GB"/>
              </w:rPr>
            </w:pPr>
            <w:r w:rsidRPr="00FC4A49">
              <w:rPr>
                <w:vertAlign w:val="superscript"/>
                <w:lang w:val="en-GB"/>
              </w:rPr>
              <w:t>12</w:t>
            </w:r>
            <w:r w:rsidRPr="00FC4A49">
              <w:rPr>
                <w:lang w:val="en-GB"/>
              </w:rPr>
              <w:t xml:space="preserve"> Regulation (EU) 2023/2405 of the European Parliament and of the Council of 18 October 2023 on ensuring a level playing field for sustainable air transport (</w:t>
            </w:r>
            <w:r w:rsidRPr="00FC4A49">
              <w:rPr>
                <w:lang w:val="en-GB"/>
              </w:rPr>
              <w:t>ReFuelEU</w:t>
            </w:r>
            <w:r w:rsidRPr="00FC4A49">
              <w:rPr>
                <w:lang w:val="en-GB"/>
              </w:rPr>
              <w:t xml:space="preserve"> Aviation) (OJ L, 2023/2405, 31.10.2023, ELI: http://data.europa.eu/eli/reg/2023/2405/oj).</w:t>
            </w:r>
          </w:p>
        </w:tc>
        <w:tc>
          <w:tcPr>
            <w:tcW w:w="4876" w:type="dxa"/>
          </w:tcPr>
          <w:p w:rsidR="00343C6C" w:rsidRPr="00FC4A49" w:rsidP="005D58F9" w14:paraId="73799667" w14:textId="77777777">
            <w:pPr>
              <w:pStyle w:val="Normal6"/>
              <w:rPr>
                <w:szCs w:val="24"/>
                <w:lang w:val="en-GB"/>
              </w:rPr>
            </w:pPr>
            <w:r w:rsidRPr="00FC4A49">
              <w:rPr>
                <w:vertAlign w:val="superscript"/>
                <w:lang w:val="en-GB"/>
              </w:rPr>
              <w:t>12</w:t>
            </w:r>
            <w:r w:rsidRPr="00FC4A49">
              <w:rPr>
                <w:lang w:val="en-GB"/>
              </w:rPr>
              <w:t xml:space="preserve"> Regulation (EU) 2023/2405 of the European Parliament and of the Council of 18 October 2023 on ensuring a level playing field for sustainable air transport (</w:t>
            </w:r>
            <w:r w:rsidRPr="00FC4A49">
              <w:rPr>
                <w:lang w:val="en-GB"/>
              </w:rPr>
              <w:t>ReFuelEU</w:t>
            </w:r>
            <w:r w:rsidRPr="00FC4A49">
              <w:rPr>
                <w:lang w:val="en-GB"/>
              </w:rPr>
              <w:t xml:space="preserve"> Aviation) (OJ L, 2023/2405, 31.10.2023, ELI: http://data.europa.eu/eli/reg/2023/2405/oj).</w:t>
            </w:r>
          </w:p>
        </w:tc>
      </w:tr>
    </w:tbl>
    <w:p w:rsidR="00343C6C" w:rsidRPr="00FC4A49" w:rsidP="00343C6C" w14:paraId="04F120E5"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187A5CB" w14:textId="77777777">
      <w:r w:rsidRPr="00FC4A49">
        <w:rPr>
          <w:rStyle w:val="HideTWBExt"/>
        </w:rPr>
        <w:t>&lt;/Amend&gt;</w:t>
      </w:r>
    </w:p>
    <w:p w:rsidR="00343C6C" w:rsidRPr="00FC4A49" w:rsidP="00343C6C" w14:paraId="103C9F6A"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129</w:t>
      </w:r>
      <w:r w:rsidRPr="00FC4A49">
        <w:rPr>
          <w:rStyle w:val="HideTWBExt"/>
          <w:b w:val="0"/>
          <w:lang w:val="en-GB"/>
        </w:rPr>
        <w:t>&lt;/NumAm&gt;</w:t>
      </w:r>
    </w:p>
    <w:p w:rsidR="00343C6C" w:rsidRPr="00FC4A49" w:rsidP="00343C6C" w14:paraId="00BC6F2B" w14:textId="77777777">
      <w:pPr>
        <w:pStyle w:val="NormalBold"/>
      </w:pPr>
      <w:r w:rsidRPr="00FC4A49">
        <w:rPr>
          <w:rStyle w:val="HideTWBExt"/>
          <w:b w:val="0"/>
        </w:rPr>
        <w:t>&lt;RepeatBlock-By&gt;&lt;Members&gt;</w:t>
      </w:r>
      <w:r w:rsidRPr="00FC4A49">
        <w:t>Katri Kulmuni</w:t>
      </w:r>
      <w:r w:rsidRPr="00FC4A49">
        <w:rPr>
          <w:rStyle w:val="HideTWBExt"/>
          <w:b w:val="0"/>
        </w:rPr>
        <w:t>&lt;/Members&gt;</w:t>
      </w:r>
    </w:p>
    <w:p w:rsidR="00343C6C" w:rsidRPr="00FC4A49" w:rsidP="00343C6C" w14:paraId="58017270" w14:textId="77777777">
      <w:r w:rsidRPr="00FC4A49">
        <w:rPr>
          <w:rStyle w:val="HideTWBExt"/>
        </w:rPr>
        <w:t>&lt;/RepeatBlock-By&gt;</w:t>
      </w:r>
    </w:p>
    <w:p w:rsidR="00343C6C" w:rsidRPr="00FC4A49" w:rsidP="00343C6C" w14:paraId="4A902285"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6891E43" w14:textId="77777777">
      <w:pPr>
        <w:pStyle w:val="NormalBold"/>
      </w:pPr>
      <w:r w:rsidRPr="00FC4A49">
        <w:rPr>
          <w:rStyle w:val="HideTWBExt"/>
          <w:b w:val="0"/>
        </w:rPr>
        <w:t>&lt;Article&gt;</w:t>
      </w:r>
      <w:r w:rsidRPr="00FC4A49">
        <w:t>Recital 12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4263F8"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55AB0EE" w14:textId="77777777">
            <w:pPr>
              <w:keepNext/>
            </w:pPr>
          </w:p>
        </w:tc>
      </w:tr>
      <w:tr w14:paraId="19D05CE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501DBD6" w14:textId="77777777">
            <w:pPr>
              <w:pStyle w:val="ColumnHeading"/>
              <w:keepNext/>
              <w:rPr>
                <w:lang w:val="en-GB"/>
              </w:rPr>
            </w:pPr>
            <w:r w:rsidRPr="00FC4A49">
              <w:rPr>
                <w:lang w:val="en-GB"/>
              </w:rPr>
              <w:t>Text proposed by the Commission</w:t>
            </w:r>
          </w:p>
        </w:tc>
        <w:tc>
          <w:tcPr>
            <w:tcW w:w="4876" w:type="dxa"/>
          </w:tcPr>
          <w:p w:rsidR="00343C6C" w:rsidRPr="00FC4A49" w:rsidP="005D58F9" w14:paraId="735B8A2A" w14:textId="77777777">
            <w:pPr>
              <w:pStyle w:val="ColumnHeading"/>
              <w:keepNext/>
              <w:rPr>
                <w:lang w:val="en-GB"/>
              </w:rPr>
            </w:pPr>
            <w:r w:rsidRPr="00FC4A49">
              <w:rPr>
                <w:lang w:val="en-GB"/>
              </w:rPr>
              <w:t>Amendment</w:t>
            </w:r>
          </w:p>
        </w:tc>
      </w:tr>
      <w:tr w14:paraId="70B125D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988D645" w14:textId="77777777">
            <w:pPr>
              <w:pStyle w:val="Normal6"/>
              <w:rPr>
                <w:lang w:val="en-GB"/>
              </w:rPr>
            </w:pPr>
            <w:r w:rsidRPr="00FC4A49">
              <w:rPr>
                <w:lang w:val="en-GB"/>
              </w:rPr>
              <w:t>(12)</w:t>
            </w:r>
            <w:r w:rsidRPr="00FC4A49">
              <w:rPr>
                <w:lang w:val="en-GB"/>
              </w:rPr>
              <w:tab/>
              <w:t>There should be further support from the EU ETS for the use of sustainable aviation fuels alongside binding legislative mandates pursuant to Regulation (EU) 2023/2405 of the European Parliament and of the Council</w:t>
            </w:r>
            <w:r w:rsidRPr="00FC4A49">
              <w:rPr>
                <w:b/>
                <w:i/>
                <w:vertAlign w:val="superscript"/>
                <w:lang w:val="en-GB"/>
              </w:rPr>
              <w:t>12</w:t>
            </w:r>
            <w:r w:rsidRPr="00FC4A49">
              <w:rPr>
                <w:lang w:val="en-GB"/>
              </w:rPr>
              <w:t xml:space="preserve"> , notwithstanding that these mandates are in place even without support from the EU ETS. Therefore, the availability of reserved allowances for the use of sustainable aviation fuels and other aviation fuels that are not derived from fossil fuels under Article 3c(6) of Directive 2003/87/EC should be extended until 2040. </w:t>
            </w:r>
            <w:r w:rsidRPr="00FC4A49">
              <w:rPr>
                <w:b/>
                <w:i/>
                <w:lang w:val="en-GB"/>
              </w:rPr>
              <w:t>A lower</w:t>
            </w:r>
            <w:r w:rsidRPr="00FC4A49">
              <w:rPr>
                <w:lang w:val="en-GB"/>
              </w:rPr>
              <w:t xml:space="preserve"> proportion of the price </w:t>
            </w:r>
            <w:r w:rsidRPr="00FC4A49">
              <w:rPr>
                <w:b/>
                <w:i/>
                <w:lang w:val="en-GB"/>
              </w:rPr>
              <w:t>difference should be covered</w:t>
            </w:r>
            <w:r w:rsidRPr="00FC4A49">
              <w:rPr>
                <w:lang w:val="en-GB"/>
              </w:rPr>
              <w:t xml:space="preserve">, in order to </w:t>
            </w:r>
            <w:r w:rsidRPr="00FC4A49">
              <w:rPr>
                <w:b/>
                <w:i/>
                <w:lang w:val="en-GB"/>
              </w:rPr>
              <w:t xml:space="preserve">enable a </w:t>
            </w:r>
            <w:r w:rsidRPr="00FC4A49">
              <w:rPr>
                <w:b/>
                <w:i/>
                <w:lang w:val="en-GB"/>
              </w:rPr>
              <w:t>longer period of time for the mechanism being in place</w:t>
            </w:r>
            <w:r w:rsidRPr="00FC4A49">
              <w:rPr>
                <w:lang w:val="en-GB"/>
              </w:rPr>
              <w:t xml:space="preserve">. There should also be equal treatment of all forms of propulsion, including electrification. </w:t>
            </w:r>
            <w:r w:rsidRPr="00FC4A49">
              <w:rPr>
                <w:b/>
                <w:i/>
                <w:lang w:val="en-GB"/>
              </w:rPr>
              <w:t>The extension of the geographic scope of the EU ETS for aviation, in combination with the corresponding increase of the total amount of allowances to be allocated in respect of aircraft operators, enables an increased number of allowances for supporting alternative propulsion technologies and fuels.</w:t>
            </w:r>
          </w:p>
        </w:tc>
        <w:tc>
          <w:tcPr>
            <w:tcW w:w="4876" w:type="dxa"/>
          </w:tcPr>
          <w:p w:rsidR="00343C6C" w:rsidRPr="00FC4A49" w:rsidP="005D58F9" w14:paraId="4190F26D" w14:textId="77777777">
            <w:pPr>
              <w:pStyle w:val="Normal6"/>
              <w:rPr>
                <w:szCs w:val="24"/>
                <w:lang w:val="en-GB"/>
              </w:rPr>
            </w:pPr>
            <w:r w:rsidRPr="00FC4A49">
              <w:rPr>
                <w:lang w:val="en-GB"/>
              </w:rPr>
              <w:t>(12)</w:t>
            </w:r>
            <w:r w:rsidRPr="00FC4A49">
              <w:rPr>
                <w:lang w:val="en-GB"/>
              </w:rPr>
              <w:tab/>
              <w:t xml:space="preserve">There should be further support from the EU ETS for the use of sustainable aviation fuels alongside binding legislative mandates pursuant to Regulation (EU) 2023/2405 of the European Parliament and of the Council, notwithstanding that these mandates are in place even without support from the EU ETS. Therefore, the availability of reserved allowances for the use of sustainable aviation fuels and other aviation fuels that are not derived from fossil fuels under Article 3c(6) of Directive 2003/87/EC should be extended until 2040. </w:t>
            </w:r>
            <w:r w:rsidRPr="00FC4A49">
              <w:rPr>
                <w:b/>
                <w:i/>
                <w:lang w:val="en-GB"/>
              </w:rPr>
              <w:t xml:space="preserve">Comparable support levels should be provided to the maritime and aviation </w:t>
            </w:r>
            <w:r w:rsidRPr="00FC4A49">
              <w:rPr>
                <w:b/>
                <w:i/>
                <w:lang w:val="en-GB"/>
              </w:rPr>
              <w:t>sectors, covering the same</w:t>
            </w:r>
            <w:r w:rsidRPr="00FC4A49">
              <w:rPr>
                <w:lang w:val="en-GB"/>
              </w:rPr>
              <w:t xml:space="preserve"> proportion of the price </w:t>
            </w:r>
            <w:r w:rsidRPr="00FC4A49">
              <w:rPr>
                <w:b/>
                <w:i/>
                <w:lang w:val="en-GB"/>
              </w:rPr>
              <w:t>differential</w:t>
            </w:r>
            <w:r w:rsidRPr="00FC4A49">
              <w:rPr>
                <w:lang w:val="en-GB"/>
              </w:rPr>
              <w:t xml:space="preserve">, in order to </w:t>
            </w:r>
            <w:r w:rsidRPr="00FC4A49">
              <w:rPr>
                <w:b/>
                <w:i/>
                <w:lang w:val="en-GB"/>
              </w:rPr>
              <w:t>ensure a level playing field between the two transport modes</w:t>
            </w:r>
            <w:r w:rsidRPr="00FC4A49">
              <w:rPr>
                <w:lang w:val="en-GB"/>
              </w:rPr>
              <w:t>. There should also be equal treatment of all forms of propulsion, including electrification.</w:t>
            </w:r>
          </w:p>
        </w:tc>
      </w:tr>
      <w:tr w14:paraId="404E3C7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706D9E4" w14:textId="77777777">
            <w:pPr>
              <w:pStyle w:val="Normal6"/>
              <w:rPr>
                <w:lang w:val="en-GB"/>
              </w:rPr>
            </w:pPr>
            <w:r w:rsidRPr="00FC4A49">
              <w:rPr>
                <w:lang w:val="en-GB"/>
              </w:rPr>
              <w:t>__________________</w:t>
            </w:r>
          </w:p>
        </w:tc>
        <w:tc>
          <w:tcPr>
            <w:tcW w:w="4876" w:type="dxa"/>
          </w:tcPr>
          <w:p w:rsidR="00343C6C" w:rsidRPr="00FC4A49" w:rsidP="005D58F9" w14:paraId="3CE1DFA9" w14:textId="77777777">
            <w:pPr>
              <w:pStyle w:val="Normal6"/>
              <w:rPr>
                <w:szCs w:val="24"/>
                <w:lang w:val="en-GB"/>
              </w:rPr>
            </w:pPr>
            <w:r w:rsidRPr="00FC4A49">
              <w:rPr>
                <w:lang w:val="en-GB"/>
              </w:rPr>
              <w:t>__________________</w:t>
            </w:r>
          </w:p>
        </w:tc>
      </w:tr>
      <w:tr w14:paraId="586E1DD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471CA64" w14:textId="77777777">
            <w:pPr>
              <w:pStyle w:val="Normal6"/>
              <w:rPr>
                <w:lang w:val="en-GB"/>
              </w:rPr>
            </w:pPr>
            <w:r w:rsidRPr="00FC4A49">
              <w:rPr>
                <w:vertAlign w:val="superscript"/>
                <w:lang w:val="en-GB"/>
              </w:rPr>
              <w:t>12</w:t>
            </w:r>
            <w:r w:rsidRPr="00FC4A49">
              <w:rPr>
                <w:lang w:val="en-GB"/>
              </w:rPr>
              <w:t xml:space="preserve"> Regulation (EU) 2023/2405 of the European Parliament and of the Council of 18 October 2023 on ensuring a level playing field for sustainable air transport (</w:t>
            </w:r>
            <w:r w:rsidRPr="00FC4A49">
              <w:rPr>
                <w:lang w:val="en-GB"/>
              </w:rPr>
              <w:t>ReFuelEU</w:t>
            </w:r>
            <w:r w:rsidRPr="00FC4A49">
              <w:rPr>
                <w:lang w:val="en-GB"/>
              </w:rPr>
              <w:t xml:space="preserve"> Aviation) (OJ L, 2023/2405, 31.10.2023, ELI: http://data.europa.eu/eli/reg/2023/2405/oj).</w:t>
            </w:r>
          </w:p>
        </w:tc>
        <w:tc>
          <w:tcPr>
            <w:tcW w:w="4876" w:type="dxa"/>
          </w:tcPr>
          <w:p w:rsidR="00343C6C" w:rsidRPr="00FC4A49" w:rsidP="005D58F9" w14:paraId="6C6E2429" w14:textId="77777777">
            <w:pPr>
              <w:pStyle w:val="Normal6"/>
              <w:rPr>
                <w:szCs w:val="24"/>
                <w:lang w:val="en-GB"/>
              </w:rPr>
            </w:pPr>
            <w:r w:rsidRPr="00FC4A49">
              <w:rPr>
                <w:vertAlign w:val="superscript"/>
                <w:lang w:val="en-GB"/>
              </w:rPr>
              <w:t>12</w:t>
            </w:r>
            <w:r w:rsidRPr="00FC4A49">
              <w:rPr>
                <w:lang w:val="en-GB"/>
              </w:rPr>
              <w:t xml:space="preserve"> Regulation (EU) 2023/2405 of the European Parliament and of the Council of 18 October 2023 on ensuring a level playing field for sustainable air transport (</w:t>
            </w:r>
            <w:r w:rsidRPr="00FC4A49">
              <w:rPr>
                <w:lang w:val="en-GB"/>
              </w:rPr>
              <w:t>ReFuelEU</w:t>
            </w:r>
            <w:r w:rsidRPr="00FC4A49">
              <w:rPr>
                <w:lang w:val="en-GB"/>
              </w:rPr>
              <w:t xml:space="preserve"> Aviation) (OJ L, 2023/2405, 31.10.2023, ELI: http://data.europa.eu/eli/reg/2023/2405/oj).</w:t>
            </w:r>
          </w:p>
        </w:tc>
      </w:tr>
    </w:tbl>
    <w:p w:rsidR="00343C6C" w:rsidRPr="00FC4A49" w:rsidP="00343C6C" w14:paraId="137AF4E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F12262B"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264F412D" w14:textId="77777777">
      <w:pPr>
        <w:pStyle w:val="Normal12Italic"/>
        <w:rPr>
          <w:noProof w:val="0"/>
          <w:lang w:val="en-GB"/>
        </w:rPr>
      </w:pPr>
      <w:r w:rsidRPr="00FC4A49">
        <w:rPr>
          <w:noProof w:val="0"/>
          <w:lang w:val="en-GB"/>
        </w:rPr>
        <w:t>The Commission proposes extending the support scheme for sustainable aviation fuels (SAF) and other non-fossil aviation fuels until 2040, with up to 110 allowances. It would lower support levels for different fuels to extend the mechanism’s duration and make the extension conditional on expanding the EU ETS geographical scope for aviation.</w:t>
      </w:r>
    </w:p>
    <w:p w:rsidR="00343C6C" w:rsidRPr="00FC4A49" w:rsidP="00343C6C" w14:paraId="49841112" w14:textId="77777777">
      <w:r w:rsidRPr="00FC4A49">
        <w:rPr>
          <w:rStyle w:val="HideTWBExt"/>
        </w:rPr>
        <w:t>&lt;/Amend&gt;</w:t>
      </w:r>
    </w:p>
    <w:p w:rsidR="00343C6C" w:rsidRPr="00FC4A49" w:rsidP="00343C6C" w14:paraId="4B244CD2"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130</w:t>
      </w:r>
      <w:r w:rsidRPr="00FC4A49">
        <w:rPr>
          <w:rStyle w:val="HideTWBExt"/>
          <w:b w:val="0"/>
          <w:lang w:val="en-GB"/>
        </w:rPr>
        <w:t>&lt;/NumAm&gt;</w:t>
      </w:r>
    </w:p>
    <w:p w:rsidR="00343C6C" w:rsidRPr="00FC4A49" w:rsidP="00343C6C" w14:paraId="4AA40428" w14:textId="77777777">
      <w:pPr>
        <w:pStyle w:val="NormalBold"/>
      </w:pPr>
      <w:r w:rsidRPr="00FC4A49">
        <w:rPr>
          <w:rStyle w:val="HideTWBExt"/>
          <w:b w:val="0"/>
        </w:rPr>
        <w:t>&lt;RepeatBlock-By&gt;&lt;Members&gt;</w:t>
      </w:r>
      <w:r w:rsidRPr="00FC4A49">
        <w:t>Thomas Pellerin-Carlin</w:t>
      </w:r>
      <w:r w:rsidRPr="00FC4A49">
        <w:rPr>
          <w:rStyle w:val="HideTWBExt"/>
          <w:b w:val="0"/>
        </w:rPr>
        <w:t>&lt;/Members&gt;</w:t>
      </w:r>
    </w:p>
    <w:p w:rsidR="00343C6C" w:rsidRPr="00FC4A49" w:rsidP="00343C6C" w14:paraId="114053A4" w14:textId="77777777">
      <w:r w:rsidRPr="00FC4A49">
        <w:rPr>
          <w:rStyle w:val="HideTWBExt"/>
        </w:rPr>
        <w:t>&lt;/RepeatBlock-By&gt;</w:t>
      </w:r>
    </w:p>
    <w:p w:rsidR="00343C6C" w:rsidRPr="00FC4A49" w:rsidP="00343C6C" w14:paraId="6BD57DA3"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841C5DB" w14:textId="77777777">
      <w:pPr>
        <w:pStyle w:val="NormalBold"/>
      </w:pPr>
      <w:r w:rsidRPr="00FC4A49">
        <w:rPr>
          <w:rStyle w:val="HideTWBExt"/>
          <w:b w:val="0"/>
        </w:rPr>
        <w:t>&lt;Article&gt;</w:t>
      </w:r>
      <w:r w:rsidRPr="00FC4A49">
        <w:t>Recital 12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E43BDE"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E505547" w14:textId="77777777">
            <w:pPr>
              <w:keepNext/>
            </w:pPr>
          </w:p>
        </w:tc>
      </w:tr>
      <w:tr w14:paraId="03C646A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0D97A87" w14:textId="77777777">
            <w:pPr>
              <w:pStyle w:val="ColumnHeading"/>
              <w:keepNext/>
              <w:rPr>
                <w:lang w:val="en-GB"/>
              </w:rPr>
            </w:pPr>
            <w:r w:rsidRPr="00FC4A49">
              <w:rPr>
                <w:lang w:val="en-GB"/>
              </w:rPr>
              <w:t>Text proposed by the Commission</w:t>
            </w:r>
          </w:p>
        </w:tc>
        <w:tc>
          <w:tcPr>
            <w:tcW w:w="4876" w:type="dxa"/>
          </w:tcPr>
          <w:p w:rsidR="00343C6C" w:rsidRPr="00FC4A49" w:rsidP="005D58F9" w14:paraId="123E86CE" w14:textId="77777777">
            <w:pPr>
              <w:pStyle w:val="ColumnHeading"/>
              <w:keepNext/>
              <w:rPr>
                <w:lang w:val="en-GB"/>
              </w:rPr>
            </w:pPr>
            <w:r w:rsidRPr="00FC4A49">
              <w:rPr>
                <w:lang w:val="en-GB"/>
              </w:rPr>
              <w:t>Amendment</w:t>
            </w:r>
          </w:p>
        </w:tc>
      </w:tr>
      <w:tr w14:paraId="25919E6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89263BD" w14:textId="77777777">
            <w:pPr>
              <w:pStyle w:val="Normal6"/>
              <w:rPr>
                <w:lang w:val="en-GB"/>
              </w:rPr>
            </w:pPr>
            <w:r w:rsidRPr="00FC4A49">
              <w:rPr>
                <w:lang w:val="en-GB"/>
              </w:rPr>
              <w:t>(12)</w:t>
            </w:r>
            <w:r w:rsidRPr="00FC4A49">
              <w:rPr>
                <w:lang w:val="en-GB"/>
              </w:rPr>
              <w:tab/>
              <w:t>There should be further support from the EU ETS for the use of sustainable aviation fuels alongside binding legislative mandates pursuant to Regulation (EU) 2023/2405 of the European Parliament and of the Council</w:t>
            </w:r>
            <w:r w:rsidRPr="00FC4A49">
              <w:rPr>
                <w:vertAlign w:val="superscript"/>
                <w:lang w:val="en-GB"/>
              </w:rPr>
              <w:t>12</w:t>
            </w:r>
            <w:r w:rsidRPr="00FC4A49">
              <w:rPr>
                <w:lang w:val="en-GB"/>
              </w:rPr>
              <w:t xml:space="preserve"> , notwithstanding that these mandates are in place even without support from the EU ETS. Therefore, the </w:t>
            </w:r>
            <w:r w:rsidRPr="00FC4A49">
              <w:rPr>
                <w:lang w:val="en-GB"/>
              </w:rPr>
              <w:t>availability of reserved allowances for the use of sustainable aviation fuels and other aviation fuels that are not derived from fossil fuels under Article 3c(6) of Directive 2003/87/EC should be extended until 2040. A lower proportion of the price difference should be covered, in order to enable a longer period of time for the mechanism being in place. There should also be equal treatment of all forms of propulsion, including electrification. The extension of the geographic scope of the EU ETS for aviation, in combination with the corresponding increase of the total amount of allowances to be allocated in respect of aircraft operators, enables an increased number of allowances for supporting alternative propulsion technologies and fuels.</w:t>
            </w:r>
          </w:p>
        </w:tc>
        <w:tc>
          <w:tcPr>
            <w:tcW w:w="4876" w:type="dxa"/>
          </w:tcPr>
          <w:p w:rsidR="00343C6C" w:rsidRPr="00FC4A49" w:rsidP="005D58F9" w14:paraId="53094464" w14:textId="77777777">
            <w:pPr>
              <w:pStyle w:val="Normal6"/>
              <w:rPr>
                <w:szCs w:val="24"/>
                <w:lang w:val="en-GB"/>
              </w:rPr>
            </w:pPr>
            <w:r w:rsidRPr="00FC4A49">
              <w:rPr>
                <w:lang w:val="en-GB"/>
              </w:rPr>
              <w:t>(12)</w:t>
            </w:r>
            <w:r w:rsidRPr="00FC4A49">
              <w:rPr>
                <w:lang w:val="en-GB"/>
              </w:rPr>
              <w:tab/>
              <w:t>There should be further support from the EU ETS for the use of sustainable aviation fuels alongside binding legislative mandates pursuant to Regulation (EU) 2023/2405 of the European Parliament and of the Council</w:t>
            </w:r>
            <w:r w:rsidRPr="00FC4A49">
              <w:rPr>
                <w:vertAlign w:val="superscript"/>
                <w:lang w:val="en-GB"/>
              </w:rPr>
              <w:t>12</w:t>
            </w:r>
            <w:r w:rsidRPr="00FC4A49">
              <w:rPr>
                <w:lang w:val="en-GB"/>
              </w:rPr>
              <w:t xml:space="preserve"> , notwithstanding that these mandates are in place even without support from the EU ETS. Therefore, the </w:t>
            </w:r>
            <w:r w:rsidRPr="00FC4A49">
              <w:rPr>
                <w:lang w:val="en-GB"/>
              </w:rPr>
              <w:t xml:space="preserve">availability of reserved allowances for the use of sustainable aviation fuels and other aviation fuels that are not derived from fossil fuels under Article 3c(6) of Directive 2003/87/EC should be extended until 2040. </w:t>
            </w:r>
            <w:r w:rsidRPr="00FC4A49">
              <w:rPr>
                <w:b/>
                <w:i/>
                <w:lang w:val="en-GB"/>
              </w:rPr>
              <w:t>To further support sustainable aviation fuels, 80% of those allowances should be reserved for renewable fuels of non-biological origin (RFNBOs) and synthetic low-carbon aviation fuels.</w:t>
            </w:r>
            <w:r w:rsidRPr="00FC4A49">
              <w:rPr>
                <w:lang w:val="en-GB"/>
              </w:rPr>
              <w:t xml:space="preserve"> A lower proportion of the price difference should be covered, in order to enable a longer period of time for the mechanism being in place. There should also be equal treatment of all forms of propulsion, including electrification. The extension of the geographic scope of the EU ETS for aviation, in combination with the corresponding increase of the total amount of allowances to be allocated in respect of aircraft operators, enables an increased number of allowances for supporting alternative propulsion technologies and fuels.</w:t>
            </w:r>
          </w:p>
        </w:tc>
      </w:tr>
      <w:tr w14:paraId="25E41D3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E768260" w14:textId="77777777">
            <w:pPr>
              <w:pStyle w:val="Normal6"/>
              <w:rPr>
                <w:lang w:val="en-GB"/>
              </w:rPr>
            </w:pPr>
            <w:r w:rsidRPr="00FC4A49">
              <w:rPr>
                <w:lang w:val="en-GB"/>
              </w:rPr>
              <w:t>__________________</w:t>
            </w:r>
          </w:p>
        </w:tc>
        <w:tc>
          <w:tcPr>
            <w:tcW w:w="4876" w:type="dxa"/>
          </w:tcPr>
          <w:p w:rsidR="00343C6C" w:rsidRPr="00FC4A49" w:rsidP="005D58F9" w14:paraId="0374761E" w14:textId="77777777">
            <w:pPr>
              <w:pStyle w:val="Normal6"/>
              <w:rPr>
                <w:szCs w:val="24"/>
                <w:lang w:val="en-GB"/>
              </w:rPr>
            </w:pPr>
            <w:r w:rsidRPr="00FC4A49">
              <w:rPr>
                <w:lang w:val="en-GB"/>
              </w:rPr>
              <w:t>__________________</w:t>
            </w:r>
          </w:p>
        </w:tc>
      </w:tr>
      <w:tr w14:paraId="7386202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B408E6F" w14:textId="77777777">
            <w:pPr>
              <w:pStyle w:val="Normal6"/>
              <w:rPr>
                <w:lang w:val="en-GB"/>
              </w:rPr>
            </w:pPr>
            <w:r w:rsidRPr="00FC4A49">
              <w:rPr>
                <w:vertAlign w:val="superscript"/>
                <w:lang w:val="en-GB"/>
              </w:rPr>
              <w:t>12</w:t>
            </w:r>
            <w:r w:rsidRPr="00FC4A49">
              <w:rPr>
                <w:lang w:val="en-GB"/>
              </w:rPr>
              <w:t xml:space="preserve"> Regulation (EU) 2023/2405 of the European Parliament and of the Council of 18 October 2023 on ensuring a level playing field for sustainable air transport (</w:t>
            </w:r>
            <w:r w:rsidRPr="00FC4A49">
              <w:rPr>
                <w:lang w:val="en-GB"/>
              </w:rPr>
              <w:t>ReFuelEU</w:t>
            </w:r>
            <w:r w:rsidRPr="00FC4A49">
              <w:rPr>
                <w:lang w:val="en-GB"/>
              </w:rPr>
              <w:t xml:space="preserve"> Aviation) (OJ L, 2023/2405, 31.10.2023, ELI: http://data.europa.eu/eli/reg/2023/2405/oj).</w:t>
            </w:r>
          </w:p>
        </w:tc>
        <w:tc>
          <w:tcPr>
            <w:tcW w:w="4876" w:type="dxa"/>
          </w:tcPr>
          <w:p w:rsidR="00343C6C" w:rsidRPr="00FC4A49" w:rsidP="005D58F9" w14:paraId="36A5038E" w14:textId="77777777">
            <w:pPr>
              <w:pStyle w:val="Normal6"/>
              <w:rPr>
                <w:szCs w:val="24"/>
                <w:lang w:val="en-GB"/>
              </w:rPr>
            </w:pPr>
            <w:r w:rsidRPr="00FC4A49">
              <w:rPr>
                <w:vertAlign w:val="superscript"/>
                <w:lang w:val="en-GB"/>
              </w:rPr>
              <w:t>12</w:t>
            </w:r>
            <w:r w:rsidRPr="00FC4A49">
              <w:rPr>
                <w:lang w:val="en-GB"/>
              </w:rPr>
              <w:t xml:space="preserve"> Regulation (EU) 2023/2405 of the European Parliament and of the Council of 18 October 2023 on ensuring a level playing field for sustainable air transport (</w:t>
            </w:r>
            <w:r w:rsidRPr="00FC4A49">
              <w:rPr>
                <w:lang w:val="en-GB"/>
              </w:rPr>
              <w:t>ReFuelEU</w:t>
            </w:r>
            <w:r w:rsidRPr="00FC4A49">
              <w:rPr>
                <w:lang w:val="en-GB"/>
              </w:rPr>
              <w:t xml:space="preserve"> Aviation) (OJ L, 2023/2405, 31.10.2023, ELI: http://data.europa.eu/eli/reg/2023/2405/oj).</w:t>
            </w:r>
          </w:p>
        </w:tc>
      </w:tr>
    </w:tbl>
    <w:p w:rsidR="00343C6C" w:rsidRPr="00FC4A49" w:rsidP="00343C6C" w14:paraId="7B8C292B"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B144F08" w14:textId="77777777">
      <w:r w:rsidRPr="00FC4A49">
        <w:rPr>
          <w:rStyle w:val="HideTWBExt"/>
        </w:rPr>
        <w:t>&lt;/Amend&gt;</w:t>
      </w:r>
    </w:p>
    <w:p w:rsidR="00343C6C" w:rsidRPr="00FC4A49" w:rsidP="00343C6C" w14:paraId="1229E528"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131</w:t>
      </w:r>
      <w:r w:rsidRPr="00FC4A49">
        <w:rPr>
          <w:rStyle w:val="HideTWBExt"/>
          <w:b w:val="0"/>
          <w:lang w:val="en-GB"/>
        </w:rPr>
        <w:t>&lt;/NumAm&gt;</w:t>
      </w:r>
    </w:p>
    <w:p w:rsidR="00343C6C" w:rsidRPr="00FC4A49" w:rsidP="00343C6C" w14:paraId="6C48E8B3"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44140B92" w14:textId="77777777">
      <w:r w:rsidRPr="00FC4A49">
        <w:rPr>
          <w:rStyle w:val="HideTWBExt"/>
        </w:rPr>
        <w:t>&lt;/RepeatBlock-By&gt;</w:t>
      </w:r>
    </w:p>
    <w:p w:rsidR="00343C6C" w:rsidRPr="00FC4A49" w:rsidP="00343C6C" w14:paraId="500CB34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246C9CB" w14:textId="77777777">
      <w:pPr>
        <w:pStyle w:val="NormalBold"/>
      </w:pPr>
      <w:r w:rsidRPr="00FC4A49">
        <w:rPr>
          <w:rStyle w:val="HideTWBExt"/>
          <w:b w:val="0"/>
        </w:rPr>
        <w:t>&lt;Article&gt;</w:t>
      </w:r>
      <w:r w:rsidRPr="00FC4A49">
        <w:t>Recital 12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DC132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0B83528" w14:textId="77777777">
            <w:pPr>
              <w:keepNext/>
            </w:pPr>
          </w:p>
        </w:tc>
      </w:tr>
      <w:tr w14:paraId="62DDD17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6D78DEC" w14:textId="77777777">
            <w:pPr>
              <w:pStyle w:val="ColumnHeading"/>
              <w:keepNext/>
              <w:rPr>
                <w:lang w:val="en-GB"/>
              </w:rPr>
            </w:pPr>
            <w:r w:rsidRPr="00FC4A49">
              <w:rPr>
                <w:lang w:val="en-GB"/>
              </w:rPr>
              <w:t>Text proposed by the Commission</w:t>
            </w:r>
          </w:p>
        </w:tc>
        <w:tc>
          <w:tcPr>
            <w:tcW w:w="4876" w:type="dxa"/>
          </w:tcPr>
          <w:p w:rsidR="00343C6C" w:rsidRPr="00FC4A49" w:rsidP="005D58F9" w14:paraId="666C469D" w14:textId="77777777">
            <w:pPr>
              <w:pStyle w:val="ColumnHeading"/>
              <w:keepNext/>
              <w:rPr>
                <w:lang w:val="en-GB"/>
              </w:rPr>
            </w:pPr>
            <w:r w:rsidRPr="00FC4A49">
              <w:rPr>
                <w:lang w:val="en-GB"/>
              </w:rPr>
              <w:t>Amendment</w:t>
            </w:r>
          </w:p>
        </w:tc>
      </w:tr>
      <w:tr w14:paraId="04303D1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2BAD485" w14:textId="77777777">
            <w:pPr>
              <w:pStyle w:val="Normal6"/>
              <w:rPr>
                <w:lang w:val="en-GB"/>
              </w:rPr>
            </w:pPr>
            <w:r w:rsidRPr="00FC4A49">
              <w:rPr>
                <w:lang w:val="en-GB"/>
              </w:rPr>
              <w:t>(12)</w:t>
            </w:r>
            <w:r w:rsidRPr="00FC4A49">
              <w:rPr>
                <w:lang w:val="en-GB"/>
              </w:rPr>
              <w:tab/>
              <w:t xml:space="preserve">There should be further support from the EU ETS for the use of sustainable aviation fuels alongside binding legislative </w:t>
            </w:r>
            <w:r w:rsidRPr="00FC4A49">
              <w:rPr>
                <w:lang w:val="en-GB"/>
              </w:rPr>
              <w:t>mandates pursuant to Regulation (EU) 2023/2405 of the European Parliament and of the Council</w:t>
            </w:r>
            <w:r w:rsidRPr="00FC4A49">
              <w:rPr>
                <w:vertAlign w:val="superscript"/>
                <w:lang w:val="en-GB"/>
              </w:rPr>
              <w:t>12</w:t>
            </w:r>
            <w:r w:rsidRPr="00FC4A49">
              <w:rPr>
                <w:lang w:val="en-GB"/>
              </w:rPr>
              <w:t xml:space="preserve">, notwithstanding that these mandates are in place even without support from the EU ETS. Therefore, the availability of reserved allowances for the use of sustainable aviation fuels and other aviation fuels that are not derived from fossil fuels under Article 3c(6) of Directive 2003/87/EC should be extended until 2040. A lower proportion of the price difference should be covered, in order to enable a longer period of time for the mechanism being in place. There should also be equal treatment of all forms of propulsion, including electrification. </w:t>
            </w:r>
            <w:r w:rsidRPr="00FC4A49">
              <w:rPr>
                <w:b/>
                <w:bCs/>
                <w:i/>
                <w:iCs/>
                <w:lang w:val="en-GB"/>
              </w:rPr>
              <w:t>The extension of the geographic scope of the EU ETS for aviation, in combination with the corresponding increase of the total amount of allowances to be allocated in respect of aircraft operators, enables an increased number of allowances for supporting alternative propulsion technologies and fuels</w:t>
            </w:r>
            <w:r w:rsidRPr="00FC4A49">
              <w:rPr>
                <w:lang w:val="en-GB"/>
              </w:rPr>
              <w:t>.</w:t>
            </w:r>
          </w:p>
        </w:tc>
        <w:tc>
          <w:tcPr>
            <w:tcW w:w="4876" w:type="dxa"/>
          </w:tcPr>
          <w:p w:rsidR="00343C6C" w:rsidRPr="00FC4A49" w:rsidP="005D58F9" w14:paraId="0477D4ED" w14:textId="77777777">
            <w:pPr>
              <w:pStyle w:val="Normal6"/>
              <w:rPr>
                <w:szCs w:val="24"/>
                <w:lang w:val="en-GB"/>
              </w:rPr>
            </w:pPr>
            <w:r w:rsidRPr="00FC4A49">
              <w:rPr>
                <w:lang w:val="en-GB"/>
              </w:rPr>
              <w:t>(12)</w:t>
            </w:r>
            <w:r w:rsidRPr="00FC4A49">
              <w:rPr>
                <w:lang w:val="en-GB"/>
              </w:rPr>
              <w:tab/>
              <w:t xml:space="preserve">There should be further support from the EU ETS for the use of sustainable aviation fuels alongside binding legislative </w:t>
            </w:r>
            <w:r w:rsidRPr="00FC4A49">
              <w:rPr>
                <w:lang w:val="en-GB"/>
              </w:rPr>
              <w:t>mandates pursuant to Regulation (EU) 2023/2405 of the European Parliament and of the Council</w:t>
            </w:r>
            <w:r w:rsidRPr="00FC4A49">
              <w:rPr>
                <w:vertAlign w:val="superscript"/>
                <w:lang w:val="en-GB"/>
              </w:rPr>
              <w:t>12</w:t>
            </w:r>
            <w:r w:rsidRPr="00FC4A49">
              <w:rPr>
                <w:lang w:val="en-GB"/>
              </w:rPr>
              <w:t xml:space="preserve">, notwithstanding that these mandates are in place even without support from the EU ETS. Therefore, the availability of reserved allowances for the use of sustainable aviation fuels and other aviation fuels that are not derived from fossil fuels under Article 3c(6) of Directive 2003/87/EC should be extended until </w:t>
            </w:r>
            <w:r w:rsidRPr="00FC4A49">
              <w:rPr>
                <w:b/>
                <w:bCs/>
                <w:i/>
                <w:iCs/>
                <w:lang w:val="en-GB"/>
              </w:rPr>
              <w:t>after</w:t>
            </w:r>
            <w:r w:rsidRPr="00FC4A49">
              <w:rPr>
                <w:b/>
                <w:bCs/>
                <w:lang w:val="en-GB"/>
              </w:rPr>
              <w:t xml:space="preserve"> </w:t>
            </w:r>
            <w:r w:rsidRPr="00FC4A49">
              <w:rPr>
                <w:lang w:val="en-GB"/>
              </w:rPr>
              <w:t xml:space="preserve">2040. A lower proportion of the price difference should be covered, in order to enable a longer period of time for the mechanism being in place. There should also be equal treatment of all forms of propulsion, including electrification. </w:t>
            </w:r>
            <w:r w:rsidRPr="00FC4A49">
              <w:rPr>
                <w:b/>
                <w:bCs/>
                <w:i/>
                <w:iCs/>
                <w:lang w:val="en-GB"/>
              </w:rPr>
              <w:t>It is also acknowledged that the extension of the ETS to aviation has led to a significant increase in the price of plane tickets in the EU</w:t>
            </w:r>
            <w:r w:rsidRPr="00FC4A49">
              <w:rPr>
                <w:lang w:val="en-GB"/>
              </w:rPr>
              <w:t>.</w:t>
            </w:r>
          </w:p>
        </w:tc>
      </w:tr>
      <w:tr w14:paraId="59C8818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9A3C57D" w14:textId="77777777">
            <w:pPr>
              <w:pStyle w:val="Normal6"/>
              <w:rPr>
                <w:lang w:val="en-GB"/>
              </w:rPr>
            </w:pPr>
            <w:r w:rsidRPr="00FC4A49">
              <w:rPr>
                <w:lang w:val="en-GB"/>
              </w:rPr>
              <w:t>__________________</w:t>
            </w:r>
          </w:p>
        </w:tc>
        <w:tc>
          <w:tcPr>
            <w:tcW w:w="4876" w:type="dxa"/>
          </w:tcPr>
          <w:p w:rsidR="00343C6C" w:rsidRPr="00FC4A49" w:rsidP="005D58F9" w14:paraId="2ADC201B" w14:textId="77777777">
            <w:pPr>
              <w:pStyle w:val="Normal6"/>
              <w:rPr>
                <w:szCs w:val="24"/>
                <w:lang w:val="en-GB"/>
              </w:rPr>
            </w:pPr>
            <w:r w:rsidRPr="00FC4A49">
              <w:rPr>
                <w:lang w:val="en-GB"/>
              </w:rPr>
              <w:t>__________________</w:t>
            </w:r>
          </w:p>
        </w:tc>
      </w:tr>
      <w:tr w14:paraId="79EE4CD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C1DEA16" w14:textId="77777777">
            <w:pPr>
              <w:pStyle w:val="Normal6"/>
              <w:rPr>
                <w:lang w:val="en-GB"/>
              </w:rPr>
            </w:pPr>
            <w:r w:rsidRPr="00FC4A49">
              <w:rPr>
                <w:vertAlign w:val="superscript"/>
                <w:lang w:val="en-GB"/>
              </w:rPr>
              <w:t>12</w:t>
            </w:r>
            <w:r w:rsidRPr="00FC4A49">
              <w:rPr>
                <w:lang w:val="en-GB"/>
              </w:rPr>
              <w:t xml:space="preserve"> Regulation (EU) 2023/2405 of the European Parliament and of the Council of 18 October 2023 on ensuring a level playing field for sustainable air transport (</w:t>
            </w:r>
            <w:r w:rsidRPr="00FC4A49">
              <w:rPr>
                <w:lang w:val="en-GB"/>
              </w:rPr>
              <w:t>ReFuelEU</w:t>
            </w:r>
            <w:r w:rsidRPr="00FC4A49">
              <w:rPr>
                <w:lang w:val="en-GB"/>
              </w:rPr>
              <w:t xml:space="preserve"> Aviation) (OJ L, 2023/2405, 31.10.2023, ELI: http://data.europa.eu/eli/reg/2023/2405/oj).</w:t>
            </w:r>
          </w:p>
        </w:tc>
        <w:tc>
          <w:tcPr>
            <w:tcW w:w="4876" w:type="dxa"/>
          </w:tcPr>
          <w:p w:rsidR="00343C6C" w:rsidRPr="00FC4A49" w:rsidP="005D58F9" w14:paraId="22AA4A3A" w14:textId="77777777">
            <w:pPr>
              <w:pStyle w:val="Normal6"/>
              <w:rPr>
                <w:szCs w:val="24"/>
                <w:lang w:val="en-GB"/>
              </w:rPr>
            </w:pPr>
            <w:r w:rsidRPr="00FC4A49">
              <w:rPr>
                <w:vertAlign w:val="superscript"/>
                <w:lang w:val="en-GB"/>
              </w:rPr>
              <w:t>12</w:t>
            </w:r>
            <w:r w:rsidRPr="00FC4A49">
              <w:rPr>
                <w:lang w:val="en-GB"/>
              </w:rPr>
              <w:t xml:space="preserve"> Regulation (EU) 2023/2405 of the European Parliament and of the Council of 18 October 2023 on ensuring a level playing field for sustainable air transport (</w:t>
            </w:r>
            <w:r w:rsidRPr="00FC4A49">
              <w:rPr>
                <w:lang w:val="en-GB"/>
              </w:rPr>
              <w:t>ReFuelEU</w:t>
            </w:r>
            <w:r w:rsidRPr="00FC4A49">
              <w:rPr>
                <w:lang w:val="en-GB"/>
              </w:rPr>
              <w:t xml:space="preserve"> Aviation) (OJ L, 2023/2405, 31.10.2023, ELI: http://data.europa.eu/eli/reg/2023/2405/oj).</w:t>
            </w:r>
          </w:p>
        </w:tc>
      </w:tr>
    </w:tbl>
    <w:p w:rsidR="00343C6C" w:rsidRPr="00FC4A49" w:rsidP="00343C6C" w14:paraId="4606AFAB"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098E0BC4" w14:textId="77777777">
      <w:r w:rsidRPr="00FC4A49">
        <w:rPr>
          <w:rStyle w:val="HideTWBExt"/>
        </w:rPr>
        <w:t>&lt;/Amend&gt;</w:t>
      </w:r>
    </w:p>
    <w:p w:rsidR="00343C6C" w:rsidRPr="00FC4A49" w:rsidP="00343C6C" w14:paraId="3F0B75C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132</w:t>
      </w:r>
      <w:r w:rsidRPr="00FC4A49">
        <w:rPr>
          <w:rStyle w:val="HideTWBExt"/>
          <w:b w:val="0"/>
          <w:lang w:val="en-GB"/>
        </w:rPr>
        <w:t>&lt;/NumAm&gt;</w:t>
      </w:r>
    </w:p>
    <w:p w:rsidR="00343C6C" w:rsidRPr="00FC4A49" w:rsidP="00343C6C" w14:paraId="35B2E30F" w14:textId="77777777">
      <w:pPr>
        <w:pStyle w:val="NormalBold"/>
      </w:pPr>
      <w:r w:rsidRPr="00FC4A49">
        <w:rPr>
          <w:rStyle w:val="HideTWBExt"/>
          <w:b w:val="0"/>
        </w:rPr>
        <w:t>&lt;RepeatBlock-By&gt;&lt;Members&gt;</w:t>
      </w:r>
      <w:r w:rsidRPr="00FC4A49">
        <w:t>Ondřej Knotek, Jana Nagyová, Antonín Staněk</w:t>
      </w:r>
      <w:r w:rsidRPr="00FC4A49">
        <w:rPr>
          <w:rStyle w:val="HideTWBExt"/>
          <w:b w:val="0"/>
        </w:rPr>
        <w:t>&lt;/Members&gt;</w:t>
      </w:r>
    </w:p>
    <w:p w:rsidR="00343C6C" w:rsidRPr="00FC4A49" w:rsidP="00343C6C" w14:paraId="2ABD8906" w14:textId="77777777">
      <w:r w:rsidRPr="00FC4A49">
        <w:rPr>
          <w:rStyle w:val="HideTWBExt"/>
        </w:rPr>
        <w:t>&lt;/RepeatBlock-By&gt;</w:t>
      </w:r>
    </w:p>
    <w:p w:rsidR="00343C6C" w:rsidRPr="00FC4A49" w:rsidP="00343C6C" w14:paraId="443E651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8B95995" w14:textId="77777777">
      <w:pPr>
        <w:pStyle w:val="NormalBold"/>
      </w:pPr>
      <w:r w:rsidRPr="00FC4A49">
        <w:rPr>
          <w:rStyle w:val="HideTWBExt"/>
          <w:b w:val="0"/>
        </w:rPr>
        <w:t>&lt;Article&gt;</w:t>
      </w:r>
      <w:r w:rsidRPr="00FC4A49">
        <w:t>Recital 12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734651"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9AE7960" w14:textId="77777777">
            <w:pPr>
              <w:keepNext/>
            </w:pPr>
          </w:p>
        </w:tc>
      </w:tr>
      <w:tr w14:paraId="691353E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25D8797" w14:textId="77777777">
            <w:pPr>
              <w:pStyle w:val="ColumnHeading"/>
              <w:keepNext/>
              <w:rPr>
                <w:lang w:val="en-GB"/>
              </w:rPr>
            </w:pPr>
            <w:r w:rsidRPr="00FC4A49">
              <w:rPr>
                <w:lang w:val="en-GB"/>
              </w:rPr>
              <w:t>Text proposed by the Commission</w:t>
            </w:r>
          </w:p>
        </w:tc>
        <w:tc>
          <w:tcPr>
            <w:tcW w:w="4876" w:type="dxa"/>
          </w:tcPr>
          <w:p w:rsidR="00343C6C" w:rsidRPr="00FC4A49" w:rsidP="005D58F9" w14:paraId="2927707E" w14:textId="77777777">
            <w:pPr>
              <w:pStyle w:val="ColumnHeading"/>
              <w:keepNext/>
              <w:rPr>
                <w:lang w:val="en-GB"/>
              </w:rPr>
            </w:pPr>
            <w:r w:rsidRPr="00FC4A49">
              <w:rPr>
                <w:lang w:val="en-GB"/>
              </w:rPr>
              <w:t>Amendment</w:t>
            </w:r>
          </w:p>
        </w:tc>
      </w:tr>
      <w:tr w14:paraId="0BD4FD9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587E093" w14:textId="77777777">
            <w:pPr>
              <w:pStyle w:val="Normal6"/>
              <w:rPr>
                <w:lang w:val="en-GB"/>
              </w:rPr>
            </w:pPr>
            <w:r w:rsidRPr="00FC4A49">
              <w:rPr>
                <w:lang w:val="en-GB"/>
              </w:rPr>
              <w:t>(12)</w:t>
            </w:r>
            <w:r w:rsidRPr="00FC4A49">
              <w:rPr>
                <w:lang w:val="en-GB"/>
              </w:rPr>
              <w:tab/>
              <w:t xml:space="preserve">There should be further support from the EU ETS for the use of sustainable aviation fuels alongside </w:t>
            </w:r>
            <w:r w:rsidRPr="00FC4A49">
              <w:rPr>
                <w:b/>
                <w:i/>
                <w:lang w:val="en-GB"/>
              </w:rPr>
              <w:t>binding</w:t>
            </w:r>
            <w:r w:rsidRPr="00FC4A49">
              <w:rPr>
                <w:lang w:val="en-GB"/>
              </w:rPr>
              <w:t xml:space="preserve"> legislative </w:t>
            </w:r>
            <w:r w:rsidRPr="00FC4A49">
              <w:rPr>
                <w:lang w:val="en-GB"/>
              </w:rPr>
              <w:t>mandates pursuant to Regulation (EU) 2023/2405 of the European Parliament and of the Council</w:t>
            </w:r>
            <w:r w:rsidRPr="00FC4A49">
              <w:rPr>
                <w:vertAlign w:val="superscript"/>
                <w:lang w:val="en-GB"/>
              </w:rPr>
              <w:t>12</w:t>
            </w:r>
            <w:r w:rsidRPr="00FC4A49">
              <w:rPr>
                <w:lang w:val="en-GB"/>
              </w:rPr>
              <w:t xml:space="preserve"> , notwithstanding that these mandates are in place even without support from the EU ETS. Therefore, the availability of reserved allowances for the use of sustainable aviation fuels and other aviation fuels that are not derived from fossil fuels under Article 3c(6) of Directive 2003/87/EC should be extended until 2040. A lower proportion of the price difference should be covered, in order to enable a longer period of time for the mechanism being in place. There should also be equal treatment of all forms of propulsion, including electrification. The extension of the geographic scope of the EU ETS for aviation, in combination with the corresponding increase of the total amount of allowances to be allocated in respect of aircraft operators, enables an increased number of allowances for supporting alternative propulsion technologies and fuels.</w:t>
            </w:r>
          </w:p>
        </w:tc>
        <w:tc>
          <w:tcPr>
            <w:tcW w:w="4876" w:type="dxa"/>
          </w:tcPr>
          <w:p w:rsidR="00343C6C" w:rsidRPr="00FC4A49" w:rsidP="005D58F9" w14:paraId="68BF3EB1" w14:textId="77777777">
            <w:pPr>
              <w:pStyle w:val="Normal6"/>
              <w:rPr>
                <w:szCs w:val="24"/>
                <w:lang w:val="en-GB"/>
              </w:rPr>
            </w:pPr>
            <w:r w:rsidRPr="00FC4A49">
              <w:rPr>
                <w:lang w:val="en-GB"/>
              </w:rPr>
              <w:t>(12)</w:t>
            </w:r>
            <w:r w:rsidRPr="00FC4A49">
              <w:rPr>
                <w:lang w:val="en-GB"/>
              </w:rPr>
              <w:tab/>
              <w:t xml:space="preserve">There should be further support from the EU ETS for the use of sustainable aviation fuels alongside </w:t>
            </w:r>
            <w:r w:rsidRPr="00FC4A49">
              <w:rPr>
                <w:b/>
                <w:i/>
                <w:lang w:val="en-GB"/>
              </w:rPr>
              <w:t>indicative</w:t>
            </w:r>
            <w:r w:rsidRPr="00FC4A49">
              <w:rPr>
                <w:lang w:val="en-GB"/>
              </w:rPr>
              <w:t xml:space="preserve"> </w:t>
            </w:r>
            <w:r w:rsidRPr="00FC4A49">
              <w:rPr>
                <w:lang w:val="en-GB"/>
              </w:rPr>
              <w:t>legislative mandates pursuant to Regulation (EU) 2023/2405 of the European Parliament and of the Council</w:t>
            </w:r>
            <w:r w:rsidRPr="00FC4A49">
              <w:rPr>
                <w:vertAlign w:val="superscript"/>
                <w:lang w:val="en-GB"/>
              </w:rPr>
              <w:t>12</w:t>
            </w:r>
            <w:r w:rsidRPr="00FC4A49">
              <w:rPr>
                <w:lang w:val="en-GB"/>
              </w:rPr>
              <w:t xml:space="preserve"> , notwithstanding that these mandates are in place even without support from the EU ETS. Therefore, the availability of reserved allowances for the use of sustainable aviation fuels and other aviation fuels that are not derived from fossil fuels under Article 3c(6) of Directive 2003/87/EC should be extended until 2040. A lower proportion of the price difference should be covered, in order to enable a longer period of time for the mechanism being in place. There should also be equal treatment of all forms of propulsion, including electrification. The extension of the geographic scope of the EU ETS for aviation, in combination with the corresponding increase of the total amount of allowances to be allocated in respect of aircraft operators, enables an increased number of allowances for supporting alternative propulsion technologies and fuels.</w:t>
            </w:r>
          </w:p>
        </w:tc>
      </w:tr>
      <w:tr w14:paraId="4D1BE9C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5117C46" w14:textId="77777777">
            <w:pPr>
              <w:pStyle w:val="Normal6"/>
              <w:rPr>
                <w:lang w:val="en-GB"/>
              </w:rPr>
            </w:pPr>
            <w:r w:rsidRPr="00FC4A49">
              <w:rPr>
                <w:lang w:val="en-GB"/>
              </w:rPr>
              <w:t>__________________</w:t>
            </w:r>
          </w:p>
        </w:tc>
        <w:tc>
          <w:tcPr>
            <w:tcW w:w="4876" w:type="dxa"/>
          </w:tcPr>
          <w:p w:rsidR="00343C6C" w:rsidRPr="00FC4A49" w:rsidP="005D58F9" w14:paraId="0AD94AEC" w14:textId="77777777">
            <w:pPr>
              <w:pStyle w:val="Normal6"/>
              <w:rPr>
                <w:szCs w:val="24"/>
                <w:lang w:val="en-GB"/>
              </w:rPr>
            </w:pPr>
            <w:r w:rsidRPr="00FC4A49">
              <w:rPr>
                <w:lang w:val="en-GB"/>
              </w:rPr>
              <w:t>__________________</w:t>
            </w:r>
          </w:p>
        </w:tc>
      </w:tr>
      <w:tr w14:paraId="0BADB21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2E40096" w14:textId="77777777">
            <w:pPr>
              <w:pStyle w:val="Normal6"/>
              <w:rPr>
                <w:lang w:val="en-GB"/>
              </w:rPr>
            </w:pPr>
            <w:r w:rsidRPr="00FC4A49">
              <w:rPr>
                <w:vertAlign w:val="superscript"/>
                <w:lang w:val="en-GB"/>
              </w:rPr>
              <w:t>12</w:t>
            </w:r>
            <w:r w:rsidRPr="00FC4A49">
              <w:rPr>
                <w:lang w:val="en-GB"/>
              </w:rPr>
              <w:t xml:space="preserve"> Regulation (EU) 2023/2405 of the European Parliament and of the Council of 18 October 2023 on ensuring a level playing field for sustainable air transport (</w:t>
            </w:r>
            <w:r w:rsidRPr="00FC4A49">
              <w:rPr>
                <w:lang w:val="en-GB"/>
              </w:rPr>
              <w:t>ReFuelEU</w:t>
            </w:r>
            <w:r w:rsidRPr="00FC4A49">
              <w:rPr>
                <w:lang w:val="en-GB"/>
              </w:rPr>
              <w:t xml:space="preserve"> Aviation) (OJ L, 2023/2405, 31.10.2023, ELI: http://data.europa.eu/eli/reg/2023/2405/oj).</w:t>
            </w:r>
          </w:p>
        </w:tc>
        <w:tc>
          <w:tcPr>
            <w:tcW w:w="4876" w:type="dxa"/>
          </w:tcPr>
          <w:p w:rsidR="00343C6C" w:rsidRPr="00FC4A49" w:rsidP="005D58F9" w14:paraId="3FF7420D" w14:textId="77777777">
            <w:pPr>
              <w:pStyle w:val="Normal6"/>
              <w:rPr>
                <w:szCs w:val="24"/>
                <w:lang w:val="en-GB"/>
              </w:rPr>
            </w:pPr>
            <w:r w:rsidRPr="00FC4A49">
              <w:rPr>
                <w:vertAlign w:val="superscript"/>
                <w:lang w:val="en-GB"/>
              </w:rPr>
              <w:t>12</w:t>
            </w:r>
            <w:r w:rsidRPr="00FC4A49">
              <w:rPr>
                <w:lang w:val="en-GB"/>
              </w:rPr>
              <w:t xml:space="preserve"> Regulation (EU) 2023/2405 of the European Parliament and of the Council of 18 October 2023 on ensuring a level playing field for sustainable air transport (</w:t>
            </w:r>
            <w:r w:rsidRPr="00FC4A49">
              <w:rPr>
                <w:lang w:val="en-GB"/>
              </w:rPr>
              <w:t>ReFuelEU</w:t>
            </w:r>
            <w:r w:rsidRPr="00FC4A49">
              <w:rPr>
                <w:lang w:val="en-GB"/>
              </w:rPr>
              <w:t xml:space="preserve"> Aviation) (OJ L, 2023/2405, 31.10.2023, ELI: http://data.europa.eu/eli/reg/2023/2405/oj).</w:t>
            </w:r>
          </w:p>
        </w:tc>
      </w:tr>
    </w:tbl>
    <w:p w:rsidR="00343C6C" w:rsidRPr="00804E2D" w:rsidP="00343C6C" w14:paraId="2196974B" w14:textId="77777777">
      <w:pPr>
        <w:pStyle w:val="Olang"/>
        <w:rPr>
          <w:lang w:val="fr-BE"/>
        </w:rPr>
      </w:pPr>
      <w:r w:rsidRPr="00804E2D">
        <w:rPr>
          <w:lang w:val="fr-BE"/>
        </w:rPr>
        <w:t xml:space="preserve">Or. </w:t>
      </w:r>
      <w:r w:rsidRPr="00804E2D">
        <w:rPr>
          <w:rStyle w:val="HideTWBExt"/>
          <w:lang w:val="fr-BE"/>
        </w:rPr>
        <w:t>&lt;Original&gt;</w:t>
      </w:r>
      <w:r w:rsidRPr="00804E2D">
        <w:rPr>
          <w:rStyle w:val="HideTWBInt"/>
          <w:lang w:val="fr-BE"/>
        </w:rPr>
        <w:t>{EN}</w:t>
      </w:r>
      <w:r w:rsidRPr="00804E2D">
        <w:rPr>
          <w:lang w:val="fr-BE"/>
        </w:rPr>
        <w:t>en</w:t>
      </w:r>
      <w:r w:rsidRPr="00804E2D">
        <w:rPr>
          <w:rStyle w:val="HideTWBExt"/>
          <w:lang w:val="fr-BE"/>
        </w:rPr>
        <w:t>&lt;/Original&gt;</w:t>
      </w:r>
    </w:p>
    <w:p w:rsidR="00343C6C" w:rsidRPr="00804E2D" w:rsidP="00343C6C" w14:paraId="2936D7C9" w14:textId="77777777">
      <w:pPr>
        <w:rPr>
          <w:lang w:val="fr-BE"/>
        </w:rPr>
      </w:pPr>
      <w:r w:rsidRPr="00804E2D">
        <w:rPr>
          <w:rStyle w:val="HideTWBExt"/>
          <w:lang w:val="fr-BE"/>
        </w:rPr>
        <w:t>&lt;/Amend&gt;</w:t>
      </w:r>
    </w:p>
    <w:p w:rsidR="00343C6C" w:rsidRPr="00804E2D" w:rsidP="00343C6C" w14:paraId="114BEE53" w14:textId="77777777">
      <w:pPr>
        <w:pStyle w:val="AMNumberTabs0"/>
        <w:keepNext/>
        <w:rPr>
          <w:lang w:val="fr-BE"/>
        </w:rPr>
      </w:pPr>
      <w:r w:rsidRPr="00804E2D">
        <w:rPr>
          <w:rStyle w:val="HideTWBExt"/>
          <w:b w:val="0"/>
          <w:lang w:val="fr-BE"/>
        </w:rPr>
        <w:t>&lt;Amend&gt;</w:t>
      </w:r>
      <w:r w:rsidRPr="00804E2D">
        <w:rPr>
          <w:lang w:val="fr-BE"/>
        </w:rPr>
        <w:t>Amendment</w:t>
      </w:r>
      <w:r w:rsidRPr="00804E2D">
        <w:rPr>
          <w:lang w:val="fr-BE"/>
        </w:rPr>
        <w:tab/>
      </w:r>
      <w:r w:rsidRPr="00804E2D">
        <w:rPr>
          <w:lang w:val="fr-BE"/>
        </w:rPr>
        <w:tab/>
      </w:r>
      <w:r w:rsidRPr="00804E2D">
        <w:rPr>
          <w:rStyle w:val="HideTWBExt"/>
          <w:b w:val="0"/>
          <w:lang w:val="fr-BE"/>
        </w:rPr>
        <w:t>&lt;NumAm&gt;</w:t>
      </w:r>
      <w:r w:rsidRPr="00804E2D">
        <w:rPr>
          <w:lang w:val="fr-BE"/>
        </w:rPr>
        <w:t>133</w:t>
      </w:r>
      <w:r w:rsidRPr="00804E2D">
        <w:rPr>
          <w:rStyle w:val="HideTWBExt"/>
          <w:b w:val="0"/>
          <w:lang w:val="fr-BE"/>
        </w:rPr>
        <w:t>&lt;/NumAm&gt;</w:t>
      </w:r>
    </w:p>
    <w:p w:rsidR="00343C6C" w:rsidRPr="00804E2D" w:rsidP="00343C6C" w14:paraId="2902A52B" w14:textId="77777777">
      <w:pPr>
        <w:pStyle w:val="NormalBold"/>
        <w:rPr>
          <w:lang w:val="fr-BE"/>
        </w:rPr>
      </w:pPr>
      <w:r w:rsidRPr="00804E2D">
        <w:rPr>
          <w:rStyle w:val="HideTWBExt"/>
          <w:b w:val="0"/>
          <w:lang w:val="fr-BE"/>
        </w:rPr>
        <w:t>&lt;RepeatBlock-By&gt;&lt;Members&gt;</w:t>
      </w:r>
      <w:r w:rsidRPr="00804E2D">
        <w:rPr>
          <w:lang w:val="fr-BE"/>
        </w:rPr>
        <w:t>François-Xavier Bellamy, Isabelle Le Callennec</w:t>
      </w:r>
      <w:r w:rsidRPr="00804E2D">
        <w:rPr>
          <w:rStyle w:val="HideTWBExt"/>
          <w:b w:val="0"/>
          <w:lang w:val="fr-BE"/>
        </w:rPr>
        <w:t>&lt;/Members&gt;</w:t>
      </w:r>
    </w:p>
    <w:p w:rsidR="00343C6C" w:rsidRPr="00804E2D" w:rsidP="00343C6C" w14:paraId="6587333E" w14:textId="77777777">
      <w:pPr>
        <w:rPr>
          <w:lang w:val="fr-BE"/>
        </w:rPr>
      </w:pPr>
      <w:r w:rsidRPr="00804E2D">
        <w:rPr>
          <w:rStyle w:val="HideTWBExt"/>
          <w:lang w:val="fr-BE"/>
        </w:rPr>
        <w:t>&lt;/RepeatBlock-By&gt;</w:t>
      </w:r>
    </w:p>
    <w:p w:rsidR="00343C6C" w:rsidRPr="00FC4A49" w:rsidP="00343C6C" w14:paraId="0EC5BC73"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2DB42F8" w14:textId="77777777">
      <w:pPr>
        <w:pStyle w:val="NormalBold"/>
      </w:pPr>
      <w:r w:rsidRPr="00FC4A49">
        <w:rPr>
          <w:rStyle w:val="HideTWBExt"/>
          <w:b w:val="0"/>
        </w:rPr>
        <w:t>&lt;Article&gt;</w:t>
      </w:r>
      <w:r w:rsidRPr="00FC4A49">
        <w:t>Recital 12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88AAA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0A510F7" w14:textId="77777777">
            <w:pPr>
              <w:keepNext/>
            </w:pPr>
          </w:p>
        </w:tc>
      </w:tr>
      <w:tr w14:paraId="7A2877B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10770C0" w14:textId="77777777">
            <w:pPr>
              <w:pStyle w:val="ColumnHeading"/>
              <w:keepNext/>
              <w:rPr>
                <w:lang w:val="en-GB"/>
              </w:rPr>
            </w:pPr>
            <w:r w:rsidRPr="00FC4A49">
              <w:rPr>
                <w:lang w:val="en-GB"/>
              </w:rPr>
              <w:t>Text proposed by the Commission</w:t>
            </w:r>
          </w:p>
        </w:tc>
        <w:tc>
          <w:tcPr>
            <w:tcW w:w="4876" w:type="dxa"/>
          </w:tcPr>
          <w:p w:rsidR="00343C6C" w:rsidRPr="00FC4A49" w:rsidP="005D58F9" w14:paraId="457D7CC5" w14:textId="77777777">
            <w:pPr>
              <w:pStyle w:val="ColumnHeading"/>
              <w:keepNext/>
              <w:rPr>
                <w:lang w:val="en-GB"/>
              </w:rPr>
            </w:pPr>
            <w:r w:rsidRPr="00FC4A49">
              <w:rPr>
                <w:lang w:val="en-GB"/>
              </w:rPr>
              <w:t>Amendment</w:t>
            </w:r>
          </w:p>
        </w:tc>
      </w:tr>
      <w:tr w14:paraId="5081B5B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D84B13D" w14:textId="77777777">
            <w:pPr>
              <w:pStyle w:val="Normal6"/>
              <w:rPr>
                <w:lang w:val="en-GB"/>
              </w:rPr>
            </w:pPr>
          </w:p>
        </w:tc>
        <w:tc>
          <w:tcPr>
            <w:tcW w:w="4876" w:type="dxa"/>
          </w:tcPr>
          <w:p w:rsidR="00343C6C" w:rsidRPr="00FC4A49" w:rsidP="005D58F9" w14:paraId="66907FBF" w14:textId="77777777">
            <w:pPr>
              <w:pStyle w:val="Normal6"/>
              <w:rPr>
                <w:szCs w:val="24"/>
                <w:lang w:val="en-GB"/>
              </w:rPr>
            </w:pPr>
            <w:r w:rsidRPr="00FC4A49">
              <w:rPr>
                <w:b/>
                <w:i/>
                <w:lang w:val="en-GB"/>
              </w:rPr>
              <w:t>(12a)</w:t>
            </w:r>
            <w:r w:rsidRPr="00FC4A49">
              <w:rPr>
                <w:b/>
                <w:i/>
                <w:lang w:val="en-GB"/>
              </w:rPr>
              <w:tab/>
              <w:t xml:space="preserve">The geographical extension of EU aviation ETS will not, in itself, ensure fair </w:t>
            </w:r>
            <w:r w:rsidRPr="00FC4A49">
              <w:rPr>
                <w:b/>
                <w:i/>
                <w:lang w:val="en-GB"/>
              </w:rPr>
              <w:t xml:space="preserve">and equivalent conditions of competition between Union and third-country air </w:t>
            </w:r>
            <w:r w:rsidRPr="00FC4A49">
              <w:rPr>
                <w:b/>
                <w:i/>
                <w:lang w:val="en-GB"/>
              </w:rPr>
              <w:t>carriers.The</w:t>
            </w:r>
            <w:r w:rsidRPr="00FC4A49">
              <w:rPr>
                <w:b/>
                <w:i/>
                <w:lang w:val="en-GB"/>
              </w:rPr>
              <w:t xml:space="preserve"> geographical extension of the EU ETS should therefore be accompanied by complementary measures addressing the differences in regulatory costs and obligations between Union and third-country air carriers. Such measures could include a sustainable aviation fuel border adjustment mechanism (SAF-BAM) under Regulation (EU) 2023/2405 (</w:t>
            </w:r>
            <w:r w:rsidRPr="00FC4A49">
              <w:rPr>
                <w:b/>
                <w:i/>
                <w:lang w:val="en-GB"/>
              </w:rPr>
              <w:t>ReFuelEU</w:t>
            </w:r>
            <w:r w:rsidRPr="00FC4A49">
              <w:rPr>
                <w:b/>
                <w:i/>
                <w:lang w:val="en-GB"/>
              </w:rPr>
              <w:t xml:space="preserve"> Aviation), or an equivalent mechanism, while avoiding double counting and ensuring compliance with Union and international law.</w:t>
            </w:r>
          </w:p>
        </w:tc>
      </w:tr>
    </w:tbl>
    <w:p w:rsidR="00343C6C" w:rsidRPr="00FC4A49" w:rsidP="00343C6C" w14:paraId="1B2482C6"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2B9AB3D" w14:textId="77777777">
      <w:r w:rsidRPr="00FC4A49">
        <w:rPr>
          <w:rStyle w:val="HideTWBExt"/>
        </w:rPr>
        <w:t>&lt;/Amend&gt;</w:t>
      </w:r>
    </w:p>
    <w:p w:rsidR="00343C6C" w:rsidRPr="00FC4A49" w:rsidP="00343C6C" w14:paraId="3DFAEFAD"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134</w:t>
      </w:r>
      <w:r w:rsidRPr="00FC4A49">
        <w:rPr>
          <w:rStyle w:val="HideTWBExt"/>
          <w:b w:val="0"/>
          <w:lang w:val="en-GB"/>
        </w:rPr>
        <w:t>&lt;/NumAm&gt;</w:t>
      </w:r>
    </w:p>
    <w:p w:rsidR="00343C6C" w:rsidRPr="00FC4A49" w:rsidP="00343C6C" w14:paraId="5EC994F7"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7664AEC1" w14:textId="77777777">
      <w:r w:rsidRPr="00FC4A49">
        <w:rPr>
          <w:rStyle w:val="HideTWBExt"/>
        </w:rPr>
        <w:t>&lt;/RepeatBlock-By&gt;</w:t>
      </w:r>
    </w:p>
    <w:p w:rsidR="00343C6C" w:rsidRPr="00FC4A49" w:rsidP="00343C6C" w14:paraId="0F9118F4"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C76FF6A" w14:textId="77777777">
      <w:pPr>
        <w:pStyle w:val="NormalBold"/>
      </w:pPr>
      <w:r w:rsidRPr="00FC4A49">
        <w:rPr>
          <w:rStyle w:val="HideTWBExt"/>
          <w:b w:val="0"/>
        </w:rPr>
        <w:t>&lt;Article&gt;</w:t>
      </w:r>
      <w:r w:rsidRPr="00FC4A49">
        <w:t>Recital 13</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DED99E"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C3156E2" w14:textId="77777777">
            <w:pPr>
              <w:keepNext/>
            </w:pPr>
          </w:p>
        </w:tc>
      </w:tr>
      <w:tr w14:paraId="74A0E4A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F4F611C" w14:textId="77777777">
            <w:pPr>
              <w:pStyle w:val="ColumnHeading"/>
              <w:keepNext/>
              <w:rPr>
                <w:lang w:val="en-GB"/>
              </w:rPr>
            </w:pPr>
            <w:r w:rsidRPr="00FC4A49">
              <w:rPr>
                <w:lang w:val="en-GB"/>
              </w:rPr>
              <w:t>Text proposed by the Commission</w:t>
            </w:r>
          </w:p>
        </w:tc>
        <w:tc>
          <w:tcPr>
            <w:tcW w:w="4876" w:type="dxa"/>
          </w:tcPr>
          <w:p w:rsidR="00343C6C" w:rsidRPr="00FC4A49" w:rsidP="005D58F9" w14:paraId="734D396C" w14:textId="77777777">
            <w:pPr>
              <w:pStyle w:val="ColumnHeading"/>
              <w:keepNext/>
              <w:rPr>
                <w:lang w:val="en-GB"/>
              </w:rPr>
            </w:pPr>
            <w:r w:rsidRPr="00FC4A49">
              <w:rPr>
                <w:lang w:val="en-GB"/>
              </w:rPr>
              <w:t>Amendment</w:t>
            </w:r>
          </w:p>
        </w:tc>
      </w:tr>
      <w:tr w14:paraId="3E8DD60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B710E1F" w14:textId="77777777">
            <w:pPr>
              <w:pStyle w:val="Normal6"/>
              <w:rPr>
                <w:lang w:val="en-GB"/>
              </w:rPr>
            </w:pPr>
            <w:r w:rsidRPr="00FC4A49">
              <w:rPr>
                <w:b/>
                <w:i/>
                <w:lang w:val="en-GB"/>
              </w:rPr>
              <w:t>(13)</w:t>
            </w:r>
            <w:r w:rsidRPr="00FC4A49">
              <w:rPr>
                <w:b/>
                <w:i/>
                <w:lang w:val="en-GB"/>
              </w:rPr>
              <w:tab/>
              <w:t>Notwithstanding that the scope of carbon pricing is only extended partially from January 2029, the ETS support for alternative propulsion technologies and fuels should nonetheless be extended to all departing flights from that date. This maintains equal treatment on all routes departing from any aerodrome in the European Economic Area, and incentivises their rapid deployment.</w:t>
            </w:r>
          </w:p>
        </w:tc>
        <w:tc>
          <w:tcPr>
            <w:tcW w:w="4876" w:type="dxa"/>
          </w:tcPr>
          <w:p w:rsidR="00343C6C" w:rsidRPr="00FC4A49" w:rsidP="005D58F9" w14:paraId="1B37964D" w14:textId="77777777">
            <w:pPr>
              <w:pStyle w:val="Normal6"/>
              <w:rPr>
                <w:szCs w:val="24"/>
                <w:lang w:val="en-GB"/>
              </w:rPr>
            </w:pPr>
            <w:r w:rsidRPr="00FC4A49">
              <w:rPr>
                <w:b/>
                <w:i/>
                <w:lang w:val="en-GB"/>
              </w:rPr>
              <w:t>deleted</w:t>
            </w:r>
          </w:p>
        </w:tc>
      </w:tr>
    </w:tbl>
    <w:p w:rsidR="00343C6C" w:rsidRPr="00FC4A49" w:rsidP="00343C6C" w14:paraId="62596E89"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1BF2785B" w14:textId="77777777">
      <w:r w:rsidRPr="00FC4A49">
        <w:rPr>
          <w:rStyle w:val="HideTWBExt"/>
        </w:rPr>
        <w:t>&lt;/Amend&gt;</w:t>
      </w:r>
    </w:p>
    <w:p w:rsidR="00343C6C" w:rsidRPr="00FC4A49" w:rsidP="00343C6C" w14:paraId="3A753BEB"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135</w:t>
      </w:r>
      <w:r w:rsidRPr="00FC4A49">
        <w:rPr>
          <w:rStyle w:val="HideTWBExt"/>
          <w:b w:val="0"/>
          <w:lang w:val="en-GB"/>
        </w:rPr>
        <w:t>&lt;/NumAm&gt;</w:t>
      </w:r>
    </w:p>
    <w:p w:rsidR="00343C6C" w:rsidRPr="00FC4A49" w:rsidP="00343C6C" w14:paraId="3E88823C" w14:textId="77777777">
      <w:pPr>
        <w:pStyle w:val="NormalBold"/>
      </w:pPr>
      <w:r w:rsidRPr="00FC4A49">
        <w:rPr>
          <w:rStyle w:val="HideTWBExt"/>
          <w:b w:val="0"/>
        </w:rPr>
        <w:t>&lt;RepeatBlock-By&gt;&lt;Members&gt;</w:t>
      </w:r>
      <w:r w:rsidRPr="00FC4A49">
        <w:t>Katri Kulmuni</w:t>
      </w:r>
      <w:r w:rsidRPr="00FC4A49">
        <w:rPr>
          <w:rStyle w:val="HideTWBExt"/>
          <w:b w:val="0"/>
        </w:rPr>
        <w:t>&lt;/Members&gt;</w:t>
      </w:r>
    </w:p>
    <w:p w:rsidR="00343C6C" w:rsidRPr="00FC4A49" w:rsidP="00343C6C" w14:paraId="15F905CD" w14:textId="77777777">
      <w:r w:rsidRPr="00FC4A49">
        <w:rPr>
          <w:rStyle w:val="HideTWBExt"/>
        </w:rPr>
        <w:t>&lt;/RepeatBlock-By&gt;</w:t>
      </w:r>
    </w:p>
    <w:p w:rsidR="00343C6C" w:rsidRPr="00FC4A49" w:rsidP="00343C6C" w14:paraId="0D604053"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0906221" w14:textId="77777777">
      <w:pPr>
        <w:pStyle w:val="NormalBold"/>
      </w:pPr>
      <w:r w:rsidRPr="00FC4A49">
        <w:rPr>
          <w:rStyle w:val="HideTWBExt"/>
          <w:b w:val="0"/>
        </w:rPr>
        <w:t>&lt;Article&gt;</w:t>
      </w:r>
      <w:r w:rsidRPr="00FC4A49">
        <w:t>Recital 13</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5F5D78"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7E116BBE" w14:textId="77777777">
            <w:pPr>
              <w:keepNext/>
            </w:pPr>
          </w:p>
        </w:tc>
      </w:tr>
      <w:tr w14:paraId="0AEC7CB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E91B1C4" w14:textId="77777777">
            <w:pPr>
              <w:pStyle w:val="ColumnHeading"/>
              <w:keepNext/>
              <w:rPr>
                <w:lang w:val="en-GB"/>
              </w:rPr>
            </w:pPr>
            <w:r w:rsidRPr="00FC4A49">
              <w:rPr>
                <w:lang w:val="en-GB"/>
              </w:rPr>
              <w:t>Text proposed by the Commission</w:t>
            </w:r>
          </w:p>
        </w:tc>
        <w:tc>
          <w:tcPr>
            <w:tcW w:w="4876" w:type="dxa"/>
          </w:tcPr>
          <w:p w:rsidR="00343C6C" w:rsidRPr="00FC4A49" w:rsidP="005D58F9" w14:paraId="465D78B4" w14:textId="77777777">
            <w:pPr>
              <w:pStyle w:val="ColumnHeading"/>
              <w:keepNext/>
              <w:rPr>
                <w:lang w:val="en-GB"/>
              </w:rPr>
            </w:pPr>
            <w:r w:rsidRPr="00FC4A49">
              <w:rPr>
                <w:lang w:val="en-GB"/>
              </w:rPr>
              <w:t>Amendment</w:t>
            </w:r>
          </w:p>
        </w:tc>
      </w:tr>
      <w:tr w14:paraId="66A76AF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D7849F9" w14:textId="77777777">
            <w:pPr>
              <w:pStyle w:val="Normal6"/>
              <w:rPr>
                <w:lang w:val="en-GB"/>
              </w:rPr>
            </w:pPr>
            <w:r w:rsidRPr="00FC4A49">
              <w:rPr>
                <w:lang w:val="en-GB"/>
              </w:rPr>
              <w:t>(13)</w:t>
            </w:r>
            <w:r w:rsidRPr="00FC4A49">
              <w:rPr>
                <w:lang w:val="en-GB"/>
              </w:rPr>
              <w:tab/>
            </w:r>
            <w:r w:rsidRPr="00FC4A49">
              <w:rPr>
                <w:b/>
                <w:i/>
                <w:lang w:val="en-GB"/>
              </w:rPr>
              <w:t>Notwithstanding that the scope of carbon pricing is only extended partially from January 2029,</w:t>
            </w:r>
            <w:r w:rsidRPr="00FC4A49">
              <w:rPr>
                <w:lang w:val="en-GB"/>
              </w:rPr>
              <w:t xml:space="preserve"> the ETS support for alternative propulsion technologies and fuels should </w:t>
            </w:r>
            <w:r w:rsidRPr="00FC4A49">
              <w:rPr>
                <w:b/>
                <w:i/>
                <w:lang w:val="en-GB"/>
              </w:rPr>
              <w:t>nonetheless</w:t>
            </w:r>
            <w:r w:rsidRPr="00FC4A49">
              <w:rPr>
                <w:lang w:val="en-GB"/>
              </w:rPr>
              <w:t xml:space="preserve"> be extended </w:t>
            </w:r>
            <w:r w:rsidRPr="00FC4A49">
              <w:rPr>
                <w:b/>
                <w:i/>
                <w:lang w:val="en-GB"/>
              </w:rPr>
              <w:t>to all departing flights from that date</w:t>
            </w:r>
            <w:r w:rsidRPr="00FC4A49">
              <w:rPr>
                <w:lang w:val="en-GB"/>
              </w:rPr>
              <w:t>. This maintains equal treatment on all routes departing from any aerodrome in the European Economic Area, and incentivises their rapid deployment.</w:t>
            </w:r>
          </w:p>
        </w:tc>
        <w:tc>
          <w:tcPr>
            <w:tcW w:w="4876" w:type="dxa"/>
          </w:tcPr>
          <w:p w:rsidR="00343C6C" w:rsidRPr="00FC4A49" w:rsidP="005D58F9" w14:paraId="7ABAADB8" w14:textId="77777777">
            <w:pPr>
              <w:pStyle w:val="Normal6"/>
              <w:rPr>
                <w:szCs w:val="24"/>
                <w:lang w:val="en-GB"/>
              </w:rPr>
            </w:pPr>
            <w:r w:rsidRPr="00FC4A49">
              <w:rPr>
                <w:lang w:val="en-GB"/>
              </w:rPr>
              <w:t>(13)</w:t>
            </w:r>
            <w:r w:rsidRPr="00FC4A49">
              <w:rPr>
                <w:lang w:val="en-GB"/>
              </w:rPr>
              <w:tab/>
              <w:t xml:space="preserve">The ETS support for alternative propulsion technologies and fuels should be extended. This maintains equal treatment on all routes departing from any aerodrome in the European Economic </w:t>
            </w:r>
            <w:r w:rsidRPr="00FC4A49">
              <w:rPr>
                <w:lang w:val="en-GB"/>
              </w:rPr>
              <w:t>Area,and</w:t>
            </w:r>
            <w:r w:rsidRPr="00FC4A49">
              <w:rPr>
                <w:lang w:val="en-GB"/>
              </w:rPr>
              <w:t xml:space="preserve"> incentivises their rapid deployment.</w:t>
            </w:r>
          </w:p>
        </w:tc>
      </w:tr>
    </w:tbl>
    <w:p w:rsidR="00343C6C" w:rsidRPr="00FC4A49" w:rsidP="00343C6C" w14:paraId="3FC09BEB"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B2A53B2"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01D9BEE4" w14:textId="77777777">
      <w:pPr>
        <w:pStyle w:val="Normal12Italic"/>
        <w:rPr>
          <w:noProof w:val="0"/>
          <w:lang w:val="en-GB"/>
        </w:rPr>
      </w:pPr>
      <w:r w:rsidRPr="00FC4A49">
        <w:rPr>
          <w:noProof w:val="0"/>
          <w:lang w:val="en-GB"/>
        </w:rPr>
        <w:t>The reference to the extension of the scope should be removed from the recital.</w:t>
      </w:r>
    </w:p>
    <w:p w:rsidR="00343C6C" w:rsidRPr="00FC4A49" w:rsidP="00343C6C" w14:paraId="197CE189" w14:textId="77777777">
      <w:r w:rsidRPr="00FC4A49">
        <w:rPr>
          <w:rStyle w:val="HideTWBExt"/>
        </w:rPr>
        <w:t>&lt;/Amend&gt;</w:t>
      </w:r>
    </w:p>
    <w:p w:rsidR="00343C6C" w:rsidRPr="00FC4A49" w:rsidP="00343C6C" w14:paraId="2EDE798D"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136</w:t>
      </w:r>
      <w:r w:rsidRPr="00FC4A49">
        <w:rPr>
          <w:rStyle w:val="HideTWBExt"/>
          <w:b w:val="0"/>
          <w:lang w:val="en-GB"/>
        </w:rPr>
        <w:t>&lt;/NumAm&gt;</w:t>
      </w:r>
    </w:p>
    <w:p w:rsidR="00343C6C" w:rsidRPr="00FC4A49" w:rsidP="00343C6C" w14:paraId="27E9E25A"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529D5F26" w14:textId="77777777">
      <w:r w:rsidRPr="00FC4A49">
        <w:rPr>
          <w:rStyle w:val="HideTWBExt"/>
        </w:rPr>
        <w:t>&lt;/RepeatBlock-By&gt;</w:t>
      </w:r>
    </w:p>
    <w:p w:rsidR="00343C6C" w:rsidRPr="00FC4A49" w:rsidP="00343C6C" w14:paraId="7A582771"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2EE16CF" w14:textId="77777777">
      <w:pPr>
        <w:pStyle w:val="NormalBold"/>
      </w:pPr>
      <w:r w:rsidRPr="00FC4A49">
        <w:rPr>
          <w:rStyle w:val="HideTWBExt"/>
          <w:b w:val="0"/>
        </w:rPr>
        <w:t>&lt;Article&gt;</w:t>
      </w:r>
      <w:r w:rsidRPr="00FC4A49">
        <w:t>Recital 13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03FFD0"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2EDC750" w14:textId="77777777">
            <w:pPr>
              <w:keepNext/>
            </w:pPr>
          </w:p>
        </w:tc>
      </w:tr>
      <w:tr w14:paraId="6C80D0D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F798770" w14:textId="77777777">
            <w:pPr>
              <w:pStyle w:val="ColumnHeading"/>
              <w:keepNext/>
              <w:rPr>
                <w:lang w:val="en-GB"/>
              </w:rPr>
            </w:pPr>
            <w:r w:rsidRPr="00FC4A49">
              <w:rPr>
                <w:lang w:val="en-GB"/>
              </w:rPr>
              <w:t>Text proposed by the Commission</w:t>
            </w:r>
          </w:p>
        </w:tc>
        <w:tc>
          <w:tcPr>
            <w:tcW w:w="4876" w:type="dxa"/>
          </w:tcPr>
          <w:p w:rsidR="00343C6C" w:rsidRPr="00FC4A49" w:rsidP="005D58F9" w14:paraId="444D81FE" w14:textId="77777777">
            <w:pPr>
              <w:pStyle w:val="ColumnHeading"/>
              <w:keepNext/>
              <w:rPr>
                <w:lang w:val="en-GB"/>
              </w:rPr>
            </w:pPr>
            <w:r w:rsidRPr="00FC4A49">
              <w:rPr>
                <w:lang w:val="en-GB"/>
              </w:rPr>
              <w:t>Amendment</w:t>
            </w:r>
          </w:p>
        </w:tc>
      </w:tr>
      <w:tr w14:paraId="35E7818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4D92466" w14:textId="77777777">
            <w:pPr>
              <w:pStyle w:val="Normal6"/>
              <w:rPr>
                <w:lang w:val="en-GB"/>
              </w:rPr>
            </w:pPr>
          </w:p>
        </w:tc>
        <w:tc>
          <w:tcPr>
            <w:tcW w:w="4876" w:type="dxa"/>
          </w:tcPr>
          <w:p w:rsidR="00343C6C" w:rsidRPr="00FC4A49" w:rsidP="005D58F9" w14:paraId="3956116E" w14:textId="77777777">
            <w:pPr>
              <w:pStyle w:val="Normal6"/>
              <w:rPr>
                <w:szCs w:val="24"/>
                <w:lang w:val="en-GB"/>
              </w:rPr>
            </w:pPr>
            <w:r w:rsidRPr="00FC4A49">
              <w:rPr>
                <w:b/>
                <w:i/>
                <w:lang w:val="en-GB"/>
              </w:rPr>
              <w:t>(13a)</w:t>
            </w:r>
            <w:r w:rsidRPr="00FC4A49">
              <w:rPr>
                <w:b/>
                <w:i/>
                <w:lang w:val="en-GB"/>
              </w:rPr>
              <w:tab/>
              <w:t>In view of the magnitude of the climate impact of contrails, which is at least as big as the impact of aviation’s CO₂ emissions, and given that the cost of contrail avoidance is remarkably low, ranging between 5 and 25€/t CO</w:t>
            </w:r>
            <w:r w:rsidRPr="00FC4A49">
              <w:rPr>
                <w:b/>
                <w:i/>
                <w:vertAlign w:val="subscript"/>
                <w:lang w:val="en-GB"/>
              </w:rPr>
              <w:t>2</w:t>
            </w:r>
            <w:r w:rsidRPr="00FC4A49">
              <w:rPr>
                <w:b/>
                <w:i/>
                <w:lang w:val="en-GB"/>
              </w:rPr>
              <w:t>, the obligation for operators to surrender allowances should be extended to climate impacts from contrails by 1 January 2029 pursuant to Article 12(3)(bb) of Directive 2003/87/EC. Less than 3% of flights worldwide generated 80% of contrail warming in 2019, and avoiding contrails by making small adjustments to flight paths is a cost-effective mitigation strategy that would increase ticket prices by 1% or less.</w:t>
            </w:r>
          </w:p>
        </w:tc>
      </w:tr>
    </w:tbl>
    <w:p w:rsidR="00343C6C" w:rsidRPr="00FC4A49" w:rsidP="00343C6C" w14:paraId="0D60E659"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97190B0" w14:textId="77777777">
      <w:r w:rsidRPr="00FC4A49">
        <w:rPr>
          <w:rStyle w:val="HideTWBExt"/>
        </w:rPr>
        <w:t>&lt;/Amend&gt;</w:t>
      </w:r>
    </w:p>
    <w:p w:rsidR="00343C6C" w:rsidRPr="00FC4A49" w:rsidP="00343C6C" w14:paraId="30A5CB6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137</w:t>
      </w:r>
      <w:r w:rsidRPr="00FC4A49">
        <w:rPr>
          <w:rStyle w:val="HideTWBExt"/>
          <w:b w:val="0"/>
          <w:lang w:val="en-GB"/>
        </w:rPr>
        <w:t>&lt;/NumAm&gt;</w:t>
      </w:r>
    </w:p>
    <w:p w:rsidR="00343C6C" w:rsidRPr="00FC4A49" w:rsidP="00343C6C" w14:paraId="6377F9FD" w14:textId="77777777">
      <w:pPr>
        <w:pStyle w:val="NormalBold"/>
      </w:pPr>
      <w:r w:rsidRPr="00FC4A49">
        <w:rPr>
          <w:rStyle w:val="HideTWBExt"/>
          <w:b w:val="0"/>
        </w:rPr>
        <w:t>&lt;RepeatBlock-By&gt;&lt;Members&gt;</w:t>
      </w:r>
      <w:r w:rsidRPr="00FC4A49">
        <w:t xml:space="preserve">Andreas Glück, Jan-Christoph Oetjen, Jeannette </w:t>
      </w:r>
      <w:r w:rsidRPr="00FC4A49">
        <w:t>Baljeu</w:t>
      </w:r>
      <w:r w:rsidRPr="00FC4A49">
        <w:rPr>
          <w:rStyle w:val="HideTWBExt"/>
          <w:b w:val="0"/>
        </w:rPr>
        <w:t>&lt;/Members&gt;</w:t>
      </w:r>
    </w:p>
    <w:p w:rsidR="00343C6C" w:rsidRPr="00FC4A49" w:rsidP="00343C6C" w14:paraId="0CBE5021" w14:textId="77777777">
      <w:r w:rsidRPr="00FC4A49">
        <w:rPr>
          <w:rStyle w:val="HideTWBExt"/>
        </w:rPr>
        <w:t>&lt;/RepeatBlock-By&gt;</w:t>
      </w:r>
    </w:p>
    <w:p w:rsidR="00343C6C" w:rsidRPr="00FC4A49" w:rsidP="00343C6C" w14:paraId="7C14C712"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425E983" w14:textId="77777777">
      <w:pPr>
        <w:pStyle w:val="NormalBold"/>
      </w:pPr>
      <w:r w:rsidRPr="00FC4A49">
        <w:rPr>
          <w:rStyle w:val="HideTWBExt"/>
          <w:b w:val="0"/>
        </w:rPr>
        <w:t>&lt;Article&gt;</w:t>
      </w:r>
      <w:r w:rsidRPr="00FC4A49">
        <w:t>Recital 13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7F3E73"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7D7C16AF" w14:textId="77777777">
            <w:pPr>
              <w:keepNext/>
            </w:pPr>
          </w:p>
        </w:tc>
      </w:tr>
      <w:tr w14:paraId="3AC9AC8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88B7374" w14:textId="77777777">
            <w:pPr>
              <w:pStyle w:val="ColumnHeading"/>
              <w:keepNext/>
              <w:rPr>
                <w:lang w:val="en-GB"/>
              </w:rPr>
            </w:pPr>
            <w:r w:rsidRPr="00FC4A49">
              <w:rPr>
                <w:lang w:val="en-GB"/>
              </w:rPr>
              <w:t>Text proposed by the Commission</w:t>
            </w:r>
          </w:p>
        </w:tc>
        <w:tc>
          <w:tcPr>
            <w:tcW w:w="4876" w:type="dxa"/>
          </w:tcPr>
          <w:p w:rsidR="00343C6C" w:rsidRPr="00FC4A49" w:rsidP="005D58F9" w14:paraId="78D91363" w14:textId="77777777">
            <w:pPr>
              <w:pStyle w:val="ColumnHeading"/>
              <w:keepNext/>
              <w:rPr>
                <w:lang w:val="en-GB"/>
              </w:rPr>
            </w:pPr>
            <w:r w:rsidRPr="00FC4A49">
              <w:rPr>
                <w:lang w:val="en-GB"/>
              </w:rPr>
              <w:t>Amendment</w:t>
            </w:r>
          </w:p>
        </w:tc>
      </w:tr>
      <w:tr w14:paraId="1871625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5ECC914" w14:textId="77777777">
            <w:pPr>
              <w:pStyle w:val="Normal6"/>
              <w:rPr>
                <w:lang w:val="en-GB"/>
              </w:rPr>
            </w:pPr>
          </w:p>
        </w:tc>
        <w:tc>
          <w:tcPr>
            <w:tcW w:w="4876" w:type="dxa"/>
          </w:tcPr>
          <w:p w:rsidR="00343C6C" w:rsidRPr="00FC4A49" w:rsidP="005D58F9" w14:paraId="47EADEC7" w14:textId="77777777">
            <w:pPr>
              <w:pStyle w:val="Normal6"/>
              <w:rPr>
                <w:szCs w:val="24"/>
                <w:lang w:val="en-GB"/>
              </w:rPr>
            </w:pPr>
            <w:r w:rsidRPr="00FC4A49">
              <w:rPr>
                <w:b/>
                <w:i/>
                <w:lang w:val="en-GB"/>
              </w:rPr>
              <w:t>(13a)</w:t>
            </w:r>
            <w:r w:rsidRPr="00FC4A49">
              <w:rPr>
                <w:b/>
                <w:i/>
                <w:lang w:val="en-GB"/>
              </w:rPr>
              <w:tab/>
              <w:t xml:space="preserve">Extending the scope of the EU ETS alone does not fully address the competitive disadvantages faced by Union airlines and hubs due to the additional costs resulting from the </w:t>
            </w:r>
            <w:r w:rsidRPr="00FC4A49">
              <w:rPr>
                <w:b/>
                <w:i/>
                <w:lang w:val="en-GB"/>
              </w:rPr>
              <w:t>ReFuelEU</w:t>
            </w:r>
            <w:r w:rsidRPr="00FC4A49">
              <w:rPr>
                <w:b/>
                <w:i/>
                <w:lang w:val="en-GB"/>
              </w:rPr>
              <w:t xml:space="preserve"> Aviation mandates. The Commission should therefore continue to assess and develop appropriate measures to ensure a level playing field between Union and non-Union airlines and hubs, taking particular account of differences in SAF obligations and the associated costs.</w:t>
            </w:r>
          </w:p>
        </w:tc>
      </w:tr>
    </w:tbl>
    <w:p w:rsidR="00343C6C" w:rsidRPr="00FC4A49" w:rsidP="00343C6C" w14:paraId="50D59817"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D387BF4" w14:textId="77777777">
      <w:r w:rsidRPr="00FC4A49">
        <w:rPr>
          <w:rStyle w:val="HideTWBExt"/>
        </w:rPr>
        <w:t>&lt;/Amend&gt;</w:t>
      </w:r>
    </w:p>
    <w:p w:rsidR="00343C6C" w:rsidRPr="00FC4A49" w:rsidP="00343C6C" w14:paraId="70952EDF"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138</w:t>
      </w:r>
      <w:r w:rsidRPr="00FC4A49">
        <w:rPr>
          <w:rStyle w:val="HideTWBExt"/>
          <w:b w:val="0"/>
          <w:lang w:val="en-GB"/>
        </w:rPr>
        <w:t>&lt;/NumAm&gt;</w:t>
      </w:r>
    </w:p>
    <w:p w:rsidR="00343C6C" w:rsidRPr="00FC4A49" w:rsidP="00343C6C" w14:paraId="26340604" w14:textId="77777777">
      <w:pPr>
        <w:pStyle w:val="NormalBold"/>
      </w:pPr>
      <w:r w:rsidRPr="00FC4A49">
        <w:rPr>
          <w:rStyle w:val="HideTWBExt"/>
          <w:b w:val="0"/>
        </w:rPr>
        <w:t>&lt;RepeatBlock-By&gt;&lt;Members&gt;</w:t>
      </w:r>
      <w:r w:rsidRPr="00FC4A49">
        <w:t xml:space="preserve">Emma Wiesner, Pascal Canfin, Yvan </w:t>
      </w:r>
      <w:r w:rsidRPr="00FC4A49">
        <w:t>Verougstraete</w:t>
      </w:r>
      <w:r w:rsidRPr="00FC4A49">
        <w:t>, Jan-Christoph Oetjen, Anna Stürgkh, Katri Kulmuni, Jeannette Baljeu</w:t>
      </w:r>
      <w:r w:rsidRPr="00FC4A49">
        <w:rPr>
          <w:rStyle w:val="HideTWBExt"/>
          <w:b w:val="0"/>
        </w:rPr>
        <w:t>&lt;/Members&gt;</w:t>
      </w:r>
    </w:p>
    <w:p w:rsidR="00343C6C" w:rsidRPr="00FC4A49" w:rsidP="00343C6C" w14:paraId="34D79B99" w14:textId="77777777">
      <w:r w:rsidRPr="00FC4A49">
        <w:rPr>
          <w:rStyle w:val="HideTWBExt"/>
        </w:rPr>
        <w:t>&lt;/RepeatBlock-By&gt;</w:t>
      </w:r>
    </w:p>
    <w:p w:rsidR="00343C6C" w:rsidRPr="00FC4A49" w:rsidP="00343C6C" w14:paraId="4E7915BF"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6442013" w14:textId="77777777">
      <w:pPr>
        <w:pStyle w:val="NormalBold"/>
      </w:pPr>
      <w:r w:rsidRPr="00FC4A49">
        <w:rPr>
          <w:rStyle w:val="HideTWBExt"/>
          <w:b w:val="0"/>
        </w:rPr>
        <w:t>&lt;Article&gt;</w:t>
      </w:r>
      <w:r w:rsidRPr="00FC4A49">
        <w:t>Recital 13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6439E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E8F2AA7" w14:textId="77777777">
            <w:pPr>
              <w:keepNext/>
            </w:pPr>
          </w:p>
        </w:tc>
      </w:tr>
      <w:tr w14:paraId="1A3F376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10D7E8C" w14:textId="77777777">
            <w:pPr>
              <w:pStyle w:val="ColumnHeading"/>
              <w:keepNext/>
              <w:rPr>
                <w:lang w:val="en-GB"/>
              </w:rPr>
            </w:pPr>
            <w:r w:rsidRPr="00FC4A49">
              <w:rPr>
                <w:lang w:val="en-GB"/>
              </w:rPr>
              <w:t>Text proposed by the Commission</w:t>
            </w:r>
          </w:p>
        </w:tc>
        <w:tc>
          <w:tcPr>
            <w:tcW w:w="4876" w:type="dxa"/>
          </w:tcPr>
          <w:p w:rsidR="00343C6C" w:rsidRPr="00FC4A49" w:rsidP="005D58F9" w14:paraId="0DBCACD6" w14:textId="77777777">
            <w:pPr>
              <w:pStyle w:val="ColumnHeading"/>
              <w:keepNext/>
              <w:rPr>
                <w:lang w:val="en-GB"/>
              </w:rPr>
            </w:pPr>
            <w:r w:rsidRPr="00FC4A49">
              <w:rPr>
                <w:lang w:val="en-GB"/>
              </w:rPr>
              <w:t>Amendment</w:t>
            </w:r>
          </w:p>
        </w:tc>
      </w:tr>
      <w:tr w14:paraId="7578372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63D43F6" w14:textId="77777777">
            <w:pPr>
              <w:pStyle w:val="Normal6"/>
              <w:rPr>
                <w:lang w:val="en-GB"/>
              </w:rPr>
            </w:pPr>
          </w:p>
        </w:tc>
        <w:tc>
          <w:tcPr>
            <w:tcW w:w="4876" w:type="dxa"/>
          </w:tcPr>
          <w:p w:rsidR="00343C6C" w:rsidRPr="00FC4A49" w:rsidP="005D58F9" w14:paraId="7764EA2A" w14:textId="77777777">
            <w:pPr>
              <w:pStyle w:val="Normal6"/>
              <w:rPr>
                <w:szCs w:val="24"/>
                <w:lang w:val="en-GB"/>
              </w:rPr>
            </w:pPr>
            <w:r w:rsidRPr="00FC4A49">
              <w:rPr>
                <w:b/>
                <w:i/>
                <w:lang w:val="en-GB"/>
              </w:rPr>
              <w:t>(13a)</w:t>
            </w:r>
            <w:r w:rsidRPr="00FC4A49">
              <w:rPr>
                <w:b/>
                <w:i/>
                <w:lang w:val="en-GB"/>
              </w:rPr>
              <w:tab/>
              <w:t xml:space="preserve">Extending the scope of the EU ETS alone does not fully address the costs faced by Union airlines and hubs due to obligations resulting from the </w:t>
            </w:r>
            <w:r w:rsidRPr="00FC4A49">
              <w:rPr>
                <w:b/>
                <w:i/>
                <w:lang w:val="en-GB"/>
              </w:rPr>
              <w:t>ReFuelEU</w:t>
            </w:r>
            <w:r w:rsidRPr="00FC4A49">
              <w:rPr>
                <w:b/>
                <w:i/>
                <w:lang w:val="en-GB"/>
              </w:rPr>
              <w:t xml:space="preserve"> Aviation. The Commission should therefore continue to assess and develop appropriate measures to ensure a level playing field between Union and non-Union airlines and hubs.</w:t>
            </w:r>
          </w:p>
        </w:tc>
      </w:tr>
    </w:tbl>
    <w:p w:rsidR="00343C6C" w:rsidRPr="00FC4A49" w:rsidP="00343C6C" w14:paraId="1FE7E02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D8F190D" w14:textId="77777777">
      <w:r w:rsidRPr="00FC4A49">
        <w:rPr>
          <w:rStyle w:val="HideTWBExt"/>
        </w:rPr>
        <w:t>&lt;/Amend&gt;</w:t>
      </w:r>
    </w:p>
    <w:p w:rsidR="00343C6C" w:rsidRPr="00FC4A49" w:rsidP="00343C6C" w14:paraId="77E68BDF"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139</w:t>
      </w:r>
      <w:r w:rsidRPr="00FC4A49">
        <w:rPr>
          <w:rStyle w:val="HideTWBExt"/>
          <w:b w:val="0"/>
          <w:lang w:val="en-GB"/>
        </w:rPr>
        <w:t>&lt;/NumAm&gt;</w:t>
      </w:r>
    </w:p>
    <w:p w:rsidR="00343C6C" w:rsidRPr="00FC4A49" w:rsidP="00343C6C" w14:paraId="6290D947" w14:textId="77777777">
      <w:pPr>
        <w:pStyle w:val="NormalBold"/>
      </w:pPr>
      <w:r w:rsidRPr="00FC4A49">
        <w:rPr>
          <w:rStyle w:val="HideTWBExt"/>
          <w:b w:val="0"/>
        </w:rPr>
        <w:t>&lt;RepeatBlock-By&gt;&lt;Members&gt;</w:t>
      </w:r>
      <w:r w:rsidRPr="00FC4A49">
        <w:t xml:space="preserve">Andreas Glück, Jan-Christoph Oetjen, Jeannette </w:t>
      </w:r>
      <w:r w:rsidRPr="00FC4A49">
        <w:t>Baljeu</w:t>
      </w:r>
      <w:r w:rsidRPr="00FC4A49">
        <w:rPr>
          <w:rStyle w:val="HideTWBExt"/>
          <w:b w:val="0"/>
        </w:rPr>
        <w:t>&lt;/Members&gt;</w:t>
      </w:r>
    </w:p>
    <w:p w:rsidR="00343C6C" w:rsidRPr="00FC4A49" w:rsidP="00343C6C" w14:paraId="69EC6EF4" w14:textId="77777777">
      <w:r w:rsidRPr="00FC4A49">
        <w:rPr>
          <w:rStyle w:val="HideTWBExt"/>
        </w:rPr>
        <w:t>&lt;/RepeatBlock-By&gt;</w:t>
      </w:r>
    </w:p>
    <w:p w:rsidR="00343C6C" w:rsidRPr="00FC4A49" w:rsidP="00343C6C" w14:paraId="2E6971A4"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E3962BE" w14:textId="77777777">
      <w:pPr>
        <w:pStyle w:val="NormalBold"/>
      </w:pPr>
      <w:r w:rsidRPr="00FC4A49">
        <w:rPr>
          <w:rStyle w:val="HideTWBExt"/>
          <w:b w:val="0"/>
        </w:rPr>
        <w:t>&lt;Article&gt;</w:t>
      </w:r>
      <w:r w:rsidRPr="00FC4A49">
        <w:t>Recital 13 b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40F46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A8DD56A" w14:textId="77777777">
            <w:pPr>
              <w:keepNext/>
            </w:pPr>
          </w:p>
        </w:tc>
      </w:tr>
      <w:tr w14:paraId="0FF847A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CEE379E" w14:textId="77777777">
            <w:pPr>
              <w:pStyle w:val="ColumnHeading"/>
              <w:keepNext/>
              <w:rPr>
                <w:lang w:val="en-GB"/>
              </w:rPr>
            </w:pPr>
            <w:r w:rsidRPr="00FC4A49">
              <w:rPr>
                <w:lang w:val="en-GB"/>
              </w:rPr>
              <w:t>Text proposed by the Commission</w:t>
            </w:r>
          </w:p>
        </w:tc>
        <w:tc>
          <w:tcPr>
            <w:tcW w:w="4876" w:type="dxa"/>
          </w:tcPr>
          <w:p w:rsidR="00343C6C" w:rsidRPr="00FC4A49" w:rsidP="005D58F9" w14:paraId="49D87473" w14:textId="77777777">
            <w:pPr>
              <w:pStyle w:val="ColumnHeading"/>
              <w:keepNext/>
              <w:rPr>
                <w:lang w:val="en-GB"/>
              </w:rPr>
            </w:pPr>
            <w:r w:rsidRPr="00FC4A49">
              <w:rPr>
                <w:lang w:val="en-GB"/>
              </w:rPr>
              <w:t>Amendment</w:t>
            </w:r>
          </w:p>
        </w:tc>
      </w:tr>
      <w:tr w14:paraId="6102619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2E0BBE3" w14:textId="77777777">
            <w:pPr>
              <w:pStyle w:val="Normal6"/>
              <w:rPr>
                <w:lang w:val="en-GB"/>
              </w:rPr>
            </w:pPr>
          </w:p>
        </w:tc>
        <w:tc>
          <w:tcPr>
            <w:tcW w:w="4876" w:type="dxa"/>
          </w:tcPr>
          <w:p w:rsidR="00343C6C" w:rsidRPr="00FC4A49" w:rsidP="005D58F9" w14:paraId="4294C97C" w14:textId="77777777">
            <w:pPr>
              <w:pStyle w:val="Normal6"/>
              <w:rPr>
                <w:szCs w:val="24"/>
                <w:lang w:val="en-GB"/>
              </w:rPr>
            </w:pPr>
            <w:r w:rsidRPr="00FC4A49">
              <w:rPr>
                <w:b/>
                <w:i/>
                <w:lang w:val="en-GB"/>
              </w:rPr>
              <w:t>(13b)</w:t>
            </w:r>
            <w:r w:rsidRPr="00FC4A49">
              <w:rPr>
                <w:b/>
                <w:i/>
                <w:lang w:val="en-GB"/>
              </w:rPr>
              <w:tab/>
              <w:t>Large-scale trials are needed to advance scientific knowledge about contrail avoidance and ultimately mitigate the climate impact of aviation. Such trials allow to transition from isolated single-flight tests to an airspace-wide approach based on hundreds of flights simultaneously. They also make it possible to improve the model’s accuracy, align fragmented methodologies and assess operational feasibility without compromising safety, while taking account of the congested European airspace.</w:t>
            </w:r>
          </w:p>
        </w:tc>
      </w:tr>
    </w:tbl>
    <w:p w:rsidR="00343C6C" w:rsidRPr="00FC4A49" w:rsidP="00343C6C" w14:paraId="33673CB1"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A9033C9" w14:textId="77777777">
      <w:r w:rsidRPr="00FC4A49">
        <w:rPr>
          <w:rStyle w:val="HideTWBExt"/>
        </w:rPr>
        <w:t>&lt;/Amend&gt;</w:t>
      </w:r>
    </w:p>
    <w:p w:rsidR="00343C6C" w:rsidRPr="00FC4A49" w:rsidP="00343C6C" w14:paraId="146E819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140</w:t>
      </w:r>
      <w:r w:rsidRPr="00FC4A49">
        <w:rPr>
          <w:rStyle w:val="HideTWBExt"/>
          <w:b w:val="0"/>
          <w:lang w:val="en-GB"/>
        </w:rPr>
        <w:t>&lt;/NumAm&gt;</w:t>
      </w:r>
    </w:p>
    <w:p w:rsidR="00343C6C" w:rsidRPr="00FC4A49" w:rsidP="00343C6C" w14:paraId="6E6D3100"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6DFDB5F9" w14:textId="77777777">
      <w:r w:rsidRPr="00FC4A49">
        <w:rPr>
          <w:rStyle w:val="HideTWBExt"/>
        </w:rPr>
        <w:t>&lt;/RepeatBlock-By&gt;</w:t>
      </w:r>
    </w:p>
    <w:p w:rsidR="00343C6C" w:rsidRPr="00FC4A49" w:rsidP="00343C6C" w14:paraId="393AFDBB"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724B48B" w14:textId="77777777">
      <w:pPr>
        <w:pStyle w:val="NormalBold"/>
      </w:pPr>
      <w:r w:rsidRPr="00FC4A49">
        <w:rPr>
          <w:rStyle w:val="HideTWBExt"/>
          <w:b w:val="0"/>
        </w:rPr>
        <w:t>&lt;Article&gt;</w:t>
      </w:r>
      <w:r w:rsidRPr="00FC4A49">
        <w:t>Recital 14</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66AFD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62F0885" w14:textId="77777777">
            <w:pPr>
              <w:keepNext/>
            </w:pPr>
          </w:p>
        </w:tc>
      </w:tr>
      <w:tr w14:paraId="7E94AB9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F7540B9" w14:textId="77777777">
            <w:pPr>
              <w:pStyle w:val="ColumnHeading"/>
              <w:keepNext/>
              <w:rPr>
                <w:lang w:val="en-GB"/>
              </w:rPr>
            </w:pPr>
            <w:r w:rsidRPr="00FC4A49">
              <w:rPr>
                <w:lang w:val="en-GB"/>
              </w:rPr>
              <w:t>Text proposed by the Commission</w:t>
            </w:r>
          </w:p>
        </w:tc>
        <w:tc>
          <w:tcPr>
            <w:tcW w:w="4876" w:type="dxa"/>
          </w:tcPr>
          <w:p w:rsidR="00343C6C" w:rsidRPr="00FC4A49" w:rsidP="005D58F9" w14:paraId="7040BCB7" w14:textId="77777777">
            <w:pPr>
              <w:pStyle w:val="ColumnHeading"/>
              <w:keepNext/>
              <w:rPr>
                <w:lang w:val="en-GB"/>
              </w:rPr>
            </w:pPr>
            <w:r w:rsidRPr="00FC4A49">
              <w:rPr>
                <w:lang w:val="en-GB"/>
              </w:rPr>
              <w:t>Amendment</w:t>
            </w:r>
          </w:p>
        </w:tc>
      </w:tr>
      <w:tr w14:paraId="2A729B6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886D9E1" w14:textId="77777777">
            <w:pPr>
              <w:pStyle w:val="Normal6"/>
              <w:rPr>
                <w:lang w:val="en-GB"/>
              </w:rPr>
            </w:pPr>
            <w:r w:rsidRPr="00FC4A49">
              <w:rPr>
                <w:lang w:val="en-GB"/>
              </w:rPr>
              <w:t>(14)</w:t>
            </w:r>
            <w:r w:rsidRPr="00FC4A49">
              <w:rPr>
                <w:lang w:val="en-GB"/>
              </w:rPr>
              <w:tab/>
              <w:t xml:space="preserve">To reduce aviation’s total climate impacts, the support mechanism referred to in Article 3c(6) of Directive 2003/87/EC should also support cost-effective approaches. The use of contrail forecasting models to support cost-effective mitigation of contrails (also known as condensation trails) offers a low-cost complement to other approaches supported by this mechanism. It should rely on a limited share of the number of allowances reserved for the purposes provided for in Article 3c(6). The mechanism should be complementary to the monitoring, </w:t>
            </w:r>
            <w:r w:rsidRPr="00FC4A49">
              <w:rPr>
                <w:lang w:val="en-GB"/>
              </w:rPr>
              <w:t>reporting and verification framework for non-CO₂ aviation effects pursuant to Article 14(5) of that Directive.</w:t>
            </w:r>
          </w:p>
        </w:tc>
        <w:tc>
          <w:tcPr>
            <w:tcW w:w="4876" w:type="dxa"/>
          </w:tcPr>
          <w:p w:rsidR="00343C6C" w:rsidRPr="00FC4A49" w:rsidP="005D58F9" w14:paraId="58615E7C" w14:textId="77777777">
            <w:pPr>
              <w:pStyle w:val="Normal6"/>
              <w:rPr>
                <w:szCs w:val="24"/>
                <w:lang w:val="en-GB"/>
              </w:rPr>
            </w:pPr>
            <w:r w:rsidRPr="00FC4A49">
              <w:rPr>
                <w:lang w:val="en-GB"/>
              </w:rPr>
              <w:t>(14)</w:t>
            </w:r>
            <w:r w:rsidRPr="00FC4A49">
              <w:rPr>
                <w:lang w:val="en-GB"/>
              </w:rPr>
              <w:tab/>
              <w:t xml:space="preserve">To reduce aviation’s total climate impacts, the support mechanism referred to in Article 3c(6) of Directive 2003/87/EC should also support cost-effective approaches. The use of contrail forecasting models to support cost-effective mitigation of contrails (also known as condensation trails) offers a low-cost complement to other approaches supported by this mechanism. It should rely on a limited share of the number of allowances reserved for the purposes provided for in Article 3c(6). The mechanism should be complementary to the </w:t>
            </w:r>
            <w:r w:rsidRPr="00FC4A49">
              <w:rPr>
                <w:b/>
                <w:i/>
                <w:lang w:val="en-GB"/>
              </w:rPr>
              <w:t xml:space="preserve">obligation for </w:t>
            </w:r>
            <w:r w:rsidRPr="00FC4A49">
              <w:rPr>
                <w:b/>
                <w:i/>
                <w:lang w:val="en-GB"/>
              </w:rPr>
              <w:t>operators to surrender allowances for the climate impacts from contrails starting on 1 January 2029 pursuant to Article 12(3)(bb) of that Directive and to the</w:t>
            </w:r>
            <w:r w:rsidRPr="00FC4A49">
              <w:rPr>
                <w:lang w:val="en-GB"/>
              </w:rPr>
              <w:t xml:space="preserve"> monitoring, reporting and verification framework for non-CO₂ aviation effects pursuant to Article 14(5) of that Directive.</w:t>
            </w:r>
          </w:p>
        </w:tc>
      </w:tr>
    </w:tbl>
    <w:p w:rsidR="00343C6C" w:rsidRPr="00804E2D" w:rsidP="00343C6C" w14:paraId="09C0AEE4" w14:textId="77777777">
      <w:pPr>
        <w:pStyle w:val="Olang"/>
        <w:rPr>
          <w:lang w:val="sv-SE"/>
        </w:rPr>
      </w:pPr>
      <w:r w:rsidRPr="00804E2D">
        <w:rPr>
          <w:lang w:val="sv-SE"/>
        </w:rPr>
        <w:t xml:space="preserve">Or. </w:t>
      </w:r>
      <w:r w:rsidRPr="00804E2D">
        <w:rPr>
          <w:rStyle w:val="HideTWBExt"/>
          <w:lang w:val="sv-SE"/>
        </w:rPr>
        <w:t>&lt;Original&gt;</w:t>
      </w:r>
      <w:r w:rsidRPr="00804E2D">
        <w:rPr>
          <w:rStyle w:val="HideTWBInt"/>
          <w:lang w:val="sv-SE"/>
        </w:rPr>
        <w:t>{EN}</w:t>
      </w:r>
      <w:r w:rsidRPr="00804E2D">
        <w:rPr>
          <w:lang w:val="sv-SE"/>
        </w:rPr>
        <w:t>en</w:t>
      </w:r>
      <w:r w:rsidRPr="00804E2D">
        <w:rPr>
          <w:rStyle w:val="HideTWBExt"/>
          <w:lang w:val="sv-SE"/>
        </w:rPr>
        <w:t>&lt;/Original&gt;</w:t>
      </w:r>
    </w:p>
    <w:p w:rsidR="00343C6C" w:rsidRPr="00804E2D" w:rsidP="00343C6C" w14:paraId="40020698" w14:textId="77777777">
      <w:pPr>
        <w:rPr>
          <w:lang w:val="sv-SE"/>
        </w:rPr>
      </w:pPr>
      <w:r w:rsidRPr="00804E2D">
        <w:rPr>
          <w:rStyle w:val="HideTWBExt"/>
          <w:lang w:val="sv-SE"/>
        </w:rPr>
        <w:t>&lt;/Amend&gt;</w:t>
      </w:r>
    </w:p>
    <w:p w:rsidR="00343C6C" w:rsidRPr="00804E2D" w:rsidP="00343C6C" w14:paraId="7F991969" w14:textId="77777777">
      <w:pPr>
        <w:pStyle w:val="AMNumberTabs0"/>
        <w:keepNext/>
        <w:rPr>
          <w:lang w:val="sv-SE"/>
        </w:rPr>
      </w:pPr>
      <w:r w:rsidRPr="00804E2D">
        <w:rPr>
          <w:rStyle w:val="HideTWBExt"/>
          <w:b w:val="0"/>
          <w:lang w:val="sv-SE"/>
        </w:rPr>
        <w:t>&lt;Amend&gt;</w:t>
      </w:r>
      <w:r w:rsidRPr="00804E2D">
        <w:rPr>
          <w:lang w:val="sv-SE"/>
        </w:rPr>
        <w:t>Amendment</w:t>
      </w:r>
      <w:r w:rsidRPr="00804E2D">
        <w:rPr>
          <w:lang w:val="sv-SE"/>
        </w:rPr>
        <w:tab/>
      </w:r>
      <w:r w:rsidRPr="00804E2D">
        <w:rPr>
          <w:lang w:val="sv-SE"/>
        </w:rPr>
        <w:tab/>
      </w:r>
      <w:r w:rsidRPr="00804E2D">
        <w:rPr>
          <w:rStyle w:val="HideTWBExt"/>
          <w:b w:val="0"/>
          <w:lang w:val="sv-SE"/>
        </w:rPr>
        <w:t>&lt;NumAm&gt;</w:t>
      </w:r>
      <w:r w:rsidRPr="00804E2D">
        <w:rPr>
          <w:lang w:val="sv-SE"/>
        </w:rPr>
        <w:t>141</w:t>
      </w:r>
      <w:r w:rsidRPr="00804E2D">
        <w:rPr>
          <w:rStyle w:val="HideTWBExt"/>
          <w:b w:val="0"/>
          <w:lang w:val="sv-SE"/>
        </w:rPr>
        <w:t>&lt;/NumAm&gt;</w:t>
      </w:r>
    </w:p>
    <w:p w:rsidR="00343C6C" w:rsidRPr="00804E2D" w:rsidP="00343C6C" w14:paraId="2F70C8BC" w14:textId="77777777">
      <w:pPr>
        <w:pStyle w:val="NormalBold"/>
        <w:rPr>
          <w:lang w:val="sv-SE"/>
        </w:rPr>
      </w:pPr>
      <w:r w:rsidRPr="00804E2D">
        <w:rPr>
          <w:rStyle w:val="HideTWBExt"/>
          <w:b w:val="0"/>
          <w:lang w:val="sv-SE"/>
        </w:rPr>
        <w:t>&lt;RepeatBlock-By&gt;&lt;Members&gt;</w:t>
      </w:r>
      <w:r w:rsidRPr="00804E2D">
        <w:rPr>
          <w:lang w:val="sv-SE"/>
        </w:rPr>
        <w:t>Li Andersson, Jonas Sjöstedt, Per Clausen</w:t>
      </w:r>
      <w:r w:rsidRPr="00804E2D">
        <w:rPr>
          <w:rStyle w:val="HideTWBExt"/>
          <w:b w:val="0"/>
          <w:lang w:val="sv-SE"/>
        </w:rPr>
        <w:t>&lt;/Members&gt;</w:t>
      </w:r>
    </w:p>
    <w:p w:rsidR="00343C6C" w:rsidRPr="00804E2D" w:rsidP="00343C6C" w14:paraId="14D19AF5" w14:textId="77777777">
      <w:pPr>
        <w:rPr>
          <w:lang w:val="sv-SE"/>
        </w:rPr>
      </w:pPr>
      <w:r w:rsidRPr="00804E2D">
        <w:rPr>
          <w:rStyle w:val="HideTWBExt"/>
          <w:lang w:val="sv-SE"/>
        </w:rPr>
        <w:t>&lt;/RepeatBlock-By&gt;</w:t>
      </w:r>
    </w:p>
    <w:p w:rsidR="00343C6C" w:rsidRPr="00FC4A49" w:rsidP="00343C6C" w14:paraId="4832677E"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0B93958" w14:textId="77777777">
      <w:pPr>
        <w:pStyle w:val="NormalBold"/>
      </w:pPr>
      <w:r w:rsidRPr="00FC4A49">
        <w:rPr>
          <w:rStyle w:val="HideTWBExt"/>
          <w:b w:val="0"/>
        </w:rPr>
        <w:t>&lt;Article&gt;</w:t>
      </w:r>
      <w:r w:rsidRPr="00FC4A49">
        <w:t>Recital 14</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9C2FCE"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CD9C660" w14:textId="77777777">
            <w:pPr>
              <w:keepNext/>
            </w:pPr>
          </w:p>
        </w:tc>
      </w:tr>
      <w:tr w14:paraId="4EFCA0C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7E2F76E" w14:textId="77777777">
            <w:pPr>
              <w:pStyle w:val="ColumnHeading"/>
              <w:keepNext/>
              <w:rPr>
                <w:lang w:val="en-GB"/>
              </w:rPr>
            </w:pPr>
            <w:r w:rsidRPr="00FC4A49">
              <w:rPr>
                <w:lang w:val="en-GB"/>
              </w:rPr>
              <w:t>Text proposed by the Commission</w:t>
            </w:r>
          </w:p>
        </w:tc>
        <w:tc>
          <w:tcPr>
            <w:tcW w:w="4876" w:type="dxa"/>
          </w:tcPr>
          <w:p w:rsidR="00343C6C" w:rsidRPr="00FC4A49" w:rsidP="005D58F9" w14:paraId="593B3211" w14:textId="77777777">
            <w:pPr>
              <w:pStyle w:val="ColumnHeading"/>
              <w:keepNext/>
              <w:rPr>
                <w:lang w:val="en-GB"/>
              </w:rPr>
            </w:pPr>
            <w:r w:rsidRPr="00FC4A49">
              <w:rPr>
                <w:lang w:val="en-GB"/>
              </w:rPr>
              <w:t>Amendment</w:t>
            </w:r>
          </w:p>
        </w:tc>
      </w:tr>
      <w:tr w14:paraId="77B1591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CB19E28" w14:textId="77777777">
            <w:pPr>
              <w:pStyle w:val="Normal6"/>
              <w:rPr>
                <w:lang w:val="en-GB"/>
              </w:rPr>
            </w:pPr>
            <w:r w:rsidRPr="00FC4A49">
              <w:rPr>
                <w:lang w:val="en-GB"/>
              </w:rPr>
              <w:t>(14)</w:t>
            </w:r>
            <w:r w:rsidRPr="00FC4A49">
              <w:rPr>
                <w:lang w:val="en-GB"/>
              </w:rPr>
              <w:tab/>
              <w:t>To reduce aviation’s total climate impacts, the support mechanism referred to in Article 3c(6) of Directive 2003/87/EC should also support cost-effective approaches. The use of contrail forecasting models to support cost-effective mitigation of contrails (also known as condensation trails) offers a low-cost complement to other approaches supported by this mechanism. It should rely on a limited share of the number of allowances reserved for the purposes provided for in Article 3c(6). The mechanism should be complementary to the monitoring, reporting and verification framework for non-CO₂ aviation effects pursuant to Article 14(5) of that Directive.</w:t>
            </w:r>
          </w:p>
        </w:tc>
        <w:tc>
          <w:tcPr>
            <w:tcW w:w="4876" w:type="dxa"/>
          </w:tcPr>
          <w:p w:rsidR="00343C6C" w:rsidRPr="00FC4A49" w:rsidP="005D58F9" w14:paraId="550D3B86" w14:textId="77777777">
            <w:pPr>
              <w:pStyle w:val="Normal6"/>
              <w:rPr>
                <w:szCs w:val="24"/>
                <w:lang w:val="en-GB"/>
              </w:rPr>
            </w:pPr>
            <w:r w:rsidRPr="00FC4A49">
              <w:rPr>
                <w:lang w:val="en-GB"/>
              </w:rPr>
              <w:t>(14)</w:t>
            </w:r>
            <w:r w:rsidRPr="00FC4A49">
              <w:rPr>
                <w:lang w:val="en-GB"/>
              </w:rPr>
              <w:tab/>
            </w:r>
            <w:r w:rsidRPr="00FC4A49">
              <w:rPr>
                <w:b/>
                <w:i/>
                <w:lang w:val="en-GB"/>
              </w:rPr>
              <w:t>Aviation is a source of non-CO</w:t>
            </w:r>
            <w:r w:rsidRPr="00FC4A49">
              <w:rPr>
                <w:b/>
                <w:i/>
                <w:vertAlign w:val="subscript"/>
                <w:lang w:val="en-GB"/>
              </w:rPr>
              <w:t>2</w:t>
            </w:r>
            <w:r w:rsidRPr="00FC4A49">
              <w:rPr>
                <w:lang w:val="en-GB"/>
              </w:rPr>
              <w:t xml:space="preserve"> </w:t>
            </w:r>
            <w:r w:rsidRPr="00FC4A49">
              <w:rPr>
                <w:b/>
                <w:i/>
                <w:lang w:val="en-GB"/>
              </w:rPr>
              <w:t>climate impacts at least as significant as those of CO</w:t>
            </w:r>
            <w:r w:rsidRPr="00FC4A49">
              <w:rPr>
                <w:b/>
                <w:i/>
                <w:vertAlign w:val="subscript"/>
                <w:lang w:val="en-GB"/>
              </w:rPr>
              <w:t>2</w:t>
            </w:r>
            <w:r w:rsidRPr="00FC4A49">
              <w:rPr>
                <w:b/>
                <w:i/>
                <w:lang w:val="en-GB"/>
              </w:rPr>
              <w:t>.</w:t>
            </w:r>
            <w:r w:rsidRPr="00FC4A49">
              <w:rPr>
                <w:lang w:val="en-GB"/>
              </w:rPr>
              <w:t xml:space="preserve"> To reduce aviation’s total climate impacts, the support mechanism referred to in Article 3c(6) of Directive 2003/87/EC should also support cost-effective approaches. The use of contrail forecasting models to support cost-effective mitigation of contrails (also known as condensation trails) offers a low-cost complement to other approaches supported by this mechanism. It should rely on a limited share of the number of allowances reserved for the purposes provided for in Article 3c(6). The mechanism should be complementary to the monitoring, reporting and verification framework for non-CO₂ aviation effects pursuant to Article 14(5) of that Directive.</w:t>
            </w:r>
          </w:p>
        </w:tc>
      </w:tr>
    </w:tbl>
    <w:p w:rsidR="00343C6C" w:rsidRPr="00FC4A49" w:rsidP="00343C6C" w14:paraId="69B3F09E"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722C3D4" w14:textId="77777777">
      <w:r w:rsidRPr="00FC4A49">
        <w:rPr>
          <w:rStyle w:val="HideTWBExt"/>
        </w:rPr>
        <w:t>&lt;/Amend&gt;</w:t>
      </w:r>
    </w:p>
    <w:p w:rsidR="00343C6C" w:rsidRPr="00FC4A49" w:rsidP="00343C6C" w14:paraId="797A04BA"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142</w:t>
      </w:r>
      <w:r w:rsidRPr="00FC4A49">
        <w:rPr>
          <w:rStyle w:val="HideTWBExt"/>
          <w:b w:val="0"/>
          <w:lang w:val="en-GB"/>
        </w:rPr>
        <w:t>&lt;/NumAm&gt;</w:t>
      </w:r>
    </w:p>
    <w:p w:rsidR="00343C6C" w:rsidRPr="00FC4A49" w:rsidP="00343C6C" w14:paraId="591447C8" w14:textId="77777777">
      <w:pPr>
        <w:pStyle w:val="NormalBold"/>
      </w:pPr>
      <w:r w:rsidRPr="00FC4A49">
        <w:rPr>
          <w:rStyle w:val="HideTWBExt"/>
          <w:b w:val="0"/>
        </w:rPr>
        <w:t>&lt;RepeatBlock-By&gt;&lt;Members&gt;</w:t>
      </w:r>
      <w:r w:rsidRPr="00FC4A49">
        <w:t>Nora Mebarek, Christophe Clergeau</w:t>
      </w:r>
      <w:r w:rsidRPr="00FC4A49">
        <w:rPr>
          <w:rStyle w:val="HideTWBExt"/>
          <w:b w:val="0"/>
        </w:rPr>
        <w:t>&lt;/Members&gt;</w:t>
      </w:r>
    </w:p>
    <w:p w:rsidR="00343C6C" w:rsidRPr="00FC4A49" w:rsidP="00343C6C" w14:paraId="7A12B95E" w14:textId="77777777">
      <w:r w:rsidRPr="00FC4A49">
        <w:rPr>
          <w:rStyle w:val="HideTWBExt"/>
        </w:rPr>
        <w:t>&lt;/RepeatBlock-By&gt;</w:t>
      </w:r>
    </w:p>
    <w:p w:rsidR="00343C6C" w:rsidRPr="00FC4A49" w:rsidP="00343C6C" w14:paraId="3B5E32B3"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7CBD811" w14:textId="77777777">
      <w:pPr>
        <w:pStyle w:val="NormalBold"/>
      </w:pPr>
      <w:r w:rsidRPr="00FC4A49">
        <w:rPr>
          <w:rStyle w:val="HideTWBExt"/>
          <w:b w:val="0"/>
        </w:rPr>
        <w:t>&lt;Article&gt;</w:t>
      </w:r>
      <w:r w:rsidRPr="00FC4A49">
        <w:t>Recital 14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8AC56E"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22CD240" w14:textId="77777777">
            <w:pPr>
              <w:keepNext/>
            </w:pPr>
          </w:p>
        </w:tc>
      </w:tr>
      <w:tr w14:paraId="5625170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2C4E12F" w14:textId="77777777">
            <w:pPr>
              <w:pStyle w:val="ColumnHeading"/>
              <w:keepNext/>
              <w:rPr>
                <w:lang w:val="en-GB"/>
              </w:rPr>
            </w:pPr>
            <w:r w:rsidRPr="00FC4A49">
              <w:rPr>
                <w:lang w:val="en-GB"/>
              </w:rPr>
              <w:t>Text proposed by the Commission</w:t>
            </w:r>
          </w:p>
        </w:tc>
        <w:tc>
          <w:tcPr>
            <w:tcW w:w="4876" w:type="dxa"/>
          </w:tcPr>
          <w:p w:rsidR="00343C6C" w:rsidRPr="00FC4A49" w:rsidP="005D58F9" w14:paraId="25FF81D9" w14:textId="77777777">
            <w:pPr>
              <w:pStyle w:val="ColumnHeading"/>
              <w:keepNext/>
              <w:rPr>
                <w:lang w:val="en-GB"/>
              </w:rPr>
            </w:pPr>
            <w:r w:rsidRPr="00FC4A49">
              <w:rPr>
                <w:lang w:val="en-GB"/>
              </w:rPr>
              <w:t>Amendment</w:t>
            </w:r>
          </w:p>
        </w:tc>
      </w:tr>
      <w:tr w14:paraId="0D8492C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7F16665" w14:textId="77777777">
            <w:pPr>
              <w:pStyle w:val="Normal6"/>
              <w:rPr>
                <w:lang w:val="en-GB"/>
              </w:rPr>
            </w:pPr>
          </w:p>
        </w:tc>
        <w:tc>
          <w:tcPr>
            <w:tcW w:w="4876" w:type="dxa"/>
          </w:tcPr>
          <w:p w:rsidR="00343C6C" w:rsidRPr="00FC4A49" w:rsidP="005D58F9" w14:paraId="32F21E63" w14:textId="77777777">
            <w:pPr>
              <w:pStyle w:val="Normal6"/>
              <w:rPr>
                <w:szCs w:val="24"/>
                <w:lang w:val="en-GB"/>
              </w:rPr>
            </w:pPr>
            <w:r w:rsidRPr="00FC4A49">
              <w:rPr>
                <w:b/>
                <w:i/>
                <w:lang w:val="en-GB"/>
              </w:rPr>
              <w:t>(14a)</w:t>
            </w:r>
            <w:r w:rsidRPr="00FC4A49">
              <w:rPr>
                <w:b/>
                <w:i/>
                <w:lang w:val="en-GB"/>
              </w:rPr>
              <w:tab/>
              <w:t>In the absence of any alternative, the air links between the outermost regions and the Member State in which they are situated, including links within and between those regions, underpin territorial continuity and the access of the populations of those regions to employment, education and healthcare, and bear directly on the cost of living there. In view of their structural situation recognised in Article 349 TFEU and of the time needed for the deployment of sustainable aviation fuels in those regions, the exemption applicable to those links should be extended until 31 December 2040. That exemption should not be extended to flights unrelated to territorial continuity, in particular flights chartered for tourism purposes departing from other Member States. Member States should use the revenues generated by the application of this Directive to air transport to support the affordability of those links. Before that date, the Commission should assess the impact of the exemption and the conditions for the gradual integration of those links into the system established by this Directive.</w:t>
            </w:r>
          </w:p>
        </w:tc>
      </w:tr>
    </w:tbl>
    <w:p w:rsidR="00343C6C" w:rsidRPr="00FC4A49" w:rsidP="00343C6C" w14:paraId="3200D6A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538B5FD" w14:textId="77777777">
      <w:r w:rsidRPr="00FC4A49">
        <w:rPr>
          <w:rStyle w:val="HideTWBExt"/>
        </w:rPr>
        <w:t>&lt;/Amend&gt;</w:t>
      </w:r>
    </w:p>
    <w:p w:rsidR="00343C6C" w:rsidRPr="00FC4A49" w:rsidP="00343C6C" w14:paraId="1EA64F25"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143</w:t>
      </w:r>
      <w:r w:rsidRPr="00FC4A49">
        <w:rPr>
          <w:rStyle w:val="HideTWBExt"/>
          <w:b w:val="0"/>
          <w:lang w:val="en-GB"/>
        </w:rPr>
        <w:t>&lt;/NumAm&gt;</w:t>
      </w:r>
    </w:p>
    <w:p w:rsidR="00343C6C" w:rsidRPr="00FC4A49" w:rsidP="00343C6C" w14:paraId="6D3713EF"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75049B53" w14:textId="77777777">
      <w:r w:rsidRPr="00FC4A49">
        <w:rPr>
          <w:rStyle w:val="HideTWBExt"/>
        </w:rPr>
        <w:t>&lt;/RepeatBlock-By&gt;</w:t>
      </w:r>
    </w:p>
    <w:p w:rsidR="00343C6C" w:rsidRPr="00FC4A49" w:rsidP="00343C6C" w14:paraId="4CC7C7BF"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746C953" w14:textId="77777777">
      <w:pPr>
        <w:pStyle w:val="NormalBold"/>
      </w:pPr>
      <w:r w:rsidRPr="00FC4A49">
        <w:rPr>
          <w:rStyle w:val="HideTWBExt"/>
          <w:b w:val="0"/>
        </w:rPr>
        <w:t>&lt;Article&gt;</w:t>
      </w:r>
      <w:r w:rsidRPr="00FC4A49">
        <w:t>Recital 15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3D90FA"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1A62DF2" w14:textId="77777777">
            <w:pPr>
              <w:keepNext/>
            </w:pPr>
          </w:p>
        </w:tc>
      </w:tr>
      <w:tr w14:paraId="068FFC5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7EFAE86" w14:textId="77777777">
            <w:pPr>
              <w:pStyle w:val="ColumnHeading"/>
              <w:keepNext/>
              <w:rPr>
                <w:lang w:val="en-GB"/>
              </w:rPr>
            </w:pPr>
            <w:r w:rsidRPr="00FC4A49">
              <w:rPr>
                <w:lang w:val="en-GB"/>
              </w:rPr>
              <w:t>Text proposed by the Commission</w:t>
            </w:r>
          </w:p>
        </w:tc>
        <w:tc>
          <w:tcPr>
            <w:tcW w:w="4876" w:type="dxa"/>
          </w:tcPr>
          <w:p w:rsidR="00343C6C" w:rsidRPr="00FC4A49" w:rsidP="005D58F9" w14:paraId="01070D25" w14:textId="77777777">
            <w:pPr>
              <w:pStyle w:val="ColumnHeading"/>
              <w:keepNext/>
              <w:rPr>
                <w:lang w:val="en-GB"/>
              </w:rPr>
            </w:pPr>
            <w:r w:rsidRPr="00FC4A49">
              <w:rPr>
                <w:lang w:val="en-GB"/>
              </w:rPr>
              <w:t>Amendment</w:t>
            </w:r>
          </w:p>
        </w:tc>
      </w:tr>
      <w:tr w14:paraId="0FAD355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CD05C6A" w14:textId="77777777">
            <w:pPr>
              <w:pStyle w:val="Normal6"/>
              <w:rPr>
                <w:lang w:val="en-GB"/>
              </w:rPr>
            </w:pPr>
            <w:r w:rsidRPr="00FC4A49">
              <w:rPr>
                <w:b/>
                <w:i/>
                <w:lang w:val="en-GB"/>
              </w:rPr>
              <w:t>(15)</w:t>
            </w:r>
            <w:r w:rsidRPr="00FC4A49">
              <w:rPr>
                <w:b/>
                <w:i/>
                <w:lang w:val="en-GB"/>
              </w:rPr>
              <w:tab/>
              <w:t xml:space="preserve">In view of rewarding most efficient installations, it is appropriate to extend the possibility, for installations previously included in the EU ETS due to the operation of combustion units with a total </w:t>
            </w:r>
            <w:r w:rsidRPr="00FC4A49">
              <w:rPr>
                <w:b/>
                <w:i/>
                <w:lang w:val="en-GB"/>
              </w:rPr>
              <w:t>rated thermal input exceeding 20 MW that change their production processes to reduce their greenhouse gas emissions and no longer meet that threshold as a result, to remain under the EU ETS until the end of the two following five-year periods for free allocation following the change to their production processes.</w:t>
            </w:r>
          </w:p>
        </w:tc>
        <w:tc>
          <w:tcPr>
            <w:tcW w:w="4876" w:type="dxa"/>
          </w:tcPr>
          <w:p w:rsidR="00343C6C" w:rsidRPr="00FC4A49" w:rsidP="005D58F9" w14:paraId="4076266F" w14:textId="77777777">
            <w:pPr>
              <w:pStyle w:val="Normal6"/>
              <w:rPr>
                <w:szCs w:val="24"/>
                <w:lang w:val="en-GB"/>
              </w:rPr>
            </w:pPr>
            <w:r w:rsidRPr="00FC4A49">
              <w:rPr>
                <w:b/>
                <w:i/>
                <w:lang w:val="en-GB"/>
              </w:rPr>
              <w:t>deleted</w:t>
            </w:r>
          </w:p>
        </w:tc>
      </w:tr>
    </w:tbl>
    <w:p w:rsidR="00343C6C" w:rsidRPr="00FC4A49" w:rsidP="00343C6C" w14:paraId="02E3E2E3"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7B83CC3E" w14:textId="77777777">
      <w:r w:rsidRPr="00FC4A49">
        <w:rPr>
          <w:rStyle w:val="HideTWBExt"/>
        </w:rPr>
        <w:t>&lt;/Amend&gt;</w:t>
      </w:r>
    </w:p>
    <w:p w:rsidR="00343C6C" w:rsidRPr="00FC4A49" w:rsidP="00343C6C" w14:paraId="1767A9B3"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144</w:t>
      </w:r>
      <w:r w:rsidRPr="00FC4A49">
        <w:rPr>
          <w:rStyle w:val="HideTWBExt"/>
          <w:b w:val="0"/>
          <w:lang w:val="en-GB"/>
        </w:rPr>
        <w:t>&lt;/NumAm&gt;</w:t>
      </w:r>
    </w:p>
    <w:p w:rsidR="00343C6C" w:rsidRPr="00FC4A49" w:rsidP="00343C6C" w14:paraId="7EE5FFF4" w14:textId="77777777">
      <w:pPr>
        <w:pStyle w:val="NormalBold"/>
      </w:pPr>
      <w:r w:rsidRPr="00FC4A49">
        <w:rPr>
          <w:rStyle w:val="HideTWBExt"/>
          <w:b w:val="0"/>
        </w:rPr>
        <w:t>&lt;RepeatBlock-By&gt;&lt;Members&gt;</w:t>
      </w:r>
      <w:r w:rsidRPr="00FC4A49">
        <w:t>Alexandr Vondra</w:t>
      </w:r>
      <w:r w:rsidRPr="00FC4A49">
        <w:rPr>
          <w:rStyle w:val="HideTWBExt"/>
          <w:b w:val="0"/>
        </w:rPr>
        <w:t>&lt;/Members&gt;</w:t>
      </w:r>
    </w:p>
    <w:p w:rsidR="00343C6C" w:rsidRPr="00FC4A49" w:rsidP="00343C6C" w14:paraId="5899423A" w14:textId="77777777">
      <w:r w:rsidRPr="00FC4A49">
        <w:rPr>
          <w:rStyle w:val="HideTWBExt"/>
        </w:rPr>
        <w:t>&lt;AuNomDe&gt;</w:t>
      </w:r>
      <w:r w:rsidRPr="00FC4A49">
        <w:rPr>
          <w:rStyle w:val="HideTWBInt"/>
        </w:rPr>
        <w:t>{ECR}</w:t>
      </w:r>
      <w:r w:rsidRPr="00FC4A49">
        <w:t>on behalf of the ECR Group</w:t>
      </w:r>
      <w:r w:rsidRPr="00FC4A49">
        <w:rPr>
          <w:rStyle w:val="HideTWBExt"/>
        </w:rPr>
        <w:t>&lt;/AuNomDe&gt;</w:t>
      </w:r>
    </w:p>
    <w:p w:rsidR="00343C6C" w:rsidRPr="00FC4A49" w:rsidP="00343C6C" w14:paraId="0A8E9E63" w14:textId="77777777">
      <w:pPr>
        <w:pStyle w:val="NormalBold"/>
      </w:pPr>
      <w:r w:rsidRPr="00FC4A49">
        <w:rPr>
          <w:rStyle w:val="HideTWBExt"/>
          <w:b w:val="0"/>
        </w:rPr>
        <w:t>&lt;Members&gt;</w:t>
      </w:r>
      <w:r w:rsidRPr="00FC4A49">
        <w:t xml:space="preserve">Ondřej Krutílek, Anna Zalewska, Aurelijus </w:t>
      </w:r>
      <w:r w:rsidRPr="00FC4A49">
        <w:t>Veryga</w:t>
      </w:r>
      <w:r w:rsidRPr="00FC4A49">
        <w:t xml:space="preserve">, Laurence Trochu, Adrian-George </w:t>
      </w:r>
      <w:r w:rsidRPr="00FC4A49">
        <w:t>Axinia</w:t>
      </w:r>
      <w:r w:rsidRPr="00FC4A49">
        <w:rPr>
          <w:rStyle w:val="HideTWBExt"/>
          <w:b w:val="0"/>
        </w:rPr>
        <w:t>&lt;/Members&gt;</w:t>
      </w:r>
    </w:p>
    <w:p w:rsidR="00343C6C" w:rsidRPr="00FC4A49" w:rsidP="00343C6C" w14:paraId="1C5F0459" w14:textId="77777777">
      <w:r w:rsidRPr="00FC4A49">
        <w:rPr>
          <w:rStyle w:val="HideTWBExt"/>
        </w:rPr>
        <w:t>&lt;/RepeatBlock-By&gt;</w:t>
      </w:r>
    </w:p>
    <w:p w:rsidR="00343C6C" w:rsidRPr="00FC4A49" w:rsidP="00343C6C" w14:paraId="04368FA5"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C316118" w14:textId="77777777">
      <w:pPr>
        <w:pStyle w:val="NormalBold"/>
      </w:pPr>
      <w:r w:rsidRPr="00FC4A49">
        <w:rPr>
          <w:rStyle w:val="HideTWBExt"/>
          <w:b w:val="0"/>
        </w:rPr>
        <w:t>&lt;Article&gt;</w:t>
      </w:r>
      <w:r w:rsidRPr="00FC4A49">
        <w:t>Recital 15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16F8E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D669961" w14:textId="77777777">
            <w:pPr>
              <w:keepNext/>
            </w:pPr>
          </w:p>
        </w:tc>
      </w:tr>
      <w:tr w14:paraId="1936061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0578784" w14:textId="77777777">
            <w:pPr>
              <w:pStyle w:val="ColumnHeading"/>
              <w:keepNext/>
              <w:rPr>
                <w:lang w:val="en-GB"/>
              </w:rPr>
            </w:pPr>
            <w:r w:rsidRPr="00FC4A49">
              <w:rPr>
                <w:lang w:val="en-GB"/>
              </w:rPr>
              <w:t>Text proposed by the Commission</w:t>
            </w:r>
          </w:p>
        </w:tc>
        <w:tc>
          <w:tcPr>
            <w:tcW w:w="4876" w:type="dxa"/>
          </w:tcPr>
          <w:p w:rsidR="00343C6C" w:rsidRPr="00FC4A49" w:rsidP="005D58F9" w14:paraId="28F6A573" w14:textId="77777777">
            <w:pPr>
              <w:pStyle w:val="ColumnHeading"/>
              <w:keepNext/>
              <w:rPr>
                <w:lang w:val="en-GB"/>
              </w:rPr>
            </w:pPr>
            <w:r w:rsidRPr="00FC4A49">
              <w:rPr>
                <w:lang w:val="en-GB"/>
              </w:rPr>
              <w:t>Amendment</w:t>
            </w:r>
          </w:p>
        </w:tc>
      </w:tr>
      <w:tr w14:paraId="4E8A9B4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8948DFA" w14:textId="77777777">
            <w:pPr>
              <w:pStyle w:val="Normal6"/>
              <w:rPr>
                <w:lang w:val="en-GB"/>
              </w:rPr>
            </w:pPr>
            <w:r w:rsidRPr="00FC4A49">
              <w:rPr>
                <w:lang w:val="en-GB"/>
              </w:rPr>
              <w:t>(15)</w:t>
            </w:r>
            <w:r w:rsidRPr="00FC4A49">
              <w:rPr>
                <w:lang w:val="en-GB"/>
              </w:rPr>
              <w:tab/>
              <w:t>In view of rewarding most efficient installations, it is appropriate to extend the possibility, for installations previously included in the EU ETS due to the operation of combustion units with a total rated thermal input exceeding 20 MW that change their production processes to reduce their greenhouse gas emissions and no longer meet that threshold as a result, to remain under the EU ETS until the end of the two following five-year periods for free allocation following the change to their production processes.</w:t>
            </w:r>
          </w:p>
        </w:tc>
        <w:tc>
          <w:tcPr>
            <w:tcW w:w="4876" w:type="dxa"/>
          </w:tcPr>
          <w:p w:rsidR="00343C6C" w:rsidRPr="00FC4A49" w:rsidP="005D58F9" w14:paraId="06177FB3" w14:textId="77777777">
            <w:pPr>
              <w:pStyle w:val="Normal6"/>
              <w:rPr>
                <w:szCs w:val="24"/>
                <w:lang w:val="en-GB"/>
              </w:rPr>
            </w:pPr>
            <w:r w:rsidRPr="00FC4A49">
              <w:rPr>
                <w:lang w:val="en-GB"/>
              </w:rPr>
              <w:t>(15)</w:t>
            </w:r>
            <w:r w:rsidRPr="00FC4A49">
              <w:rPr>
                <w:lang w:val="en-GB"/>
              </w:rPr>
              <w:tab/>
              <w:t xml:space="preserve">In view of rewarding most efficient installations </w:t>
            </w:r>
            <w:r w:rsidRPr="00FC4A49">
              <w:rPr>
                <w:b/>
                <w:i/>
                <w:lang w:val="en-GB"/>
              </w:rPr>
              <w:t>in a sector or subsector which does not cover at least 10 % of production capacity or activity level in the Union in a given sector or subsector</w:t>
            </w:r>
            <w:r w:rsidRPr="00FC4A49">
              <w:rPr>
                <w:lang w:val="en-GB"/>
              </w:rPr>
              <w:t>, it is appropriate to extend the possibility, for installations previously included in the EU ETS due to the operation of combustion units with a total rated thermal input exceeding 20 MW that change their production processes to reduce their greenhouse gas emissions and no longer meet that threshold as a result, to remain under the EU ETS until the end of the two following five-year periods for free allocation following the change to their production processes.</w:t>
            </w:r>
          </w:p>
        </w:tc>
      </w:tr>
    </w:tbl>
    <w:p w:rsidR="00343C6C" w:rsidRPr="00FC4A49" w:rsidP="00343C6C" w14:paraId="3673641C"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03D448F0" w14:textId="77777777">
      <w:r w:rsidRPr="00FC4A49">
        <w:rPr>
          <w:rStyle w:val="HideTWBExt"/>
        </w:rPr>
        <w:t>&lt;/Amend&gt;</w:t>
      </w:r>
    </w:p>
    <w:p w:rsidR="00343C6C" w:rsidRPr="00FC4A49" w:rsidP="00343C6C" w14:paraId="240D5A4F"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145</w:t>
      </w:r>
      <w:r w:rsidRPr="00FC4A49">
        <w:rPr>
          <w:rStyle w:val="HideTWBExt"/>
          <w:b w:val="0"/>
          <w:lang w:val="en-GB"/>
        </w:rPr>
        <w:t>&lt;/NumAm&gt;</w:t>
      </w:r>
    </w:p>
    <w:p w:rsidR="00343C6C" w:rsidRPr="00FC4A49" w:rsidP="00343C6C" w14:paraId="2F4E4B29" w14:textId="77777777">
      <w:pPr>
        <w:pStyle w:val="NormalBold"/>
      </w:pPr>
      <w:r w:rsidRPr="00FC4A49">
        <w:rPr>
          <w:rStyle w:val="HideTWBExt"/>
          <w:b w:val="0"/>
        </w:rPr>
        <w:t>&lt;RepeatBlock-By&gt;&lt;Members&gt;</w:t>
      </w:r>
      <w:r w:rsidRPr="00FC4A49">
        <w:t xml:space="preserve">Emma Wiesner, Yvan Verougstraete, Anna </w:t>
      </w:r>
      <w:r w:rsidRPr="00FC4A49">
        <w:t>Stürgkh</w:t>
      </w:r>
      <w:r w:rsidRPr="00FC4A49">
        <w:rPr>
          <w:rStyle w:val="HideTWBExt"/>
          <w:b w:val="0"/>
        </w:rPr>
        <w:t>&lt;/Members&gt;</w:t>
      </w:r>
    </w:p>
    <w:p w:rsidR="00343C6C" w:rsidRPr="00FC4A49" w:rsidP="00343C6C" w14:paraId="69A64227" w14:textId="77777777">
      <w:r w:rsidRPr="00FC4A49">
        <w:rPr>
          <w:rStyle w:val="HideTWBExt"/>
        </w:rPr>
        <w:t>&lt;/RepeatBlock-By&gt;</w:t>
      </w:r>
    </w:p>
    <w:p w:rsidR="00343C6C" w:rsidRPr="00FC4A49" w:rsidP="00343C6C" w14:paraId="2A44BF57"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A6D3909" w14:textId="77777777">
      <w:pPr>
        <w:pStyle w:val="NormalBold"/>
      </w:pPr>
      <w:r w:rsidRPr="00FC4A49">
        <w:rPr>
          <w:rStyle w:val="HideTWBExt"/>
          <w:b w:val="0"/>
        </w:rPr>
        <w:t>&lt;Article&gt;</w:t>
      </w:r>
      <w:r w:rsidRPr="00FC4A49">
        <w:t>Recital 15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74FBF5"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B31CC3C" w14:textId="77777777">
            <w:pPr>
              <w:keepNext/>
            </w:pPr>
          </w:p>
        </w:tc>
      </w:tr>
      <w:tr w14:paraId="183D27C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2F29789" w14:textId="77777777">
            <w:pPr>
              <w:pStyle w:val="ColumnHeading"/>
              <w:keepNext/>
              <w:rPr>
                <w:lang w:val="en-GB"/>
              </w:rPr>
            </w:pPr>
            <w:r w:rsidRPr="00FC4A49">
              <w:rPr>
                <w:lang w:val="en-GB"/>
              </w:rPr>
              <w:t>Text proposed by the Commission</w:t>
            </w:r>
          </w:p>
        </w:tc>
        <w:tc>
          <w:tcPr>
            <w:tcW w:w="4876" w:type="dxa"/>
          </w:tcPr>
          <w:p w:rsidR="00343C6C" w:rsidRPr="00FC4A49" w:rsidP="005D58F9" w14:paraId="4FAC18B8" w14:textId="77777777">
            <w:pPr>
              <w:pStyle w:val="ColumnHeading"/>
              <w:keepNext/>
              <w:rPr>
                <w:lang w:val="en-GB"/>
              </w:rPr>
            </w:pPr>
            <w:r w:rsidRPr="00FC4A49">
              <w:rPr>
                <w:lang w:val="en-GB"/>
              </w:rPr>
              <w:t>Amendment</w:t>
            </w:r>
          </w:p>
        </w:tc>
      </w:tr>
      <w:tr w14:paraId="0446E07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D2C69EA" w14:textId="77777777">
            <w:pPr>
              <w:pStyle w:val="Normal6"/>
              <w:rPr>
                <w:lang w:val="en-GB"/>
              </w:rPr>
            </w:pPr>
            <w:r w:rsidRPr="00FC4A49">
              <w:rPr>
                <w:lang w:val="en-GB"/>
              </w:rPr>
              <w:t>(15)</w:t>
            </w:r>
            <w:r w:rsidRPr="00FC4A49">
              <w:rPr>
                <w:lang w:val="en-GB"/>
              </w:rPr>
              <w:tab/>
              <w:t xml:space="preserve">In view of rewarding most efficient installations, it is appropriate to extend the possibility, for installations previously included in the EU ETS due to the operation of combustion units with a total rated thermal input exceeding 20 MW that change their production processes to reduce their greenhouse gas emissions and no longer meet that threshold as a result, to remain under the EU ETS </w:t>
            </w:r>
            <w:r w:rsidRPr="00FC4A49">
              <w:rPr>
                <w:b/>
                <w:i/>
                <w:lang w:val="en-GB"/>
              </w:rPr>
              <w:t>until the end of the two following five-year periods</w:t>
            </w:r>
            <w:r w:rsidRPr="00FC4A49">
              <w:rPr>
                <w:lang w:val="en-GB"/>
              </w:rPr>
              <w:t xml:space="preserve"> for free allocation following the change to their production processes.</w:t>
            </w:r>
          </w:p>
        </w:tc>
        <w:tc>
          <w:tcPr>
            <w:tcW w:w="4876" w:type="dxa"/>
          </w:tcPr>
          <w:p w:rsidR="00343C6C" w:rsidRPr="00FC4A49" w:rsidP="005D58F9" w14:paraId="2BE827AD" w14:textId="77777777">
            <w:pPr>
              <w:pStyle w:val="Normal6"/>
              <w:rPr>
                <w:szCs w:val="24"/>
                <w:lang w:val="en-GB"/>
              </w:rPr>
            </w:pPr>
            <w:r w:rsidRPr="00FC4A49">
              <w:rPr>
                <w:lang w:val="en-GB"/>
              </w:rPr>
              <w:t>(15)</w:t>
            </w:r>
            <w:r w:rsidRPr="00FC4A49">
              <w:rPr>
                <w:lang w:val="en-GB"/>
              </w:rPr>
              <w:tab/>
              <w:t xml:space="preserve">In view of rewarding most efficient installations, it is appropriate to extend the possibility, for installations previously included in the EU ETS due to the operation of combustion units with a total rated thermal input exceeding 20 MW that change their production processes to reduce their greenhouse gas emissions and no longer meet that threshold as a result, to remain </w:t>
            </w:r>
            <w:r w:rsidRPr="00FC4A49">
              <w:rPr>
                <w:b/>
                <w:i/>
                <w:lang w:val="en-GB"/>
              </w:rPr>
              <w:t>fully</w:t>
            </w:r>
            <w:r w:rsidRPr="00FC4A49">
              <w:rPr>
                <w:lang w:val="en-GB"/>
              </w:rPr>
              <w:t xml:space="preserve"> under the EU ETS for free allocation following the change to their production processes.</w:t>
            </w:r>
          </w:p>
        </w:tc>
      </w:tr>
    </w:tbl>
    <w:p w:rsidR="00343C6C" w:rsidRPr="00FC4A49" w:rsidP="00343C6C" w14:paraId="2E1D9C5B"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1041D36" w14:textId="77777777">
      <w:r w:rsidRPr="00FC4A49">
        <w:rPr>
          <w:rStyle w:val="HideTWBExt"/>
        </w:rPr>
        <w:t>&lt;/Amend&gt;</w:t>
      </w:r>
    </w:p>
    <w:p w:rsidR="00343C6C" w:rsidRPr="00FC4A49" w:rsidP="00343C6C" w14:paraId="0E29C761"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146</w:t>
      </w:r>
      <w:r w:rsidRPr="00FC4A49">
        <w:rPr>
          <w:rStyle w:val="HideTWBExt"/>
          <w:b w:val="0"/>
          <w:lang w:val="en-GB"/>
        </w:rPr>
        <w:t>&lt;/NumAm&gt;</w:t>
      </w:r>
    </w:p>
    <w:p w:rsidR="00343C6C" w:rsidRPr="00FC4A49" w:rsidP="00343C6C" w14:paraId="73D29C9E" w14:textId="77777777">
      <w:pPr>
        <w:pStyle w:val="NormalBold"/>
      </w:pPr>
      <w:r w:rsidRPr="00FC4A49">
        <w:rPr>
          <w:rStyle w:val="HideTWBExt"/>
          <w:b w:val="0"/>
        </w:rPr>
        <w:t>&lt;RepeatBlock-By&gt;&lt;Members&gt;</w:t>
      </w:r>
      <w:r w:rsidRPr="00FC4A49">
        <w:t>Jens Gieseke, Ralf Seekatz, Sophia Kircher, Norbert Herhammer, Gheorghe Falcă, Andrea Wechsler, Angelika Niebler</w:t>
      </w:r>
      <w:r w:rsidRPr="00FC4A49">
        <w:rPr>
          <w:rStyle w:val="HideTWBExt"/>
          <w:b w:val="0"/>
        </w:rPr>
        <w:t>&lt;/Members&gt;</w:t>
      </w:r>
    </w:p>
    <w:p w:rsidR="00343C6C" w:rsidRPr="00FC4A49" w:rsidP="00343C6C" w14:paraId="71CF4511" w14:textId="77777777">
      <w:r w:rsidRPr="00FC4A49">
        <w:rPr>
          <w:rStyle w:val="HideTWBExt"/>
        </w:rPr>
        <w:t>&lt;/RepeatBlock-By&gt;</w:t>
      </w:r>
    </w:p>
    <w:p w:rsidR="00343C6C" w:rsidRPr="00FC4A49" w:rsidP="00343C6C" w14:paraId="37999E21"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B5422B2" w14:textId="77777777">
      <w:pPr>
        <w:pStyle w:val="NormalBold"/>
      </w:pPr>
      <w:r w:rsidRPr="00FC4A49">
        <w:rPr>
          <w:rStyle w:val="HideTWBExt"/>
          <w:b w:val="0"/>
        </w:rPr>
        <w:t>&lt;Article&gt;</w:t>
      </w:r>
      <w:r w:rsidRPr="00FC4A49">
        <w:t>Recital 16</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55A26A"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5C3BDD1" w14:textId="77777777">
            <w:pPr>
              <w:keepNext/>
            </w:pPr>
          </w:p>
        </w:tc>
      </w:tr>
      <w:tr w14:paraId="104CFB2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D448BC9" w14:textId="77777777">
            <w:pPr>
              <w:pStyle w:val="ColumnHeading"/>
              <w:keepNext/>
              <w:rPr>
                <w:lang w:val="en-GB"/>
              </w:rPr>
            </w:pPr>
            <w:r w:rsidRPr="00FC4A49">
              <w:rPr>
                <w:lang w:val="en-GB"/>
              </w:rPr>
              <w:t>Text proposed by the Commission</w:t>
            </w:r>
          </w:p>
        </w:tc>
        <w:tc>
          <w:tcPr>
            <w:tcW w:w="4876" w:type="dxa"/>
          </w:tcPr>
          <w:p w:rsidR="00343C6C" w:rsidRPr="00FC4A49" w:rsidP="005D58F9" w14:paraId="19B3583E" w14:textId="77777777">
            <w:pPr>
              <w:pStyle w:val="ColumnHeading"/>
              <w:keepNext/>
              <w:rPr>
                <w:lang w:val="en-GB"/>
              </w:rPr>
            </w:pPr>
            <w:r w:rsidRPr="00FC4A49">
              <w:rPr>
                <w:lang w:val="en-GB"/>
              </w:rPr>
              <w:t>Amendment</w:t>
            </w:r>
          </w:p>
        </w:tc>
      </w:tr>
      <w:tr w14:paraId="6D6FA7B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44C86BF" w14:textId="77777777">
            <w:pPr>
              <w:pStyle w:val="Normal6"/>
              <w:rPr>
                <w:lang w:val="en-GB"/>
              </w:rPr>
            </w:pPr>
            <w:r w:rsidRPr="00FC4A49">
              <w:rPr>
                <w:b/>
                <w:i/>
                <w:lang w:val="en-GB"/>
              </w:rPr>
              <w:t>(16)</w:t>
            </w:r>
            <w:r w:rsidRPr="00FC4A49">
              <w:rPr>
                <w:b/>
                <w:i/>
                <w:lang w:val="en-GB"/>
              </w:rPr>
              <w:tab/>
              <w:t>For business flights, the reserved amount of allowances should only be available in the case of aircraft using electricity or hydrogen for propulsion. In order to ensure uniform conditions for the allocation of reserved allowances pursuant to Article 3c(6) of Directive 2003/87/EC, implementing powers should be conferred on the Commission to adopt a list of aircraft that are considered business aircraft. Such powers should be exercised in accordance with Regulation (EU) No 182/2011 of the European Parliament and of the Council</w:t>
            </w:r>
            <w:r w:rsidRPr="00FC4A49">
              <w:rPr>
                <w:b/>
                <w:i/>
                <w:vertAlign w:val="superscript"/>
                <w:lang w:val="en-GB"/>
              </w:rPr>
              <w:t>13</w:t>
            </w:r>
            <w:r w:rsidRPr="00FC4A49">
              <w:rPr>
                <w:lang w:val="en-GB"/>
              </w:rPr>
              <w:t xml:space="preserve"> </w:t>
            </w:r>
            <w:r w:rsidRPr="00FC4A49">
              <w:rPr>
                <w:b/>
                <w:i/>
                <w:lang w:val="en-GB"/>
              </w:rPr>
              <w:t>.</w:t>
            </w:r>
          </w:p>
        </w:tc>
        <w:tc>
          <w:tcPr>
            <w:tcW w:w="4876" w:type="dxa"/>
          </w:tcPr>
          <w:p w:rsidR="00343C6C" w:rsidRPr="00FC4A49" w:rsidP="005D58F9" w14:paraId="36DA3D55" w14:textId="77777777">
            <w:pPr>
              <w:pStyle w:val="Normal6"/>
              <w:rPr>
                <w:szCs w:val="24"/>
                <w:lang w:val="en-GB"/>
              </w:rPr>
            </w:pPr>
            <w:r w:rsidRPr="00FC4A49">
              <w:rPr>
                <w:b/>
                <w:i/>
                <w:lang w:val="en-GB"/>
              </w:rPr>
              <w:t>deleted</w:t>
            </w:r>
          </w:p>
        </w:tc>
      </w:tr>
      <w:tr w14:paraId="4C6D392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F82F0E6" w14:textId="77777777">
            <w:pPr>
              <w:pStyle w:val="Normal6"/>
              <w:rPr>
                <w:lang w:val="en-GB"/>
              </w:rPr>
            </w:pPr>
            <w:r w:rsidRPr="00FC4A49">
              <w:rPr>
                <w:b/>
                <w:i/>
                <w:lang w:val="en-GB"/>
              </w:rPr>
              <w:t>__________________</w:t>
            </w:r>
          </w:p>
        </w:tc>
        <w:tc>
          <w:tcPr>
            <w:tcW w:w="4876" w:type="dxa"/>
          </w:tcPr>
          <w:p w:rsidR="00343C6C" w:rsidRPr="00FC4A49" w:rsidP="005D58F9" w14:paraId="0D608F7C" w14:textId="77777777">
            <w:pPr>
              <w:pStyle w:val="Normal6"/>
              <w:rPr>
                <w:szCs w:val="24"/>
                <w:lang w:val="en-GB"/>
              </w:rPr>
            </w:pPr>
          </w:p>
        </w:tc>
      </w:tr>
      <w:tr w14:paraId="18B80EB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535597E" w14:textId="77777777">
            <w:pPr>
              <w:pStyle w:val="Normal6"/>
              <w:rPr>
                <w:lang w:val="en-GB"/>
              </w:rPr>
            </w:pPr>
            <w:r w:rsidRPr="00FC4A49">
              <w:rPr>
                <w:b/>
                <w:i/>
                <w:vertAlign w:val="superscript"/>
                <w:lang w:val="en-GB"/>
              </w:rPr>
              <w:t>13</w:t>
            </w:r>
            <w:r w:rsidRPr="00FC4A49">
              <w:rPr>
                <w:lang w:val="en-GB"/>
              </w:rPr>
              <w:t xml:space="preserve"> </w:t>
            </w:r>
            <w:r w:rsidRPr="00FC4A49">
              <w:rPr>
                <w:b/>
                <w:i/>
                <w:lang w:val="en-GB"/>
              </w:rPr>
              <w:t xml:space="preserve">Regulation (EU) No 182/2011 of the </w:t>
            </w:r>
            <w:r w:rsidRPr="00FC4A49">
              <w:rPr>
                <w:b/>
                <w:i/>
                <w:lang w:val="en-GB"/>
              </w:rPr>
              <w:t>European Parliament and of the Council of 16 February 2011 laying down the rules and general principles concerning mechanisms for control by Member States of the Commission’s exercise of implementing powers (OJ L 55, 28.2.2011, pp. 13–18, ELI: http://data.europa.eu/eli/reg/2011/182/oj).</w:t>
            </w:r>
          </w:p>
        </w:tc>
        <w:tc>
          <w:tcPr>
            <w:tcW w:w="4876" w:type="dxa"/>
          </w:tcPr>
          <w:p w:rsidR="00343C6C" w:rsidRPr="00FC4A49" w:rsidP="005D58F9" w14:paraId="3AB6FA96" w14:textId="77777777">
            <w:pPr>
              <w:pStyle w:val="Normal6"/>
              <w:rPr>
                <w:szCs w:val="24"/>
                <w:lang w:val="en-GB"/>
              </w:rPr>
            </w:pPr>
          </w:p>
        </w:tc>
      </w:tr>
    </w:tbl>
    <w:p w:rsidR="00343C6C" w:rsidRPr="00FC4A49" w:rsidP="00343C6C" w14:paraId="6819E549"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47E1B0E" w14:textId="77777777">
      <w:r w:rsidRPr="00FC4A49">
        <w:rPr>
          <w:rStyle w:val="HideTWBExt"/>
        </w:rPr>
        <w:t>&lt;/Amend&gt;</w:t>
      </w:r>
    </w:p>
    <w:p w:rsidR="00343C6C" w:rsidRPr="00FC4A49" w:rsidP="00343C6C" w14:paraId="6746854E"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147</w:t>
      </w:r>
      <w:r w:rsidRPr="00FC4A49">
        <w:rPr>
          <w:rStyle w:val="HideTWBExt"/>
          <w:b w:val="0"/>
          <w:lang w:val="en-GB"/>
        </w:rPr>
        <w:t>&lt;/NumAm&gt;</w:t>
      </w:r>
    </w:p>
    <w:p w:rsidR="00343C6C" w:rsidRPr="00FC4A49" w:rsidP="00343C6C" w14:paraId="1774FE65" w14:textId="77777777">
      <w:pPr>
        <w:pStyle w:val="NormalBold"/>
      </w:pPr>
      <w:r w:rsidRPr="00FC4A49">
        <w:rPr>
          <w:rStyle w:val="HideTWBExt"/>
          <w:b w:val="0"/>
        </w:rPr>
        <w:t>&lt;RepeatBlock-By&gt;&lt;Members&gt;</w:t>
      </w:r>
      <w:r w:rsidRPr="00FC4A49">
        <w:t>Mohammed Chahim</w:t>
      </w:r>
      <w:r w:rsidRPr="00FC4A49">
        <w:rPr>
          <w:rStyle w:val="HideTWBExt"/>
          <w:b w:val="0"/>
        </w:rPr>
        <w:t>&lt;/Members&gt;</w:t>
      </w:r>
    </w:p>
    <w:p w:rsidR="00343C6C" w:rsidRPr="00FC4A49" w:rsidP="00343C6C" w14:paraId="7E50223C" w14:textId="77777777">
      <w:r w:rsidRPr="00FC4A49">
        <w:rPr>
          <w:rStyle w:val="HideTWBExt"/>
        </w:rPr>
        <w:t>&lt;/RepeatBlock-By&gt;</w:t>
      </w:r>
    </w:p>
    <w:p w:rsidR="00343C6C" w:rsidRPr="00FC4A49" w:rsidP="00343C6C" w14:paraId="633E44D1"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6E2EADA" w14:textId="77777777">
      <w:pPr>
        <w:pStyle w:val="NormalBold"/>
      </w:pPr>
      <w:r w:rsidRPr="00FC4A49">
        <w:rPr>
          <w:rStyle w:val="HideTWBExt"/>
          <w:b w:val="0"/>
        </w:rPr>
        <w:t>&lt;Article&gt;</w:t>
      </w:r>
      <w:r w:rsidRPr="00FC4A49">
        <w:t>Recital 16</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1B299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A58A0BD" w14:textId="77777777">
            <w:pPr>
              <w:keepNext/>
            </w:pPr>
          </w:p>
        </w:tc>
      </w:tr>
      <w:tr w14:paraId="700FBB9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E171871" w14:textId="77777777">
            <w:pPr>
              <w:pStyle w:val="ColumnHeading"/>
              <w:keepNext/>
              <w:rPr>
                <w:lang w:val="en-GB"/>
              </w:rPr>
            </w:pPr>
            <w:r w:rsidRPr="00FC4A49">
              <w:rPr>
                <w:lang w:val="en-GB"/>
              </w:rPr>
              <w:t>Text proposed by the Commission</w:t>
            </w:r>
          </w:p>
        </w:tc>
        <w:tc>
          <w:tcPr>
            <w:tcW w:w="4876" w:type="dxa"/>
          </w:tcPr>
          <w:p w:rsidR="00343C6C" w:rsidRPr="00FC4A49" w:rsidP="005D58F9" w14:paraId="77115C52" w14:textId="77777777">
            <w:pPr>
              <w:pStyle w:val="ColumnHeading"/>
              <w:keepNext/>
              <w:rPr>
                <w:lang w:val="en-GB"/>
              </w:rPr>
            </w:pPr>
            <w:r w:rsidRPr="00FC4A49">
              <w:rPr>
                <w:lang w:val="en-GB"/>
              </w:rPr>
              <w:t>Amendment</w:t>
            </w:r>
          </w:p>
        </w:tc>
      </w:tr>
      <w:tr w14:paraId="08EF6C6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69D3966" w14:textId="77777777">
            <w:pPr>
              <w:pStyle w:val="Normal6"/>
              <w:rPr>
                <w:lang w:val="en-GB"/>
              </w:rPr>
            </w:pPr>
            <w:r w:rsidRPr="00FC4A49">
              <w:rPr>
                <w:lang w:val="en-GB"/>
              </w:rPr>
              <w:t>(16)</w:t>
            </w:r>
            <w:r w:rsidRPr="00FC4A49">
              <w:rPr>
                <w:lang w:val="en-GB"/>
              </w:rPr>
              <w:tab/>
            </w:r>
            <w:r w:rsidRPr="00FC4A49">
              <w:rPr>
                <w:b/>
                <w:i/>
                <w:lang w:val="en-GB"/>
              </w:rPr>
              <w:t>For business flights, the reserved amount of allowances should only be available in the case of aircraft using electricity or hydrogen for propulsion.</w:t>
            </w:r>
            <w:r w:rsidRPr="00FC4A49">
              <w:rPr>
                <w:lang w:val="en-GB"/>
              </w:rPr>
              <w:t xml:space="preserve"> In order to ensure uniform conditions for the allocation of reserved allowances pursuant to Article 3c(6) of Directive 2003/87/EC, implementing powers should be conferred on the Commission to adopt a list of aircraft that are considered business aircraft. Such powers should be exercised in accordance with Regulation (EU) No 182/2011 of the European Parliament and of the Council</w:t>
            </w:r>
            <w:r w:rsidRPr="00FC4A49">
              <w:rPr>
                <w:vertAlign w:val="superscript"/>
                <w:lang w:val="en-GB"/>
              </w:rPr>
              <w:t>13</w:t>
            </w:r>
            <w:r w:rsidRPr="00FC4A49">
              <w:rPr>
                <w:lang w:val="en-GB"/>
              </w:rPr>
              <w:t xml:space="preserve"> .</w:t>
            </w:r>
          </w:p>
        </w:tc>
        <w:tc>
          <w:tcPr>
            <w:tcW w:w="4876" w:type="dxa"/>
          </w:tcPr>
          <w:p w:rsidR="00343C6C" w:rsidRPr="00FC4A49" w:rsidP="005D58F9" w14:paraId="78AFBCEB" w14:textId="77777777">
            <w:pPr>
              <w:pStyle w:val="Normal6"/>
              <w:rPr>
                <w:szCs w:val="24"/>
                <w:lang w:val="en-GB"/>
              </w:rPr>
            </w:pPr>
            <w:r w:rsidRPr="00FC4A49">
              <w:rPr>
                <w:lang w:val="en-GB"/>
              </w:rPr>
              <w:t>(16)</w:t>
            </w:r>
            <w:r w:rsidRPr="00FC4A49">
              <w:rPr>
                <w:lang w:val="en-GB"/>
              </w:rPr>
              <w:tab/>
              <w:t>In order to ensure uniform conditions for the allocation of reserved allowances pursuant to Article 3c(6) of Directive 2003/87/EC, implementing powers should be conferred on the Commission to adopt a list of aircraft that are considered business aircraft. Such powers should be exercised in accordance with Regulation (EU) No 182/2011 of the European Parliament and of the Council</w:t>
            </w:r>
            <w:r w:rsidRPr="00FC4A49">
              <w:rPr>
                <w:vertAlign w:val="superscript"/>
                <w:lang w:val="en-GB"/>
              </w:rPr>
              <w:t>13</w:t>
            </w:r>
            <w:r w:rsidRPr="00FC4A49">
              <w:rPr>
                <w:lang w:val="en-GB"/>
              </w:rPr>
              <w:t xml:space="preserve"> .</w:t>
            </w:r>
          </w:p>
        </w:tc>
      </w:tr>
      <w:tr w14:paraId="593EAA9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41F382F" w14:textId="77777777">
            <w:pPr>
              <w:pStyle w:val="Normal6"/>
              <w:rPr>
                <w:lang w:val="en-GB"/>
              </w:rPr>
            </w:pPr>
            <w:r w:rsidRPr="00FC4A49">
              <w:rPr>
                <w:lang w:val="en-GB"/>
              </w:rPr>
              <w:t>__________________</w:t>
            </w:r>
          </w:p>
        </w:tc>
        <w:tc>
          <w:tcPr>
            <w:tcW w:w="4876" w:type="dxa"/>
          </w:tcPr>
          <w:p w:rsidR="00343C6C" w:rsidRPr="00FC4A49" w:rsidP="005D58F9" w14:paraId="1CBB51D2" w14:textId="77777777">
            <w:pPr>
              <w:pStyle w:val="Normal6"/>
              <w:rPr>
                <w:szCs w:val="24"/>
                <w:lang w:val="en-GB"/>
              </w:rPr>
            </w:pPr>
            <w:r w:rsidRPr="00FC4A49">
              <w:rPr>
                <w:lang w:val="en-GB"/>
              </w:rPr>
              <w:t>__________________</w:t>
            </w:r>
          </w:p>
        </w:tc>
      </w:tr>
      <w:tr w14:paraId="263DE7B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4238A18" w14:textId="77777777">
            <w:pPr>
              <w:pStyle w:val="Normal6"/>
              <w:rPr>
                <w:lang w:val="en-GB"/>
              </w:rPr>
            </w:pPr>
            <w:r w:rsidRPr="00FC4A49">
              <w:rPr>
                <w:vertAlign w:val="superscript"/>
                <w:lang w:val="en-GB"/>
              </w:rPr>
              <w:t>13</w:t>
            </w:r>
            <w:r w:rsidRPr="00FC4A49">
              <w:rPr>
                <w:lang w:val="en-GB"/>
              </w:rPr>
              <w:t xml:space="preserve"> Regulation (EU) No 182/2011 of the European Parliament and of the Council of 16 February 2011 laying down the rules and general principles concerning mechanisms for control by Member States of the Commission’s exercise of implementing powers (OJ L 55, 28.2.2011, pp. 13–18, ELI: http://data.europa.eu/eli/reg/2011/182/oj).</w:t>
            </w:r>
          </w:p>
        </w:tc>
        <w:tc>
          <w:tcPr>
            <w:tcW w:w="4876" w:type="dxa"/>
          </w:tcPr>
          <w:p w:rsidR="00343C6C" w:rsidRPr="00FC4A49" w:rsidP="005D58F9" w14:paraId="7275A4BD" w14:textId="77777777">
            <w:pPr>
              <w:pStyle w:val="Normal6"/>
              <w:rPr>
                <w:szCs w:val="24"/>
                <w:lang w:val="en-GB"/>
              </w:rPr>
            </w:pPr>
            <w:r w:rsidRPr="00FC4A49">
              <w:rPr>
                <w:vertAlign w:val="superscript"/>
                <w:lang w:val="en-GB"/>
              </w:rPr>
              <w:t>13</w:t>
            </w:r>
            <w:r w:rsidRPr="00FC4A49">
              <w:rPr>
                <w:lang w:val="en-GB"/>
              </w:rPr>
              <w:t xml:space="preserve"> Regulation (EU) No 182/2011 of the European Parliament and of the Council of 16 February 2011 laying down the rules and general principles concerning mechanisms for control by Member States of the Commission’s exercise of implementing powers (OJ L 55, 28.2.2011, pp. 13–18, ELI: http://data.europa.eu/eli/reg/2011/182/oj).</w:t>
            </w:r>
          </w:p>
        </w:tc>
      </w:tr>
    </w:tbl>
    <w:p w:rsidR="00343C6C" w:rsidRPr="00FC4A49" w:rsidP="00343C6C" w14:paraId="2FEE1CB0"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CCF45EE" w14:textId="77777777">
      <w:r w:rsidRPr="00FC4A49">
        <w:rPr>
          <w:rStyle w:val="HideTWBExt"/>
        </w:rPr>
        <w:t>&lt;/Amend&gt;</w:t>
      </w:r>
    </w:p>
    <w:p w:rsidR="00343C6C" w:rsidRPr="00FC4A49" w:rsidP="00343C6C" w14:paraId="198ABF0E"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148</w:t>
      </w:r>
      <w:r w:rsidRPr="00FC4A49">
        <w:rPr>
          <w:rStyle w:val="HideTWBExt"/>
          <w:b w:val="0"/>
          <w:lang w:val="en-GB"/>
        </w:rPr>
        <w:t>&lt;/NumAm&gt;</w:t>
      </w:r>
    </w:p>
    <w:p w:rsidR="00343C6C" w:rsidRPr="00FC4A49" w:rsidP="00343C6C" w14:paraId="7AD04536" w14:textId="77777777">
      <w:pPr>
        <w:pStyle w:val="NormalBold"/>
      </w:pPr>
      <w:r w:rsidRPr="00FC4A49">
        <w:rPr>
          <w:rStyle w:val="HideTWBExt"/>
          <w:b w:val="0"/>
        </w:rPr>
        <w:t>&lt;RepeatBlock-By&gt;&lt;Members&gt;</w:t>
      </w:r>
      <w:r w:rsidRPr="00FC4A49">
        <w:t>Ondřej Knotek, Jana Nagyová, Antonín Staněk, Viktória Ferenc</w:t>
      </w:r>
      <w:r w:rsidRPr="00FC4A49">
        <w:rPr>
          <w:rStyle w:val="HideTWBExt"/>
          <w:b w:val="0"/>
        </w:rPr>
        <w:t>&lt;/Members&gt;</w:t>
      </w:r>
    </w:p>
    <w:p w:rsidR="00343C6C" w:rsidRPr="00FC4A49" w:rsidP="00343C6C" w14:paraId="22FC339C" w14:textId="77777777">
      <w:r w:rsidRPr="00FC4A49">
        <w:rPr>
          <w:rStyle w:val="HideTWBExt"/>
        </w:rPr>
        <w:t>&lt;/RepeatBlock-By&gt;</w:t>
      </w:r>
    </w:p>
    <w:p w:rsidR="00343C6C" w:rsidRPr="00FC4A49" w:rsidP="00343C6C" w14:paraId="4054BF6A"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E4013E3" w14:textId="77777777">
      <w:pPr>
        <w:pStyle w:val="NormalBold"/>
      </w:pPr>
      <w:r w:rsidRPr="00FC4A49">
        <w:rPr>
          <w:rStyle w:val="HideTWBExt"/>
          <w:b w:val="0"/>
        </w:rPr>
        <w:t>&lt;Article&gt;</w:t>
      </w:r>
      <w:r w:rsidRPr="00FC4A49">
        <w:t>Recital 16</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A3957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B479ECA" w14:textId="77777777">
            <w:pPr>
              <w:keepNext/>
            </w:pPr>
          </w:p>
        </w:tc>
      </w:tr>
      <w:tr w14:paraId="481E59B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FAA7151" w14:textId="77777777">
            <w:pPr>
              <w:pStyle w:val="ColumnHeading"/>
              <w:keepNext/>
              <w:rPr>
                <w:lang w:val="en-GB"/>
              </w:rPr>
            </w:pPr>
            <w:r w:rsidRPr="00FC4A49">
              <w:rPr>
                <w:lang w:val="en-GB"/>
              </w:rPr>
              <w:t>Text proposed by the Commission</w:t>
            </w:r>
          </w:p>
        </w:tc>
        <w:tc>
          <w:tcPr>
            <w:tcW w:w="4876" w:type="dxa"/>
          </w:tcPr>
          <w:p w:rsidR="00343C6C" w:rsidRPr="00FC4A49" w:rsidP="005D58F9" w14:paraId="08C9FDE8" w14:textId="77777777">
            <w:pPr>
              <w:pStyle w:val="ColumnHeading"/>
              <w:keepNext/>
              <w:rPr>
                <w:lang w:val="en-GB"/>
              </w:rPr>
            </w:pPr>
            <w:r w:rsidRPr="00FC4A49">
              <w:rPr>
                <w:lang w:val="en-GB"/>
              </w:rPr>
              <w:t>Amendment</w:t>
            </w:r>
          </w:p>
        </w:tc>
      </w:tr>
      <w:tr w14:paraId="1C3D3C5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F64904E" w14:textId="77777777">
            <w:pPr>
              <w:pStyle w:val="Normal6"/>
              <w:rPr>
                <w:lang w:val="en-GB"/>
              </w:rPr>
            </w:pPr>
            <w:r w:rsidRPr="00FC4A49">
              <w:rPr>
                <w:lang w:val="en-GB"/>
              </w:rPr>
              <w:t>(16)</w:t>
            </w:r>
            <w:r w:rsidRPr="00FC4A49">
              <w:rPr>
                <w:lang w:val="en-GB"/>
              </w:rPr>
              <w:tab/>
              <w:t>For business flights, the reserved amount of allowances should only be available in the case of aircraft using electricity or hydrogen for propulsion. In order to ensure uniform conditions for the allocation of reserved allowances pursuant to Article 3c(6) of Directive 2003/87/EC, implementing powers should be conferred on the Commission to adopt a list of aircraft that are considered business aircraft. Such powers should be exercised in accordance with Regulation (EU) No 182/2011 of the European Parliament and of the Council</w:t>
            </w:r>
            <w:r w:rsidRPr="00FC4A49">
              <w:rPr>
                <w:vertAlign w:val="superscript"/>
                <w:lang w:val="en-GB"/>
              </w:rPr>
              <w:t>13</w:t>
            </w:r>
            <w:r w:rsidRPr="00FC4A49">
              <w:rPr>
                <w:lang w:val="en-GB"/>
              </w:rPr>
              <w:t xml:space="preserve"> .</w:t>
            </w:r>
          </w:p>
        </w:tc>
        <w:tc>
          <w:tcPr>
            <w:tcW w:w="4876" w:type="dxa"/>
          </w:tcPr>
          <w:p w:rsidR="00343C6C" w:rsidRPr="00FC4A49" w:rsidP="005D58F9" w14:paraId="6000DD78" w14:textId="77777777">
            <w:pPr>
              <w:pStyle w:val="Normal6"/>
              <w:rPr>
                <w:szCs w:val="24"/>
                <w:lang w:val="en-GB"/>
              </w:rPr>
            </w:pPr>
            <w:r w:rsidRPr="00FC4A49">
              <w:rPr>
                <w:lang w:val="en-GB"/>
              </w:rPr>
              <w:t>(16)</w:t>
            </w:r>
            <w:r w:rsidRPr="00FC4A49">
              <w:rPr>
                <w:lang w:val="en-GB"/>
              </w:rPr>
              <w:tab/>
              <w:t xml:space="preserve">For business flights, the reserved amount of allowances should only be available in the case of aircraft using </w:t>
            </w:r>
            <w:r w:rsidRPr="00FC4A49">
              <w:rPr>
                <w:b/>
                <w:i/>
                <w:lang w:val="en-GB"/>
              </w:rPr>
              <w:t>sustainable aviation fuels,</w:t>
            </w:r>
            <w:r w:rsidRPr="00FC4A49">
              <w:rPr>
                <w:lang w:val="en-GB"/>
              </w:rPr>
              <w:t xml:space="preserve"> electricity or hydrogen for propulsion</w:t>
            </w:r>
            <w:r w:rsidRPr="00FC4A49">
              <w:rPr>
                <w:b/>
                <w:i/>
                <w:lang w:val="en-GB"/>
              </w:rPr>
              <w:t>, while respecting the principle of technology neutrality</w:t>
            </w:r>
            <w:r w:rsidRPr="00FC4A49">
              <w:rPr>
                <w:lang w:val="en-GB"/>
              </w:rPr>
              <w:t>. In order to ensure uniform conditions for the allocation of reserved allowances pursuant to Article 3c(6) of Directive 2003/87/EC, implementing powers should be conferred on the Commission to adopt a list of aircraft that are considered business aircraft. Such powers should be exercised in accordance with Regulation (EU) No 182/2011 of the European Parliament and of the Council</w:t>
            </w:r>
            <w:r w:rsidRPr="00FC4A49">
              <w:rPr>
                <w:vertAlign w:val="superscript"/>
                <w:lang w:val="en-GB"/>
              </w:rPr>
              <w:t>13</w:t>
            </w:r>
            <w:r w:rsidRPr="00FC4A49">
              <w:rPr>
                <w:lang w:val="en-GB"/>
              </w:rPr>
              <w:t xml:space="preserve"> .</w:t>
            </w:r>
          </w:p>
        </w:tc>
      </w:tr>
      <w:tr w14:paraId="10938CA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4404664" w14:textId="77777777">
            <w:pPr>
              <w:pStyle w:val="Normal6"/>
              <w:rPr>
                <w:lang w:val="en-GB"/>
              </w:rPr>
            </w:pPr>
            <w:r w:rsidRPr="00FC4A49">
              <w:rPr>
                <w:lang w:val="en-GB"/>
              </w:rPr>
              <w:t>__________________</w:t>
            </w:r>
          </w:p>
        </w:tc>
        <w:tc>
          <w:tcPr>
            <w:tcW w:w="4876" w:type="dxa"/>
          </w:tcPr>
          <w:p w:rsidR="00343C6C" w:rsidRPr="00FC4A49" w:rsidP="005D58F9" w14:paraId="60D96F66" w14:textId="77777777">
            <w:pPr>
              <w:pStyle w:val="Normal6"/>
              <w:rPr>
                <w:szCs w:val="24"/>
                <w:lang w:val="en-GB"/>
              </w:rPr>
            </w:pPr>
            <w:r w:rsidRPr="00FC4A49">
              <w:rPr>
                <w:lang w:val="en-GB"/>
              </w:rPr>
              <w:t>__________________</w:t>
            </w:r>
          </w:p>
        </w:tc>
      </w:tr>
      <w:tr w14:paraId="2F87AEB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7887C8D" w14:textId="77777777">
            <w:pPr>
              <w:pStyle w:val="Normal6"/>
              <w:rPr>
                <w:lang w:val="en-GB"/>
              </w:rPr>
            </w:pPr>
            <w:r w:rsidRPr="00FC4A49">
              <w:rPr>
                <w:vertAlign w:val="superscript"/>
                <w:lang w:val="en-GB"/>
              </w:rPr>
              <w:t>13</w:t>
            </w:r>
            <w:r w:rsidRPr="00FC4A49">
              <w:rPr>
                <w:lang w:val="en-GB"/>
              </w:rPr>
              <w:t xml:space="preserve"> Regulation (EU) No 182/2011 of the European Parliament and of the Council of 16 February 2011 laying down the rules and general principles concerning mechanisms for control by Member States of the Commission’s exercise of implementing powers (OJ L 55, 28.2.2011, pp. 13–18, ELI: http://data.europa.eu/eli/reg/2011/182/oj).</w:t>
            </w:r>
          </w:p>
        </w:tc>
        <w:tc>
          <w:tcPr>
            <w:tcW w:w="4876" w:type="dxa"/>
          </w:tcPr>
          <w:p w:rsidR="00343C6C" w:rsidRPr="00FC4A49" w:rsidP="005D58F9" w14:paraId="1A1EED70" w14:textId="77777777">
            <w:pPr>
              <w:pStyle w:val="Normal6"/>
              <w:rPr>
                <w:szCs w:val="24"/>
                <w:lang w:val="en-GB"/>
              </w:rPr>
            </w:pPr>
            <w:r w:rsidRPr="00FC4A49">
              <w:rPr>
                <w:vertAlign w:val="superscript"/>
                <w:lang w:val="en-GB"/>
              </w:rPr>
              <w:t>13</w:t>
            </w:r>
            <w:r w:rsidRPr="00FC4A49">
              <w:rPr>
                <w:lang w:val="en-GB"/>
              </w:rPr>
              <w:t xml:space="preserve"> Regulation (EU) No 182/2011 of the European Parliament and of the Council of 16 February 2011 laying down the rules and general principles concerning mechanisms for control by Member States of the Commission’s exercise of implementing powers (OJ L 55, 28.2.2011, pp. 13–18, ELI: http://data.europa.eu/eli/reg/2011/182/oj).</w:t>
            </w:r>
          </w:p>
        </w:tc>
      </w:tr>
    </w:tbl>
    <w:p w:rsidR="00343C6C" w:rsidRPr="00FC4A49" w:rsidP="00343C6C" w14:paraId="034671D5"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089B991" w14:textId="77777777">
      <w:r w:rsidRPr="00FC4A49">
        <w:rPr>
          <w:rStyle w:val="HideTWBExt"/>
        </w:rPr>
        <w:t>&lt;/Amend&gt;</w:t>
      </w:r>
    </w:p>
    <w:p w:rsidR="00343C6C" w:rsidRPr="00FC4A49" w:rsidP="00343C6C" w14:paraId="5095B48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149</w:t>
      </w:r>
      <w:r w:rsidRPr="00FC4A49">
        <w:rPr>
          <w:rStyle w:val="HideTWBExt"/>
          <w:b w:val="0"/>
          <w:lang w:val="en-GB"/>
        </w:rPr>
        <w:t>&lt;/NumAm&gt;</w:t>
      </w:r>
    </w:p>
    <w:p w:rsidR="00343C6C" w:rsidRPr="00FC4A49" w:rsidP="00343C6C" w14:paraId="1A3C4451" w14:textId="77777777">
      <w:pPr>
        <w:pStyle w:val="NormalBold"/>
      </w:pPr>
      <w:r w:rsidRPr="00FC4A49">
        <w:rPr>
          <w:rStyle w:val="HideTWBExt"/>
          <w:b w:val="0"/>
        </w:rPr>
        <w:t>&lt;RepeatBlock-By&gt;&lt;Members&gt;</w:t>
      </w:r>
      <w:r w:rsidRPr="00FC4A49">
        <w:t>Marie-Luce Brasier-Clain, Anne-Sophie Frigout, Mathilde Androuët, Valérie Deloge, Barbara Bonte, Ondřej Knotek, Silvia Sardone, Jana Nagyová</w:t>
      </w:r>
      <w:r w:rsidRPr="00FC4A49">
        <w:rPr>
          <w:rStyle w:val="HideTWBExt"/>
          <w:b w:val="0"/>
        </w:rPr>
        <w:t>&lt;/Members&gt;</w:t>
      </w:r>
    </w:p>
    <w:p w:rsidR="00343C6C" w:rsidRPr="00FC4A49" w:rsidP="00343C6C" w14:paraId="151588A8" w14:textId="77777777">
      <w:r w:rsidRPr="00FC4A49">
        <w:rPr>
          <w:rStyle w:val="HideTWBExt"/>
        </w:rPr>
        <w:t>&lt;/RepeatBlock-By&gt;</w:t>
      </w:r>
    </w:p>
    <w:p w:rsidR="00343C6C" w:rsidRPr="00FC4A49" w:rsidP="00343C6C" w14:paraId="76285577"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463BE87" w14:textId="77777777">
      <w:pPr>
        <w:pStyle w:val="NormalBold"/>
      </w:pPr>
      <w:r w:rsidRPr="00FC4A49">
        <w:rPr>
          <w:rStyle w:val="HideTWBExt"/>
          <w:b w:val="0"/>
        </w:rPr>
        <w:t>&lt;Article&gt;</w:t>
      </w:r>
      <w:r w:rsidRPr="00FC4A49">
        <w:t>Recital 16</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574917"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191041C" w14:textId="77777777">
            <w:pPr>
              <w:keepNext/>
            </w:pPr>
          </w:p>
        </w:tc>
      </w:tr>
      <w:tr w14:paraId="6995AB2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69BC38F" w14:textId="77777777">
            <w:pPr>
              <w:pStyle w:val="ColumnHeading"/>
              <w:keepNext/>
              <w:rPr>
                <w:lang w:val="en-GB"/>
              </w:rPr>
            </w:pPr>
            <w:r w:rsidRPr="00FC4A49">
              <w:rPr>
                <w:lang w:val="en-GB"/>
              </w:rPr>
              <w:t>Text proposed by the Commission</w:t>
            </w:r>
          </w:p>
        </w:tc>
        <w:tc>
          <w:tcPr>
            <w:tcW w:w="4876" w:type="dxa"/>
          </w:tcPr>
          <w:p w:rsidR="00343C6C" w:rsidRPr="00FC4A49" w:rsidP="005D58F9" w14:paraId="10AA1FE1" w14:textId="77777777">
            <w:pPr>
              <w:pStyle w:val="ColumnHeading"/>
              <w:keepNext/>
              <w:rPr>
                <w:lang w:val="en-GB"/>
              </w:rPr>
            </w:pPr>
            <w:r w:rsidRPr="00FC4A49">
              <w:rPr>
                <w:lang w:val="en-GB"/>
              </w:rPr>
              <w:t>Amendment</w:t>
            </w:r>
          </w:p>
        </w:tc>
      </w:tr>
      <w:tr w14:paraId="7A50C25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DD36AF5" w14:textId="77777777">
            <w:pPr>
              <w:pStyle w:val="Normal6"/>
              <w:rPr>
                <w:lang w:val="en-GB"/>
              </w:rPr>
            </w:pPr>
            <w:r w:rsidRPr="00FC4A49">
              <w:rPr>
                <w:lang w:val="en-GB"/>
              </w:rPr>
              <w:t>(16)</w:t>
            </w:r>
            <w:r w:rsidRPr="00FC4A49">
              <w:rPr>
                <w:lang w:val="en-GB"/>
              </w:rPr>
              <w:tab/>
              <w:t xml:space="preserve">For business flights, the reserved amount of allowances </w:t>
            </w:r>
            <w:r w:rsidRPr="00FC4A49">
              <w:rPr>
                <w:b/>
                <w:i/>
                <w:lang w:val="en-GB"/>
              </w:rPr>
              <w:t>should only be</w:t>
            </w:r>
            <w:r w:rsidRPr="00FC4A49">
              <w:rPr>
                <w:lang w:val="en-GB"/>
              </w:rPr>
              <w:t xml:space="preserve"> available in the case of aircraft using electricity or hydrogen for propulsion. In order to ensure uniform conditions for the allocation of reserved allowances pursuant to Article 3c(6) of Directive 2003/87/EC, implementing powers should be conferred on the Commission to adopt a list of aircraft that are considered business aircraft. Such powers should be exercised in accordance with Regulation (EU) No 182/2011 of the European Parliament and of the Council</w:t>
            </w:r>
            <w:r w:rsidRPr="00FC4A49">
              <w:rPr>
                <w:vertAlign w:val="superscript"/>
                <w:lang w:val="en-GB"/>
              </w:rPr>
              <w:t>13</w:t>
            </w:r>
            <w:r w:rsidRPr="00FC4A49">
              <w:rPr>
                <w:lang w:val="en-GB"/>
              </w:rPr>
              <w:t>.</w:t>
            </w:r>
          </w:p>
        </w:tc>
        <w:tc>
          <w:tcPr>
            <w:tcW w:w="4876" w:type="dxa"/>
          </w:tcPr>
          <w:p w:rsidR="00343C6C" w:rsidRPr="00FC4A49" w:rsidP="005D58F9" w14:paraId="22BAFB8B" w14:textId="77777777">
            <w:pPr>
              <w:pStyle w:val="Normal6"/>
              <w:rPr>
                <w:szCs w:val="24"/>
                <w:lang w:val="en-GB"/>
              </w:rPr>
            </w:pPr>
            <w:r w:rsidRPr="00FC4A49">
              <w:rPr>
                <w:lang w:val="en-GB"/>
              </w:rPr>
              <w:t>(16)</w:t>
            </w:r>
            <w:r w:rsidRPr="00FC4A49">
              <w:rPr>
                <w:lang w:val="en-GB"/>
              </w:rPr>
              <w:tab/>
              <w:t xml:space="preserve">For business flights, the reserved amount of allowances </w:t>
            </w:r>
            <w:r w:rsidRPr="00FC4A49">
              <w:rPr>
                <w:b/>
                <w:i/>
                <w:lang w:val="en-GB"/>
              </w:rPr>
              <w:t>shall be</w:t>
            </w:r>
            <w:r w:rsidRPr="00FC4A49">
              <w:rPr>
                <w:lang w:val="en-GB"/>
              </w:rPr>
              <w:t xml:space="preserve"> available in the case of aircraft using </w:t>
            </w:r>
            <w:r w:rsidRPr="00FC4A49">
              <w:rPr>
                <w:b/>
                <w:i/>
                <w:lang w:val="en-GB"/>
              </w:rPr>
              <w:t>sustainable aviation fuels,</w:t>
            </w:r>
            <w:r w:rsidRPr="00FC4A49">
              <w:rPr>
                <w:lang w:val="en-GB"/>
              </w:rPr>
              <w:t xml:space="preserve"> electricity or hydrogen for propulsion. In order to ensure uniform conditions for the allocation of reserved allowances pursuant to Article 3c(6) of Directive 2003/87/EC, implementing powers should be conferred on the Commission to adopt a list of aircraft that are considered business aircraft. Such powers should be exercised in accordance with Regulation (EU) No 182/2011 of the European Parliament and of the Council</w:t>
            </w:r>
            <w:r w:rsidRPr="00FC4A49">
              <w:rPr>
                <w:vertAlign w:val="superscript"/>
                <w:lang w:val="en-GB"/>
              </w:rPr>
              <w:t>13</w:t>
            </w:r>
            <w:r w:rsidRPr="00FC4A49">
              <w:rPr>
                <w:lang w:val="en-GB"/>
              </w:rPr>
              <w:t>.</w:t>
            </w:r>
          </w:p>
        </w:tc>
      </w:tr>
      <w:tr w14:paraId="3943B50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73D2C7A" w14:textId="77777777">
            <w:pPr>
              <w:pStyle w:val="Normal6"/>
              <w:rPr>
                <w:lang w:val="en-GB"/>
              </w:rPr>
            </w:pPr>
            <w:r w:rsidRPr="00FC4A49">
              <w:rPr>
                <w:lang w:val="en-GB"/>
              </w:rPr>
              <w:t>__________________</w:t>
            </w:r>
          </w:p>
        </w:tc>
        <w:tc>
          <w:tcPr>
            <w:tcW w:w="4876" w:type="dxa"/>
          </w:tcPr>
          <w:p w:rsidR="00343C6C" w:rsidRPr="00FC4A49" w:rsidP="005D58F9" w14:paraId="50DFEAE8" w14:textId="77777777">
            <w:pPr>
              <w:pStyle w:val="Normal6"/>
              <w:rPr>
                <w:szCs w:val="24"/>
                <w:lang w:val="en-GB"/>
              </w:rPr>
            </w:pPr>
            <w:r w:rsidRPr="00FC4A49">
              <w:rPr>
                <w:lang w:val="en-GB"/>
              </w:rPr>
              <w:t>__________________</w:t>
            </w:r>
          </w:p>
        </w:tc>
      </w:tr>
      <w:tr w14:paraId="4F4FFCC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58492D9" w14:textId="77777777">
            <w:pPr>
              <w:pStyle w:val="Normal6"/>
              <w:rPr>
                <w:lang w:val="en-GB"/>
              </w:rPr>
            </w:pPr>
            <w:r w:rsidRPr="00FC4A49">
              <w:rPr>
                <w:vertAlign w:val="superscript"/>
                <w:lang w:val="en-GB"/>
              </w:rPr>
              <w:t>13</w:t>
            </w:r>
            <w:r w:rsidRPr="00FC4A49">
              <w:rPr>
                <w:lang w:val="en-GB"/>
              </w:rPr>
              <w:t xml:space="preserve"> Regulation (EU) No 182/2011 of the European Parliament and of the Council of 16 February 2011 laying down the rules and general principles concerning mechanisms for control by Member States of the Commission’s exercise of implementing powers (OJ L 55, 28.2.2011, pp. 13–18, ELI: http://data.europa.eu/eli/reg/2011/182/oj).</w:t>
            </w:r>
          </w:p>
        </w:tc>
        <w:tc>
          <w:tcPr>
            <w:tcW w:w="4876" w:type="dxa"/>
          </w:tcPr>
          <w:p w:rsidR="00343C6C" w:rsidRPr="00FC4A49" w:rsidP="005D58F9" w14:paraId="7A028FB5" w14:textId="77777777">
            <w:pPr>
              <w:pStyle w:val="Normal6"/>
              <w:rPr>
                <w:szCs w:val="24"/>
                <w:lang w:val="en-GB"/>
              </w:rPr>
            </w:pPr>
            <w:r w:rsidRPr="00FC4A49">
              <w:rPr>
                <w:vertAlign w:val="superscript"/>
                <w:lang w:val="en-GB"/>
              </w:rPr>
              <w:t>13</w:t>
            </w:r>
            <w:r w:rsidRPr="00FC4A49">
              <w:rPr>
                <w:lang w:val="en-GB"/>
              </w:rPr>
              <w:t xml:space="preserve"> Regulation (EU) No 182/2011 of the European Parliament and of the Council of 16 February 2011 laying down the rules and general principles concerning mechanisms for control by Member States of the Commission’s exercise of implementing powers (OJ L 55, 28.2.2011, pp. 13–18, ELI: http://data.europa.eu/eli/reg/2011/182/oj).</w:t>
            </w:r>
          </w:p>
        </w:tc>
      </w:tr>
    </w:tbl>
    <w:p w:rsidR="00343C6C" w:rsidRPr="00FC4A49" w:rsidP="00343C6C" w14:paraId="4AA1390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{FR}</w:t>
      </w:r>
      <w:r w:rsidRPr="00FC4A49">
        <w:rPr>
          <w:lang w:val="en-GB"/>
        </w:rPr>
        <w:t>fr</w:t>
      </w:r>
      <w:r w:rsidRPr="00FC4A49">
        <w:rPr>
          <w:rStyle w:val="HideTWBExt"/>
          <w:lang w:val="en-GB"/>
        </w:rPr>
        <w:t>&lt;/Original&gt;</w:t>
      </w:r>
    </w:p>
    <w:p w:rsidR="00343C6C" w:rsidRPr="00FC4A49" w:rsidP="00343C6C" w14:paraId="2615C079" w14:textId="77777777">
      <w:r w:rsidRPr="00FC4A49">
        <w:rPr>
          <w:rStyle w:val="HideTWBExt"/>
        </w:rPr>
        <w:t>&lt;/Amend&gt;</w:t>
      </w:r>
    </w:p>
    <w:p w:rsidR="00343C6C" w:rsidRPr="00FC4A49" w:rsidP="00343C6C" w14:paraId="22D872B2"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150</w:t>
      </w:r>
      <w:r w:rsidRPr="00FC4A49">
        <w:rPr>
          <w:rStyle w:val="HideTWBExt"/>
          <w:b w:val="0"/>
          <w:lang w:val="en-GB"/>
        </w:rPr>
        <w:t>&lt;/NumAm&gt;</w:t>
      </w:r>
    </w:p>
    <w:p w:rsidR="00343C6C" w:rsidRPr="00FC4A49" w:rsidP="00343C6C" w14:paraId="64B4D2E8" w14:textId="77777777">
      <w:pPr>
        <w:pStyle w:val="NormalBold"/>
      </w:pPr>
      <w:r w:rsidRPr="00FC4A49">
        <w:rPr>
          <w:rStyle w:val="HideTWBExt"/>
          <w:b w:val="0"/>
        </w:rPr>
        <w:t>&lt;RepeatBlock-By&gt;&lt;Members&gt;</w:t>
      </w:r>
      <w:r w:rsidRPr="00FC4A49">
        <w:t xml:space="preserve">Javi López, César Luena, Rosa Serrano Sierra, Alicia Homs Ginel, Juan Fernando López Aguilar, Nicolás González Casares, Leire </w:t>
      </w:r>
      <w:r w:rsidRPr="00FC4A49">
        <w:t>Pajín</w:t>
      </w:r>
      <w:r w:rsidRPr="00FC4A49">
        <w:t>, Elena Sancho Murillo</w:t>
      </w:r>
      <w:r w:rsidRPr="00FC4A49">
        <w:rPr>
          <w:rStyle w:val="HideTWBExt"/>
          <w:b w:val="0"/>
        </w:rPr>
        <w:t>&lt;/Members&gt;</w:t>
      </w:r>
    </w:p>
    <w:p w:rsidR="00343C6C" w:rsidRPr="00FC4A49" w:rsidP="00343C6C" w14:paraId="080BE99F" w14:textId="77777777">
      <w:r w:rsidRPr="00FC4A49">
        <w:rPr>
          <w:rStyle w:val="HideTWBExt"/>
        </w:rPr>
        <w:t>&lt;/RepeatBlock-By&gt;</w:t>
      </w:r>
    </w:p>
    <w:p w:rsidR="00343C6C" w:rsidRPr="00FC4A49" w:rsidP="00343C6C" w14:paraId="4C0E3C5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92DF607" w14:textId="77777777">
      <w:pPr>
        <w:pStyle w:val="NormalBold"/>
      </w:pPr>
      <w:r w:rsidRPr="00FC4A49">
        <w:rPr>
          <w:rStyle w:val="HideTWBExt"/>
          <w:b w:val="0"/>
        </w:rPr>
        <w:t>&lt;Article&gt;</w:t>
      </w:r>
      <w:r w:rsidRPr="00FC4A49">
        <w:t>Recital 16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621C6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3444043" w14:textId="77777777">
            <w:pPr>
              <w:keepNext/>
            </w:pPr>
          </w:p>
        </w:tc>
      </w:tr>
      <w:tr w14:paraId="134B0B2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AE7D7D5" w14:textId="77777777">
            <w:pPr>
              <w:pStyle w:val="ColumnHeading"/>
              <w:keepNext/>
              <w:rPr>
                <w:lang w:val="en-GB"/>
              </w:rPr>
            </w:pPr>
            <w:r w:rsidRPr="00FC4A49">
              <w:rPr>
                <w:lang w:val="en-GB"/>
              </w:rPr>
              <w:t>Text proposed by the Commission</w:t>
            </w:r>
          </w:p>
        </w:tc>
        <w:tc>
          <w:tcPr>
            <w:tcW w:w="4876" w:type="dxa"/>
          </w:tcPr>
          <w:p w:rsidR="00343C6C" w:rsidRPr="00FC4A49" w:rsidP="005D58F9" w14:paraId="0B4FE684" w14:textId="77777777">
            <w:pPr>
              <w:pStyle w:val="ColumnHeading"/>
              <w:keepNext/>
              <w:rPr>
                <w:lang w:val="en-GB"/>
              </w:rPr>
            </w:pPr>
            <w:r w:rsidRPr="00FC4A49">
              <w:rPr>
                <w:lang w:val="en-GB"/>
              </w:rPr>
              <w:t>Amendment</w:t>
            </w:r>
          </w:p>
        </w:tc>
      </w:tr>
      <w:tr w14:paraId="0F878F6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0F7AFA9" w14:textId="77777777">
            <w:pPr>
              <w:pStyle w:val="Normal6"/>
              <w:rPr>
                <w:lang w:val="en-GB"/>
              </w:rPr>
            </w:pPr>
          </w:p>
        </w:tc>
        <w:tc>
          <w:tcPr>
            <w:tcW w:w="4876" w:type="dxa"/>
          </w:tcPr>
          <w:p w:rsidR="00343C6C" w:rsidRPr="00FC4A49" w:rsidP="005D58F9" w14:paraId="791AADB9" w14:textId="77777777">
            <w:pPr>
              <w:pStyle w:val="Normal6"/>
              <w:rPr>
                <w:szCs w:val="24"/>
                <w:lang w:val="en-GB"/>
              </w:rPr>
            </w:pPr>
            <w:r w:rsidRPr="00FC4A49">
              <w:rPr>
                <w:b/>
                <w:i/>
                <w:lang w:val="en-GB"/>
              </w:rPr>
              <w:t>(16a)</w:t>
            </w:r>
            <w:r w:rsidRPr="00FC4A49">
              <w:rPr>
                <w:b/>
                <w:i/>
                <w:lang w:val="en-GB"/>
              </w:rPr>
              <w:tab/>
              <w:t xml:space="preserve">Taking into account the special characteristics and permanent constraints of the outermost regions of the Union as recognised in Article 349 TFEU, and given their heavy dependence on air transport, which often constitutes the only means of connection with the rest of the </w:t>
            </w:r>
            <w:r w:rsidRPr="00FC4A49">
              <w:rPr>
                <w:b/>
                <w:i/>
                <w:lang w:val="en-GB"/>
              </w:rPr>
              <w:t>Member State and between islands, special consideration should be given to preserving the accessibility of such regions and the affordability of essential air services for their citizens. Consistent with the extension until 2040 of the support for sustainable aviation fuels under Article 3c(6) of Directive 2003/87/EC, a derogation until 31 December 2030 would not provide sufficient predictability for aircraft operators serving those regions. The derogation for flights between an aerodrome located in an outermost region of a Member State and an aerodrome located in the same Member State should therefore be extended until 31 December 2040. However, over time, all sectors need to become climate neutral. Therefore, that derogation should be gradually phased out until 2040.</w:t>
            </w:r>
          </w:p>
        </w:tc>
      </w:tr>
    </w:tbl>
    <w:p w:rsidR="00343C6C" w:rsidRPr="00FC4A49" w:rsidP="00343C6C" w14:paraId="5E959D10"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CB75A90" w14:textId="77777777">
      <w:r w:rsidRPr="00FC4A49">
        <w:rPr>
          <w:rStyle w:val="HideTWBExt"/>
        </w:rPr>
        <w:t>&lt;/Amend&gt;</w:t>
      </w:r>
    </w:p>
    <w:p w:rsidR="00343C6C" w:rsidRPr="00FC4A49" w:rsidP="00343C6C" w14:paraId="7A05357F"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151</w:t>
      </w:r>
      <w:r w:rsidRPr="00FC4A49">
        <w:rPr>
          <w:rStyle w:val="HideTWBExt"/>
          <w:b w:val="0"/>
          <w:lang w:val="en-GB"/>
        </w:rPr>
        <w:t>&lt;/NumAm&gt;</w:t>
      </w:r>
    </w:p>
    <w:p w:rsidR="00343C6C" w:rsidRPr="00FC4A49" w:rsidP="00343C6C" w14:paraId="34E23A6E" w14:textId="77777777">
      <w:pPr>
        <w:pStyle w:val="NormalBold"/>
      </w:pPr>
      <w:r w:rsidRPr="00FC4A49">
        <w:rPr>
          <w:rStyle w:val="HideTWBExt"/>
          <w:b w:val="0"/>
        </w:rPr>
        <w:t>&lt;RepeatBlock-By&gt;&lt;Members&gt;</w:t>
      </w:r>
      <w:r w:rsidRPr="00FC4A49">
        <w:t>Mohammed Chahim</w:t>
      </w:r>
      <w:r w:rsidRPr="00FC4A49">
        <w:rPr>
          <w:rStyle w:val="HideTWBExt"/>
          <w:b w:val="0"/>
        </w:rPr>
        <w:t>&lt;/Members&gt;</w:t>
      </w:r>
    </w:p>
    <w:p w:rsidR="00343C6C" w:rsidRPr="00FC4A49" w:rsidP="00343C6C" w14:paraId="65E85A03" w14:textId="77777777">
      <w:r w:rsidRPr="00FC4A49">
        <w:rPr>
          <w:rStyle w:val="HideTWBExt"/>
        </w:rPr>
        <w:t>&lt;/RepeatBlock-By&gt;</w:t>
      </w:r>
    </w:p>
    <w:p w:rsidR="00343C6C" w:rsidRPr="00FC4A49" w:rsidP="00343C6C" w14:paraId="1DD20CF1"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E4749F4" w14:textId="77777777">
      <w:pPr>
        <w:pStyle w:val="NormalBold"/>
      </w:pPr>
      <w:r w:rsidRPr="00FC4A49">
        <w:rPr>
          <w:rStyle w:val="HideTWBExt"/>
          <w:b w:val="0"/>
        </w:rPr>
        <w:t>&lt;Article&gt;</w:t>
      </w:r>
      <w:r w:rsidRPr="00FC4A49">
        <w:t>Recital 17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59BC2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FECC54C" w14:textId="77777777">
            <w:pPr>
              <w:keepNext/>
            </w:pPr>
          </w:p>
        </w:tc>
      </w:tr>
      <w:tr w14:paraId="3644AA7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2948300" w14:textId="77777777">
            <w:pPr>
              <w:pStyle w:val="ColumnHeading"/>
              <w:keepNext/>
              <w:rPr>
                <w:lang w:val="en-GB"/>
              </w:rPr>
            </w:pPr>
            <w:r w:rsidRPr="00FC4A49">
              <w:rPr>
                <w:lang w:val="en-GB"/>
              </w:rPr>
              <w:t>Text proposed by the Commission</w:t>
            </w:r>
          </w:p>
        </w:tc>
        <w:tc>
          <w:tcPr>
            <w:tcW w:w="4876" w:type="dxa"/>
          </w:tcPr>
          <w:p w:rsidR="00343C6C" w:rsidRPr="00FC4A49" w:rsidP="005D58F9" w14:paraId="46729ED8" w14:textId="77777777">
            <w:pPr>
              <w:pStyle w:val="ColumnHeading"/>
              <w:keepNext/>
              <w:rPr>
                <w:lang w:val="en-GB"/>
              </w:rPr>
            </w:pPr>
            <w:r w:rsidRPr="00FC4A49">
              <w:rPr>
                <w:lang w:val="en-GB"/>
              </w:rPr>
              <w:t>Amendment</w:t>
            </w:r>
          </w:p>
        </w:tc>
      </w:tr>
      <w:tr w14:paraId="4699CBF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34BB96D" w14:textId="77777777">
            <w:pPr>
              <w:pStyle w:val="Normal6"/>
              <w:rPr>
                <w:lang w:val="en-GB"/>
              </w:rPr>
            </w:pPr>
          </w:p>
        </w:tc>
        <w:tc>
          <w:tcPr>
            <w:tcW w:w="4876" w:type="dxa"/>
          </w:tcPr>
          <w:p w:rsidR="00343C6C" w:rsidRPr="00FC4A49" w:rsidP="005D58F9" w14:paraId="0B152E31" w14:textId="77777777">
            <w:pPr>
              <w:pStyle w:val="Normal6"/>
              <w:rPr>
                <w:szCs w:val="24"/>
                <w:lang w:val="en-GB"/>
              </w:rPr>
            </w:pPr>
            <w:r w:rsidRPr="00FC4A49">
              <w:rPr>
                <w:b/>
                <w:i/>
                <w:lang w:val="en-GB"/>
              </w:rPr>
              <w:t>(17a)</w:t>
            </w:r>
            <w:r w:rsidRPr="00FC4A49">
              <w:rPr>
                <w:b/>
                <w:i/>
                <w:lang w:val="en-GB"/>
              </w:rPr>
              <w:tab/>
              <w:t xml:space="preserve">Data centres require a reliable electricity supply that may operate continuously, around the clock. Where that supply is generated on site, in full or in part, through fuel combustion, sustained operation can give rise to substantial carbon dioxide emissions. Rapid growth in data centre capacity could increase the cumulative emissions from such generation, undermining the Union’s climate objectives. The general threshold of 20 MW of rated thermal input does not adequately address the consumption from data </w:t>
            </w:r>
            <w:r w:rsidRPr="00FC4A49">
              <w:rPr>
                <w:b/>
                <w:i/>
                <w:lang w:val="en-GB"/>
              </w:rPr>
              <w:t>centers</w:t>
            </w:r>
            <w:r w:rsidRPr="00FC4A49">
              <w:rPr>
                <w:b/>
                <w:i/>
                <w:lang w:val="en-GB"/>
              </w:rPr>
              <w:t xml:space="preserve">, which may distribute computing workloads and </w:t>
            </w:r>
            <w:r w:rsidRPr="00FC4A49">
              <w:rPr>
                <w:b/>
                <w:i/>
                <w:lang w:val="en-GB"/>
              </w:rPr>
              <w:t>fossil electricity generation across several facilities. Those combined emissions may be significant while remaining outside the EU ETS for each of the individual stationary units. A specific threshold of more than 1MW of combined rated thermal input should therefore apply to electricity generation by fuel combustion at data centre installations.</w:t>
            </w:r>
          </w:p>
        </w:tc>
      </w:tr>
    </w:tbl>
    <w:p w:rsidR="00343C6C" w:rsidRPr="00FC4A49" w:rsidP="00343C6C" w14:paraId="1533B6F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BFEFB44" w14:textId="77777777">
      <w:r w:rsidRPr="00FC4A49">
        <w:rPr>
          <w:rStyle w:val="HideTWBExt"/>
        </w:rPr>
        <w:t>&lt;/Amend&gt;</w:t>
      </w:r>
    </w:p>
    <w:p w:rsidR="00343C6C" w:rsidRPr="00FC4A49" w:rsidP="00343C6C" w14:paraId="5E0B0E46"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152</w:t>
      </w:r>
      <w:r w:rsidRPr="00FC4A49">
        <w:rPr>
          <w:rStyle w:val="HideTWBExt"/>
          <w:b w:val="0"/>
          <w:lang w:val="en-GB"/>
        </w:rPr>
        <w:t>&lt;/NumAm&gt;</w:t>
      </w:r>
    </w:p>
    <w:p w:rsidR="00343C6C" w:rsidRPr="00FC4A49" w:rsidP="00343C6C" w14:paraId="692F8C70" w14:textId="77777777">
      <w:pPr>
        <w:pStyle w:val="NormalBold"/>
      </w:pPr>
      <w:r w:rsidRPr="00FC4A49">
        <w:rPr>
          <w:rStyle w:val="HideTWBExt"/>
          <w:b w:val="0"/>
        </w:rPr>
        <w:t>&lt;RepeatBlock-By&gt;&lt;Members&gt;</w:t>
      </w:r>
      <w:r w:rsidRPr="00FC4A49">
        <w:t>Matteo Ricci, Annalisa Corrado</w:t>
      </w:r>
      <w:r w:rsidRPr="00FC4A49">
        <w:rPr>
          <w:rStyle w:val="HideTWBExt"/>
          <w:b w:val="0"/>
        </w:rPr>
        <w:t>&lt;/Members&gt;</w:t>
      </w:r>
    </w:p>
    <w:p w:rsidR="00343C6C" w:rsidRPr="00FC4A49" w:rsidP="00343C6C" w14:paraId="602B8BF0" w14:textId="77777777">
      <w:r w:rsidRPr="00FC4A49">
        <w:rPr>
          <w:rStyle w:val="HideTWBExt"/>
        </w:rPr>
        <w:t>&lt;/RepeatBlock-By&gt;</w:t>
      </w:r>
    </w:p>
    <w:p w:rsidR="00343C6C" w:rsidRPr="00FC4A49" w:rsidP="00343C6C" w14:paraId="01A45B92"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9599A4D" w14:textId="77777777">
      <w:pPr>
        <w:pStyle w:val="NormalBold"/>
      </w:pPr>
      <w:r w:rsidRPr="00FC4A49">
        <w:rPr>
          <w:rStyle w:val="HideTWBExt"/>
          <w:b w:val="0"/>
        </w:rPr>
        <w:t>&lt;Article&gt;</w:t>
      </w:r>
      <w:r w:rsidRPr="00FC4A49">
        <w:t>Recital 18</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958E78"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D814089" w14:textId="77777777">
            <w:pPr>
              <w:keepNext/>
            </w:pPr>
          </w:p>
        </w:tc>
      </w:tr>
      <w:tr w14:paraId="42454EC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E874063" w14:textId="77777777">
            <w:pPr>
              <w:pStyle w:val="ColumnHeading"/>
              <w:keepNext/>
              <w:rPr>
                <w:lang w:val="en-GB"/>
              </w:rPr>
            </w:pPr>
            <w:r w:rsidRPr="00FC4A49">
              <w:rPr>
                <w:lang w:val="en-GB"/>
              </w:rPr>
              <w:t>Text proposed by the Commission</w:t>
            </w:r>
          </w:p>
        </w:tc>
        <w:tc>
          <w:tcPr>
            <w:tcW w:w="4876" w:type="dxa"/>
          </w:tcPr>
          <w:p w:rsidR="00343C6C" w:rsidRPr="00FC4A49" w:rsidP="005D58F9" w14:paraId="65BDED4B" w14:textId="77777777">
            <w:pPr>
              <w:pStyle w:val="ColumnHeading"/>
              <w:keepNext/>
              <w:rPr>
                <w:lang w:val="en-GB"/>
              </w:rPr>
            </w:pPr>
            <w:r w:rsidRPr="00FC4A49">
              <w:rPr>
                <w:lang w:val="en-GB"/>
              </w:rPr>
              <w:t>Amendment</w:t>
            </w:r>
          </w:p>
        </w:tc>
      </w:tr>
      <w:tr w14:paraId="2172CF3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7ED18A3" w14:textId="77777777">
            <w:pPr>
              <w:pStyle w:val="Normal6"/>
              <w:rPr>
                <w:lang w:val="en-GB"/>
              </w:rPr>
            </w:pPr>
            <w:r w:rsidRPr="00FC4A49">
              <w:rPr>
                <w:lang w:val="en-GB"/>
              </w:rPr>
              <w:t>(18)</w:t>
            </w:r>
            <w:r w:rsidRPr="00FC4A49">
              <w:rPr>
                <w:lang w:val="en-GB"/>
              </w:rPr>
              <w:tab/>
              <w:t>The Union is to achieve climate neutrality by 2050 at the latest and all sectors of the economy, including maritime 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w:t>
            </w:r>
            <w:r w:rsidRPr="00FC4A49">
              <w:rPr>
                <w:lang w:val="en-GB"/>
              </w:rPr>
              <w:t xml:space="preserve">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coherence of the EU ETS and that measure, including avoiding double payment. As appropriate, and in order to prevent such a risk of double payment while ensuring that no environmental backsliding occurs, the accompanying legislative proposal should provide for an IMO deduction mechanism according to which it is appropriate to allow shipping companies to surrender fewer allowances than their verified emissions to the extent that those emissions are also effectively priced under the IMO measure.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b/>
                <w:i/>
                <w:lang w:val="en-GB"/>
              </w:rPr>
              <w:t>supportleast</w:t>
            </w:r>
            <w:r w:rsidRPr="00FC4A49">
              <w:rPr>
                <w:lang w:val="en-GB"/>
              </w:rPr>
              <w:t xml:space="preserve"> developed countries and small island developing countries.</w:t>
            </w:r>
          </w:p>
        </w:tc>
        <w:tc>
          <w:tcPr>
            <w:tcW w:w="4876" w:type="dxa"/>
          </w:tcPr>
          <w:p w:rsidR="00343C6C" w:rsidRPr="00FC4A49" w:rsidP="005D58F9" w14:paraId="5DD72351" w14:textId="77777777">
            <w:pPr>
              <w:pStyle w:val="Normal6"/>
              <w:rPr>
                <w:szCs w:val="24"/>
                <w:lang w:val="en-GB"/>
              </w:rPr>
            </w:pPr>
            <w:r w:rsidRPr="00FC4A49">
              <w:rPr>
                <w:lang w:val="en-GB"/>
              </w:rPr>
              <w:t>(18)</w:t>
            </w:r>
            <w:r w:rsidRPr="00FC4A49">
              <w:rPr>
                <w:lang w:val="en-GB"/>
              </w:rPr>
              <w:tab/>
              <w:t>The Union is to achieve climate neutrality by 2050 at the latest and all sectors of the economy, including maritime 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w:t>
            </w:r>
            <w:r w:rsidRPr="00FC4A49">
              <w:rPr>
                <w:b/>
                <w:i/>
                <w:lang w:val="en-GB"/>
              </w:rPr>
              <w:t>. The Union institutions and Member States should do everything possible to work towards a global solution for the maritime sector, that is completely aligned with the Paris Agreement and the Union’s ambition when it comes to climate protection. They should use the fora of the International Maritime Organization (IMO), but also work bilaterally towards this aim and, as a step in the right direction, also conclude bilateral agreements, where possible</w:t>
            </w:r>
            <w:r w:rsidRPr="00FC4A49">
              <w:rPr>
                <w:lang w:val="en-GB"/>
              </w:rPr>
              <w: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w:t>
            </w:r>
            <w:r w:rsidRPr="00FC4A49">
              <w:rPr>
                <w:lang w:val="en-GB"/>
              </w:rPr>
              <w:t xml:space="preserve">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w:t>
            </w:r>
            <w:r w:rsidRPr="00FC4A49">
              <w:rPr>
                <w:b/>
                <w:i/>
                <w:lang w:val="en-GB"/>
              </w:rPr>
              <w:t>impact on European maritime climate policy, its</w:t>
            </w:r>
            <w:r w:rsidRPr="00FC4A49">
              <w:rPr>
                <w:lang w:val="en-GB"/>
              </w:rPr>
              <w:t xml:space="preserve"> overall environmental integrity, including in comparison with the provisions </w:t>
            </w:r>
            <w:r w:rsidRPr="00FC4A49">
              <w:rPr>
                <w:b/>
                <w:i/>
                <w:lang w:val="en-GB"/>
              </w:rPr>
              <w:t>and objectives</w:t>
            </w:r>
            <w:r w:rsidRPr="00FC4A49">
              <w:rPr>
                <w:lang w:val="en-GB"/>
              </w:rPr>
              <w:t xml:space="preserve"> of Directive 2003/87/EC covering maritime transport, and any issue related to the coherence of the EU ETS and that measure, including avoiding double payment. As appropriate, and in order to prevent such a risk of double payment while ensuring that no environmental backsliding occurs, the accompanying legislative proposal should provide for an IMO deduction mechanism according to which it is appropriate to allow shipping companies to surrender fewer allowances than their verified emissions to the extent that those emissions are also effectively priced under the IMO measure.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b/>
                <w:i/>
                <w:lang w:val="en-GB"/>
              </w:rPr>
              <w:t>support least</w:t>
            </w:r>
            <w:r w:rsidRPr="00FC4A49">
              <w:rPr>
                <w:lang w:val="en-GB"/>
              </w:rPr>
              <w:t xml:space="preserve"> developed countries and small island developing </w:t>
            </w:r>
            <w:r w:rsidRPr="00FC4A49">
              <w:rPr>
                <w:lang w:val="en-GB"/>
              </w:rPr>
              <w:t>countries.</w:t>
            </w:r>
          </w:p>
        </w:tc>
      </w:tr>
      <w:tr w14:paraId="019CA9E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C8537D1" w14:textId="77777777">
            <w:pPr>
              <w:pStyle w:val="Normal6"/>
              <w:rPr>
                <w:lang w:val="en-GB"/>
              </w:rPr>
            </w:pPr>
            <w:r w:rsidRPr="00FC4A49">
              <w:rPr>
                <w:lang w:val="en-GB"/>
              </w:rPr>
              <w:t>__________________</w:t>
            </w:r>
          </w:p>
        </w:tc>
        <w:tc>
          <w:tcPr>
            <w:tcW w:w="4876" w:type="dxa"/>
          </w:tcPr>
          <w:p w:rsidR="00343C6C" w:rsidRPr="00FC4A49" w:rsidP="005D58F9" w14:paraId="2DBB32E8" w14:textId="77777777">
            <w:pPr>
              <w:pStyle w:val="Normal6"/>
              <w:rPr>
                <w:szCs w:val="24"/>
                <w:lang w:val="en-GB"/>
              </w:rPr>
            </w:pPr>
            <w:r w:rsidRPr="00FC4A49">
              <w:rPr>
                <w:lang w:val="en-GB"/>
              </w:rPr>
              <w:t>__________________</w:t>
            </w:r>
          </w:p>
        </w:tc>
      </w:tr>
      <w:tr w14:paraId="0F00260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22FB30D" w14:textId="77777777">
            <w:pPr>
              <w:pStyle w:val="Normal6"/>
              <w:rPr>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c>
          <w:tcPr>
            <w:tcW w:w="4876" w:type="dxa"/>
          </w:tcPr>
          <w:p w:rsidR="00343C6C" w:rsidRPr="00FC4A49" w:rsidP="005D58F9" w14:paraId="2AF4DE47" w14:textId="77777777">
            <w:pPr>
              <w:pStyle w:val="Normal6"/>
              <w:rPr>
                <w:szCs w:val="24"/>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r>
    </w:tbl>
    <w:p w:rsidR="00343C6C" w:rsidRPr="00FC4A49" w:rsidP="00343C6C" w14:paraId="13BFCB63"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FEA5D92" w14:textId="77777777">
      <w:r w:rsidRPr="00FC4A49">
        <w:rPr>
          <w:rStyle w:val="HideTWBExt"/>
        </w:rPr>
        <w:t>&lt;/Amend&gt;</w:t>
      </w:r>
    </w:p>
    <w:p w:rsidR="00343C6C" w:rsidRPr="00FC4A49" w:rsidP="00343C6C" w14:paraId="1A0F0B84"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153</w:t>
      </w:r>
      <w:r w:rsidRPr="00FC4A49">
        <w:rPr>
          <w:rStyle w:val="HideTWBExt"/>
          <w:b w:val="0"/>
          <w:lang w:val="en-GB"/>
        </w:rPr>
        <w:t>&lt;/NumAm&gt;</w:t>
      </w:r>
    </w:p>
    <w:p w:rsidR="00343C6C" w:rsidRPr="00FC4A49" w:rsidP="00343C6C" w14:paraId="4E398871"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10342774" w14:textId="77777777">
      <w:r w:rsidRPr="00FC4A49">
        <w:rPr>
          <w:rStyle w:val="HideTWBExt"/>
        </w:rPr>
        <w:t>&lt;/RepeatBlock-By&gt;</w:t>
      </w:r>
    </w:p>
    <w:p w:rsidR="00343C6C" w:rsidRPr="00FC4A49" w:rsidP="00343C6C" w14:paraId="3BDA3CCC"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E5B25AB" w14:textId="77777777">
      <w:pPr>
        <w:pStyle w:val="NormalBold"/>
      </w:pPr>
      <w:r w:rsidRPr="00FC4A49">
        <w:rPr>
          <w:rStyle w:val="HideTWBExt"/>
          <w:b w:val="0"/>
        </w:rPr>
        <w:t>&lt;Article&gt;</w:t>
      </w:r>
      <w:r w:rsidRPr="00FC4A49">
        <w:t>Recital 18</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F1F459"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9C0D681" w14:textId="77777777">
            <w:pPr>
              <w:keepNext/>
            </w:pPr>
          </w:p>
        </w:tc>
      </w:tr>
      <w:tr w14:paraId="4D976FC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E37B9DF" w14:textId="77777777">
            <w:pPr>
              <w:pStyle w:val="ColumnHeading"/>
              <w:keepNext/>
              <w:rPr>
                <w:lang w:val="en-GB"/>
              </w:rPr>
            </w:pPr>
            <w:r w:rsidRPr="00FC4A49">
              <w:rPr>
                <w:lang w:val="en-GB"/>
              </w:rPr>
              <w:t>Text proposed by the Commission</w:t>
            </w:r>
          </w:p>
        </w:tc>
        <w:tc>
          <w:tcPr>
            <w:tcW w:w="4876" w:type="dxa"/>
          </w:tcPr>
          <w:p w:rsidR="00343C6C" w:rsidRPr="00FC4A49" w:rsidP="005D58F9" w14:paraId="2AE27B0D" w14:textId="77777777">
            <w:pPr>
              <w:pStyle w:val="ColumnHeading"/>
              <w:keepNext/>
              <w:rPr>
                <w:lang w:val="en-GB"/>
              </w:rPr>
            </w:pPr>
            <w:r w:rsidRPr="00FC4A49">
              <w:rPr>
                <w:lang w:val="en-GB"/>
              </w:rPr>
              <w:t>Amendment</w:t>
            </w:r>
          </w:p>
        </w:tc>
      </w:tr>
      <w:tr w14:paraId="448DF59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5A8C94A" w14:textId="77777777">
            <w:pPr>
              <w:pStyle w:val="Normal6"/>
              <w:rPr>
                <w:lang w:val="en-GB"/>
              </w:rPr>
            </w:pPr>
            <w:r w:rsidRPr="00FC4A49">
              <w:rPr>
                <w:lang w:val="en-GB"/>
              </w:rPr>
              <w:t>(18)</w:t>
            </w:r>
            <w:r w:rsidRPr="00FC4A49">
              <w:rPr>
                <w:lang w:val="en-GB"/>
              </w:rPr>
              <w:tab/>
            </w:r>
            <w:r w:rsidRPr="00FC4A49">
              <w:rPr>
                <w:b/>
                <w:i/>
                <w:lang w:val="en-GB"/>
              </w:rPr>
              <w:t>The Union is to achieve climate neutrality by 2050 at the latest and all sectors of the economy, including maritime 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w:t>
            </w:r>
            <w:r w:rsidRPr="00FC4A49">
              <w:rPr>
                <w:lang w:val="en-GB"/>
              </w:rPr>
              <w:t xml:space="preserve">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w:t>
            </w:r>
            <w:r w:rsidRPr="00FC4A49">
              <w:rPr>
                <w:lang w:val="en-GB"/>
              </w:rPr>
              <w:t xml:space="preserve">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coherence of the EU ETS and that measure, including avoiding double payment. As appropriate, and in order to prevent such a risk of double payment while ensuring that no environmental backsliding occurs, the accompanying legislative proposal should provide for an IMO deduction mechanism according to which it is appropriate to allow shipping companies to surrender fewer allowances than their verified emissions to the extent that those emissions are also effectively priced under the IMO measure.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support least developed countries and small island developing countries.</w:t>
            </w:r>
          </w:p>
        </w:tc>
        <w:tc>
          <w:tcPr>
            <w:tcW w:w="4876" w:type="dxa"/>
          </w:tcPr>
          <w:p w:rsidR="00343C6C" w:rsidRPr="00FC4A49" w:rsidP="005D58F9" w14:paraId="773EF019" w14:textId="77777777">
            <w:pPr>
              <w:pStyle w:val="Normal6"/>
              <w:rPr>
                <w:szCs w:val="24"/>
                <w:lang w:val="en-GB"/>
              </w:rPr>
            </w:pPr>
            <w:r w:rsidRPr="00FC4A49">
              <w:rPr>
                <w:lang w:val="en-GB"/>
              </w:rPr>
              <w:t>(18)</w:t>
            </w:r>
            <w:r w:rsidRPr="00FC4A49">
              <w:rPr>
                <w:lang w:val="en-GB"/>
              </w:rPr>
              <w:tab/>
              <w:t>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w:t>
            </w:r>
            <w:r w:rsidRPr="00FC4A49">
              <w:rPr>
                <w:lang w:val="en-GB"/>
              </w:rPr>
              <w:t xml:space="preserve">in comparison with the provisions of Directive 2003/87/EC covering maritime transport, and any issue related to the coherence of the EU ETS and that measure, including avoiding double payment. As appropriate, and in order to prevent such a risk of double payment while ensuring that no environmental backsliding occurs, the accompanying legislative proposal should provide for an IMO deduction mechanism according to which it is appropriate to allow shipping companies to surrender fewer allowances than their verified emissions to the extent that those emissions are also effectively priced under the IMO measure.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support least developed countries and small island developing countries.</w:t>
            </w:r>
          </w:p>
        </w:tc>
      </w:tr>
      <w:tr w14:paraId="385FAAF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5130A68" w14:textId="77777777">
            <w:pPr>
              <w:pStyle w:val="Normal6"/>
              <w:rPr>
                <w:lang w:val="en-GB"/>
              </w:rPr>
            </w:pPr>
            <w:r w:rsidRPr="00FC4A49">
              <w:rPr>
                <w:lang w:val="en-GB"/>
              </w:rPr>
              <w:t>__________________</w:t>
            </w:r>
          </w:p>
        </w:tc>
        <w:tc>
          <w:tcPr>
            <w:tcW w:w="4876" w:type="dxa"/>
          </w:tcPr>
          <w:p w:rsidR="00343C6C" w:rsidRPr="00FC4A49" w:rsidP="005D58F9" w14:paraId="1682F0E1" w14:textId="77777777">
            <w:pPr>
              <w:pStyle w:val="Normal6"/>
              <w:rPr>
                <w:szCs w:val="24"/>
                <w:lang w:val="en-GB"/>
              </w:rPr>
            </w:pPr>
            <w:r w:rsidRPr="00FC4A49">
              <w:rPr>
                <w:lang w:val="en-GB"/>
              </w:rPr>
              <w:t>__________________</w:t>
            </w:r>
          </w:p>
        </w:tc>
      </w:tr>
      <w:tr w14:paraId="583D064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92E037E" w14:textId="77777777">
            <w:pPr>
              <w:pStyle w:val="Normal6"/>
              <w:rPr>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c>
          <w:tcPr>
            <w:tcW w:w="4876" w:type="dxa"/>
          </w:tcPr>
          <w:p w:rsidR="00343C6C" w:rsidRPr="00FC4A49" w:rsidP="005D58F9" w14:paraId="0548E31A" w14:textId="77777777">
            <w:pPr>
              <w:pStyle w:val="Normal6"/>
              <w:rPr>
                <w:szCs w:val="24"/>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r>
    </w:tbl>
    <w:p w:rsidR="00343C6C" w:rsidRPr="00804E2D" w:rsidP="00343C6C" w14:paraId="3825D317" w14:textId="77777777">
      <w:pPr>
        <w:pStyle w:val="Olang"/>
        <w:rPr>
          <w:lang w:val="fr-BE"/>
        </w:rPr>
      </w:pPr>
      <w:r w:rsidRPr="00804E2D">
        <w:rPr>
          <w:lang w:val="fr-BE"/>
        </w:rPr>
        <w:t xml:space="preserve">Or. </w:t>
      </w:r>
      <w:r w:rsidRPr="00804E2D">
        <w:rPr>
          <w:rStyle w:val="HideTWBExt"/>
          <w:lang w:val="fr-BE"/>
        </w:rPr>
        <w:t>&lt;Original&gt;</w:t>
      </w:r>
      <w:r w:rsidRPr="00804E2D">
        <w:rPr>
          <w:rStyle w:val="HideTWBInt"/>
          <w:lang w:val="fr-BE"/>
        </w:rPr>
        <w:t>{PL}</w:t>
      </w:r>
      <w:r w:rsidRPr="00804E2D">
        <w:rPr>
          <w:lang w:val="fr-BE"/>
        </w:rPr>
        <w:t>pl</w:t>
      </w:r>
      <w:r w:rsidRPr="00804E2D">
        <w:rPr>
          <w:rStyle w:val="HideTWBExt"/>
          <w:lang w:val="fr-BE"/>
        </w:rPr>
        <w:t>&lt;/Original&gt;</w:t>
      </w:r>
    </w:p>
    <w:p w:rsidR="00343C6C" w:rsidRPr="00804E2D" w:rsidP="00343C6C" w14:paraId="1E1FED47" w14:textId="77777777">
      <w:pPr>
        <w:rPr>
          <w:lang w:val="fr-BE"/>
        </w:rPr>
      </w:pPr>
      <w:r w:rsidRPr="00804E2D">
        <w:rPr>
          <w:rStyle w:val="HideTWBExt"/>
          <w:lang w:val="fr-BE"/>
        </w:rPr>
        <w:t>&lt;/Amend&gt;</w:t>
      </w:r>
    </w:p>
    <w:p w:rsidR="00343C6C" w:rsidRPr="00804E2D" w:rsidP="00343C6C" w14:paraId="513925C8" w14:textId="77777777">
      <w:pPr>
        <w:pStyle w:val="AMNumberTabs0"/>
        <w:keepNext/>
        <w:rPr>
          <w:lang w:val="fr-BE"/>
        </w:rPr>
      </w:pPr>
      <w:r w:rsidRPr="00804E2D">
        <w:rPr>
          <w:rStyle w:val="HideTWBExt"/>
          <w:b w:val="0"/>
          <w:lang w:val="fr-BE"/>
        </w:rPr>
        <w:t>&lt;Amend&gt;</w:t>
      </w:r>
      <w:r w:rsidRPr="00804E2D">
        <w:rPr>
          <w:lang w:val="fr-BE"/>
        </w:rPr>
        <w:t>Amendment</w:t>
      </w:r>
      <w:r w:rsidRPr="00804E2D">
        <w:rPr>
          <w:lang w:val="fr-BE"/>
        </w:rPr>
        <w:tab/>
      </w:r>
      <w:r w:rsidRPr="00804E2D">
        <w:rPr>
          <w:lang w:val="fr-BE"/>
        </w:rPr>
        <w:tab/>
      </w:r>
      <w:r w:rsidRPr="00804E2D">
        <w:rPr>
          <w:rStyle w:val="HideTWBExt"/>
          <w:b w:val="0"/>
          <w:lang w:val="fr-BE"/>
        </w:rPr>
        <w:t>&lt;NumAm&gt;</w:t>
      </w:r>
      <w:r w:rsidRPr="00804E2D">
        <w:rPr>
          <w:lang w:val="fr-BE"/>
        </w:rPr>
        <w:t>154</w:t>
      </w:r>
      <w:r w:rsidRPr="00804E2D">
        <w:rPr>
          <w:rStyle w:val="HideTWBExt"/>
          <w:b w:val="0"/>
          <w:lang w:val="fr-BE"/>
        </w:rPr>
        <w:t>&lt;/NumAm&gt;</w:t>
      </w:r>
    </w:p>
    <w:p w:rsidR="00343C6C" w:rsidRPr="00804E2D" w:rsidP="00343C6C" w14:paraId="186B5B07" w14:textId="77777777">
      <w:pPr>
        <w:pStyle w:val="NormalBold"/>
        <w:rPr>
          <w:lang w:val="fr-BE"/>
        </w:rPr>
      </w:pPr>
      <w:r w:rsidRPr="00804E2D">
        <w:rPr>
          <w:rStyle w:val="HideTWBExt"/>
          <w:b w:val="0"/>
          <w:lang w:val="fr-BE"/>
        </w:rPr>
        <w:t>&lt;RepeatBlock-By&gt;&lt;Members&gt;</w:t>
      </w:r>
      <w:r w:rsidRPr="00804E2D">
        <w:rPr>
          <w:lang w:val="fr-BE"/>
        </w:rPr>
        <w:t>Emmanouil Fragkos</w:t>
      </w:r>
      <w:r w:rsidRPr="00804E2D">
        <w:rPr>
          <w:rStyle w:val="HideTWBExt"/>
          <w:b w:val="0"/>
          <w:lang w:val="fr-BE"/>
        </w:rPr>
        <w:t>&lt;/Members&gt;</w:t>
      </w:r>
    </w:p>
    <w:p w:rsidR="00343C6C" w:rsidRPr="00804E2D" w:rsidP="00343C6C" w14:paraId="698FC833" w14:textId="77777777">
      <w:pPr>
        <w:rPr>
          <w:lang w:val="fr-BE"/>
        </w:rPr>
      </w:pPr>
      <w:r w:rsidRPr="00804E2D">
        <w:rPr>
          <w:rStyle w:val="HideTWBExt"/>
          <w:lang w:val="fr-BE"/>
        </w:rPr>
        <w:t>&lt;/RepeatBlock-By&gt;</w:t>
      </w:r>
    </w:p>
    <w:p w:rsidR="00343C6C" w:rsidRPr="00FC4A49" w:rsidP="00343C6C" w14:paraId="4C003042"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E4824C0" w14:textId="77777777">
      <w:pPr>
        <w:pStyle w:val="NormalBold"/>
      </w:pPr>
      <w:r w:rsidRPr="00FC4A49">
        <w:rPr>
          <w:rStyle w:val="HideTWBExt"/>
          <w:b w:val="0"/>
        </w:rPr>
        <w:t>&lt;Article&gt;</w:t>
      </w:r>
      <w:r w:rsidRPr="00FC4A49">
        <w:t>Recital 18</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FAC634"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70B6AC3E" w14:textId="77777777">
            <w:pPr>
              <w:keepNext/>
            </w:pPr>
          </w:p>
        </w:tc>
      </w:tr>
      <w:tr w14:paraId="048C3BF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1928025" w14:textId="77777777">
            <w:pPr>
              <w:pStyle w:val="ColumnHeading"/>
              <w:keepNext/>
              <w:rPr>
                <w:lang w:val="en-GB"/>
              </w:rPr>
            </w:pPr>
            <w:r w:rsidRPr="00FC4A49">
              <w:rPr>
                <w:lang w:val="en-GB"/>
              </w:rPr>
              <w:t>Text proposed by the Commission</w:t>
            </w:r>
          </w:p>
        </w:tc>
        <w:tc>
          <w:tcPr>
            <w:tcW w:w="4876" w:type="dxa"/>
          </w:tcPr>
          <w:p w:rsidR="00343C6C" w:rsidRPr="00FC4A49" w:rsidP="005D58F9" w14:paraId="1C4B01AE" w14:textId="77777777">
            <w:pPr>
              <w:pStyle w:val="ColumnHeading"/>
              <w:keepNext/>
              <w:rPr>
                <w:lang w:val="en-GB"/>
              </w:rPr>
            </w:pPr>
            <w:r w:rsidRPr="00FC4A49">
              <w:rPr>
                <w:lang w:val="en-GB"/>
              </w:rPr>
              <w:t>Amendment</w:t>
            </w:r>
          </w:p>
        </w:tc>
      </w:tr>
      <w:tr w14:paraId="3F70EFB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2E53EB6" w14:textId="77777777">
            <w:pPr>
              <w:pStyle w:val="Normal6"/>
              <w:rPr>
                <w:lang w:val="en-GB"/>
              </w:rPr>
            </w:pPr>
            <w:r w:rsidRPr="00FC4A49">
              <w:rPr>
                <w:lang w:val="en-GB"/>
              </w:rPr>
              <w:t>(18)</w:t>
            </w:r>
            <w:r w:rsidRPr="00FC4A49">
              <w:rPr>
                <w:lang w:val="en-GB"/>
              </w:rPr>
              <w:tab/>
              <w:t>The Union is to achieve climate neutrality by 2050 at the latest and all sectors of the economy, including maritime 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w:t>
            </w:r>
            <w:r w:rsidRPr="00FC4A49">
              <w:rPr>
                <w:lang w:val="en-GB"/>
              </w:rPr>
              <w:t>coherence of the EU ETS and that measure, including avoiding double payment</w:t>
            </w:r>
            <w:r w:rsidRPr="00FC4A49">
              <w:rPr>
                <w:b/>
                <w:i/>
                <w:lang w:val="en-GB"/>
              </w:rPr>
              <w:t>. As appropriate, and in order to prevent such a risk of double payment while ensuring that no environmental backsliding occurs, the accompanying legislative proposal should provide for an IMO deduction mechanism according to which it is appropriate to allow shipping companies to surrender fewer allowances than their verified emissions to the extent that those emissions are also effectively priced under the IMO</w:t>
            </w:r>
            <w:r w:rsidRPr="00FC4A49">
              <w:rPr>
                <w:lang w:val="en-GB"/>
              </w:rPr>
              <w:t xml:space="preserve"> measure.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lang w:val="en-GB"/>
              </w:rPr>
              <w:t>supportleast</w:t>
            </w:r>
            <w:r w:rsidRPr="00FC4A49">
              <w:rPr>
                <w:lang w:val="en-GB"/>
              </w:rPr>
              <w:t xml:space="preserve"> developed countries and small island developing countries.</w:t>
            </w:r>
          </w:p>
        </w:tc>
        <w:tc>
          <w:tcPr>
            <w:tcW w:w="4876" w:type="dxa"/>
          </w:tcPr>
          <w:p w:rsidR="00343C6C" w:rsidRPr="00FC4A49" w:rsidP="005D58F9" w14:paraId="7FA386A2" w14:textId="77777777">
            <w:pPr>
              <w:pStyle w:val="Normal6"/>
              <w:rPr>
                <w:szCs w:val="24"/>
                <w:lang w:val="en-GB"/>
              </w:rPr>
            </w:pPr>
            <w:r w:rsidRPr="00FC4A49">
              <w:rPr>
                <w:lang w:val="en-GB"/>
              </w:rPr>
              <w:t>(18)</w:t>
            </w:r>
            <w:r w:rsidRPr="00FC4A49">
              <w:rPr>
                <w:lang w:val="en-GB"/>
              </w:rPr>
              <w:tab/>
              <w:t>The Union is to achieve climate neutrality by 2050 at the latest and all sectors of the economy, including maritime 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w:t>
            </w:r>
            <w:r w:rsidRPr="00FC4A49">
              <w:rPr>
                <w:lang w:val="en-GB"/>
              </w:rPr>
              <w:t xml:space="preserve">coherence of the EU ETS and that measure, including avoiding double payment </w:t>
            </w:r>
            <w:r w:rsidRPr="00FC4A49">
              <w:rPr>
                <w:b/>
                <w:i/>
                <w:lang w:val="en-GB"/>
              </w:rPr>
              <w:t>and the appropriateness of ceasing the application of the EU ETS to maritime transport following the implementation of the global market-based</w:t>
            </w:r>
            <w:r w:rsidRPr="00FC4A49">
              <w:rPr>
                <w:lang w:val="en-GB"/>
              </w:rPr>
              <w:t xml:space="preserve"> measure.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lang w:val="en-GB"/>
              </w:rPr>
              <w:t>supportleast</w:t>
            </w:r>
            <w:r w:rsidRPr="00FC4A49">
              <w:rPr>
                <w:lang w:val="en-GB"/>
              </w:rPr>
              <w:t xml:space="preserve"> developed countries and small island developing countries.</w:t>
            </w:r>
          </w:p>
        </w:tc>
      </w:tr>
      <w:tr w14:paraId="0B34B67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AA9D4F0" w14:textId="77777777">
            <w:pPr>
              <w:pStyle w:val="Normal6"/>
              <w:rPr>
                <w:lang w:val="en-GB"/>
              </w:rPr>
            </w:pPr>
            <w:r w:rsidRPr="00FC4A49">
              <w:rPr>
                <w:lang w:val="en-GB"/>
              </w:rPr>
              <w:t>__________________</w:t>
            </w:r>
          </w:p>
        </w:tc>
        <w:tc>
          <w:tcPr>
            <w:tcW w:w="4876" w:type="dxa"/>
          </w:tcPr>
          <w:p w:rsidR="00343C6C" w:rsidRPr="00FC4A49" w:rsidP="005D58F9" w14:paraId="105AECA2" w14:textId="77777777">
            <w:pPr>
              <w:pStyle w:val="Normal6"/>
              <w:rPr>
                <w:szCs w:val="24"/>
                <w:lang w:val="en-GB"/>
              </w:rPr>
            </w:pPr>
            <w:r w:rsidRPr="00FC4A49">
              <w:rPr>
                <w:lang w:val="en-GB"/>
              </w:rPr>
              <w:t>__________________</w:t>
            </w:r>
          </w:p>
        </w:tc>
      </w:tr>
      <w:tr w14:paraId="7A7B0BA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04945EF" w14:textId="77777777">
            <w:pPr>
              <w:pStyle w:val="Normal6"/>
              <w:rPr>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c>
          <w:tcPr>
            <w:tcW w:w="4876" w:type="dxa"/>
          </w:tcPr>
          <w:p w:rsidR="00343C6C" w:rsidRPr="00FC4A49" w:rsidP="005D58F9" w14:paraId="160C8C9C" w14:textId="77777777">
            <w:pPr>
              <w:pStyle w:val="Normal6"/>
              <w:rPr>
                <w:szCs w:val="24"/>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r>
    </w:tbl>
    <w:p w:rsidR="00343C6C" w:rsidRPr="00FC4A49" w:rsidP="00343C6C" w14:paraId="5D7AB261"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71A25CE" w14:textId="77777777">
      <w:r w:rsidRPr="00FC4A49">
        <w:rPr>
          <w:rStyle w:val="HideTWBExt"/>
        </w:rPr>
        <w:t>&lt;/Amend&gt;</w:t>
      </w:r>
    </w:p>
    <w:p w:rsidR="00343C6C" w:rsidRPr="00FC4A49" w:rsidP="00343C6C" w14:paraId="25B332CF"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155</w:t>
      </w:r>
      <w:r w:rsidRPr="00FC4A49">
        <w:rPr>
          <w:rStyle w:val="HideTWBExt"/>
          <w:b w:val="0"/>
          <w:lang w:val="en-GB"/>
        </w:rPr>
        <w:t>&lt;/NumAm&gt;</w:t>
      </w:r>
    </w:p>
    <w:p w:rsidR="00343C6C" w:rsidRPr="00FC4A49" w:rsidP="00343C6C" w14:paraId="66B0F209" w14:textId="77777777">
      <w:pPr>
        <w:pStyle w:val="NormalBold"/>
      </w:pPr>
      <w:r w:rsidRPr="00FC4A49">
        <w:rPr>
          <w:rStyle w:val="HideTWBExt"/>
          <w:b w:val="0"/>
        </w:rPr>
        <w:t>&lt;RepeatBlock-By&gt;&lt;Members&gt;</w:t>
      </w:r>
      <w:r w:rsidRPr="00FC4A49">
        <w:t xml:space="preserve">Dimitris Tsiodras, Eleonora Meleti, Emmanouil </w:t>
      </w:r>
      <w:r w:rsidRPr="00FC4A49">
        <w:t>Kefalogiannis</w:t>
      </w:r>
      <w:r w:rsidRPr="00FC4A49">
        <w:t xml:space="preserve">, </w:t>
      </w:r>
      <w:r w:rsidRPr="00FC4A49">
        <w:t>Elissavet</w:t>
      </w:r>
      <w:r w:rsidRPr="00FC4A49">
        <w:t xml:space="preserve"> Vozemberg-</w:t>
      </w:r>
      <w:r w:rsidRPr="00FC4A49">
        <w:t>Vrionidi</w:t>
      </w:r>
      <w:r w:rsidRPr="00FC4A49">
        <w:t xml:space="preserve">, Fredis </w:t>
      </w:r>
      <w:r w:rsidRPr="00FC4A49">
        <w:t>Beleris</w:t>
      </w:r>
      <w:r w:rsidRPr="00FC4A49">
        <w:t>, Georgios Aftias, Vangelis Meimarakis, Michalis Hadjipantela, Loucas Fourlas, Letizia Moratti</w:t>
      </w:r>
      <w:r w:rsidRPr="00FC4A49">
        <w:rPr>
          <w:rStyle w:val="HideTWBExt"/>
          <w:b w:val="0"/>
        </w:rPr>
        <w:t>&lt;/Members&gt;</w:t>
      </w:r>
    </w:p>
    <w:p w:rsidR="00343C6C" w:rsidRPr="00FC4A49" w:rsidP="00343C6C" w14:paraId="2D421E02" w14:textId="77777777">
      <w:r w:rsidRPr="00FC4A49">
        <w:rPr>
          <w:rStyle w:val="HideTWBExt"/>
        </w:rPr>
        <w:t>&lt;/RepeatBlock-By&gt;</w:t>
      </w:r>
    </w:p>
    <w:p w:rsidR="00343C6C" w:rsidRPr="00FC4A49" w:rsidP="00343C6C" w14:paraId="5C860B4A"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D6C0A8C" w14:textId="77777777">
      <w:pPr>
        <w:pStyle w:val="NormalBold"/>
      </w:pPr>
      <w:r w:rsidRPr="00FC4A49">
        <w:rPr>
          <w:rStyle w:val="HideTWBExt"/>
          <w:b w:val="0"/>
        </w:rPr>
        <w:t>&lt;Article&gt;</w:t>
      </w:r>
      <w:r w:rsidRPr="00FC4A49">
        <w:t>Recital 18</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0E6EF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4DD6F94" w14:textId="77777777">
            <w:pPr>
              <w:keepNext/>
            </w:pPr>
          </w:p>
        </w:tc>
      </w:tr>
      <w:tr w14:paraId="06144FC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AC49ACE" w14:textId="77777777">
            <w:pPr>
              <w:pStyle w:val="ColumnHeading"/>
              <w:keepNext/>
              <w:rPr>
                <w:lang w:val="en-GB"/>
              </w:rPr>
            </w:pPr>
            <w:r w:rsidRPr="00FC4A49">
              <w:rPr>
                <w:lang w:val="en-GB"/>
              </w:rPr>
              <w:t>Text proposed by the Commission</w:t>
            </w:r>
          </w:p>
        </w:tc>
        <w:tc>
          <w:tcPr>
            <w:tcW w:w="4876" w:type="dxa"/>
          </w:tcPr>
          <w:p w:rsidR="00343C6C" w:rsidRPr="00FC4A49" w:rsidP="005D58F9" w14:paraId="0373A1D6" w14:textId="77777777">
            <w:pPr>
              <w:pStyle w:val="ColumnHeading"/>
              <w:keepNext/>
              <w:rPr>
                <w:lang w:val="en-GB"/>
              </w:rPr>
            </w:pPr>
            <w:r w:rsidRPr="00FC4A49">
              <w:rPr>
                <w:lang w:val="en-GB"/>
              </w:rPr>
              <w:t>Amendment</w:t>
            </w:r>
          </w:p>
        </w:tc>
      </w:tr>
      <w:tr w14:paraId="516AFB6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445789B" w14:textId="77777777">
            <w:pPr>
              <w:pStyle w:val="Normal6"/>
              <w:rPr>
                <w:lang w:val="en-GB"/>
              </w:rPr>
            </w:pPr>
            <w:r w:rsidRPr="00FC4A49">
              <w:rPr>
                <w:lang w:val="en-GB"/>
              </w:rPr>
              <w:t>(18)</w:t>
            </w:r>
            <w:r w:rsidRPr="00FC4A49">
              <w:rPr>
                <w:lang w:val="en-GB"/>
              </w:rPr>
              <w:tab/>
              <w:t xml:space="preserve">The Union is to achieve climate neutrality by 2050 at the latest and all sectors of the economy, including maritime transport, are to contribute to achieving the emission reductions established by Regulation (EU) 2021/1119, in line with its updated NDC. The inclusion of maritime </w:t>
            </w:r>
            <w:r w:rsidRPr="00FC4A49">
              <w:rPr>
                <w:lang w:val="en-GB"/>
              </w:rPr>
              <w:t>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coherence of the EU ETS and that measure, including avoiding double payment</w:t>
            </w:r>
            <w:r w:rsidRPr="00FC4A49">
              <w:rPr>
                <w:b/>
                <w:i/>
                <w:lang w:val="en-GB"/>
              </w:rPr>
              <w:t>. As appropriate, and in order to prevent such a risk of double payment while ensuring that no environmental backsliding occurs, the accompanying legislative proposal should provide for an IMO deduction mechanism according to which it is appropriate to allow shipping companies to surrender fewer allowances than their verified emissions to the extent that those emissions are also effectively priced under the IMO</w:t>
            </w:r>
            <w:r w:rsidRPr="00FC4A49">
              <w:rPr>
                <w:lang w:val="en-GB"/>
              </w:rPr>
              <w:t xml:space="preserve"> measure. To </w:t>
            </w:r>
            <w:r w:rsidRPr="00FC4A49">
              <w:rPr>
                <w:lang w:val="en-GB"/>
              </w:rPr>
              <w:t xml:space="preserve">take </w:t>
            </w:r>
            <w:r w:rsidRPr="00FC4A49">
              <w:rPr>
                <w:lang w:val="en-GB"/>
              </w:rPr>
              <w:t>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lang w:val="en-GB"/>
              </w:rPr>
              <w:t>supportleast</w:t>
            </w:r>
            <w:r w:rsidRPr="00FC4A49">
              <w:rPr>
                <w:lang w:val="en-GB"/>
              </w:rPr>
              <w:t xml:space="preserve"> developed countries and small island developing countries.</w:t>
            </w:r>
          </w:p>
        </w:tc>
        <w:tc>
          <w:tcPr>
            <w:tcW w:w="4876" w:type="dxa"/>
          </w:tcPr>
          <w:p w:rsidR="00343C6C" w:rsidRPr="00FC4A49" w:rsidP="005D58F9" w14:paraId="0830C10E" w14:textId="77777777">
            <w:pPr>
              <w:pStyle w:val="Normal6"/>
              <w:rPr>
                <w:szCs w:val="24"/>
                <w:lang w:val="en-GB"/>
              </w:rPr>
            </w:pPr>
            <w:r w:rsidRPr="00FC4A49">
              <w:rPr>
                <w:lang w:val="en-GB"/>
              </w:rPr>
              <w:t>(18)</w:t>
            </w:r>
            <w:r w:rsidRPr="00FC4A49">
              <w:rPr>
                <w:lang w:val="en-GB"/>
              </w:rPr>
              <w:tab/>
              <w:t xml:space="preserve">The Union is to achieve climate neutrality by 2050 at the latest and all sectors of the economy, including maritime transport, are to contribute to achieving the emission reductions established by Regulation (EU) 2021/1119, in line with its updated NDC. The inclusion of maritime </w:t>
            </w:r>
            <w:r w:rsidRPr="00FC4A49">
              <w:rPr>
                <w:lang w:val="en-GB"/>
              </w:rPr>
              <w:t>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coherence of the EU ETS and that measure, including avoiding double payment </w:t>
            </w:r>
            <w:r w:rsidRPr="00FC4A49">
              <w:rPr>
                <w:b/>
                <w:i/>
                <w:lang w:val="en-GB"/>
              </w:rPr>
              <w:t>and the appropriateness of ceasing the application of the EU ETS to maritime transport activities following the implementation of the global market-based</w:t>
            </w:r>
            <w:r w:rsidRPr="00FC4A49">
              <w:rPr>
                <w:lang w:val="en-GB"/>
              </w:rPr>
              <w:t xml:space="preserve"> measure.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lang w:val="en-GB"/>
              </w:rPr>
              <w:t>supportleast</w:t>
            </w:r>
            <w:r w:rsidRPr="00FC4A49">
              <w:rPr>
                <w:lang w:val="en-GB"/>
              </w:rPr>
              <w:t xml:space="preserve"> developed countries and small island developing countries.</w:t>
            </w:r>
          </w:p>
        </w:tc>
      </w:tr>
      <w:tr w14:paraId="465EDBA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03B2C35" w14:textId="77777777">
            <w:pPr>
              <w:pStyle w:val="Normal6"/>
              <w:rPr>
                <w:lang w:val="en-GB"/>
              </w:rPr>
            </w:pPr>
            <w:r w:rsidRPr="00FC4A49">
              <w:rPr>
                <w:lang w:val="en-GB"/>
              </w:rPr>
              <w:t>__________________</w:t>
            </w:r>
          </w:p>
        </w:tc>
        <w:tc>
          <w:tcPr>
            <w:tcW w:w="4876" w:type="dxa"/>
          </w:tcPr>
          <w:p w:rsidR="00343C6C" w:rsidRPr="00FC4A49" w:rsidP="005D58F9" w14:paraId="491BB0EA" w14:textId="77777777">
            <w:pPr>
              <w:pStyle w:val="Normal6"/>
              <w:rPr>
                <w:szCs w:val="24"/>
                <w:lang w:val="en-GB"/>
              </w:rPr>
            </w:pPr>
            <w:r w:rsidRPr="00FC4A49">
              <w:rPr>
                <w:lang w:val="en-GB"/>
              </w:rPr>
              <w:t>__________________</w:t>
            </w:r>
          </w:p>
        </w:tc>
      </w:tr>
      <w:tr w14:paraId="02237C1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01E2715" w14:textId="77777777">
            <w:pPr>
              <w:pStyle w:val="Normal6"/>
              <w:rPr>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c>
          <w:tcPr>
            <w:tcW w:w="4876" w:type="dxa"/>
          </w:tcPr>
          <w:p w:rsidR="00343C6C" w:rsidRPr="00FC4A49" w:rsidP="005D58F9" w14:paraId="5FCE230C" w14:textId="77777777">
            <w:pPr>
              <w:pStyle w:val="Normal6"/>
              <w:rPr>
                <w:szCs w:val="24"/>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r>
    </w:tbl>
    <w:p w:rsidR="00343C6C" w:rsidRPr="00FC4A49" w:rsidP="00343C6C" w14:paraId="265B89EB"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0C6CBE0"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05881025" w14:textId="77777777">
      <w:pPr>
        <w:pStyle w:val="Normal12Italic"/>
        <w:rPr>
          <w:noProof w:val="0"/>
          <w:lang w:val="en-GB"/>
        </w:rPr>
      </w:pPr>
      <w:r w:rsidRPr="00FC4A49">
        <w:rPr>
          <w:noProof w:val="0"/>
          <w:lang w:val="en-GB"/>
        </w:rPr>
        <w:t>The reference to the IMO deduction mechanism shall be removed from the recital 17. In addition, both the recital and the relevant article should explicitly state the appropriateness of ceasing the application of the EU ETS to maritime transport once a global IMO measure is implemented.</w:t>
      </w:r>
    </w:p>
    <w:p w:rsidR="00343C6C" w:rsidRPr="00FC4A49" w:rsidP="00343C6C" w14:paraId="4FDFFEA8" w14:textId="77777777">
      <w:r w:rsidRPr="00FC4A49">
        <w:rPr>
          <w:rStyle w:val="HideTWBExt"/>
        </w:rPr>
        <w:t>&lt;/Amend&gt;</w:t>
      </w:r>
    </w:p>
    <w:p w:rsidR="00343C6C" w:rsidRPr="00FC4A49" w:rsidP="00343C6C" w14:paraId="530256E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156</w:t>
      </w:r>
      <w:r w:rsidRPr="00FC4A49">
        <w:rPr>
          <w:rStyle w:val="HideTWBExt"/>
          <w:b w:val="0"/>
          <w:lang w:val="en-GB"/>
        </w:rPr>
        <w:t>&lt;/NumAm&gt;</w:t>
      </w:r>
    </w:p>
    <w:p w:rsidR="00343C6C" w:rsidRPr="00FC4A49" w:rsidP="00343C6C" w14:paraId="1BCD8ADB" w14:textId="77777777">
      <w:pPr>
        <w:pStyle w:val="NormalBold"/>
      </w:pPr>
      <w:r w:rsidRPr="00FC4A49">
        <w:rPr>
          <w:rStyle w:val="HideTWBExt"/>
          <w:b w:val="0"/>
        </w:rPr>
        <w:t>&lt;RepeatBlock-By&gt;&lt;Members&gt;</w:t>
      </w:r>
      <w:r w:rsidRPr="00FC4A49">
        <w:t>Thomas Bajada, Daniel Attard, Alex Agius Saliba, Sakis Arnaoutoglou</w:t>
      </w:r>
      <w:r w:rsidRPr="00FC4A49">
        <w:rPr>
          <w:rStyle w:val="HideTWBExt"/>
          <w:b w:val="0"/>
        </w:rPr>
        <w:t>&lt;/Members&gt;</w:t>
      </w:r>
    </w:p>
    <w:p w:rsidR="00343C6C" w:rsidRPr="00FC4A49" w:rsidP="00343C6C" w14:paraId="3754B559" w14:textId="77777777">
      <w:r w:rsidRPr="00FC4A49">
        <w:rPr>
          <w:rStyle w:val="HideTWBExt"/>
        </w:rPr>
        <w:t>&lt;/RepeatBlock-By&gt;</w:t>
      </w:r>
    </w:p>
    <w:p w:rsidR="00343C6C" w:rsidRPr="00FC4A49" w:rsidP="00343C6C" w14:paraId="47BDDD3D"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9DD590E" w14:textId="77777777">
      <w:pPr>
        <w:pStyle w:val="NormalBold"/>
      </w:pPr>
      <w:r w:rsidRPr="00FC4A49">
        <w:rPr>
          <w:rStyle w:val="HideTWBExt"/>
          <w:b w:val="0"/>
        </w:rPr>
        <w:t>&lt;Article&gt;</w:t>
      </w:r>
      <w:r w:rsidRPr="00FC4A49">
        <w:t>Recital 18</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45FB87"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BAE5D82" w14:textId="77777777">
            <w:pPr>
              <w:keepNext/>
            </w:pPr>
          </w:p>
        </w:tc>
      </w:tr>
      <w:tr w14:paraId="799FAC7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6CF1F78" w14:textId="77777777">
            <w:pPr>
              <w:pStyle w:val="ColumnHeading"/>
              <w:keepNext/>
              <w:rPr>
                <w:lang w:val="en-GB"/>
              </w:rPr>
            </w:pPr>
            <w:r w:rsidRPr="00FC4A49">
              <w:rPr>
                <w:lang w:val="en-GB"/>
              </w:rPr>
              <w:t>Text proposed by the Commission</w:t>
            </w:r>
          </w:p>
        </w:tc>
        <w:tc>
          <w:tcPr>
            <w:tcW w:w="4876" w:type="dxa"/>
          </w:tcPr>
          <w:p w:rsidR="00343C6C" w:rsidRPr="00FC4A49" w:rsidP="005D58F9" w14:paraId="22F705A1" w14:textId="77777777">
            <w:pPr>
              <w:pStyle w:val="ColumnHeading"/>
              <w:keepNext/>
              <w:rPr>
                <w:lang w:val="en-GB"/>
              </w:rPr>
            </w:pPr>
            <w:r w:rsidRPr="00FC4A49">
              <w:rPr>
                <w:lang w:val="en-GB"/>
              </w:rPr>
              <w:t>Amendment</w:t>
            </w:r>
          </w:p>
        </w:tc>
      </w:tr>
      <w:tr w14:paraId="4496808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DA7DC77" w14:textId="77777777">
            <w:pPr>
              <w:pStyle w:val="Normal6"/>
              <w:rPr>
                <w:lang w:val="en-GB"/>
              </w:rPr>
            </w:pPr>
            <w:r w:rsidRPr="00FC4A49">
              <w:rPr>
                <w:lang w:val="en-GB"/>
              </w:rPr>
              <w:t>(18)</w:t>
            </w:r>
            <w:r w:rsidRPr="00FC4A49">
              <w:rPr>
                <w:lang w:val="en-GB"/>
              </w:rPr>
              <w:tab/>
              <w:t>The Union is to achieve climate neutrality by 2050 at the latest and all sectors of the economy, including maritime 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w:t>
            </w:r>
            <w:r w:rsidRPr="00FC4A49">
              <w:rPr>
                <w:lang w:val="en-GB"/>
              </w:rPr>
              <w:t xml:space="preserve">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coherence of the EU ETS and that measure, including avoiding double payment. As appropriate, and in order to prevent such a risk of double payment while ensuring that no environmental backsliding occurs, the accompanying legislative proposal should provide for an IMO deduction mechanism according to which it is appropriate to allow shipping companies to surrender fewer allowances than their verified emissions to the extent that those emissions are also effectively priced under the IMO measure.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b/>
                <w:i/>
                <w:lang w:val="en-GB"/>
              </w:rPr>
              <w:t>supportleast</w:t>
            </w:r>
            <w:r w:rsidRPr="00FC4A49">
              <w:rPr>
                <w:lang w:val="en-GB"/>
              </w:rPr>
              <w:t xml:space="preserve"> developed countries and small </w:t>
            </w:r>
            <w:r w:rsidRPr="00FC4A49">
              <w:rPr>
                <w:lang w:val="en-GB"/>
              </w:rPr>
              <w:t>island developing countries.</w:t>
            </w:r>
          </w:p>
        </w:tc>
        <w:tc>
          <w:tcPr>
            <w:tcW w:w="4876" w:type="dxa"/>
          </w:tcPr>
          <w:p w:rsidR="00343C6C" w:rsidRPr="00FC4A49" w:rsidP="005D58F9" w14:paraId="2BC1CB06" w14:textId="77777777">
            <w:pPr>
              <w:pStyle w:val="Normal6"/>
              <w:rPr>
                <w:szCs w:val="24"/>
                <w:lang w:val="en-GB"/>
              </w:rPr>
            </w:pPr>
            <w:r w:rsidRPr="00FC4A49">
              <w:rPr>
                <w:lang w:val="en-GB"/>
              </w:rPr>
              <w:t>(18)</w:t>
            </w:r>
            <w:r w:rsidRPr="00FC4A49">
              <w:rPr>
                <w:lang w:val="en-GB"/>
              </w:rPr>
              <w:tab/>
              <w:t>The Union is to achieve climate neutrality by 2050 at the latest and all sectors of the economy, including maritime 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w:t>
            </w:r>
            <w:r w:rsidRPr="00FC4A49">
              <w:rPr>
                <w:lang w:val="en-GB"/>
              </w:rPr>
              <w:t xml:space="preserve">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coherence of the EU ETS and that measure, including avoiding double payment. As appropriate, and in order to prevent such a risk of double payment while ensuring that no environmental backsliding occurs, the accompanying legislative proposal should provide for an IMO deduction mechanism according to which it is appropriate to allow shipping companies to surrender fewer allowances than their verified emissions to the extent that those emissions are also effectively </w:t>
            </w:r>
            <w:r w:rsidRPr="00FC4A49">
              <w:rPr>
                <w:b/>
                <w:i/>
                <w:lang w:val="en-GB"/>
              </w:rPr>
              <w:t>and fairly</w:t>
            </w:r>
            <w:r w:rsidRPr="00FC4A49">
              <w:rPr>
                <w:lang w:val="en-GB"/>
              </w:rPr>
              <w:t xml:space="preserve"> priced under the IMO measure. To take into account the potential role of the Union in supporting the broader international effort to decarbonise maritime transport, the accompanying legislative proposal should provide for a measure according to which allowances are to be reserved to </w:t>
            </w:r>
            <w:r w:rsidRPr="00FC4A49">
              <w:rPr>
                <w:b/>
                <w:i/>
                <w:lang w:val="en-GB"/>
              </w:rPr>
              <w:t>support least</w:t>
            </w:r>
            <w:r w:rsidRPr="00FC4A49">
              <w:rPr>
                <w:lang w:val="en-GB"/>
              </w:rPr>
              <w:t xml:space="preserve"> developed countries and small island developing </w:t>
            </w:r>
            <w:r w:rsidRPr="00FC4A49">
              <w:rPr>
                <w:lang w:val="en-GB"/>
              </w:rPr>
              <w:t>countries</w:t>
            </w:r>
            <w:r w:rsidRPr="00FC4A49">
              <w:rPr>
                <w:b/>
                <w:i/>
                <w:lang w:val="en-GB"/>
              </w:rPr>
              <w:t>, as well as a just and socially fair transition in the maritime sector, including support for workers, vulnerable coastal and island communities, and regions facing structural dependence on maritime transport</w:t>
            </w:r>
            <w:r w:rsidRPr="00FC4A49">
              <w:rPr>
                <w:lang w:val="en-GB"/>
              </w:rPr>
              <w:t>.</w:t>
            </w:r>
          </w:p>
        </w:tc>
      </w:tr>
      <w:tr w14:paraId="6F6EE2C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CCD31E6" w14:textId="77777777">
            <w:pPr>
              <w:pStyle w:val="Normal6"/>
              <w:rPr>
                <w:lang w:val="en-GB"/>
              </w:rPr>
            </w:pPr>
            <w:r w:rsidRPr="00FC4A49">
              <w:rPr>
                <w:lang w:val="en-GB"/>
              </w:rPr>
              <w:t>__________________</w:t>
            </w:r>
          </w:p>
        </w:tc>
        <w:tc>
          <w:tcPr>
            <w:tcW w:w="4876" w:type="dxa"/>
          </w:tcPr>
          <w:p w:rsidR="00343C6C" w:rsidRPr="00FC4A49" w:rsidP="005D58F9" w14:paraId="47003E9D" w14:textId="77777777">
            <w:pPr>
              <w:pStyle w:val="Normal6"/>
              <w:rPr>
                <w:szCs w:val="24"/>
                <w:lang w:val="en-GB"/>
              </w:rPr>
            </w:pPr>
            <w:r w:rsidRPr="00FC4A49">
              <w:rPr>
                <w:lang w:val="en-GB"/>
              </w:rPr>
              <w:t>__________________</w:t>
            </w:r>
          </w:p>
        </w:tc>
      </w:tr>
      <w:tr w14:paraId="3CF462B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BFDD82A" w14:textId="77777777">
            <w:pPr>
              <w:pStyle w:val="Normal6"/>
              <w:rPr>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c>
          <w:tcPr>
            <w:tcW w:w="4876" w:type="dxa"/>
          </w:tcPr>
          <w:p w:rsidR="00343C6C" w:rsidRPr="00FC4A49" w:rsidP="005D58F9" w14:paraId="245A72D7" w14:textId="77777777">
            <w:pPr>
              <w:pStyle w:val="Normal6"/>
              <w:rPr>
                <w:szCs w:val="24"/>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r>
    </w:tbl>
    <w:p w:rsidR="00343C6C" w:rsidRPr="00FC4A49" w:rsidP="00343C6C" w14:paraId="067B102C"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A2822BB" w14:textId="77777777">
      <w:r w:rsidRPr="00FC4A49">
        <w:rPr>
          <w:rStyle w:val="HideTWBExt"/>
        </w:rPr>
        <w:t>&lt;/Amend&gt;</w:t>
      </w:r>
    </w:p>
    <w:p w:rsidR="00343C6C" w:rsidRPr="00FC4A49" w:rsidP="00343C6C" w14:paraId="731D0F8E"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157</w:t>
      </w:r>
      <w:r w:rsidRPr="00FC4A49">
        <w:rPr>
          <w:rStyle w:val="HideTWBExt"/>
          <w:b w:val="0"/>
          <w:lang w:val="en-GB"/>
        </w:rPr>
        <w:t>&lt;/NumAm&gt;</w:t>
      </w:r>
    </w:p>
    <w:p w:rsidR="00343C6C" w:rsidRPr="00FC4A49" w:rsidP="00343C6C" w14:paraId="3CEAA01D" w14:textId="77777777">
      <w:pPr>
        <w:pStyle w:val="NormalBold"/>
      </w:pPr>
      <w:r w:rsidRPr="00FC4A49">
        <w:rPr>
          <w:rStyle w:val="HideTWBExt"/>
          <w:b w:val="0"/>
        </w:rPr>
        <w:t>&lt;RepeatBlock-By&gt;&lt;Members&gt;</w:t>
      </w:r>
      <w:r w:rsidRPr="00FC4A49">
        <w:t xml:space="preserve">Jens Gieseke, Ralf Seekatz, Sophia Kircher, Norbert Herhammer, Gheorghe Falcă, Andrea Wechsler, Borja Giménez </w:t>
      </w:r>
      <w:r w:rsidRPr="00FC4A49">
        <w:t>Larraz</w:t>
      </w:r>
      <w:r w:rsidRPr="00FC4A49">
        <w:rPr>
          <w:rStyle w:val="HideTWBExt"/>
          <w:b w:val="0"/>
        </w:rPr>
        <w:t>&lt;/Members&gt;</w:t>
      </w:r>
    </w:p>
    <w:p w:rsidR="00343C6C" w:rsidRPr="00FC4A49" w:rsidP="00343C6C" w14:paraId="100D572C" w14:textId="77777777">
      <w:r w:rsidRPr="00FC4A49">
        <w:rPr>
          <w:rStyle w:val="HideTWBExt"/>
        </w:rPr>
        <w:t>&lt;/RepeatBlock-By&gt;</w:t>
      </w:r>
    </w:p>
    <w:p w:rsidR="00343C6C" w:rsidRPr="00FC4A49" w:rsidP="00343C6C" w14:paraId="6AD5F645"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D559341" w14:textId="77777777">
      <w:pPr>
        <w:pStyle w:val="NormalBold"/>
      </w:pPr>
      <w:r w:rsidRPr="00FC4A49">
        <w:rPr>
          <w:rStyle w:val="HideTWBExt"/>
          <w:b w:val="0"/>
        </w:rPr>
        <w:t>&lt;Article&gt;</w:t>
      </w:r>
      <w:r w:rsidRPr="00FC4A49">
        <w:t>Recital 18</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91E68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6FEE487" w14:textId="77777777">
            <w:pPr>
              <w:keepNext/>
            </w:pPr>
          </w:p>
        </w:tc>
      </w:tr>
      <w:tr w14:paraId="21FFA1B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746DBC8" w14:textId="77777777">
            <w:pPr>
              <w:pStyle w:val="ColumnHeading"/>
              <w:keepNext/>
              <w:rPr>
                <w:lang w:val="en-GB"/>
              </w:rPr>
            </w:pPr>
            <w:r w:rsidRPr="00FC4A49">
              <w:rPr>
                <w:lang w:val="en-GB"/>
              </w:rPr>
              <w:t>Text proposed by the Commission</w:t>
            </w:r>
          </w:p>
        </w:tc>
        <w:tc>
          <w:tcPr>
            <w:tcW w:w="4876" w:type="dxa"/>
          </w:tcPr>
          <w:p w:rsidR="00343C6C" w:rsidRPr="00FC4A49" w:rsidP="005D58F9" w14:paraId="246A6DB6" w14:textId="77777777">
            <w:pPr>
              <w:pStyle w:val="ColumnHeading"/>
              <w:keepNext/>
              <w:rPr>
                <w:lang w:val="en-GB"/>
              </w:rPr>
            </w:pPr>
            <w:r w:rsidRPr="00FC4A49">
              <w:rPr>
                <w:lang w:val="en-GB"/>
              </w:rPr>
              <w:t>Amendment</w:t>
            </w:r>
          </w:p>
        </w:tc>
      </w:tr>
      <w:tr w14:paraId="3831218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6EC48C4" w14:textId="77777777">
            <w:pPr>
              <w:pStyle w:val="Normal6"/>
              <w:rPr>
                <w:lang w:val="en-GB"/>
              </w:rPr>
            </w:pPr>
            <w:r w:rsidRPr="00FC4A49">
              <w:rPr>
                <w:lang w:val="en-GB"/>
              </w:rPr>
              <w:t>(18)</w:t>
            </w:r>
            <w:r w:rsidRPr="00FC4A49">
              <w:rPr>
                <w:lang w:val="en-GB"/>
              </w:rPr>
              <w:tab/>
              <w:t>The Union is to achieve climate neutrality by 2050 at the latest and all sectors of the economy, including maritime 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w:t>
            </w:r>
            <w:r w:rsidRPr="00FC4A49">
              <w:rPr>
                <w:lang w:val="en-GB"/>
              </w:rPr>
              <w:t xml:space="preserve">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coherence of the EU ETS and that measure, including avoiding double payment. </w:t>
            </w:r>
            <w:r w:rsidRPr="00FC4A49">
              <w:rPr>
                <w:b/>
                <w:i/>
                <w:lang w:val="en-GB"/>
              </w:rPr>
              <w:t>As appropriate, and in order to prevent such a risk of</w:t>
            </w:r>
            <w:r w:rsidRPr="00FC4A49">
              <w:rPr>
                <w:lang w:val="en-GB"/>
              </w:rPr>
              <w:t xml:space="preserve"> double </w:t>
            </w:r>
            <w:r w:rsidRPr="00FC4A49">
              <w:rPr>
                <w:b/>
                <w:i/>
                <w:lang w:val="en-GB"/>
              </w:rPr>
              <w:t>payment</w:t>
            </w:r>
            <w:r w:rsidRPr="00FC4A49">
              <w:rPr>
                <w:lang w:val="en-GB"/>
              </w:rPr>
              <w:t xml:space="preserve"> while </w:t>
            </w:r>
            <w:r w:rsidRPr="00FC4A49">
              <w:rPr>
                <w:b/>
                <w:i/>
                <w:lang w:val="en-GB"/>
              </w:rPr>
              <w:t>ensuring that no environmental backsliding occurs</w:t>
            </w:r>
            <w:r w:rsidRPr="00FC4A49">
              <w:rPr>
                <w:lang w:val="en-GB"/>
              </w:rPr>
              <w:t xml:space="preserve">, </w:t>
            </w:r>
            <w:r w:rsidRPr="00FC4A49">
              <w:rPr>
                <w:b/>
                <w:i/>
                <w:lang w:val="en-GB"/>
              </w:rPr>
              <w:t>the accompanying legislative proposal should provide for an IMO deduction mechanism according to which it is appropriate to allow shipping companies to surrender fewer allowances than their verified emissions to the extent that those emissions are also effectively priced under the IMO measure</w:t>
            </w:r>
            <w:r w:rsidRPr="00FC4A49">
              <w:rPr>
                <w:lang w:val="en-GB"/>
              </w:rPr>
              <w:t xml:space="preserv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lang w:val="en-GB"/>
              </w:rPr>
              <w:t>supportleast</w:t>
            </w:r>
            <w:r w:rsidRPr="00FC4A49">
              <w:rPr>
                <w:lang w:val="en-GB"/>
              </w:rPr>
              <w:t xml:space="preserve"> developed countries and small island developing countries.</w:t>
            </w:r>
          </w:p>
        </w:tc>
        <w:tc>
          <w:tcPr>
            <w:tcW w:w="4876" w:type="dxa"/>
          </w:tcPr>
          <w:p w:rsidR="00343C6C" w:rsidRPr="00FC4A49" w:rsidP="005D58F9" w14:paraId="11B06C22" w14:textId="77777777">
            <w:pPr>
              <w:pStyle w:val="Normal6"/>
              <w:rPr>
                <w:szCs w:val="24"/>
                <w:lang w:val="en-GB"/>
              </w:rPr>
            </w:pPr>
            <w:r w:rsidRPr="00FC4A49">
              <w:rPr>
                <w:lang w:val="en-GB"/>
              </w:rPr>
              <w:t>(18)</w:t>
            </w:r>
            <w:r w:rsidRPr="00FC4A49">
              <w:rPr>
                <w:lang w:val="en-GB"/>
              </w:rPr>
              <w:tab/>
              <w:t>The Union is to achieve climate neutrality by 2050 at the latest and all sectors of the economy, including maritime 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w:t>
            </w:r>
            <w:r w:rsidRPr="00FC4A49">
              <w:rPr>
                <w:lang w:val="en-GB"/>
              </w:rPr>
              <w:t xml:space="preserve">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coherence of the EU ETS and that measure, including avoiding double payment. </w:t>
            </w:r>
            <w:r w:rsidRPr="00FC4A49">
              <w:rPr>
                <w:b/>
                <w:i/>
                <w:lang w:val="en-GB"/>
              </w:rPr>
              <w:t>Avoiding</w:t>
            </w:r>
            <w:r w:rsidRPr="00FC4A49">
              <w:rPr>
                <w:lang w:val="en-GB"/>
              </w:rPr>
              <w:t xml:space="preserve"> double </w:t>
            </w:r>
            <w:r w:rsidRPr="00FC4A49">
              <w:rPr>
                <w:b/>
                <w:i/>
                <w:lang w:val="en-GB"/>
              </w:rPr>
              <w:t>administrative burden, regulatory inconsistencies, impacts on international trade,</w:t>
            </w:r>
            <w:r w:rsidRPr="00FC4A49">
              <w:rPr>
                <w:lang w:val="en-GB"/>
              </w:rPr>
              <w:t xml:space="preserve"> while </w:t>
            </w:r>
            <w:r w:rsidRPr="00FC4A49">
              <w:rPr>
                <w:b/>
                <w:i/>
                <w:lang w:val="en-GB"/>
              </w:rPr>
              <w:t>supporting port competitiveness, direct connectivity</w:t>
            </w:r>
            <w:r w:rsidRPr="00FC4A49">
              <w:rPr>
                <w:lang w:val="en-GB"/>
              </w:rPr>
              <w:t xml:space="preserve">, </w:t>
            </w:r>
            <w:r w:rsidRPr="00FC4A49">
              <w:rPr>
                <w:b/>
                <w:i/>
                <w:lang w:val="en-GB"/>
              </w:rPr>
              <w:t>shipping-network configurations, investment and the competitiveness of Union imports and exports is of paramount importance</w:t>
            </w:r>
            <w:r w:rsidRPr="00FC4A49">
              <w:rPr>
                <w:lang w:val="en-GB"/>
              </w:rPr>
              <w:t xml:space="preserv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lang w:val="en-GB"/>
              </w:rPr>
              <w:t>supportleast</w:t>
            </w:r>
            <w:r w:rsidRPr="00FC4A49">
              <w:rPr>
                <w:lang w:val="en-GB"/>
              </w:rPr>
              <w:t xml:space="preserve"> developed countries and small island developing countries.</w:t>
            </w:r>
          </w:p>
        </w:tc>
      </w:tr>
      <w:tr w14:paraId="0C3B784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FE01554" w14:textId="77777777">
            <w:pPr>
              <w:pStyle w:val="Normal6"/>
              <w:rPr>
                <w:lang w:val="en-GB"/>
              </w:rPr>
            </w:pPr>
            <w:r w:rsidRPr="00FC4A49">
              <w:rPr>
                <w:lang w:val="en-GB"/>
              </w:rPr>
              <w:t>__________________</w:t>
            </w:r>
          </w:p>
        </w:tc>
        <w:tc>
          <w:tcPr>
            <w:tcW w:w="4876" w:type="dxa"/>
          </w:tcPr>
          <w:p w:rsidR="00343C6C" w:rsidRPr="00FC4A49" w:rsidP="005D58F9" w14:paraId="629F16D3" w14:textId="77777777">
            <w:pPr>
              <w:pStyle w:val="Normal6"/>
              <w:rPr>
                <w:szCs w:val="24"/>
                <w:lang w:val="en-GB"/>
              </w:rPr>
            </w:pPr>
            <w:r w:rsidRPr="00FC4A49">
              <w:rPr>
                <w:lang w:val="en-GB"/>
              </w:rPr>
              <w:t>__________________</w:t>
            </w:r>
          </w:p>
        </w:tc>
      </w:tr>
      <w:tr w14:paraId="68EA80E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0828E57" w14:textId="77777777">
            <w:pPr>
              <w:pStyle w:val="Normal6"/>
              <w:rPr>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c>
          <w:tcPr>
            <w:tcW w:w="4876" w:type="dxa"/>
          </w:tcPr>
          <w:p w:rsidR="00343C6C" w:rsidRPr="00FC4A49" w:rsidP="005D58F9" w14:paraId="0B9B892F" w14:textId="77777777">
            <w:pPr>
              <w:pStyle w:val="Normal6"/>
              <w:rPr>
                <w:szCs w:val="24"/>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r>
    </w:tbl>
    <w:p w:rsidR="00343C6C" w:rsidRPr="00FC4A49" w:rsidP="00343C6C" w14:paraId="0760EE6D"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CA77569" w14:textId="77777777">
      <w:r w:rsidRPr="00FC4A49">
        <w:rPr>
          <w:rStyle w:val="HideTWBExt"/>
        </w:rPr>
        <w:t>&lt;/Amend&gt;</w:t>
      </w:r>
    </w:p>
    <w:p w:rsidR="00343C6C" w:rsidRPr="00FC4A49" w:rsidP="00343C6C" w14:paraId="2C835773"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158</w:t>
      </w:r>
      <w:r w:rsidRPr="00FC4A49">
        <w:rPr>
          <w:rStyle w:val="HideTWBExt"/>
          <w:b w:val="0"/>
          <w:lang w:val="en-GB"/>
        </w:rPr>
        <w:t>&lt;/NumAm&gt;</w:t>
      </w:r>
    </w:p>
    <w:p w:rsidR="00343C6C" w:rsidRPr="00FC4A49" w:rsidP="00343C6C" w14:paraId="45BEA7ED" w14:textId="77777777">
      <w:pPr>
        <w:pStyle w:val="NormalBold"/>
      </w:pPr>
      <w:r w:rsidRPr="00FC4A49">
        <w:rPr>
          <w:rStyle w:val="HideTWBExt"/>
          <w:b w:val="0"/>
        </w:rPr>
        <w:t>&lt;RepeatBlock-By&gt;&lt;Members&gt;</w:t>
      </w:r>
      <w:r w:rsidRPr="00FC4A49">
        <w:t>Ondřej Knotek, Jana Nagyová, Antonín Staněk, Viktória Ferenc</w:t>
      </w:r>
      <w:r w:rsidRPr="00FC4A49">
        <w:rPr>
          <w:rStyle w:val="HideTWBExt"/>
          <w:b w:val="0"/>
        </w:rPr>
        <w:t>&lt;/Members&gt;</w:t>
      </w:r>
    </w:p>
    <w:p w:rsidR="00343C6C" w:rsidRPr="00FC4A49" w:rsidP="00343C6C" w14:paraId="3E3CFE13" w14:textId="77777777">
      <w:r w:rsidRPr="00FC4A49">
        <w:rPr>
          <w:rStyle w:val="HideTWBExt"/>
        </w:rPr>
        <w:t>&lt;/RepeatBlock-By&gt;</w:t>
      </w:r>
    </w:p>
    <w:p w:rsidR="00343C6C" w:rsidRPr="00FC4A49" w:rsidP="00343C6C" w14:paraId="44EBE39D"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887C72B" w14:textId="77777777">
      <w:pPr>
        <w:pStyle w:val="NormalBold"/>
      </w:pPr>
      <w:r w:rsidRPr="00FC4A49">
        <w:rPr>
          <w:rStyle w:val="HideTWBExt"/>
          <w:b w:val="0"/>
        </w:rPr>
        <w:t>&lt;Article&gt;</w:t>
      </w:r>
      <w:r w:rsidRPr="00FC4A49">
        <w:t>Recital 18</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A72E21"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7BF07AE2" w14:textId="77777777">
            <w:pPr>
              <w:keepNext/>
            </w:pPr>
          </w:p>
        </w:tc>
      </w:tr>
      <w:tr w14:paraId="0B5FDB0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FA195E8" w14:textId="77777777">
            <w:pPr>
              <w:pStyle w:val="ColumnHeading"/>
              <w:keepNext/>
              <w:rPr>
                <w:lang w:val="en-GB"/>
              </w:rPr>
            </w:pPr>
            <w:r w:rsidRPr="00FC4A49">
              <w:rPr>
                <w:lang w:val="en-GB"/>
              </w:rPr>
              <w:t>Text proposed by the Commission</w:t>
            </w:r>
          </w:p>
        </w:tc>
        <w:tc>
          <w:tcPr>
            <w:tcW w:w="4876" w:type="dxa"/>
          </w:tcPr>
          <w:p w:rsidR="00343C6C" w:rsidRPr="00FC4A49" w:rsidP="005D58F9" w14:paraId="0500D108" w14:textId="77777777">
            <w:pPr>
              <w:pStyle w:val="ColumnHeading"/>
              <w:keepNext/>
              <w:rPr>
                <w:lang w:val="en-GB"/>
              </w:rPr>
            </w:pPr>
            <w:r w:rsidRPr="00FC4A49">
              <w:rPr>
                <w:lang w:val="en-GB"/>
              </w:rPr>
              <w:t>Amendment</w:t>
            </w:r>
          </w:p>
        </w:tc>
      </w:tr>
      <w:tr w14:paraId="0E5EE14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7625B14" w14:textId="77777777">
            <w:pPr>
              <w:pStyle w:val="Normal6"/>
              <w:rPr>
                <w:lang w:val="en-GB"/>
              </w:rPr>
            </w:pPr>
            <w:r w:rsidRPr="00FC4A49">
              <w:rPr>
                <w:lang w:val="en-GB"/>
              </w:rPr>
              <w:t>(18)</w:t>
            </w:r>
            <w:r w:rsidRPr="00FC4A49">
              <w:rPr>
                <w:lang w:val="en-GB"/>
              </w:rPr>
              <w:tab/>
              <w:t>The Union is to achieve climate neutrality by 2050 at the latest and all sectors of the economy, including maritime 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w:t>
            </w:r>
            <w:r w:rsidRPr="00FC4A49">
              <w:rPr>
                <w:lang w:val="en-GB"/>
              </w:rPr>
              <w:t xml:space="preserve">overall environmental integrity, including in comparison with the provisions of Directive 2003/87/EC covering maritime transport, and any issue related to the coherence of the EU ETS and that measure, including avoiding double payment. As appropriate, and in order to prevent such a risk of double payment while ensuring that no environmental backsliding occurs, the accompanying legislative proposal should provide for an IMO deduction mechanism according to which it is appropriate to allow shipping companies to surrender fewer allowances than their verified emissions to the extent that those emissions are also effectively priced under the IMO measure.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lang w:val="en-GB"/>
              </w:rPr>
              <w:t>supportleast</w:t>
            </w:r>
            <w:r w:rsidRPr="00FC4A49">
              <w:rPr>
                <w:lang w:val="en-GB"/>
              </w:rPr>
              <w:t xml:space="preserve"> developed countries and small island developing countries.</w:t>
            </w:r>
          </w:p>
        </w:tc>
        <w:tc>
          <w:tcPr>
            <w:tcW w:w="4876" w:type="dxa"/>
          </w:tcPr>
          <w:p w:rsidR="00343C6C" w:rsidRPr="00FC4A49" w:rsidP="005D58F9" w14:paraId="134D0FAB" w14:textId="77777777">
            <w:pPr>
              <w:pStyle w:val="Normal6"/>
              <w:rPr>
                <w:szCs w:val="24"/>
                <w:lang w:val="en-GB"/>
              </w:rPr>
            </w:pPr>
            <w:r w:rsidRPr="00FC4A49">
              <w:rPr>
                <w:lang w:val="en-GB"/>
              </w:rPr>
              <w:t>(18)</w:t>
            </w:r>
            <w:r w:rsidRPr="00FC4A49">
              <w:rPr>
                <w:lang w:val="en-GB"/>
              </w:rPr>
              <w:tab/>
            </w:r>
            <w:r w:rsidRPr="00FC4A49">
              <w:rPr>
                <w:b/>
                <w:i/>
                <w:lang w:val="en-GB"/>
              </w:rPr>
              <w:t>For the time being,</w:t>
            </w:r>
            <w:r w:rsidRPr="00FC4A49">
              <w:rPr>
                <w:lang w:val="en-GB"/>
              </w:rPr>
              <w:t xml:space="preserve"> the Union is to achieve climate neutrality by 2050 at the latest and all sectors of the economy, including maritime transport, are to contribute to achieving the emission reductions established by Regulation (EU) 2021/1119, in line with its updated NDC</w:t>
            </w:r>
            <w:r w:rsidRPr="00FC4A49">
              <w:rPr>
                <w:b/>
                <w:i/>
                <w:lang w:val="en-GB"/>
              </w:rPr>
              <w:t>, without undermining its economic competitiveness</w:t>
            </w:r>
            <w:r w:rsidRPr="00FC4A49">
              <w:rPr>
                <w:lang w:val="en-GB"/>
              </w:rPr>
              <w:t>. The inclusion of maritime 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w:t>
            </w:r>
            <w:r w:rsidRPr="00FC4A49">
              <w:rPr>
                <w:lang w:val="en-GB"/>
              </w:rPr>
              <w:t xml:space="preserve">regards its ambition in light of the objectives of the Paris Agreement, its overall environmental integrity, including in comparison with the provisions of Directive 2003/87/EC covering maritime transport, and any issue related to the coherence of the EU ETS and that measure, including avoiding double payment. As appropriate, and in order to prevent such a risk of double payment while ensuring that no environmental backsliding occurs, the accompanying legislative proposal should provide for an IMO deduction mechanism according to which it is appropriate to allow shipping companies to surrender fewer allowances than their verified emissions to the extent that those emissions are also effectively priced under the IMO measure.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lang w:val="en-GB"/>
              </w:rPr>
              <w:t>supportleast</w:t>
            </w:r>
            <w:r w:rsidRPr="00FC4A49">
              <w:rPr>
                <w:lang w:val="en-GB"/>
              </w:rPr>
              <w:t xml:space="preserve"> developed countries and small island developing countries.</w:t>
            </w:r>
          </w:p>
        </w:tc>
      </w:tr>
      <w:tr w14:paraId="1B692CC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8F4FF36" w14:textId="77777777">
            <w:pPr>
              <w:pStyle w:val="Normal6"/>
              <w:rPr>
                <w:lang w:val="en-GB"/>
              </w:rPr>
            </w:pPr>
            <w:r w:rsidRPr="00FC4A49">
              <w:rPr>
                <w:lang w:val="en-GB"/>
              </w:rPr>
              <w:t>__________________</w:t>
            </w:r>
          </w:p>
        </w:tc>
        <w:tc>
          <w:tcPr>
            <w:tcW w:w="4876" w:type="dxa"/>
          </w:tcPr>
          <w:p w:rsidR="00343C6C" w:rsidRPr="00FC4A49" w:rsidP="005D58F9" w14:paraId="19EFB115" w14:textId="77777777">
            <w:pPr>
              <w:pStyle w:val="Normal6"/>
              <w:rPr>
                <w:szCs w:val="24"/>
                <w:lang w:val="en-GB"/>
              </w:rPr>
            </w:pPr>
            <w:r w:rsidRPr="00FC4A49">
              <w:rPr>
                <w:lang w:val="en-GB"/>
              </w:rPr>
              <w:t>__________________</w:t>
            </w:r>
          </w:p>
        </w:tc>
      </w:tr>
      <w:tr w14:paraId="56C8F42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CE77FF9" w14:textId="77777777">
            <w:pPr>
              <w:pStyle w:val="Normal6"/>
              <w:rPr>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c>
          <w:tcPr>
            <w:tcW w:w="4876" w:type="dxa"/>
          </w:tcPr>
          <w:p w:rsidR="00343C6C" w:rsidRPr="00FC4A49" w:rsidP="005D58F9" w14:paraId="48253758" w14:textId="77777777">
            <w:pPr>
              <w:pStyle w:val="Normal6"/>
              <w:rPr>
                <w:szCs w:val="24"/>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r>
    </w:tbl>
    <w:p w:rsidR="00343C6C" w:rsidRPr="00FC4A49" w:rsidP="00343C6C" w14:paraId="764C2794"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29752AC" w14:textId="77777777">
      <w:r w:rsidRPr="00FC4A49">
        <w:rPr>
          <w:rStyle w:val="HideTWBExt"/>
        </w:rPr>
        <w:t>&lt;/Amend&gt;</w:t>
      </w:r>
    </w:p>
    <w:p w:rsidR="00343C6C" w:rsidRPr="00FC4A49" w:rsidP="00343C6C" w14:paraId="6DBC7B59"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159</w:t>
      </w:r>
      <w:r w:rsidRPr="00FC4A49">
        <w:rPr>
          <w:rStyle w:val="HideTWBExt"/>
          <w:b w:val="0"/>
          <w:lang w:val="en-GB"/>
        </w:rPr>
        <w:t>&lt;/NumAm&gt;</w:t>
      </w:r>
    </w:p>
    <w:p w:rsidR="00343C6C" w:rsidRPr="00FC4A49" w:rsidP="00343C6C" w14:paraId="72D4E8FC"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6CFAFBDD" w14:textId="77777777">
      <w:r w:rsidRPr="00FC4A49">
        <w:rPr>
          <w:rStyle w:val="HideTWBExt"/>
        </w:rPr>
        <w:t>&lt;/RepeatBlock-By&gt;</w:t>
      </w:r>
    </w:p>
    <w:p w:rsidR="00343C6C" w:rsidRPr="00FC4A49" w:rsidP="00343C6C" w14:paraId="739D31E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090B5BF" w14:textId="77777777">
      <w:pPr>
        <w:pStyle w:val="NormalBold"/>
      </w:pPr>
      <w:r w:rsidRPr="00FC4A49">
        <w:rPr>
          <w:rStyle w:val="HideTWBExt"/>
          <w:b w:val="0"/>
        </w:rPr>
        <w:t>&lt;Article&gt;</w:t>
      </w:r>
      <w:r w:rsidRPr="00FC4A49">
        <w:t>Recital 18</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66664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7A995532" w14:textId="77777777">
            <w:pPr>
              <w:keepNext/>
            </w:pPr>
          </w:p>
        </w:tc>
      </w:tr>
      <w:tr w14:paraId="75DBC4F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E6DDEFF" w14:textId="77777777">
            <w:pPr>
              <w:pStyle w:val="ColumnHeading"/>
              <w:keepNext/>
              <w:rPr>
                <w:lang w:val="en-GB"/>
              </w:rPr>
            </w:pPr>
            <w:r w:rsidRPr="00FC4A49">
              <w:rPr>
                <w:lang w:val="en-GB"/>
              </w:rPr>
              <w:t>Text proposed by the Commission</w:t>
            </w:r>
          </w:p>
        </w:tc>
        <w:tc>
          <w:tcPr>
            <w:tcW w:w="4876" w:type="dxa"/>
          </w:tcPr>
          <w:p w:rsidR="00343C6C" w:rsidRPr="00FC4A49" w:rsidP="005D58F9" w14:paraId="3810C17E" w14:textId="77777777">
            <w:pPr>
              <w:pStyle w:val="ColumnHeading"/>
              <w:keepNext/>
              <w:rPr>
                <w:lang w:val="en-GB"/>
              </w:rPr>
            </w:pPr>
            <w:r w:rsidRPr="00FC4A49">
              <w:rPr>
                <w:lang w:val="en-GB"/>
              </w:rPr>
              <w:t>Amendment</w:t>
            </w:r>
          </w:p>
        </w:tc>
      </w:tr>
      <w:tr w14:paraId="6A00098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B20B298" w14:textId="77777777">
            <w:pPr>
              <w:pStyle w:val="Normal6"/>
              <w:rPr>
                <w:lang w:val="en-GB"/>
              </w:rPr>
            </w:pPr>
            <w:r w:rsidRPr="00FC4A49">
              <w:rPr>
                <w:lang w:val="en-GB"/>
              </w:rPr>
              <w:t>(18)</w:t>
            </w:r>
            <w:r w:rsidRPr="00FC4A49">
              <w:rPr>
                <w:lang w:val="en-GB"/>
              </w:rPr>
              <w:tab/>
              <w:t xml:space="preserve">The Union is to achieve climate neutrality by 2050 at the latest and all sectors of the economy, including maritime </w:t>
            </w:r>
            <w:r w:rsidRPr="00FC4A49">
              <w:rPr>
                <w:lang w:val="en-GB"/>
              </w:rPr>
              <w:t>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coherence of the EU ETS and that measure, including avoiding double payment. As appropriate, and in order to prevent such a risk of double payment while ensuring that no environmental backsliding occurs, the accompanying legislative proposal should provide for an IMO deduction mechanism according to which it is appropriate to allow shipping </w:t>
            </w:r>
            <w:r w:rsidRPr="00FC4A49">
              <w:rPr>
                <w:lang w:val="en-GB"/>
              </w:rPr>
              <w:t xml:space="preserve">companies to surrender fewer allowances than their verified emissions to the extent that those emissions are also effectively priced under the IMO measure.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lang w:val="en-GB"/>
              </w:rPr>
              <w:t>supportleast</w:t>
            </w:r>
            <w:r w:rsidRPr="00FC4A49">
              <w:rPr>
                <w:lang w:val="en-GB"/>
              </w:rPr>
              <w:t xml:space="preserve"> developed countries and small island developing countries.</w:t>
            </w:r>
          </w:p>
        </w:tc>
        <w:tc>
          <w:tcPr>
            <w:tcW w:w="4876" w:type="dxa"/>
          </w:tcPr>
          <w:p w:rsidR="00343C6C" w:rsidRPr="00FC4A49" w:rsidP="005D58F9" w14:paraId="007029CB" w14:textId="77777777">
            <w:pPr>
              <w:pStyle w:val="Normal6"/>
              <w:rPr>
                <w:szCs w:val="24"/>
                <w:lang w:val="en-GB"/>
              </w:rPr>
            </w:pPr>
            <w:r w:rsidRPr="00FC4A49">
              <w:rPr>
                <w:lang w:val="en-GB"/>
              </w:rPr>
              <w:t>(18)</w:t>
            </w:r>
            <w:r w:rsidRPr="00FC4A49">
              <w:rPr>
                <w:lang w:val="en-GB"/>
              </w:rPr>
              <w:tab/>
              <w:t xml:space="preserve">The Union is to achieve climate neutrality by 2050 at the latest and all sectors of the economy, including maritime </w:t>
            </w:r>
            <w:r w:rsidRPr="00FC4A49">
              <w:rPr>
                <w:lang w:val="en-GB"/>
              </w:rPr>
              <w:t>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coherence of the EU ETS and that measure, including avoiding double payment </w:t>
            </w:r>
            <w:r w:rsidRPr="00FC4A49">
              <w:rPr>
                <w:b/>
                <w:i/>
                <w:lang w:val="en-GB"/>
              </w:rPr>
              <w:t>at an equivalent price level</w:t>
            </w:r>
            <w:r w:rsidRPr="00FC4A49">
              <w:rPr>
                <w:lang w:val="en-GB"/>
              </w:rPr>
              <w:t xml:space="preserve">. As appropriate, and in order to prevent such a risk of double payment while ensuring that no environmental backsliding occurs, the accompanying legislative proposal should provide for an IMO deduction mechanism according to which it is appropriate to </w:t>
            </w:r>
            <w:r w:rsidRPr="00FC4A49">
              <w:rPr>
                <w:lang w:val="en-GB"/>
              </w:rPr>
              <w:t xml:space="preserve">allow shipping companies to surrender fewer allowances than their verified emissions to the extent that those emissions are also effectively priced under the IMO measure.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lang w:val="en-GB"/>
              </w:rPr>
              <w:t>supportleast</w:t>
            </w:r>
            <w:r w:rsidRPr="00FC4A49">
              <w:rPr>
                <w:lang w:val="en-GB"/>
              </w:rPr>
              <w:t xml:space="preserve"> developed countries and small island developing countries.</w:t>
            </w:r>
          </w:p>
        </w:tc>
      </w:tr>
      <w:tr w14:paraId="7E56E35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E7AE733" w14:textId="77777777">
            <w:pPr>
              <w:pStyle w:val="Normal6"/>
              <w:rPr>
                <w:lang w:val="en-GB"/>
              </w:rPr>
            </w:pPr>
            <w:r w:rsidRPr="00FC4A49">
              <w:rPr>
                <w:lang w:val="en-GB"/>
              </w:rPr>
              <w:t>__________________</w:t>
            </w:r>
          </w:p>
        </w:tc>
        <w:tc>
          <w:tcPr>
            <w:tcW w:w="4876" w:type="dxa"/>
          </w:tcPr>
          <w:p w:rsidR="00343C6C" w:rsidRPr="00FC4A49" w:rsidP="005D58F9" w14:paraId="6C045C54" w14:textId="77777777">
            <w:pPr>
              <w:pStyle w:val="Normal6"/>
              <w:rPr>
                <w:szCs w:val="24"/>
                <w:lang w:val="en-GB"/>
              </w:rPr>
            </w:pPr>
            <w:r w:rsidRPr="00FC4A49">
              <w:rPr>
                <w:lang w:val="en-GB"/>
              </w:rPr>
              <w:t>__________________</w:t>
            </w:r>
          </w:p>
        </w:tc>
      </w:tr>
      <w:tr w14:paraId="3FC3A41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65BB4B3" w14:textId="77777777">
            <w:pPr>
              <w:pStyle w:val="Normal6"/>
              <w:rPr>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c>
          <w:tcPr>
            <w:tcW w:w="4876" w:type="dxa"/>
          </w:tcPr>
          <w:p w:rsidR="00343C6C" w:rsidRPr="00FC4A49" w:rsidP="005D58F9" w14:paraId="6730373A" w14:textId="77777777">
            <w:pPr>
              <w:pStyle w:val="Normal6"/>
              <w:rPr>
                <w:szCs w:val="24"/>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r>
    </w:tbl>
    <w:p w:rsidR="00343C6C" w:rsidRPr="00804E2D" w:rsidP="00343C6C" w14:paraId="4F7B7933" w14:textId="77777777">
      <w:pPr>
        <w:pStyle w:val="Olang"/>
        <w:rPr>
          <w:lang w:val="sv-SE"/>
        </w:rPr>
      </w:pPr>
      <w:r w:rsidRPr="00804E2D">
        <w:rPr>
          <w:lang w:val="sv-SE"/>
        </w:rPr>
        <w:t xml:space="preserve">Or. </w:t>
      </w:r>
      <w:r w:rsidRPr="00804E2D">
        <w:rPr>
          <w:rStyle w:val="HideTWBExt"/>
          <w:lang w:val="sv-SE"/>
        </w:rPr>
        <w:t>&lt;Original&gt;</w:t>
      </w:r>
      <w:r w:rsidRPr="00804E2D">
        <w:rPr>
          <w:rStyle w:val="HideTWBInt"/>
          <w:lang w:val="sv-SE"/>
        </w:rPr>
        <w:t>{EN}</w:t>
      </w:r>
      <w:r w:rsidRPr="00804E2D">
        <w:rPr>
          <w:lang w:val="sv-SE"/>
        </w:rPr>
        <w:t>en</w:t>
      </w:r>
      <w:r w:rsidRPr="00804E2D">
        <w:rPr>
          <w:rStyle w:val="HideTWBExt"/>
          <w:lang w:val="sv-SE"/>
        </w:rPr>
        <w:t>&lt;/Original&gt;</w:t>
      </w:r>
    </w:p>
    <w:p w:rsidR="00343C6C" w:rsidRPr="00804E2D" w:rsidP="00343C6C" w14:paraId="4EE567C0" w14:textId="77777777">
      <w:pPr>
        <w:rPr>
          <w:lang w:val="sv-SE"/>
        </w:rPr>
      </w:pPr>
      <w:r w:rsidRPr="00804E2D">
        <w:rPr>
          <w:rStyle w:val="HideTWBExt"/>
          <w:lang w:val="sv-SE"/>
        </w:rPr>
        <w:t>&lt;/Amend&gt;</w:t>
      </w:r>
    </w:p>
    <w:p w:rsidR="00343C6C" w:rsidRPr="00804E2D" w:rsidP="00343C6C" w14:paraId="09D7119F" w14:textId="77777777">
      <w:pPr>
        <w:pStyle w:val="AMNumberTabs0"/>
        <w:keepNext/>
        <w:rPr>
          <w:lang w:val="sv-SE"/>
        </w:rPr>
      </w:pPr>
      <w:r w:rsidRPr="00804E2D">
        <w:rPr>
          <w:rStyle w:val="HideTWBExt"/>
          <w:b w:val="0"/>
          <w:lang w:val="sv-SE"/>
        </w:rPr>
        <w:t>&lt;Amend&gt;</w:t>
      </w:r>
      <w:r w:rsidRPr="00804E2D">
        <w:rPr>
          <w:lang w:val="sv-SE"/>
        </w:rPr>
        <w:t>Amendment</w:t>
      </w:r>
      <w:r w:rsidRPr="00804E2D">
        <w:rPr>
          <w:lang w:val="sv-SE"/>
        </w:rPr>
        <w:tab/>
      </w:r>
      <w:r w:rsidRPr="00804E2D">
        <w:rPr>
          <w:lang w:val="sv-SE"/>
        </w:rPr>
        <w:tab/>
      </w:r>
      <w:r w:rsidRPr="00804E2D">
        <w:rPr>
          <w:rStyle w:val="HideTWBExt"/>
          <w:b w:val="0"/>
          <w:lang w:val="sv-SE"/>
        </w:rPr>
        <w:t>&lt;NumAm&gt;</w:t>
      </w:r>
      <w:r w:rsidRPr="00804E2D">
        <w:rPr>
          <w:lang w:val="sv-SE"/>
        </w:rPr>
        <w:t>160</w:t>
      </w:r>
      <w:r w:rsidRPr="00804E2D">
        <w:rPr>
          <w:rStyle w:val="HideTWBExt"/>
          <w:b w:val="0"/>
          <w:lang w:val="sv-SE"/>
        </w:rPr>
        <w:t>&lt;/NumAm&gt;</w:t>
      </w:r>
    </w:p>
    <w:p w:rsidR="00343C6C" w:rsidRPr="00804E2D" w:rsidP="00343C6C" w14:paraId="1ACBB344" w14:textId="77777777">
      <w:pPr>
        <w:pStyle w:val="NormalBold"/>
        <w:rPr>
          <w:lang w:val="sv-SE"/>
        </w:rPr>
      </w:pPr>
      <w:r w:rsidRPr="00804E2D">
        <w:rPr>
          <w:rStyle w:val="HideTWBExt"/>
          <w:b w:val="0"/>
          <w:lang w:val="sv-SE"/>
        </w:rPr>
        <w:t>&lt;RepeatBlock-By&gt;&lt;Members&gt;</w:t>
      </w:r>
      <w:r w:rsidRPr="00804E2D">
        <w:rPr>
          <w:lang w:val="sv-SE"/>
        </w:rPr>
        <w:t>Li Andersson, Jonas Sjöstedt, Per Clausen</w:t>
      </w:r>
      <w:r w:rsidRPr="00804E2D">
        <w:rPr>
          <w:rStyle w:val="HideTWBExt"/>
          <w:b w:val="0"/>
          <w:lang w:val="sv-SE"/>
        </w:rPr>
        <w:t>&lt;/Members&gt;</w:t>
      </w:r>
    </w:p>
    <w:p w:rsidR="00343C6C" w:rsidRPr="00804E2D" w:rsidP="00343C6C" w14:paraId="13A8FB84" w14:textId="77777777">
      <w:pPr>
        <w:rPr>
          <w:lang w:val="sv-SE"/>
        </w:rPr>
      </w:pPr>
      <w:r w:rsidRPr="00804E2D">
        <w:rPr>
          <w:rStyle w:val="HideTWBExt"/>
          <w:lang w:val="sv-SE"/>
        </w:rPr>
        <w:t>&lt;/RepeatBlock-By&gt;</w:t>
      </w:r>
    </w:p>
    <w:p w:rsidR="00343C6C" w:rsidRPr="00FC4A49" w:rsidP="00343C6C" w14:paraId="54C5B930"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05E5628" w14:textId="77777777">
      <w:pPr>
        <w:pStyle w:val="NormalBold"/>
      </w:pPr>
      <w:r w:rsidRPr="00FC4A49">
        <w:rPr>
          <w:rStyle w:val="HideTWBExt"/>
          <w:b w:val="0"/>
        </w:rPr>
        <w:t>&lt;Article&gt;</w:t>
      </w:r>
      <w:r w:rsidRPr="00FC4A49">
        <w:t>Recital 18</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9337B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7E1C0FB3" w14:textId="77777777">
            <w:pPr>
              <w:keepNext/>
            </w:pPr>
          </w:p>
        </w:tc>
      </w:tr>
      <w:tr w14:paraId="65FE554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BCC7045" w14:textId="77777777">
            <w:pPr>
              <w:pStyle w:val="ColumnHeading"/>
              <w:keepNext/>
              <w:rPr>
                <w:lang w:val="en-GB"/>
              </w:rPr>
            </w:pPr>
            <w:r w:rsidRPr="00FC4A49">
              <w:rPr>
                <w:lang w:val="en-GB"/>
              </w:rPr>
              <w:t>Text proposed by the Commission</w:t>
            </w:r>
          </w:p>
        </w:tc>
        <w:tc>
          <w:tcPr>
            <w:tcW w:w="4876" w:type="dxa"/>
          </w:tcPr>
          <w:p w:rsidR="00343C6C" w:rsidRPr="00FC4A49" w:rsidP="005D58F9" w14:paraId="7CFBE147" w14:textId="77777777">
            <w:pPr>
              <w:pStyle w:val="ColumnHeading"/>
              <w:keepNext/>
              <w:rPr>
                <w:lang w:val="en-GB"/>
              </w:rPr>
            </w:pPr>
            <w:r w:rsidRPr="00FC4A49">
              <w:rPr>
                <w:lang w:val="en-GB"/>
              </w:rPr>
              <w:t>Amendment</w:t>
            </w:r>
          </w:p>
        </w:tc>
      </w:tr>
      <w:tr w14:paraId="61DEE2D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91B7C8E" w14:textId="77777777">
            <w:pPr>
              <w:pStyle w:val="Normal6"/>
              <w:rPr>
                <w:lang w:val="en-GB"/>
              </w:rPr>
            </w:pPr>
            <w:r w:rsidRPr="00FC4A49">
              <w:rPr>
                <w:lang w:val="en-GB"/>
              </w:rPr>
              <w:t>(18)</w:t>
            </w:r>
            <w:r w:rsidRPr="00FC4A49">
              <w:rPr>
                <w:lang w:val="en-GB"/>
              </w:rPr>
              <w:tab/>
              <w:t>The Union is to achieve climate neutrality by 2050 at the latest and all sectors of the economy, including maritime transport, are to 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w:t>
            </w:r>
            <w:r w:rsidRPr="00FC4A49">
              <w:rPr>
                <w:lang w:val="en-GB"/>
              </w:rPr>
              <w:t xml:space="preserve">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coherence of the EU ETS and that measure, including avoiding double payment. As appropriate, and in order to prevent such a risk of double payment while ensuring that no environmental backsliding occurs, the accompanying legislative proposal should provide for an IMO deduction mechanism according to which it is appropriate to allow shipping companies to surrender fewer allowances than their verified emissions to the extent that those emissions are also effectively priced under the IMO measure.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lang w:val="en-GB"/>
              </w:rPr>
              <w:t>supportleast</w:t>
            </w:r>
            <w:r w:rsidRPr="00FC4A49">
              <w:rPr>
                <w:lang w:val="en-GB"/>
              </w:rPr>
              <w:t xml:space="preserve"> developed countries and small island developing countries.</w:t>
            </w:r>
          </w:p>
        </w:tc>
        <w:tc>
          <w:tcPr>
            <w:tcW w:w="4876" w:type="dxa"/>
          </w:tcPr>
          <w:p w:rsidR="00343C6C" w:rsidRPr="00FC4A49" w:rsidP="005D58F9" w14:paraId="5E865104" w14:textId="77777777">
            <w:pPr>
              <w:pStyle w:val="Normal6"/>
              <w:rPr>
                <w:szCs w:val="24"/>
                <w:lang w:val="en-GB"/>
              </w:rPr>
            </w:pPr>
            <w:r w:rsidRPr="00FC4A49">
              <w:rPr>
                <w:lang w:val="en-GB"/>
              </w:rPr>
              <w:t>(18)</w:t>
            </w:r>
            <w:r w:rsidRPr="00FC4A49">
              <w:rPr>
                <w:lang w:val="en-GB"/>
              </w:rPr>
              <w:tab/>
              <w:t xml:space="preserve">The Union is to achieve climate neutrality by 2050 at the latest and all sectors of the economy, including maritime transport, are to contribute to achieving the </w:t>
            </w:r>
            <w:r w:rsidRPr="00FC4A49">
              <w:rPr>
                <w:b/>
                <w:i/>
                <w:lang w:val="en-GB"/>
              </w:rPr>
              <w:t>legal</w:t>
            </w:r>
            <w:r w:rsidRPr="00FC4A49">
              <w:rPr>
                <w:lang w:val="en-GB"/>
              </w:rPr>
              <w:t xml:space="preserv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 The International Maritime Organization (IMO) adopted, in 2023, a strategy to decarbonise shipping</w:t>
            </w:r>
            <w:r w:rsidRPr="00FC4A49">
              <w:rPr>
                <w:vertAlign w:val="superscript"/>
                <w:lang w:val="en-GB"/>
              </w:rPr>
              <w:t>15</w:t>
            </w:r>
            <w:r w:rsidRPr="00FC4A49">
              <w:rPr>
                <w:lang w:val="en-GB"/>
              </w:rPr>
              <w:t xml:space="preserve"> ‘by or around, i.e. close to, 2050’ and agreed on developing mid-term measures to implement it, considering a basket of candidate measures </w:t>
            </w:r>
            <w:r w:rsidRPr="00FC4A49">
              <w:rPr>
                <w:lang w:val="en-GB"/>
              </w:rPr>
              <w:t xml:space="preserve">covering both technical and economic elements. The adoption and implementation of such a global measure putting effectively a price on greenhouse gas emissions from maritime transport in parallel to the EU ETS would entail a risk of double payments by shipping companies. 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The Commission should in that report examine that global market-based measure as regards its ambition in light of the objectives of the Paris Agreement, its overall environmental integrity, including in comparison with the provisions of Directive 2003/87/EC covering maritime transport, and any issue related to the coherence of the EU ETS and that measure, including avoiding double payment. As appropriate, and in order to prevent such a risk of double payment while ensuring that no environmental backsliding occurs, the accompanying legislative proposal should provide for an IMO deduction mechanism according to which it is appropriate to allow shipping companies to surrender fewer allowances than their verified emissions to the extent that those emissions are also effectively priced under the IMO measure. To </w:t>
            </w:r>
            <w:r w:rsidRPr="00FC4A49">
              <w:rPr>
                <w:lang w:val="en-GB"/>
              </w:rPr>
              <w:t>take into account</w:t>
            </w:r>
            <w:r w:rsidRPr="00FC4A49">
              <w:rPr>
                <w:lang w:val="en-GB"/>
              </w:rPr>
              <w:t xml:space="preserve"> the potential role of the Union in supporting the broader international effort to decarbonise maritime transport, the accompanying legislative proposal should provide for a measure according to which allowances are to be reserved to </w:t>
            </w:r>
            <w:r w:rsidRPr="00FC4A49">
              <w:rPr>
                <w:lang w:val="en-GB"/>
              </w:rPr>
              <w:t>supportleast</w:t>
            </w:r>
            <w:r w:rsidRPr="00FC4A49">
              <w:rPr>
                <w:lang w:val="en-GB"/>
              </w:rPr>
              <w:t xml:space="preserve"> developed countries and small island developing countries.</w:t>
            </w:r>
          </w:p>
        </w:tc>
      </w:tr>
      <w:tr w14:paraId="30B5DBF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EB12A85" w14:textId="77777777">
            <w:pPr>
              <w:pStyle w:val="Normal6"/>
              <w:rPr>
                <w:lang w:val="en-GB"/>
              </w:rPr>
            </w:pPr>
            <w:r w:rsidRPr="00FC4A49">
              <w:rPr>
                <w:lang w:val="en-GB"/>
              </w:rPr>
              <w:t>__________________</w:t>
            </w:r>
          </w:p>
        </w:tc>
        <w:tc>
          <w:tcPr>
            <w:tcW w:w="4876" w:type="dxa"/>
          </w:tcPr>
          <w:p w:rsidR="00343C6C" w:rsidRPr="00FC4A49" w:rsidP="005D58F9" w14:paraId="2DB9170B" w14:textId="77777777">
            <w:pPr>
              <w:pStyle w:val="Normal6"/>
              <w:rPr>
                <w:szCs w:val="24"/>
                <w:lang w:val="en-GB"/>
              </w:rPr>
            </w:pPr>
            <w:r w:rsidRPr="00FC4A49">
              <w:rPr>
                <w:lang w:val="en-GB"/>
              </w:rPr>
              <w:t>__________________</w:t>
            </w:r>
          </w:p>
        </w:tc>
      </w:tr>
      <w:tr w14:paraId="748C64D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BC43379" w14:textId="77777777">
            <w:pPr>
              <w:pStyle w:val="Normal6"/>
              <w:rPr>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c>
          <w:tcPr>
            <w:tcW w:w="4876" w:type="dxa"/>
          </w:tcPr>
          <w:p w:rsidR="00343C6C" w:rsidRPr="00FC4A49" w:rsidP="005D58F9" w14:paraId="40F79142" w14:textId="77777777">
            <w:pPr>
              <w:pStyle w:val="Normal6"/>
              <w:rPr>
                <w:szCs w:val="24"/>
                <w:lang w:val="en-GB"/>
              </w:rPr>
            </w:pPr>
            <w:r w:rsidRPr="00FC4A49">
              <w:rPr>
                <w:vertAlign w:val="superscript"/>
                <w:lang w:val="en-GB"/>
              </w:rPr>
              <w:t>15</w:t>
            </w:r>
            <w:r w:rsidRPr="00FC4A49">
              <w:rPr>
                <w:lang w:val="en-GB"/>
              </w:rPr>
              <w:t xml:space="preserve"> ANNEX 1, RESOLUTION MEPC.377(80), Adopted on 7 July 2023, 2023 IMO Strategy on reduction of GHG emissions from ships.</w:t>
            </w:r>
          </w:p>
        </w:tc>
      </w:tr>
    </w:tbl>
    <w:p w:rsidR="00343C6C" w:rsidRPr="00FC4A49" w:rsidP="00343C6C" w14:paraId="4904AFF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3DEA0DE" w14:textId="77777777">
      <w:r w:rsidRPr="00FC4A49">
        <w:rPr>
          <w:rStyle w:val="HideTWBExt"/>
        </w:rPr>
        <w:t>&lt;/Amend&gt;</w:t>
      </w:r>
    </w:p>
    <w:p w:rsidR="00343C6C" w:rsidRPr="00FC4A49" w:rsidP="00343C6C" w14:paraId="07942DC9"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161</w:t>
      </w:r>
      <w:r w:rsidRPr="00FC4A49">
        <w:rPr>
          <w:rStyle w:val="HideTWBExt"/>
          <w:b w:val="0"/>
          <w:lang w:val="en-GB"/>
        </w:rPr>
        <w:t>&lt;/NumAm&gt;</w:t>
      </w:r>
    </w:p>
    <w:p w:rsidR="00343C6C" w:rsidRPr="00FC4A49" w:rsidP="00343C6C" w14:paraId="5AAD2ECA" w14:textId="77777777">
      <w:pPr>
        <w:pStyle w:val="NormalBold"/>
      </w:pPr>
      <w:r w:rsidRPr="00FC4A49">
        <w:rPr>
          <w:rStyle w:val="HideTWBExt"/>
          <w:b w:val="0"/>
        </w:rPr>
        <w:t>&lt;RepeatBlock-By&gt;&lt;Members&gt;</w:t>
      </w:r>
      <w:r w:rsidRPr="00FC4A49">
        <w:t>Ondřej Knotek, Jana Nagyová, Antonín Staněk</w:t>
      </w:r>
      <w:r w:rsidRPr="00FC4A49">
        <w:rPr>
          <w:rStyle w:val="HideTWBExt"/>
          <w:b w:val="0"/>
        </w:rPr>
        <w:t>&lt;/Members&gt;</w:t>
      </w:r>
    </w:p>
    <w:p w:rsidR="00343C6C" w:rsidRPr="00FC4A49" w:rsidP="00343C6C" w14:paraId="40E8F31E" w14:textId="77777777">
      <w:r w:rsidRPr="00FC4A49">
        <w:rPr>
          <w:rStyle w:val="HideTWBExt"/>
        </w:rPr>
        <w:t>&lt;/RepeatBlock-By&gt;</w:t>
      </w:r>
    </w:p>
    <w:p w:rsidR="00343C6C" w:rsidRPr="00FC4A49" w:rsidP="00343C6C" w14:paraId="43C3A9C7"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4551601" w14:textId="77777777">
      <w:pPr>
        <w:pStyle w:val="NormalBold"/>
      </w:pPr>
      <w:r w:rsidRPr="00FC4A49">
        <w:rPr>
          <w:rStyle w:val="HideTWBExt"/>
          <w:b w:val="0"/>
        </w:rPr>
        <w:t>&lt;Article&gt;</w:t>
      </w:r>
      <w:r w:rsidRPr="00FC4A49">
        <w:t>Recital 19</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83FD7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F39EE9F" w14:textId="77777777">
            <w:pPr>
              <w:keepNext/>
            </w:pPr>
          </w:p>
        </w:tc>
      </w:tr>
      <w:tr w14:paraId="41C4C66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E9F7E72" w14:textId="77777777">
            <w:pPr>
              <w:pStyle w:val="ColumnHeading"/>
              <w:keepNext/>
              <w:rPr>
                <w:lang w:val="en-GB"/>
              </w:rPr>
            </w:pPr>
            <w:r w:rsidRPr="00FC4A49">
              <w:rPr>
                <w:lang w:val="en-GB"/>
              </w:rPr>
              <w:t>Text proposed by the Commission</w:t>
            </w:r>
          </w:p>
        </w:tc>
        <w:tc>
          <w:tcPr>
            <w:tcW w:w="4876" w:type="dxa"/>
          </w:tcPr>
          <w:p w:rsidR="00343C6C" w:rsidRPr="00FC4A49" w:rsidP="005D58F9" w14:paraId="37C2A871" w14:textId="77777777">
            <w:pPr>
              <w:pStyle w:val="ColumnHeading"/>
              <w:keepNext/>
              <w:rPr>
                <w:lang w:val="en-GB"/>
              </w:rPr>
            </w:pPr>
            <w:r w:rsidRPr="00FC4A49">
              <w:rPr>
                <w:lang w:val="en-GB"/>
              </w:rPr>
              <w:t>Amendment</w:t>
            </w:r>
          </w:p>
        </w:tc>
      </w:tr>
      <w:tr w14:paraId="706793A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4FC1E9B" w14:textId="77777777">
            <w:pPr>
              <w:pStyle w:val="Normal6"/>
              <w:rPr>
                <w:lang w:val="en-GB"/>
              </w:rPr>
            </w:pPr>
            <w:r w:rsidRPr="00FC4A49">
              <w:rPr>
                <w:lang w:val="en-GB"/>
              </w:rPr>
              <w:t>(19)</w:t>
            </w:r>
            <w:r w:rsidRPr="00FC4A49">
              <w:rPr>
                <w:lang w:val="en-GB"/>
              </w:rPr>
              <w:tab/>
              <w:t xml:space="preserve">Significant investments will continue to be required to support the decarbonisation of maritime transport, including investments in fleet retrofitting and the deployment of clean technologies. At the same time, Member States with a particularly high concentration of shipping companies relative to their population continue to incur proportionately higher administrative costs in implementing the EU ETS to support decarbonisation of maritime transport including supporting capital investments in the maritime sector, including ports, shipping companies, as well as for the use of sustainable fuels and propulsion technologies. The temporary allocation of allowances provided for in Article 3ga(3), second subparagraph of Directive 2003/87/EC contributes to supporting those objectives through the use of the corresponding auction revenues in accordance with this Directive. It is therefore appropriate to extend its application until 31 December </w:t>
            </w:r>
            <w:r w:rsidRPr="00FC4A49">
              <w:rPr>
                <w:b/>
                <w:i/>
                <w:lang w:val="en-GB"/>
              </w:rPr>
              <w:t>2038</w:t>
            </w:r>
            <w:r w:rsidRPr="00FC4A49">
              <w:rPr>
                <w:lang w:val="en-GB"/>
              </w:rPr>
              <w:t>. The Commission should assess, by 30 September 2035, whether a further extension is justified.</w:t>
            </w:r>
          </w:p>
        </w:tc>
        <w:tc>
          <w:tcPr>
            <w:tcW w:w="4876" w:type="dxa"/>
          </w:tcPr>
          <w:p w:rsidR="00343C6C" w:rsidRPr="00FC4A49" w:rsidP="005D58F9" w14:paraId="472EFB32" w14:textId="77777777">
            <w:pPr>
              <w:pStyle w:val="Normal6"/>
              <w:rPr>
                <w:szCs w:val="24"/>
                <w:lang w:val="en-GB"/>
              </w:rPr>
            </w:pPr>
            <w:r w:rsidRPr="00FC4A49">
              <w:rPr>
                <w:lang w:val="en-GB"/>
              </w:rPr>
              <w:t>(19)</w:t>
            </w:r>
            <w:r w:rsidRPr="00FC4A49">
              <w:rPr>
                <w:lang w:val="en-GB"/>
              </w:rPr>
              <w:tab/>
              <w:t xml:space="preserve">Significant investments will continue to be required to support the decarbonisation of maritime transport, including investments in fleet retrofitting and the deployment of clean technologies. At the same time, Member States with a particularly high concentration of shipping companies relative to their population continue to incur proportionately higher administrative costs in implementing the EU ETS to support decarbonisation of maritime transport including supporting capital investments in the maritime sector, including ports, shipping companies, as well as for the use of sustainable fuels and propulsion technologies. The temporary allocation of allowances provided for in Article 3ga(3), second subparagraph of Directive 2003/87/EC contributes to supporting those objectives through the use of the corresponding auction revenues in accordance with this Directive. It is therefore appropriate to extend its application </w:t>
            </w:r>
            <w:r w:rsidRPr="00FC4A49">
              <w:rPr>
                <w:b/>
                <w:i/>
                <w:lang w:val="en-GB"/>
              </w:rPr>
              <w:t>at least</w:t>
            </w:r>
            <w:r w:rsidRPr="00FC4A49">
              <w:rPr>
                <w:lang w:val="en-GB"/>
              </w:rPr>
              <w:t xml:space="preserve"> until 31 December </w:t>
            </w:r>
            <w:r w:rsidRPr="00FC4A49">
              <w:rPr>
                <w:b/>
                <w:i/>
                <w:lang w:val="en-GB"/>
              </w:rPr>
              <w:t>2040</w:t>
            </w:r>
            <w:r w:rsidRPr="00FC4A49">
              <w:rPr>
                <w:lang w:val="en-GB"/>
              </w:rPr>
              <w:t>. The Commission should assess, by 30 September 2035, whether a further extension is justified.</w:t>
            </w:r>
          </w:p>
        </w:tc>
      </w:tr>
    </w:tbl>
    <w:p w:rsidR="00343C6C" w:rsidRPr="00FC4A49" w:rsidP="00343C6C" w14:paraId="5098CD2E"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1043142" w14:textId="77777777">
      <w:r w:rsidRPr="00FC4A49">
        <w:rPr>
          <w:rStyle w:val="HideTWBExt"/>
        </w:rPr>
        <w:t>&lt;/Amend&gt;</w:t>
      </w:r>
    </w:p>
    <w:p w:rsidR="00343C6C" w:rsidRPr="00FC4A49" w:rsidP="00343C6C" w14:paraId="7A4F32DA"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162</w:t>
      </w:r>
      <w:r w:rsidRPr="00FC4A49">
        <w:rPr>
          <w:rStyle w:val="HideTWBExt"/>
          <w:b w:val="0"/>
          <w:lang w:val="en-GB"/>
        </w:rPr>
        <w:t>&lt;/NumAm&gt;</w:t>
      </w:r>
    </w:p>
    <w:p w:rsidR="00343C6C" w:rsidRPr="00FC4A49" w:rsidP="00343C6C" w14:paraId="4B5EC151" w14:textId="77777777">
      <w:pPr>
        <w:pStyle w:val="NormalBold"/>
      </w:pPr>
      <w:r w:rsidRPr="00FC4A49">
        <w:rPr>
          <w:rStyle w:val="HideTWBExt"/>
          <w:b w:val="0"/>
        </w:rPr>
        <w:t>&lt;RepeatBlock-By&gt;&lt;Members&gt;</w:t>
      </w:r>
      <w:r w:rsidRPr="00FC4A49">
        <w:t>Thomas Bajada, Daniel Attard, Alex Agius Saliba</w:t>
      </w:r>
      <w:r w:rsidRPr="00FC4A49">
        <w:rPr>
          <w:rStyle w:val="HideTWBExt"/>
          <w:b w:val="0"/>
        </w:rPr>
        <w:t>&lt;/Members&gt;</w:t>
      </w:r>
    </w:p>
    <w:p w:rsidR="00343C6C" w:rsidRPr="00FC4A49" w:rsidP="00343C6C" w14:paraId="0D2B1E77" w14:textId="77777777">
      <w:r w:rsidRPr="00FC4A49">
        <w:rPr>
          <w:rStyle w:val="HideTWBExt"/>
        </w:rPr>
        <w:t>&lt;/RepeatBlock-By&gt;</w:t>
      </w:r>
    </w:p>
    <w:p w:rsidR="00343C6C" w:rsidRPr="00FC4A49" w:rsidP="00343C6C" w14:paraId="4A3C6D22"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B338A25" w14:textId="77777777">
      <w:pPr>
        <w:pStyle w:val="NormalBold"/>
      </w:pPr>
      <w:r w:rsidRPr="00FC4A49">
        <w:rPr>
          <w:rStyle w:val="HideTWBExt"/>
          <w:b w:val="0"/>
        </w:rPr>
        <w:t>&lt;Article&gt;</w:t>
      </w:r>
      <w:r w:rsidRPr="00FC4A49">
        <w:t>Recital 19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C538E0"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3476A48" w14:textId="77777777">
            <w:pPr>
              <w:keepNext/>
            </w:pPr>
          </w:p>
        </w:tc>
      </w:tr>
      <w:tr w14:paraId="2D07E46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A23D8B8" w14:textId="77777777">
            <w:pPr>
              <w:pStyle w:val="ColumnHeading"/>
              <w:keepNext/>
              <w:rPr>
                <w:lang w:val="en-GB"/>
              </w:rPr>
            </w:pPr>
            <w:r w:rsidRPr="00FC4A49">
              <w:rPr>
                <w:lang w:val="en-GB"/>
              </w:rPr>
              <w:t>Text proposed by the Commission</w:t>
            </w:r>
          </w:p>
        </w:tc>
        <w:tc>
          <w:tcPr>
            <w:tcW w:w="4876" w:type="dxa"/>
          </w:tcPr>
          <w:p w:rsidR="00343C6C" w:rsidRPr="00FC4A49" w:rsidP="005D58F9" w14:paraId="3C3DE1B0" w14:textId="77777777">
            <w:pPr>
              <w:pStyle w:val="ColumnHeading"/>
              <w:keepNext/>
              <w:rPr>
                <w:lang w:val="en-GB"/>
              </w:rPr>
            </w:pPr>
            <w:r w:rsidRPr="00FC4A49">
              <w:rPr>
                <w:lang w:val="en-GB"/>
              </w:rPr>
              <w:t>Amendment</w:t>
            </w:r>
          </w:p>
        </w:tc>
      </w:tr>
      <w:tr w14:paraId="021CC3D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2D2C1A7" w14:textId="77777777">
            <w:pPr>
              <w:pStyle w:val="Normal6"/>
              <w:rPr>
                <w:lang w:val="en-GB"/>
              </w:rPr>
            </w:pPr>
          </w:p>
        </w:tc>
        <w:tc>
          <w:tcPr>
            <w:tcW w:w="4876" w:type="dxa"/>
          </w:tcPr>
          <w:p w:rsidR="00343C6C" w:rsidRPr="00FC4A49" w:rsidP="005D58F9" w14:paraId="0A5BE2E9" w14:textId="77777777">
            <w:pPr>
              <w:pStyle w:val="Normal6"/>
              <w:rPr>
                <w:szCs w:val="24"/>
                <w:lang w:val="en-GB"/>
              </w:rPr>
            </w:pPr>
            <w:r w:rsidRPr="00FC4A49">
              <w:rPr>
                <w:b/>
                <w:i/>
                <w:lang w:val="en-GB"/>
              </w:rPr>
              <w:t>(19a)</w:t>
            </w:r>
            <w:r w:rsidRPr="00FC4A49">
              <w:rPr>
                <w:b/>
                <w:i/>
                <w:lang w:val="en-GB"/>
              </w:rPr>
              <w:tab/>
              <w:t>An island Member State whose entire territory consists of one or more islands, and without a fixed link to the European continental mainland, suffers from a permanent structural dependency. Maritime transport is not one mode of connectivity among others, but the only means of importing raw materials and essential goods, particularly food to sustain the island population, including from ports under the jurisdiction of another Member State that serve as the principal lifeline gateway for that trade need.</w:t>
            </w:r>
          </w:p>
        </w:tc>
      </w:tr>
    </w:tbl>
    <w:p w:rsidR="00343C6C" w:rsidRPr="00FC4A49" w:rsidP="00343C6C" w14:paraId="2490BAC3"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F598728" w14:textId="77777777">
      <w:r w:rsidRPr="00FC4A49">
        <w:rPr>
          <w:rStyle w:val="HideTWBExt"/>
        </w:rPr>
        <w:t>&lt;/Amend&gt;</w:t>
      </w:r>
    </w:p>
    <w:p w:rsidR="00343C6C" w:rsidRPr="00FC4A49" w:rsidP="00343C6C" w14:paraId="3C2DB74A"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163</w:t>
      </w:r>
      <w:r w:rsidRPr="00FC4A49">
        <w:rPr>
          <w:rStyle w:val="HideTWBExt"/>
          <w:b w:val="0"/>
          <w:lang w:val="en-GB"/>
        </w:rPr>
        <w:t>&lt;/NumAm&gt;</w:t>
      </w:r>
    </w:p>
    <w:p w:rsidR="00343C6C" w:rsidRPr="00FC4A49" w:rsidP="00343C6C" w14:paraId="40DD7876" w14:textId="77777777">
      <w:pPr>
        <w:pStyle w:val="NormalBold"/>
      </w:pPr>
      <w:r w:rsidRPr="00FC4A49">
        <w:rPr>
          <w:rStyle w:val="HideTWBExt"/>
          <w:b w:val="0"/>
        </w:rPr>
        <w:t>&lt;RepeatBlock-By&gt;&lt;Members&gt;</w:t>
      </w:r>
      <w:r w:rsidRPr="00FC4A49">
        <w:t>Ondřej Knotek, Jana Nagyová, Antonín Staněk, Roman Haider</w:t>
      </w:r>
      <w:r w:rsidRPr="00FC4A49">
        <w:rPr>
          <w:rStyle w:val="HideTWBExt"/>
          <w:b w:val="0"/>
        </w:rPr>
        <w:t>&lt;/Members&gt;</w:t>
      </w:r>
    </w:p>
    <w:p w:rsidR="00343C6C" w:rsidRPr="00FC4A49" w:rsidP="00343C6C" w14:paraId="0B6313E6" w14:textId="77777777">
      <w:r w:rsidRPr="00FC4A49">
        <w:rPr>
          <w:rStyle w:val="HideTWBExt"/>
        </w:rPr>
        <w:t>&lt;/RepeatBlock-By&gt;</w:t>
      </w:r>
    </w:p>
    <w:p w:rsidR="00343C6C" w:rsidRPr="00FC4A49" w:rsidP="00343C6C" w14:paraId="72FF078A"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CD120AF" w14:textId="77777777">
      <w:pPr>
        <w:pStyle w:val="NormalBold"/>
      </w:pPr>
      <w:r w:rsidRPr="00FC4A49">
        <w:rPr>
          <w:rStyle w:val="HideTWBExt"/>
          <w:b w:val="0"/>
        </w:rPr>
        <w:t>&lt;Article&gt;</w:t>
      </w:r>
      <w:r w:rsidRPr="00FC4A49">
        <w:t>Recital 20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20B91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DDFB49D" w14:textId="77777777">
            <w:pPr>
              <w:keepNext/>
            </w:pPr>
          </w:p>
        </w:tc>
      </w:tr>
      <w:tr w14:paraId="2172E42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46A4B59" w14:textId="77777777">
            <w:pPr>
              <w:pStyle w:val="ColumnHeading"/>
              <w:keepNext/>
              <w:rPr>
                <w:lang w:val="en-GB"/>
              </w:rPr>
            </w:pPr>
            <w:r w:rsidRPr="00FC4A49">
              <w:rPr>
                <w:lang w:val="en-GB"/>
              </w:rPr>
              <w:t>Text proposed by the Commission</w:t>
            </w:r>
          </w:p>
        </w:tc>
        <w:tc>
          <w:tcPr>
            <w:tcW w:w="4876" w:type="dxa"/>
          </w:tcPr>
          <w:p w:rsidR="00343C6C" w:rsidRPr="00FC4A49" w:rsidP="005D58F9" w14:paraId="5CD98FEA" w14:textId="77777777">
            <w:pPr>
              <w:pStyle w:val="ColumnHeading"/>
              <w:keepNext/>
              <w:rPr>
                <w:lang w:val="en-GB"/>
              </w:rPr>
            </w:pPr>
            <w:r w:rsidRPr="00FC4A49">
              <w:rPr>
                <w:lang w:val="en-GB"/>
              </w:rPr>
              <w:t>Amendment</w:t>
            </w:r>
          </w:p>
        </w:tc>
      </w:tr>
      <w:tr w14:paraId="55A269D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FA714A4" w14:textId="77777777">
            <w:pPr>
              <w:pStyle w:val="Normal6"/>
              <w:rPr>
                <w:lang w:val="en-GB"/>
              </w:rPr>
            </w:pPr>
            <w:r w:rsidRPr="00FC4A49">
              <w:rPr>
                <w:b/>
                <w:i/>
                <w:lang w:val="en-GB"/>
              </w:rPr>
              <w:t>(20)</w:t>
            </w:r>
            <w:r w:rsidRPr="00FC4A49">
              <w:rPr>
                <w:b/>
                <w:i/>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the Union. Hence, </w:t>
            </w:r>
            <w:r w:rsidRPr="00FC4A49">
              <w:rPr>
                <w:b/>
                <w:i/>
                <w:lang w:val="en-GB"/>
              </w:rPr>
              <w:t xml:space="preserve">during the period from 1 January [2028/first year after the entry into force of this directive] until 31 December 2040, 110 million allowances should be reserved to be allocated to shipping companies, on a transparent, equal and non-discriminatory basis, to cover part of 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w:t>
            </w:r>
            <w:r w:rsidRPr="00FC4A49">
              <w:rPr>
                <w:b/>
                <w:i/>
                <w:lang w:val="en-GB"/>
              </w:rPr>
              <w:t>taken into account</w:t>
            </w:r>
            <w:r w:rsidRPr="00FC4A49">
              <w:rPr>
                <w:b/>
                <w:i/>
                <w:lang w:val="en-GB"/>
              </w:rPr>
              <w:t xml:space="preserve"> by the shipping 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ports and third countries in respect of which a derogation from the origin requirements should apply.</w:t>
            </w:r>
          </w:p>
        </w:tc>
        <w:tc>
          <w:tcPr>
            <w:tcW w:w="4876" w:type="dxa"/>
          </w:tcPr>
          <w:p w:rsidR="00343C6C" w:rsidRPr="00FC4A49" w:rsidP="005D58F9" w14:paraId="57CFB011" w14:textId="77777777">
            <w:pPr>
              <w:pStyle w:val="Normal6"/>
              <w:rPr>
                <w:szCs w:val="24"/>
                <w:lang w:val="en-GB"/>
              </w:rPr>
            </w:pPr>
            <w:r w:rsidRPr="00FC4A49">
              <w:rPr>
                <w:b/>
                <w:i/>
                <w:lang w:val="en-GB"/>
              </w:rPr>
              <w:t>deleted</w:t>
            </w:r>
          </w:p>
        </w:tc>
      </w:tr>
    </w:tbl>
    <w:p w:rsidR="00343C6C" w:rsidRPr="00FC4A49" w:rsidP="00343C6C" w14:paraId="52C466DA"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3AAA70A" w14:textId="77777777">
      <w:r w:rsidRPr="00FC4A49">
        <w:rPr>
          <w:rStyle w:val="HideTWBExt"/>
        </w:rPr>
        <w:t>&lt;/Amend&gt;</w:t>
      </w:r>
    </w:p>
    <w:p w:rsidR="00343C6C" w:rsidRPr="00FC4A49" w:rsidP="00343C6C" w14:paraId="485057E2"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164</w:t>
      </w:r>
      <w:r w:rsidRPr="00FC4A49">
        <w:rPr>
          <w:rStyle w:val="HideTWBExt"/>
          <w:b w:val="0"/>
          <w:lang w:val="en-GB"/>
        </w:rPr>
        <w:t>&lt;/NumAm&gt;</w:t>
      </w:r>
    </w:p>
    <w:p w:rsidR="00343C6C" w:rsidRPr="00FC4A49" w:rsidP="00343C6C" w14:paraId="4D48587C" w14:textId="77777777">
      <w:pPr>
        <w:pStyle w:val="NormalBold"/>
      </w:pPr>
      <w:r w:rsidRPr="00FC4A49">
        <w:rPr>
          <w:rStyle w:val="HideTWBExt"/>
          <w:b w:val="0"/>
        </w:rPr>
        <w:t>&lt;RepeatBlock-By&gt;&lt;Members&gt;</w:t>
      </w:r>
      <w:r w:rsidRPr="00FC4A49">
        <w:t>Matteo Ricci</w:t>
      </w:r>
      <w:r w:rsidRPr="00FC4A49">
        <w:rPr>
          <w:rStyle w:val="HideTWBExt"/>
          <w:b w:val="0"/>
        </w:rPr>
        <w:t>&lt;/Members&gt;</w:t>
      </w:r>
    </w:p>
    <w:p w:rsidR="00343C6C" w:rsidRPr="00FC4A49" w:rsidP="00343C6C" w14:paraId="6B776FA6" w14:textId="77777777">
      <w:r w:rsidRPr="00FC4A49">
        <w:rPr>
          <w:rStyle w:val="HideTWBExt"/>
        </w:rPr>
        <w:t>&lt;/RepeatBlock-By&gt;</w:t>
      </w:r>
    </w:p>
    <w:p w:rsidR="00343C6C" w:rsidRPr="00FC4A49" w:rsidP="00343C6C" w14:paraId="60033501"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6155162" w14:textId="77777777">
      <w:pPr>
        <w:pStyle w:val="NormalBold"/>
      </w:pPr>
      <w:r w:rsidRPr="00FC4A49">
        <w:rPr>
          <w:rStyle w:val="HideTWBExt"/>
          <w:b w:val="0"/>
        </w:rPr>
        <w:t>&lt;Article&gt;</w:t>
      </w:r>
      <w:r w:rsidRPr="00FC4A49">
        <w:t>Recital 20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DD7B3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AE01DA1" w14:textId="77777777">
            <w:pPr>
              <w:keepNext/>
            </w:pPr>
          </w:p>
        </w:tc>
      </w:tr>
      <w:tr w14:paraId="6D2A561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5CD8D28" w14:textId="77777777">
            <w:pPr>
              <w:pStyle w:val="ColumnHeading"/>
              <w:keepNext/>
              <w:rPr>
                <w:lang w:val="en-GB"/>
              </w:rPr>
            </w:pPr>
            <w:r w:rsidRPr="00FC4A49">
              <w:rPr>
                <w:lang w:val="en-GB"/>
              </w:rPr>
              <w:t>Text proposed by the Commission</w:t>
            </w:r>
          </w:p>
        </w:tc>
        <w:tc>
          <w:tcPr>
            <w:tcW w:w="4876" w:type="dxa"/>
          </w:tcPr>
          <w:p w:rsidR="00343C6C" w:rsidRPr="00FC4A49" w:rsidP="005D58F9" w14:paraId="29AD01C9" w14:textId="77777777">
            <w:pPr>
              <w:pStyle w:val="ColumnHeading"/>
              <w:keepNext/>
              <w:rPr>
                <w:lang w:val="en-GB"/>
              </w:rPr>
            </w:pPr>
            <w:r w:rsidRPr="00FC4A49">
              <w:rPr>
                <w:lang w:val="en-GB"/>
              </w:rPr>
              <w:t>Amendment</w:t>
            </w:r>
          </w:p>
        </w:tc>
      </w:tr>
      <w:tr w14:paraId="2950996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C354A36" w14:textId="77777777">
            <w:pPr>
              <w:pStyle w:val="Normal6"/>
              <w:rPr>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the Union. Hence, during the period from 1 January [2028/first year after the entry into force of this directive] until 31 December 2040, </w:t>
            </w:r>
            <w:r w:rsidRPr="00FC4A49">
              <w:rPr>
                <w:b/>
                <w:i/>
                <w:lang w:val="en-GB"/>
              </w:rPr>
              <w:t>110</w:t>
            </w:r>
            <w:r w:rsidRPr="00FC4A49">
              <w:rPr>
                <w:lang w:val="en-GB"/>
              </w:rPr>
              <w:t xml:space="preserve"> million allowances should be reserved to be allocated to shipping companies, on a transparent, equal and non-discriminatory basis, to cover part of 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w:t>
            </w:r>
            <w:r w:rsidRPr="00FC4A49">
              <w:rPr>
                <w:lang w:val="en-GB"/>
              </w:rPr>
              <w:t>ports and third countries in respect of which a derogation from the origin requirements should apply.</w:t>
            </w:r>
          </w:p>
        </w:tc>
        <w:tc>
          <w:tcPr>
            <w:tcW w:w="4876" w:type="dxa"/>
          </w:tcPr>
          <w:p w:rsidR="00343C6C" w:rsidRPr="00FC4A49" w:rsidP="005D58F9" w14:paraId="736CA05A" w14:textId="77777777">
            <w:pPr>
              <w:pStyle w:val="Normal6"/>
              <w:rPr>
                <w:szCs w:val="24"/>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the Union. Hence, </w:t>
            </w:r>
            <w:r w:rsidRPr="00FC4A49">
              <w:rPr>
                <w:b/>
                <w:i/>
                <w:lang w:val="en-GB"/>
              </w:rPr>
              <w:t>a Sustainable Maritime Alternative Propulsion (SMAP) mechanism should be established and</w:t>
            </w:r>
            <w:r w:rsidRPr="00FC4A49">
              <w:rPr>
                <w:lang w:val="en-GB"/>
              </w:rPr>
              <w:t xml:space="preserve"> during the period from 1 January [2028/first year after the entry into force of this directive] until 31 December 2040, </w:t>
            </w:r>
            <w:r w:rsidRPr="00FC4A49">
              <w:rPr>
                <w:b/>
                <w:i/>
                <w:lang w:val="en-GB"/>
              </w:rPr>
              <w:t>200</w:t>
            </w:r>
            <w:r w:rsidRPr="00FC4A49">
              <w:rPr>
                <w:lang w:val="en-GB"/>
              </w:rPr>
              <w:t xml:space="preserve"> million allowances should be reserved to be allocated to shipping companies, on a transparent, equal and non-discriminatory basis, to cover </w:t>
            </w:r>
            <w:r w:rsidRPr="00FC4A49">
              <w:rPr>
                <w:b/>
                <w:i/>
                <w:lang w:val="en-GB"/>
              </w:rPr>
              <w:t>all or</w:t>
            </w:r>
            <w:r w:rsidRPr="00FC4A49">
              <w:rPr>
                <w:lang w:val="en-GB"/>
              </w:rPr>
              <w:t xml:space="preserve"> part of 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w:t>
            </w:r>
            <w:r w:rsidRPr="00FC4A49">
              <w:rPr>
                <w:lang w:val="en-GB"/>
              </w:rPr>
              <w:t xml:space="preserve">detailed rules necessary for the application of this reserve and to adopt implementing acts to establish the lists of non-Union ports and third countries in respect of which a derogation from the origin requirements should apply. </w:t>
            </w:r>
            <w:r w:rsidRPr="00FC4A49">
              <w:rPr>
                <w:b/>
                <w:i/>
                <w:lang w:val="en-GB"/>
              </w:rPr>
              <w:t>Capital expenditure, first-of-a-kind deployment, infrastructure, demonstration and scale-up costs should also be addressed through the Innovation Fund established under Article 10cb of Directive 2003/87/EC.</w:t>
            </w:r>
          </w:p>
        </w:tc>
      </w:tr>
    </w:tbl>
    <w:p w:rsidR="00343C6C" w:rsidRPr="00FC4A49" w:rsidP="00343C6C" w14:paraId="1418DB4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8A21A9A" w14:textId="77777777">
      <w:r w:rsidRPr="00FC4A49">
        <w:rPr>
          <w:rStyle w:val="HideTWBExt"/>
        </w:rPr>
        <w:t>&lt;/Amend&gt;</w:t>
      </w:r>
    </w:p>
    <w:p w:rsidR="00343C6C" w:rsidRPr="00FC4A49" w:rsidP="00343C6C" w14:paraId="6407F443"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165</w:t>
      </w:r>
      <w:r w:rsidRPr="00FC4A49">
        <w:rPr>
          <w:rStyle w:val="HideTWBExt"/>
          <w:b w:val="0"/>
          <w:lang w:val="en-GB"/>
        </w:rPr>
        <w:t>&lt;/NumAm&gt;</w:t>
      </w:r>
    </w:p>
    <w:p w:rsidR="00343C6C" w:rsidRPr="00FC4A49" w:rsidP="00343C6C" w14:paraId="20329AEA" w14:textId="77777777">
      <w:pPr>
        <w:pStyle w:val="NormalBold"/>
      </w:pPr>
      <w:r w:rsidRPr="00FC4A49">
        <w:rPr>
          <w:rStyle w:val="HideTWBExt"/>
          <w:b w:val="0"/>
        </w:rPr>
        <w:t>&lt;RepeatBlock-By&gt;&lt;Members&gt;</w:t>
      </w:r>
      <w:r w:rsidRPr="00FC4A49">
        <w:t xml:space="preserve">Dimitris Tsiodras, Eleonora Meleti, Emmanouil </w:t>
      </w:r>
      <w:r w:rsidRPr="00FC4A49">
        <w:t>Kefalogiannis</w:t>
      </w:r>
      <w:r w:rsidRPr="00FC4A49">
        <w:t xml:space="preserve">, </w:t>
      </w:r>
      <w:r w:rsidRPr="00FC4A49">
        <w:t>Elissavet</w:t>
      </w:r>
      <w:r w:rsidRPr="00FC4A49">
        <w:t xml:space="preserve"> Vozemberg-</w:t>
      </w:r>
      <w:r w:rsidRPr="00FC4A49">
        <w:t>Vrionidi</w:t>
      </w:r>
      <w:r w:rsidRPr="00FC4A49">
        <w:t xml:space="preserve">, Fredis </w:t>
      </w:r>
      <w:r w:rsidRPr="00FC4A49">
        <w:t>Beleris</w:t>
      </w:r>
      <w:r w:rsidRPr="00FC4A49">
        <w:t>, Georgios Aftias, Vangelis Meimarakis, Michalis Hadjipantela, Loucas Fourlas, Letizia Moratti</w:t>
      </w:r>
      <w:r w:rsidRPr="00FC4A49">
        <w:rPr>
          <w:rStyle w:val="HideTWBExt"/>
          <w:b w:val="0"/>
        </w:rPr>
        <w:t>&lt;/Members&gt;</w:t>
      </w:r>
    </w:p>
    <w:p w:rsidR="00343C6C" w:rsidRPr="00FC4A49" w:rsidP="00343C6C" w14:paraId="506DBE0D" w14:textId="77777777">
      <w:r w:rsidRPr="00FC4A49">
        <w:rPr>
          <w:rStyle w:val="HideTWBExt"/>
        </w:rPr>
        <w:t>&lt;/RepeatBlock-By&gt;</w:t>
      </w:r>
    </w:p>
    <w:p w:rsidR="00343C6C" w:rsidRPr="00FC4A49" w:rsidP="00343C6C" w14:paraId="1D20D7A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FFE2732" w14:textId="77777777">
      <w:pPr>
        <w:pStyle w:val="NormalBold"/>
      </w:pPr>
      <w:r w:rsidRPr="00FC4A49">
        <w:rPr>
          <w:rStyle w:val="HideTWBExt"/>
          <w:b w:val="0"/>
        </w:rPr>
        <w:t>&lt;Article&gt;</w:t>
      </w:r>
      <w:r w:rsidRPr="00FC4A49">
        <w:t>Recital 20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472634"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4325081" w14:textId="77777777">
            <w:pPr>
              <w:keepNext/>
            </w:pPr>
          </w:p>
        </w:tc>
      </w:tr>
      <w:tr w14:paraId="056FA2F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9915B59" w14:textId="77777777">
            <w:pPr>
              <w:pStyle w:val="ColumnHeading"/>
              <w:keepNext/>
              <w:rPr>
                <w:lang w:val="en-GB"/>
              </w:rPr>
            </w:pPr>
            <w:r w:rsidRPr="00FC4A49">
              <w:rPr>
                <w:lang w:val="en-GB"/>
              </w:rPr>
              <w:t>Text proposed by the Commission</w:t>
            </w:r>
          </w:p>
        </w:tc>
        <w:tc>
          <w:tcPr>
            <w:tcW w:w="4876" w:type="dxa"/>
          </w:tcPr>
          <w:p w:rsidR="00343C6C" w:rsidRPr="00FC4A49" w:rsidP="005D58F9" w14:paraId="586A69F4" w14:textId="77777777">
            <w:pPr>
              <w:pStyle w:val="ColumnHeading"/>
              <w:keepNext/>
              <w:rPr>
                <w:lang w:val="en-GB"/>
              </w:rPr>
            </w:pPr>
            <w:r w:rsidRPr="00FC4A49">
              <w:rPr>
                <w:lang w:val="en-GB"/>
              </w:rPr>
              <w:t>Amendment</w:t>
            </w:r>
          </w:p>
        </w:tc>
      </w:tr>
      <w:tr w14:paraId="795595B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6CB91BC" w14:textId="77777777">
            <w:pPr>
              <w:pStyle w:val="Normal6"/>
              <w:rPr>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w:t>
            </w:r>
            <w:r w:rsidRPr="00FC4A49">
              <w:rPr>
                <w:b/>
                <w:i/>
                <w:lang w:val="en-GB"/>
              </w:rPr>
              <w:t>Support to early movers is therefore desirable to de-risk investments in</w:t>
            </w:r>
            <w:r w:rsidRPr="00FC4A49">
              <w:rPr>
                <w:lang w:val="en-GB"/>
              </w:rPr>
              <w:t xml:space="preserve"> maritime </w:t>
            </w:r>
            <w:r w:rsidRPr="00FC4A49">
              <w:rPr>
                <w:b/>
                <w:i/>
                <w:lang w:val="en-GB"/>
              </w:rPr>
              <w:t>decarbonisation in the Union</w:t>
            </w:r>
            <w:r w:rsidRPr="00FC4A49">
              <w:rPr>
                <w:lang w:val="en-GB"/>
              </w:rPr>
              <w:t xml:space="preserve">. Hence, during the period from 1 January [2028/first year after the entry into force of this directive] until 31 December 2040, 110 million allowances should be reserved to be allocated to shipping companies, on a transparent, equal and non-discriminatory basis, to cover part of the price differential between conventional fossil fuels and eligible sustainable maritime fuels, as well as all or </w:t>
            </w:r>
            <w:r w:rsidRPr="00FC4A49">
              <w:rPr>
                <w:lang w:val="en-GB"/>
              </w:rPr>
              <w:t xml:space="preserve">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w:t>
            </w:r>
            <w:r w:rsidRPr="00FC4A49">
              <w:rPr>
                <w:b/>
                <w:i/>
                <w:lang w:val="en-GB"/>
              </w:rPr>
              <w:t>and to adopt implementing acts to establish the lists of non-Union ports and third countries in respect of which a derogation from the origin requirements should apply</w:t>
            </w:r>
            <w:r w:rsidRPr="00FC4A49">
              <w:rPr>
                <w:lang w:val="en-GB"/>
              </w:rPr>
              <w:t>.</w:t>
            </w:r>
          </w:p>
        </w:tc>
        <w:tc>
          <w:tcPr>
            <w:tcW w:w="4876" w:type="dxa"/>
          </w:tcPr>
          <w:p w:rsidR="00343C6C" w:rsidRPr="00FC4A49" w:rsidP="005D58F9" w14:paraId="6AA28F05" w14:textId="77777777">
            <w:pPr>
              <w:pStyle w:val="Normal6"/>
              <w:rPr>
                <w:szCs w:val="24"/>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w:t>
            </w:r>
            <w:r w:rsidRPr="00FC4A49">
              <w:rPr>
                <w:b/>
                <w:i/>
                <w:lang w:val="en-GB"/>
              </w:rPr>
              <w:t>At the same time, energy efficiency technologies - including, but not limited to, energy-efficient propellers and propulsion systems, air lubrication systems, waste heat recovery systems, advanced hull coatings, fuel cells for auxiliary or main propulsion, as well as digital technologies that optimise vessels' energy performance - remain the most immediate, cost-effective and technology-ready means of reducing GHG emissions from</w:t>
            </w:r>
            <w:r w:rsidRPr="00FC4A49">
              <w:rPr>
                <w:lang w:val="en-GB"/>
              </w:rPr>
              <w:t xml:space="preserve"> maritime </w:t>
            </w:r>
            <w:r w:rsidRPr="00FC4A49">
              <w:rPr>
                <w:b/>
                <w:i/>
                <w:lang w:val="en-GB"/>
              </w:rPr>
              <w:t xml:space="preserve">transport, while generating long-term environmental </w:t>
            </w:r>
            <w:r w:rsidRPr="00FC4A49">
              <w:rPr>
                <w:b/>
                <w:i/>
                <w:lang w:val="en-GB"/>
              </w:rPr>
              <w:t>benefits</w:t>
            </w:r>
            <w:r w:rsidRPr="00FC4A49">
              <w:rPr>
                <w:lang w:val="en-GB"/>
              </w:rPr>
              <w:t xml:space="preserve">. Hence, during the period from 1 January [2028/first year after the entry into force of this directive] until 31 December 2040, 110 million allowances should be reserved to be allocated to shipping companies, on a transparent, equal and non-discriminatory basis, to cover part of the price differential between conventional fossil fuels and eligible sustainable maritime fuels, as well as all or part of the additional cost incurred in deploying and operating eligible zero-emission </w:t>
            </w:r>
            <w:r w:rsidRPr="00FC4A49">
              <w:rPr>
                <w:b/>
                <w:i/>
                <w:lang w:val="en-GB"/>
              </w:rPr>
              <w:t>propulsion or energy efficiency</w:t>
            </w:r>
            <w:r w:rsidRPr="00FC4A49">
              <w:rPr>
                <w:lang w:val="en-GB"/>
              </w:rPr>
              <w:t xml:space="preserve">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w:t>
            </w:r>
            <w:r w:rsidRPr="00FC4A49">
              <w:rPr>
                <w:b/>
                <w:i/>
                <w:lang w:val="en-GB"/>
              </w:rPr>
              <w:t>In such cases, it is necessary that the Commission has readily available all information required to allow for the estimation of allocated allowances before or, at the latest, at the beginning of each reference year.</w:t>
            </w:r>
            <w:r w:rsidRPr="00FC4A49">
              <w:rPr>
                <w:lang w:val="en-GB"/>
              </w:rPr>
              <w:t xml:space="preserve"> The Commission should be empowered to adopt delegated acts to supplement Directive 2003/87/EC with the detailed rules necessary for the application of this reserve.</w:t>
            </w:r>
          </w:p>
        </w:tc>
      </w:tr>
    </w:tbl>
    <w:p w:rsidR="00343C6C" w:rsidRPr="00FC4A49" w:rsidP="00343C6C" w14:paraId="635DAB0E"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B7811A1"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68490349" w14:textId="77777777">
      <w:pPr>
        <w:pStyle w:val="Normal12Italic"/>
        <w:rPr>
          <w:noProof w:val="0"/>
          <w:lang w:val="en-GB"/>
        </w:rPr>
      </w:pPr>
      <w:r w:rsidRPr="00FC4A49">
        <w:rPr>
          <w:noProof w:val="0"/>
          <w:lang w:val="en-GB"/>
        </w:rPr>
        <w:t>On the need to publish all relevant information before each reference year.  This is a necessary condition to incorporate future rebates for the use of sustainable maritime fuels in commercial arrangements between shipowners and charterers. In this way, all shipping sectors may have access to SMAP.</w:t>
      </w:r>
    </w:p>
    <w:p w:rsidR="00343C6C" w:rsidRPr="00FC4A49" w:rsidP="00343C6C" w14:paraId="540FF164" w14:textId="77777777">
      <w:r w:rsidRPr="00FC4A49">
        <w:rPr>
          <w:rStyle w:val="HideTWBExt"/>
        </w:rPr>
        <w:t>&lt;/Amend&gt;</w:t>
      </w:r>
    </w:p>
    <w:p w:rsidR="00343C6C" w:rsidRPr="00FC4A49" w:rsidP="00343C6C" w14:paraId="1B618E2D"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166</w:t>
      </w:r>
      <w:r w:rsidRPr="00FC4A49">
        <w:rPr>
          <w:rStyle w:val="HideTWBExt"/>
          <w:b w:val="0"/>
          <w:lang w:val="en-GB"/>
        </w:rPr>
        <w:t>&lt;/NumAm&gt;</w:t>
      </w:r>
    </w:p>
    <w:p w:rsidR="00343C6C" w:rsidRPr="00FC4A49" w:rsidP="00343C6C" w14:paraId="08980D5F" w14:textId="77777777">
      <w:pPr>
        <w:pStyle w:val="NormalBold"/>
      </w:pPr>
      <w:r w:rsidRPr="00FC4A49">
        <w:rPr>
          <w:rStyle w:val="HideTWBExt"/>
          <w:b w:val="0"/>
        </w:rPr>
        <w:t>&lt;RepeatBlock-By&gt;&lt;Members&gt;</w:t>
      </w:r>
      <w:r w:rsidRPr="00FC4A49">
        <w:t>Thomas Bajada, Daniel Attard, Alex Agius Saliba</w:t>
      </w:r>
      <w:r w:rsidRPr="00FC4A49">
        <w:rPr>
          <w:rStyle w:val="HideTWBExt"/>
          <w:b w:val="0"/>
        </w:rPr>
        <w:t>&lt;/Members&gt;</w:t>
      </w:r>
    </w:p>
    <w:p w:rsidR="00343C6C" w:rsidRPr="00FC4A49" w:rsidP="00343C6C" w14:paraId="4C45B1C1" w14:textId="77777777">
      <w:r w:rsidRPr="00FC4A49">
        <w:rPr>
          <w:rStyle w:val="HideTWBExt"/>
        </w:rPr>
        <w:t>&lt;/RepeatBlock-By&gt;</w:t>
      </w:r>
    </w:p>
    <w:p w:rsidR="00343C6C" w:rsidRPr="00FC4A49" w:rsidP="00343C6C" w14:paraId="28C11474"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23A69BB" w14:textId="77777777">
      <w:pPr>
        <w:pStyle w:val="NormalBold"/>
      </w:pPr>
      <w:r w:rsidRPr="00FC4A49">
        <w:rPr>
          <w:rStyle w:val="HideTWBExt"/>
          <w:b w:val="0"/>
        </w:rPr>
        <w:t>&lt;Article&gt;</w:t>
      </w:r>
      <w:r w:rsidRPr="00FC4A49">
        <w:t>Recital 20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D37E6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5F6D843" w14:textId="77777777">
            <w:pPr>
              <w:keepNext/>
            </w:pPr>
          </w:p>
        </w:tc>
      </w:tr>
      <w:tr w14:paraId="6C77252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1A5C748" w14:textId="77777777">
            <w:pPr>
              <w:pStyle w:val="ColumnHeading"/>
              <w:keepNext/>
              <w:rPr>
                <w:lang w:val="en-GB"/>
              </w:rPr>
            </w:pPr>
            <w:r w:rsidRPr="00FC4A49">
              <w:rPr>
                <w:lang w:val="en-GB"/>
              </w:rPr>
              <w:t>Text proposed by the Commission</w:t>
            </w:r>
          </w:p>
        </w:tc>
        <w:tc>
          <w:tcPr>
            <w:tcW w:w="4876" w:type="dxa"/>
          </w:tcPr>
          <w:p w:rsidR="00343C6C" w:rsidRPr="00FC4A49" w:rsidP="005D58F9" w14:paraId="5FDAEB06" w14:textId="77777777">
            <w:pPr>
              <w:pStyle w:val="ColumnHeading"/>
              <w:keepNext/>
              <w:rPr>
                <w:lang w:val="en-GB"/>
              </w:rPr>
            </w:pPr>
            <w:r w:rsidRPr="00FC4A49">
              <w:rPr>
                <w:lang w:val="en-GB"/>
              </w:rPr>
              <w:t>Amendment</w:t>
            </w:r>
          </w:p>
        </w:tc>
      </w:tr>
      <w:tr w14:paraId="604D6F5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1D989E2" w14:textId="77777777">
            <w:pPr>
              <w:pStyle w:val="Normal6"/>
              <w:rPr>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the Union. Hence, during the period from 1 January [2028/first year after the entry into force of this directive] until 31 December 2040, 110 million allowances should be reserved to be allocated to shipping companies, on a transparent, equal and non-discriminatory basis, to cover part of 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w:t>
            </w:r>
            <w:r w:rsidRPr="00FC4A49">
              <w:rPr>
                <w:lang w:val="en-GB"/>
              </w:rPr>
              <w:t>empowered to adopt delegated acts to supplement Directive 2003/87/EC with the detailed rules necessary for the application of this reserve and to adopt implementing acts to establish the lists of non-Union ports and third countries in respect of which a derogation from the origin requirements should apply.</w:t>
            </w:r>
          </w:p>
        </w:tc>
        <w:tc>
          <w:tcPr>
            <w:tcW w:w="4876" w:type="dxa"/>
          </w:tcPr>
          <w:p w:rsidR="00343C6C" w:rsidRPr="00FC4A49" w:rsidP="005D58F9" w14:paraId="018B83D7" w14:textId="77777777">
            <w:pPr>
              <w:pStyle w:val="Normal6"/>
              <w:rPr>
                <w:szCs w:val="24"/>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w:t>
            </w:r>
            <w:r w:rsidRPr="00FC4A49">
              <w:rPr>
                <w:b/>
                <w:i/>
                <w:lang w:val="en-GB"/>
              </w:rPr>
              <w:t>or other sustainable maritime technologies</w:t>
            </w:r>
            <w:r w:rsidRPr="00FC4A49">
              <w:rPr>
                <w:lang w:val="en-GB"/>
              </w:rPr>
              <w:t>, such as electric and wind-assisted propulsion systems</w:t>
            </w:r>
            <w:r w:rsidRPr="00FC4A49">
              <w:rPr>
                <w:b/>
                <w:i/>
                <w:lang w:val="en-GB"/>
              </w:rPr>
              <w:t>, whose suitability varies according to the sea basin and the length of the voyage</w:t>
            </w:r>
            <w:r w:rsidRPr="00FC4A49">
              <w:rPr>
                <w:lang w:val="en-GB"/>
              </w:rPr>
              <w:t xml:space="preserve">, hamper this transition. Support to early movers is therefore desirable to de-risk investments in maritime decarbonisation in the Union. Hence, during the period from 1 January [2028/first year after the entry into force of this directive] until 31 December 2040, 110 million allowances should be reserved to be allocated to shipping companies, on a transparent, equal and non-discriminatory basis, </w:t>
            </w:r>
            <w:r w:rsidRPr="00FC4A49">
              <w:rPr>
                <w:b/>
                <w:i/>
                <w:lang w:val="en-GB"/>
              </w:rPr>
              <w:t>irrespective of the sea basin or the length of the voyage,</w:t>
            </w:r>
            <w:r w:rsidRPr="00FC4A49">
              <w:rPr>
                <w:lang w:val="en-GB"/>
              </w:rPr>
              <w:t xml:space="preserve"> to cover part of the price differential between conventional fossil fuels and eligible sustainable maritime fuels, as well as all or part of the additional cost incurred in deploying and operating eligible zero-emission propulsion </w:t>
            </w:r>
            <w:r w:rsidRPr="00FC4A49">
              <w:rPr>
                <w:b/>
                <w:i/>
                <w:lang w:val="en-GB"/>
              </w:rPr>
              <w:t>technologies or other eligible sustainable maritime</w:t>
            </w:r>
            <w:r w:rsidRPr="00FC4A49">
              <w:rPr>
                <w:lang w:val="en-GB"/>
              </w:rPr>
              <w:t xml:space="preserve">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of allowances to another entity in accordance with the </w:t>
            </w:r>
            <w:r w:rsidRPr="00FC4A49">
              <w:rPr>
                <w:lang w:val="en-GB"/>
              </w:rPr>
              <w:t>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ports and third countries in respect of which a derogation from the origin requirements should apply.</w:t>
            </w:r>
          </w:p>
        </w:tc>
      </w:tr>
    </w:tbl>
    <w:p w:rsidR="00343C6C" w:rsidRPr="00FC4A49" w:rsidP="00343C6C" w14:paraId="15B4A10B"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D92D26D"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149F789E" w14:textId="77777777">
      <w:pPr>
        <w:pStyle w:val="Normal12Italic"/>
        <w:rPr>
          <w:noProof w:val="0"/>
          <w:lang w:val="en-GB"/>
        </w:rPr>
      </w:pPr>
      <w:r w:rsidRPr="00FC4A49">
        <w:rPr>
          <w:noProof w:val="0"/>
          <w:lang w:val="en-GB"/>
        </w:rPr>
        <w:t>The reserve names electric and wind-assisted propulsion, which suit short northern voyages but not long Mediterranean and international routes, where other low-carbon technologies are the realistic option. A Union-wide climate instrument must work for every sea basin: open access on equal terms keeps the support fair across Member States while preserving its climate ambition.</w:t>
      </w:r>
    </w:p>
    <w:p w:rsidR="00343C6C" w:rsidRPr="00FC4A49" w:rsidP="00343C6C" w14:paraId="44E2F0C8" w14:textId="77777777">
      <w:r w:rsidRPr="00FC4A49">
        <w:rPr>
          <w:rStyle w:val="HideTWBExt"/>
        </w:rPr>
        <w:t>&lt;/Amend&gt;</w:t>
      </w:r>
    </w:p>
    <w:p w:rsidR="00343C6C" w:rsidRPr="00FC4A49" w:rsidP="00343C6C" w14:paraId="05510A2A"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167</w:t>
      </w:r>
      <w:r w:rsidRPr="00FC4A49">
        <w:rPr>
          <w:rStyle w:val="HideTWBExt"/>
          <w:b w:val="0"/>
          <w:lang w:val="en-GB"/>
        </w:rPr>
        <w:t>&lt;/NumAm&gt;</w:t>
      </w:r>
    </w:p>
    <w:p w:rsidR="00343C6C" w:rsidRPr="00FC4A49" w:rsidP="00343C6C" w14:paraId="10FFA143" w14:textId="77777777">
      <w:pPr>
        <w:pStyle w:val="NormalBold"/>
      </w:pPr>
      <w:r w:rsidRPr="00FC4A49">
        <w:rPr>
          <w:rStyle w:val="HideTWBExt"/>
          <w:b w:val="0"/>
        </w:rPr>
        <w:t>&lt;RepeatBlock-By&gt;&lt;Members&gt;</w:t>
      </w:r>
      <w:r w:rsidRPr="00FC4A49">
        <w:t>Silvia Sardone, Mathilde Androuët, Antonín Staněk, Marie-Luce Brasier-Clain, Susanna Ceccardi, Barbara Bonte</w:t>
      </w:r>
      <w:r w:rsidRPr="00FC4A49">
        <w:rPr>
          <w:rStyle w:val="HideTWBExt"/>
          <w:b w:val="0"/>
        </w:rPr>
        <w:t>&lt;/Members&gt;</w:t>
      </w:r>
    </w:p>
    <w:p w:rsidR="00343C6C" w:rsidRPr="00FC4A49" w:rsidP="00343C6C" w14:paraId="39DA3D10" w14:textId="77777777">
      <w:r w:rsidRPr="00FC4A49">
        <w:rPr>
          <w:rStyle w:val="HideTWBExt"/>
        </w:rPr>
        <w:t>&lt;/RepeatBlock-By&gt;</w:t>
      </w:r>
    </w:p>
    <w:p w:rsidR="00343C6C" w:rsidRPr="00FC4A49" w:rsidP="00343C6C" w14:paraId="046571B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2C870B1" w14:textId="77777777">
      <w:pPr>
        <w:pStyle w:val="NormalBold"/>
      </w:pPr>
      <w:r w:rsidRPr="00FC4A49">
        <w:rPr>
          <w:rStyle w:val="HideTWBExt"/>
          <w:b w:val="0"/>
        </w:rPr>
        <w:t>&lt;Article&gt;</w:t>
      </w:r>
      <w:r w:rsidRPr="00FC4A49">
        <w:t>Recital 20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A1A765"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E980FC4" w14:textId="77777777">
            <w:pPr>
              <w:keepNext/>
            </w:pPr>
          </w:p>
        </w:tc>
      </w:tr>
      <w:tr w14:paraId="1E53C33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69FBBB0" w14:textId="77777777">
            <w:pPr>
              <w:pStyle w:val="ColumnHeading"/>
              <w:keepNext/>
              <w:rPr>
                <w:lang w:val="en-GB"/>
              </w:rPr>
            </w:pPr>
            <w:r w:rsidRPr="00FC4A49">
              <w:rPr>
                <w:lang w:val="en-GB"/>
              </w:rPr>
              <w:t>Text proposed by the Commission</w:t>
            </w:r>
          </w:p>
        </w:tc>
        <w:tc>
          <w:tcPr>
            <w:tcW w:w="4876" w:type="dxa"/>
          </w:tcPr>
          <w:p w:rsidR="00343C6C" w:rsidRPr="00FC4A49" w:rsidP="005D58F9" w14:paraId="28F01B4B" w14:textId="77777777">
            <w:pPr>
              <w:pStyle w:val="ColumnHeading"/>
              <w:keepNext/>
              <w:rPr>
                <w:lang w:val="en-GB"/>
              </w:rPr>
            </w:pPr>
            <w:r w:rsidRPr="00FC4A49">
              <w:rPr>
                <w:lang w:val="en-GB"/>
              </w:rPr>
              <w:t>Amendment</w:t>
            </w:r>
          </w:p>
        </w:tc>
      </w:tr>
      <w:tr w14:paraId="28163BB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E7607CE" w14:textId="77777777">
            <w:pPr>
              <w:pStyle w:val="Normal6"/>
              <w:rPr>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w:t>
            </w:r>
            <w:r w:rsidRPr="00FC4A49">
              <w:rPr>
                <w:lang w:val="en-GB"/>
              </w:rPr>
              <w:t xml:space="preserve">the Union. Hence, during the period from 1 January [2028/first year after the entry into force of this directive] until 31 December 2040, 110 million allowances should be reserved to be allocated to shipping companies, on a transparent, equal and non-discriminatory basis, to cover part of 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ports and third countries in respect of which a derogation from the origin requirements should apply.</w:t>
            </w:r>
          </w:p>
        </w:tc>
        <w:tc>
          <w:tcPr>
            <w:tcW w:w="4876" w:type="dxa"/>
          </w:tcPr>
          <w:p w:rsidR="00343C6C" w:rsidRPr="00FC4A49" w:rsidP="005D58F9" w14:paraId="61161AFD" w14:textId="77777777">
            <w:pPr>
              <w:pStyle w:val="Normal6"/>
              <w:rPr>
                <w:szCs w:val="24"/>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w:t>
            </w:r>
            <w:r w:rsidRPr="00FC4A49">
              <w:rPr>
                <w:lang w:val="en-GB"/>
              </w:rPr>
              <w:t xml:space="preserve">the Union. Hence, during the period from 1 January [2028/first year after the entry into force of this directive] until 31 December 2040, 110 million allowances should be reserved to be allocated to shipping companies, on a transparent, equal and non-discriminatory basis, to cover part of 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t>
            </w:r>
            <w:r w:rsidRPr="00FC4A49">
              <w:rPr>
                <w:b/>
                <w:i/>
                <w:lang w:val="en-GB"/>
              </w:rPr>
              <w:t>To ensure consistency with Regulation (EU) 2023/1805, biofuels should also be eligible for support.</w:t>
            </w:r>
            <w:r w:rsidRPr="00FC4A49">
              <w:rPr>
                <w:lang w:val="en-GB"/>
              </w:rPr>
              <w:t xml:space="preserve">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ports and third countries in respect of which a derogation from the origin requirements should apply.</w:t>
            </w:r>
          </w:p>
        </w:tc>
      </w:tr>
    </w:tbl>
    <w:p w:rsidR="00343C6C" w:rsidRPr="00FC4A49" w:rsidP="00343C6C" w14:paraId="77FECE13"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053497E1" w14:textId="77777777">
      <w:r w:rsidRPr="00FC4A49">
        <w:rPr>
          <w:rStyle w:val="HideTWBExt"/>
        </w:rPr>
        <w:t>&lt;/Amend&gt;</w:t>
      </w:r>
    </w:p>
    <w:p w:rsidR="00343C6C" w:rsidRPr="00FC4A49" w:rsidP="00343C6C" w14:paraId="13BB06A5"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168</w:t>
      </w:r>
      <w:r w:rsidRPr="00FC4A49">
        <w:rPr>
          <w:rStyle w:val="HideTWBExt"/>
          <w:b w:val="0"/>
          <w:lang w:val="en-GB"/>
        </w:rPr>
        <w:t>&lt;/NumAm&gt;</w:t>
      </w:r>
    </w:p>
    <w:p w:rsidR="00343C6C" w:rsidRPr="00FC4A49" w:rsidP="00343C6C" w14:paraId="08FA9461" w14:textId="77777777">
      <w:pPr>
        <w:pStyle w:val="NormalBold"/>
      </w:pPr>
      <w:r w:rsidRPr="00FC4A49">
        <w:rPr>
          <w:rStyle w:val="HideTWBExt"/>
          <w:b w:val="0"/>
        </w:rPr>
        <w:t>&lt;RepeatBlock-By&gt;&lt;Members&gt;</w:t>
      </w:r>
      <w:r w:rsidRPr="00FC4A49">
        <w:t xml:space="preserve">Jens Gieseke, Ralf Seekatz, Sophia Kircher, Norbert Herhammer, Gheorghe Falcă, Andrea Wechsler, David McAllister, Borja Giménez </w:t>
      </w:r>
      <w:r w:rsidRPr="00FC4A49">
        <w:t>Larraz</w:t>
      </w:r>
      <w:r w:rsidRPr="00FC4A49">
        <w:t>, Isabelle Le Callennec</w:t>
      </w:r>
      <w:r w:rsidRPr="00FC4A49">
        <w:rPr>
          <w:rStyle w:val="HideTWBExt"/>
          <w:b w:val="0"/>
        </w:rPr>
        <w:t>&lt;/Members&gt;</w:t>
      </w:r>
    </w:p>
    <w:p w:rsidR="00343C6C" w:rsidRPr="00FC4A49" w:rsidP="00343C6C" w14:paraId="101AF5B4" w14:textId="77777777">
      <w:r w:rsidRPr="00FC4A49">
        <w:rPr>
          <w:rStyle w:val="HideTWBExt"/>
        </w:rPr>
        <w:t>&lt;/RepeatBlock-By&gt;</w:t>
      </w:r>
    </w:p>
    <w:p w:rsidR="00343C6C" w:rsidRPr="00FC4A49" w:rsidP="00343C6C" w14:paraId="7550B12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3A969A2" w14:textId="77777777">
      <w:pPr>
        <w:pStyle w:val="NormalBold"/>
      </w:pPr>
      <w:r w:rsidRPr="00FC4A49">
        <w:rPr>
          <w:rStyle w:val="HideTWBExt"/>
          <w:b w:val="0"/>
        </w:rPr>
        <w:t>&lt;Article&gt;</w:t>
      </w:r>
      <w:r w:rsidRPr="00FC4A49">
        <w:t>Recital 20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B39999"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5462985" w14:textId="77777777">
            <w:pPr>
              <w:keepNext/>
            </w:pPr>
          </w:p>
        </w:tc>
      </w:tr>
      <w:tr w14:paraId="1F23F85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8186AF5" w14:textId="77777777">
            <w:pPr>
              <w:pStyle w:val="ColumnHeading"/>
              <w:keepNext/>
              <w:rPr>
                <w:lang w:val="en-GB"/>
              </w:rPr>
            </w:pPr>
            <w:r w:rsidRPr="00FC4A49">
              <w:rPr>
                <w:lang w:val="en-GB"/>
              </w:rPr>
              <w:t>Text proposed by the Commission</w:t>
            </w:r>
          </w:p>
        </w:tc>
        <w:tc>
          <w:tcPr>
            <w:tcW w:w="4876" w:type="dxa"/>
          </w:tcPr>
          <w:p w:rsidR="00343C6C" w:rsidRPr="00FC4A49" w:rsidP="005D58F9" w14:paraId="3BCC13E4" w14:textId="77777777">
            <w:pPr>
              <w:pStyle w:val="ColumnHeading"/>
              <w:keepNext/>
              <w:rPr>
                <w:lang w:val="en-GB"/>
              </w:rPr>
            </w:pPr>
            <w:r w:rsidRPr="00FC4A49">
              <w:rPr>
                <w:lang w:val="en-GB"/>
              </w:rPr>
              <w:t>Amendment</w:t>
            </w:r>
          </w:p>
        </w:tc>
      </w:tr>
      <w:tr w14:paraId="7150603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1FA9AF0" w14:textId="77777777">
            <w:pPr>
              <w:pStyle w:val="Normal6"/>
              <w:rPr>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the Union. Hence, during the period from 1 January [2028/first year after the entry into force of this directive] until 31 December 2040, </w:t>
            </w:r>
            <w:r w:rsidRPr="00FC4A49">
              <w:rPr>
                <w:b/>
                <w:i/>
                <w:lang w:val="en-GB"/>
              </w:rPr>
              <w:t>110</w:t>
            </w:r>
            <w:r w:rsidRPr="00FC4A49">
              <w:rPr>
                <w:lang w:val="en-GB"/>
              </w:rPr>
              <w:t xml:space="preserve"> million allowances should be reserved to be allocated to shipping companies, on a transparent, equal and non-discriminatory basis, to cover part of 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w:t>
            </w:r>
            <w:r w:rsidRPr="00FC4A49">
              <w:rPr>
                <w:lang w:val="en-GB"/>
              </w:rPr>
              <w:t>ports and third countries in respect of which a derogation from the origin requirements should apply.</w:t>
            </w:r>
          </w:p>
        </w:tc>
        <w:tc>
          <w:tcPr>
            <w:tcW w:w="4876" w:type="dxa"/>
          </w:tcPr>
          <w:p w:rsidR="00343C6C" w:rsidRPr="00FC4A49" w:rsidP="005D58F9" w14:paraId="4616BCA8" w14:textId="77777777">
            <w:pPr>
              <w:pStyle w:val="Normal6"/>
              <w:rPr>
                <w:szCs w:val="24"/>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the Union. Hence, during the period from 1 January [2028/first year after the entry into force of this directive] until 31 December 2040, </w:t>
            </w:r>
            <w:r w:rsidRPr="00FC4A49">
              <w:rPr>
                <w:b/>
                <w:i/>
                <w:lang w:val="en-GB"/>
              </w:rPr>
              <w:t>400</w:t>
            </w:r>
            <w:r w:rsidRPr="00FC4A49">
              <w:rPr>
                <w:lang w:val="en-GB"/>
              </w:rPr>
              <w:t xml:space="preserve"> million allowances should be reserved to be allocated to shipping companies, on a transparent, equal and non-discriminatory basis, to cover part of the price differential between conventional fossil fuels and eligible sustainable maritime fuels, as well as all or part of the additional cost incurred in deploying and operating eligible zero-emission propulsion </w:t>
            </w:r>
            <w:r w:rsidRPr="00FC4A49">
              <w:rPr>
                <w:b/>
                <w:i/>
                <w:lang w:val="en-GB"/>
              </w:rPr>
              <w:t>and energy efficiency</w:t>
            </w:r>
            <w:r w:rsidRPr="00FC4A49">
              <w:rPr>
                <w:lang w:val="en-GB"/>
              </w:rPr>
              <w:t xml:space="preserve">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w:t>
            </w:r>
            <w:r w:rsidRPr="00FC4A49">
              <w:rPr>
                <w:lang w:val="en-GB"/>
              </w:rPr>
              <w:t>ports and third countries in respect of which a derogation from the origin requirements should apply.</w:t>
            </w:r>
          </w:p>
        </w:tc>
      </w:tr>
    </w:tbl>
    <w:p w:rsidR="00343C6C" w:rsidRPr="00FC4A49" w:rsidP="00343C6C" w14:paraId="3387AFAA"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76AE180" w14:textId="77777777">
      <w:r w:rsidRPr="00FC4A49">
        <w:rPr>
          <w:rStyle w:val="HideTWBExt"/>
        </w:rPr>
        <w:t>&lt;/Amend&gt;</w:t>
      </w:r>
    </w:p>
    <w:p w:rsidR="00343C6C" w:rsidRPr="00FC4A49" w:rsidP="00343C6C" w14:paraId="64F37DE1"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169</w:t>
      </w:r>
      <w:r w:rsidRPr="00FC4A49">
        <w:rPr>
          <w:rStyle w:val="HideTWBExt"/>
          <w:b w:val="0"/>
          <w:lang w:val="en-GB"/>
        </w:rPr>
        <w:t>&lt;/NumAm&gt;</w:t>
      </w:r>
    </w:p>
    <w:p w:rsidR="00343C6C" w:rsidRPr="00FC4A49" w:rsidP="00343C6C" w14:paraId="6C3108D0" w14:textId="77777777">
      <w:pPr>
        <w:pStyle w:val="NormalBold"/>
      </w:pPr>
      <w:r w:rsidRPr="00FC4A49">
        <w:rPr>
          <w:rStyle w:val="HideTWBExt"/>
          <w:b w:val="0"/>
        </w:rPr>
        <w:t>&lt;RepeatBlock-By&gt;&lt;Members&gt;</w:t>
      </w:r>
      <w:r w:rsidRPr="00FC4A49">
        <w:t>Mohammed Chahim</w:t>
      </w:r>
      <w:r w:rsidRPr="00FC4A49">
        <w:rPr>
          <w:rStyle w:val="HideTWBExt"/>
          <w:b w:val="0"/>
        </w:rPr>
        <w:t>&lt;/Members&gt;</w:t>
      </w:r>
    </w:p>
    <w:p w:rsidR="00343C6C" w:rsidRPr="00FC4A49" w:rsidP="00343C6C" w14:paraId="302BF8DE" w14:textId="77777777">
      <w:r w:rsidRPr="00FC4A49">
        <w:rPr>
          <w:rStyle w:val="HideTWBExt"/>
        </w:rPr>
        <w:t>&lt;/RepeatBlock-By&gt;</w:t>
      </w:r>
    </w:p>
    <w:p w:rsidR="00343C6C" w:rsidRPr="00FC4A49" w:rsidP="00343C6C" w14:paraId="21F7264E"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1854705" w14:textId="77777777">
      <w:pPr>
        <w:pStyle w:val="NormalBold"/>
      </w:pPr>
      <w:r w:rsidRPr="00FC4A49">
        <w:rPr>
          <w:rStyle w:val="HideTWBExt"/>
          <w:b w:val="0"/>
        </w:rPr>
        <w:t>&lt;Article&gt;</w:t>
      </w:r>
      <w:r w:rsidRPr="00FC4A49">
        <w:t>Recital 20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36483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10245A3" w14:textId="77777777">
            <w:pPr>
              <w:keepNext/>
            </w:pPr>
          </w:p>
        </w:tc>
      </w:tr>
      <w:tr w14:paraId="6AABC91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07E5E0D" w14:textId="77777777">
            <w:pPr>
              <w:pStyle w:val="ColumnHeading"/>
              <w:keepNext/>
              <w:rPr>
                <w:lang w:val="en-GB"/>
              </w:rPr>
            </w:pPr>
            <w:r w:rsidRPr="00FC4A49">
              <w:rPr>
                <w:lang w:val="en-GB"/>
              </w:rPr>
              <w:t>Text proposed by the Commission</w:t>
            </w:r>
          </w:p>
        </w:tc>
        <w:tc>
          <w:tcPr>
            <w:tcW w:w="4876" w:type="dxa"/>
          </w:tcPr>
          <w:p w:rsidR="00343C6C" w:rsidRPr="00FC4A49" w:rsidP="005D58F9" w14:paraId="0AEABEF1" w14:textId="77777777">
            <w:pPr>
              <w:pStyle w:val="ColumnHeading"/>
              <w:keepNext/>
              <w:rPr>
                <w:lang w:val="en-GB"/>
              </w:rPr>
            </w:pPr>
            <w:r w:rsidRPr="00FC4A49">
              <w:rPr>
                <w:lang w:val="en-GB"/>
              </w:rPr>
              <w:t>Amendment</w:t>
            </w:r>
          </w:p>
        </w:tc>
      </w:tr>
      <w:tr w14:paraId="740FAF4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B4E5CC5" w14:textId="77777777">
            <w:pPr>
              <w:pStyle w:val="Normal6"/>
              <w:rPr>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the Union. Hence, during the period from 1 January [2028/first year after the entry into force of this directive] until 31 December 2040, </w:t>
            </w:r>
            <w:r w:rsidRPr="00FC4A49">
              <w:rPr>
                <w:b/>
                <w:i/>
                <w:lang w:val="en-GB"/>
              </w:rPr>
              <w:t>110</w:t>
            </w:r>
            <w:r w:rsidRPr="00FC4A49">
              <w:rPr>
                <w:lang w:val="en-GB"/>
              </w:rPr>
              <w:t xml:space="preserve"> million allowances should be reserved to be allocated to shipping companies, on a transparent, equal and non-discriminatory basis, to cover part of 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w:t>
            </w:r>
            <w:r w:rsidRPr="00FC4A49">
              <w:rPr>
                <w:lang w:val="en-GB"/>
              </w:rPr>
              <w:t>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ports and third countries in respect of which a derogation from the origin requirements should apply.</w:t>
            </w:r>
          </w:p>
        </w:tc>
        <w:tc>
          <w:tcPr>
            <w:tcW w:w="4876" w:type="dxa"/>
          </w:tcPr>
          <w:p w:rsidR="00343C6C" w:rsidRPr="00FC4A49" w:rsidP="005D58F9" w14:paraId="6849D8D1" w14:textId="77777777">
            <w:pPr>
              <w:pStyle w:val="Normal6"/>
              <w:rPr>
                <w:szCs w:val="24"/>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the Union. Hence, during the period from 1 January [2028/first year after the entry into force of this directive] until 31 December 2040, </w:t>
            </w:r>
            <w:r w:rsidRPr="00FC4A49">
              <w:rPr>
                <w:b/>
                <w:i/>
                <w:lang w:val="en-GB"/>
              </w:rPr>
              <w:t>200</w:t>
            </w:r>
            <w:r w:rsidRPr="00FC4A49">
              <w:rPr>
                <w:lang w:val="en-GB"/>
              </w:rPr>
              <w:t xml:space="preserve"> million allowances should be reserved to be allocated to shipping companies, on a transparent, equal and non-discriminatory basis, to cover </w:t>
            </w:r>
            <w:r w:rsidRPr="00FC4A49">
              <w:rPr>
                <w:b/>
                <w:i/>
                <w:lang w:val="en-GB"/>
              </w:rPr>
              <w:t>all or</w:t>
            </w:r>
            <w:r w:rsidRPr="00FC4A49">
              <w:rPr>
                <w:lang w:val="en-GB"/>
              </w:rPr>
              <w:t xml:space="preserve"> part of 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w:t>
            </w:r>
            <w:r w:rsidRPr="00FC4A49">
              <w:rPr>
                <w:lang w:val="en-GB"/>
              </w:rPr>
              <w:t>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ports and third countries in respect of which a derogation from the origin requirements should apply.</w:t>
            </w:r>
          </w:p>
        </w:tc>
      </w:tr>
    </w:tbl>
    <w:p w:rsidR="00343C6C" w:rsidRPr="00804E2D" w:rsidP="00343C6C" w14:paraId="18C513F6" w14:textId="77777777">
      <w:pPr>
        <w:pStyle w:val="Olang"/>
        <w:rPr>
          <w:lang w:val="sv-SE"/>
        </w:rPr>
      </w:pPr>
      <w:r w:rsidRPr="00804E2D">
        <w:rPr>
          <w:lang w:val="sv-SE"/>
        </w:rPr>
        <w:t xml:space="preserve">Or. </w:t>
      </w:r>
      <w:r w:rsidRPr="00804E2D">
        <w:rPr>
          <w:rStyle w:val="HideTWBExt"/>
          <w:lang w:val="sv-SE"/>
        </w:rPr>
        <w:t>&lt;Original&gt;</w:t>
      </w:r>
      <w:r w:rsidRPr="00804E2D">
        <w:rPr>
          <w:rStyle w:val="HideTWBInt"/>
          <w:lang w:val="sv-SE"/>
        </w:rPr>
        <w:t>{EN}</w:t>
      </w:r>
      <w:r w:rsidRPr="00804E2D">
        <w:rPr>
          <w:lang w:val="sv-SE"/>
        </w:rPr>
        <w:t>en</w:t>
      </w:r>
      <w:r w:rsidRPr="00804E2D">
        <w:rPr>
          <w:rStyle w:val="HideTWBExt"/>
          <w:lang w:val="sv-SE"/>
        </w:rPr>
        <w:t>&lt;/Original&gt;</w:t>
      </w:r>
    </w:p>
    <w:p w:rsidR="00343C6C" w:rsidRPr="00804E2D" w:rsidP="00343C6C" w14:paraId="5B9B88ED" w14:textId="77777777">
      <w:pPr>
        <w:rPr>
          <w:lang w:val="sv-SE"/>
        </w:rPr>
      </w:pPr>
      <w:r w:rsidRPr="00804E2D">
        <w:rPr>
          <w:rStyle w:val="HideTWBExt"/>
          <w:lang w:val="sv-SE"/>
        </w:rPr>
        <w:t>&lt;/Amend&gt;</w:t>
      </w:r>
    </w:p>
    <w:p w:rsidR="00343C6C" w:rsidRPr="00804E2D" w:rsidP="00343C6C" w14:paraId="3EF373E6" w14:textId="77777777">
      <w:pPr>
        <w:pStyle w:val="AMNumberTabs0"/>
        <w:keepNext/>
        <w:rPr>
          <w:lang w:val="sv-SE"/>
        </w:rPr>
      </w:pPr>
      <w:r w:rsidRPr="00804E2D">
        <w:rPr>
          <w:rStyle w:val="HideTWBExt"/>
          <w:b w:val="0"/>
          <w:lang w:val="sv-SE"/>
        </w:rPr>
        <w:t>&lt;Amend&gt;</w:t>
      </w:r>
      <w:r w:rsidRPr="00804E2D">
        <w:rPr>
          <w:lang w:val="sv-SE"/>
        </w:rPr>
        <w:t>Amendment</w:t>
      </w:r>
      <w:r w:rsidRPr="00804E2D">
        <w:rPr>
          <w:lang w:val="sv-SE"/>
        </w:rPr>
        <w:tab/>
      </w:r>
      <w:r w:rsidRPr="00804E2D">
        <w:rPr>
          <w:lang w:val="sv-SE"/>
        </w:rPr>
        <w:tab/>
      </w:r>
      <w:r w:rsidRPr="00804E2D">
        <w:rPr>
          <w:rStyle w:val="HideTWBExt"/>
          <w:b w:val="0"/>
          <w:lang w:val="sv-SE"/>
        </w:rPr>
        <w:t>&lt;NumAm&gt;</w:t>
      </w:r>
      <w:r w:rsidRPr="00804E2D">
        <w:rPr>
          <w:lang w:val="sv-SE"/>
        </w:rPr>
        <w:t>170</w:t>
      </w:r>
      <w:r w:rsidRPr="00804E2D">
        <w:rPr>
          <w:rStyle w:val="HideTWBExt"/>
          <w:b w:val="0"/>
          <w:lang w:val="sv-SE"/>
        </w:rPr>
        <w:t>&lt;/NumAm&gt;</w:t>
      </w:r>
    </w:p>
    <w:p w:rsidR="00343C6C" w:rsidRPr="00804E2D" w:rsidP="00343C6C" w14:paraId="1CB212ED" w14:textId="77777777">
      <w:pPr>
        <w:pStyle w:val="NormalBold"/>
        <w:rPr>
          <w:lang w:val="sv-SE"/>
        </w:rPr>
      </w:pPr>
      <w:r w:rsidRPr="00804E2D">
        <w:rPr>
          <w:rStyle w:val="HideTWBExt"/>
          <w:b w:val="0"/>
          <w:lang w:val="sv-SE"/>
        </w:rPr>
        <w:t>&lt;RepeatBlock-By&gt;&lt;Members&gt;</w:t>
      </w:r>
      <w:r w:rsidRPr="00804E2D">
        <w:rPr>
          <w:lang w:val="sv-SE"/>
        </w:rPr>
        <w:t>Li Andersson, Jonas Sjöstedt, Per Clausen</w:t>
      </w:r>
      <w:r w:rsidRPr="00804E2D">
        <w:rPr>
          <w:rStyle w:val="HideTWBExt"/>
          <w:b w:val="0"/>
          <w:lang w:val="sv-SE"/>
        </w:rPr>
        <w:t>&lt;/Members&gt;</w:t>
      </w:r>
    </w:p>
    <w:p w:rsidR="00343C6C" w:rsidRPr="00804E2D" w:rsidP="00343C6C" w14:paraId="768CD5CD" w14:textId="77777777">
      <w:pPr>
        <w:rPr>
          <w:lang w:val="sv-SE"/>
        </w:rPr>
      </w:pPr>
      <w:r w:rsidRPr="00804E2D">
        <w:rPr>
          <w:rStyle w:val="HideTWBExt"/>
          <w:lang w:val="sv-SE"/>
        </w:rPr>
        <w:t>&lt;/RepeatBlock-By&gt;</w:t>
      </w:r>
    </w:p>
    <w:p w:rsidR="00343C6C" w:rsidRPr="00FC4A49" w:rsidP="00343C6C" w14:paraId="13F3132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F32BEC5" w14:textId="77777777">
      <w:pPr>
        <w:pStyle w:val="NormalBold"/>
      </w:pPr>
      <w:r w:rsidRPr="00FC4A49">
        <w:rPr>
          <w:rStyle w:val="HideTWBExt"/>
          <w:b w:val="0"/>
        </w:rPr>
        <w:t>&lt;Article&gt;</w:t>
      </w:r>
      <w:r w:rsidRPr="00FC4A49">
        <w:t>Recital 20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A3A27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8CD7239" w14:textId="77777777">
            <w:pPr>
              <w:keepNext/>
            </w:pPr>
          </w:p>
        </w:tc>
      </w:tr>
      <w:tr w14:paraId="08D96D1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C9D6E93" w14:textId="77777777">
            <w:pPr>
              <w:pStyle w:val="ColumnHeading"/>
              <w:keepNext/>
              <w:rPr>
                <w:lang w:val="en-GB"/>
              </w:rPr>
            </w:pPr>
            <w:r w:rsidRPr="00FC4A49">
              <w:rPr>
                <w:lang w:val="en-GB"/>
              </w:rPr>
              <w:t>Text proposed by the Commission</w:t>
            </w:r>
          </w:p>
        </w:tc>
        <w:tc>
          <w:tcPr>
            <w:tcW w:w="4876" w:type="dxa"/>
          </w:tcPr>
          <w:p w:rsidR="00343C6C" w:rsidRPr="00FC4A49" w:rsidP="005D58F9" w14:paraId="7EA7DD15" w14:textId="77777777">
            <w:pPr>
              <w:pStyle w:val="ColumnHeading"/>
              <w:keepNext/>
              <w:rPr>
                <w:lang w:val="en-GB"/>
              </w:rPr>
            </w:pPr>
            <w:r w:rsidRPr="00FC4A49">
              <w:rPr>
                <w:lang w:val="en-GB"/>
              </w:rPr>
              <w:t>Amendment</w:t>
            </w:r>
          </w:p>
        </w:tc>
      </w:tr>
      <w:tr w14:paraId="6AB6991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83B9607" w14:textId="77777777">
            <w:pPr>
              <w:pStyle w:val="Normal6"/>
              <w:rPr>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the Union. Hence, during the period from 1 January [2028/first year after the entry into force of this directive] until 31 December 2040, 110 million allowances should be reserved to be allocated to shipping companies, on a transparent, equal and non-discriminatory basis, to cover part of </w:t>
            </w:r>
            <w:r w:rsidRPr="00FC4A49">
              <w:rPr>
                <w:lang w:val="en-GB"/>
              </w:rPr>
              <w:t xml:space="preserve">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ports and third countries in respect of which a derogation from the origin requirements should apply.</w:t>
            </w:r>
          </w:p>
        </w:tc>
        <w:tc>
          <w:tcPr>
            <w:tcW w:w="4876" w:type="dxa"/>
          </w:tcPr>
          <w:p w:rsidR="00343C6C" w:rsidRPr="00FC4A49" w:rsidP="005D58F9" w14:paraId="40F74FA1" w14:textId="77777777">
            <w:pPr>
              <w:pStyle w:val="Normal6"/>
              <w:rPr>
                <w:szCs w:val="24"/>
                <w:lang w:val="en-GB"/>
              </w:rPr>
            </w:pPr>
            <w:r w:rsidRPr="00FC4A49">
              <w:rPr>
                <w:lang w:val="en-GB"/>
              </w:rPr>
              <w:t>(20)</w:t>
            </w:r>
            <w:r w:rsidRPr="00FC4A49">
              <w:rPr>
                <w:lang w:val="en-GB"/>
              </w:rPr>
              <w:tab/>
              <w:t xml:space="preserve">The transition </w:t>
            </w:r>
            <w:r w:rsidRPr="00FC4A49">
              <w:rPr>
                <w:b/>
                <w:i/>
                <w:lang w:val="en-GB"/>
              </w:rPr>
              <w:t>away</w:t>
            </w:r>
            <w:r w:rsidRPr="00FC4A49">
              <w:rPr>
                <w:lang w:val="en-GB"/>
              </w:rPr>
              <w:t xml:space="preserve">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the Union. Hence, during the period from 1 January [2028/first year after the entry into force of this directive] until 31 December 2040, 110 million allowances should be reserved to be allocated to shipping companies, on a transparent, equal and non-discriminatory basis, to cover part of </w:t>
            </w:r>
            <w:r w:rsidRPr="00FC4A49">
              <w:rPr>
                <w:lang w:val="en-GB"/>
              </w:rPr>
              <w:t xml:space="preserve">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ports and third countries in respect of which a derogation from the origin requirements should apply.</w:t>
            </w:r>
          </w:p>
        </w:tc>
      </w:tr>
    </w:tbl>
    <w:p w:rsidR="00343C6C" w:rsidRPr="00804E2D" w:rsidP="00343C6C" w14:paraId="7A1C241A" w14:textId="77777777">
      <w:pPr>
        <w:pStyle w:val="Olang"/>
        <w:rPr>
          <w:lang w:val="fr-BE"/>
        </w:rPr>
      </w:pPr>
      <w:r w:rsidRPr="00804E2D">
        <w:rPr>
          <w:lang w:val="fr-BE"/>
        </w:rPr>
        <w:t xml:space="preserve">Or. </w:t>
      </w:r>
      <w:r w:rsidRPr="00804E2D">
        <w:rPr>
          <w:rStyle w:val="HideTWBExt"/>
          <w:lang w:val="fr-BE"/>
        </w:rPr>
        <w:t>&lt;Original&gt;</w:t>
      </w:r>
      <w:r w:rsidRPr="00804E2D">
        <w:rPr>
          <w:rStyle w:val="HideTWBInt"/>
          <w:lang w:val="fr-BE"/>
        </w:rPr>
        <w:t>{EN}</w:t>
      </w:r>
      <w:r w:rsidRPr="00804E2D">
        <w:rPr>
          <w:lang w:val="fr-BE"/>
        </w:rPr>
        <w:t>en</w:t>
      </w:r>
      <w:r w:rsidRPr="00804E2D">
        <w:rPr>
          <w:rStyle w:val="HideTWBExt"/>
          <w:lang w:val="fr-BE"/>
        </w:rPr>
        <w:t>&lt;/Original&gt;</w:t>
      </w:r>
    </w:p>
    <w:p w:rsidR="00343C6C" w:rsidRPr="00804E2D" w:rsidP="00343C6C" w14:paraId="24A1F95A" w14:textId="77777777">
      <w:pPr>
        <w:rPr>
          <w:lang w:val="fr-BE"/>
        </w:rPr>
      </w:pPr>
      <w:r w:rsidRPr="00804E2D">
        <w:rPr>
          <w:rStyle w:val="HideTWBExt"/>
          <w:lang w:val="fr-BE"/>
        </w:rPr>
        <w:t>&lt;/Amend&gt;</w:t>
      </w:r>
    </w:p>
    <w:p w:rsidR="00343C6C" w:rsidRPr="00804E2D" w:rsidP="00343C6C" w14:paraId="1303D597" w14:textId="77777777">
      <w:pPr>
        <w:pStyle w:val="AMNumberTabs0"/>
        <w:keepNext/>
        <w:rPr>
          <w:lang w:val="fr-BE"/>
        </w:rPr>
      </w:pPr>
      <w:r w:rsidRPr="00804E2D">
        <w:rPr>
          <w:rStyle w:val="HideTWBExt"/>
          <w:b w:val="0"/>
          <w:lang w:val="fr-BE"/>
        </w:rPr>
        <w:t>&lt;Amend&gt;</w:t>
      </w:r>
      <w:r w:rsidRPr="00804E2D">
        <w:rPr>
          <w:lang w:val="fr-BE"/>
        </w:rPr>
        <w:t>Amendment</w:t>
      </w:r>
      <w:r w:rsidRPr="00804E2D">
        <w:rPr>
          <w:lang w:val="fr-BE"/>
        </w:rPr>
        <w:tab/>
      </w:r>
      <w:r w:rsidRPr="00804E2D">
        <w:rPr>
          <w:lang w:val="fr-BE"/>
        </w:rPr>
        <w:tab/>
      </w:r>
      <w:r w:rsidRPr="00804E2D">
        <w:rPr>
          <w:rStyle w:val="HideTWBExt"/>
          <w:b w:val="0"/>
          <w:lang w:val="fr-BE"/>
        </w:rPr>
        <w:t>&lt;NumAm&gt;</w:t>
      </w:r>
      <w:r w:rsidRPr="00804E2D">
        <w:rPr>
          <w:lang w:val="fr-BE"/>
        </w:rPr>
        <w:t>171</w:t>
      </w:r>
      <w:r w:rsidRPr="00804E2D">
        <w:rPr>
          <w:rStyle w:val="HideTWBExt"/>
          <w:b w:val="0"/>
          <w:lang w:val="fr-BE"/>
        </w:rPr>
        <w:t>&lt;/NumAm&gt;</w:t>
      </w:r>
    </w:p>
    <w:p w:rsidR="00343C6C" w:rsidRPr="00804E2D" w:rsidP="00343C6C" w14:paraId="1525C226" w14:textId="77777777">
      <w:pPr>
        <w:pStyle w:val="NormalBold"/>
        <w:rPr>
          <w:lang w:val="fr-BE"/>
        </w:rPr>
      </w:pPr>
      <w:r w:rsidRPr="00804E2D">
        <w:rPr>
          <w:rStyle w:val="HideTWBExt"/>
          <w:b w:val="0"/>
          <w:lang w:val="fr-BE"/>
        </w:rPr>
        <w:t>&lt;RepeatBlock-By&gt;&lt;Members&gt;</w:t>
      </w:r>
      <w:r w:rsidRPr="00804E2D">
        <w:rPr>
          <w:lang w:val="fr-BE"/>
        </w:rPr>
        <w:t>François-Xavier Bellamy, Isabelle Le Callennec</w:t>
      </w:r>
      <w:r w:rsidRPr="00804E2D">
        <w:rPr>
          <w:rStyle w:val="HideTWBExt"/>
          <w:b w:val="0"/>
          <w:lang w:val="fr-BE"/>
        </w:rPr>
        <w:t>&lt;/Members&gt;</w:t>
      </w:r>
    </w:p>
    <w:p w:rsidR="00343C6C" w:rsidRPr="00804E2D" w:rsidP="00343C6C" w14:paraId="6495D96F" w14:textId="77777777">
      <w:pPr>
        <w:rPr>
          <w:lang w:val="fr-BE"/>
        </w:rPr>
      </w:pPr>
      <w:r w:rsidRPr="00804E2D">
        <w:rPr>
          <w:rStyle w:val="HideTWBExt"/>
          <w:lang w:val="fr-BE"/>
        </w:rPr>
        <w:t>&lt;/RepeatBlock-By&gt;</w:t>
      </w:r>
    </w:p>
    <w:p w:rsidR="00343C6C" w:rsidRPr="00FC4A49" w:rsidP="00343C6C" w14:paraId="63C368EA"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A9CC0EF" w14:textId="77777777">
      <w:pPr>
        <w:pStyle w:val="NormalBold"/>
      </w:pPr>
      <w:r w:rsidRPr="00FC4A49">
        <w:rPr>
          <w:rStyle w:val="HideTWBExt"/>
          <w:b w:val="0"/>
        </w:rPr>
        <w:t>&lt;Article&gt;</w:t>
      </w:r>
      <w:r w:rsidRPr="00FC4A49">
        <w:t>Recital 20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83F1B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AA26831" w14:textId="77777777">
            <w:pPr>
              <w:keepNext/>
            </w:pPr>
          </w:p>
        </w:tc>
      </w:tr>
      <w:tr w14:paraId="275C065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7DC27F6" w14:textId="77777777">
            <w:pPr>
              <w:pStyle w:val="ColumnHeading"/>
              <w:keepNext/>
              <w:rPr>
                <w:lang w:val="en-GB"/>
              </w:rPr>
            </w:pPr>
            <w:r w:rsidRPr="00FC4A49">
              <w:rPr>
                <w:lang w:val="en-GB"/>
              </w:rPr>
              <w:t>Text proposed by the Commission</w:t>
            </w:r>
          </w:p>
        </w:tc>
        <w:tc>
          <w:tcPr>
            <w:tcW w:w="4876" w:type="dxa"/>
          </w:tcPr>
          <w:p w:rsidR="00343C6C" w:rsidRPr="00FC4A49" w:rsidP="005D58F9" w14:paraId="23F5CA3B" w14:textId="77777777">
            <w:pPr>
              <w:pStyle w:val="ColumnHeading"/>
              <w:keepNext/>
              <w:rPr>
                <w:lang w:val="en-GB"/>
              </w:rPr>
            </w:pPr>
            <w:r w:rsidRPr="00FC4A49">
              <w:rPr>
                <w:lang w:val="en-GB"/>
              </w:rPr>
              <w:t>Amendment</w:t>
            </w:r>
          </w:p>
        </w:tc>
      </w:tr>
      <w:tr w14:paraId="7A2818E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06AEC7A" w14:textId="77777777">
            <w:pPr>
              <w:pStyle w:val="Normal6"/>
              <w:rPr>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w:t>
            </w:r>
            <w:r w:rsidRPr="00FC4A49">
              <w:rPr>
                <w:lang w:val="en-GB"/>
              </w:rPr>
              <w:t xml:space="preserve">pace of deployment of </w:t>
            </w:r>
            <w:r w:rsidRPr="00FC4A49">
              <w:rPr>
                <w:b/>
                <w:i/>
                <w:lang w:val="en-GB"/>
              </w:rPr>
              <w:t>zero-emission propulsion</w:t>
            </w:r>
            <w:r w:rsidRPr="00FC4A49">
              <w:rPr>
                <w:lang w:val="en-GB"/>
              </w:rPr>
              <w:t xml:space="preserve"> technologies, </w:t>
            </w:r>
            <w:r w:rsidRPr="00FC4A49">
              <w:rPr>
                <w:b/>
                <w:i/>
                <w:lang w:val="en-GB"/>
              </w:rPr>
              <w:t>such as electric and wind-assisted propulsion systems</w:t>
            </w:r>
            <w:r w:rsidRPr="00FC4A49">
              <w:rPr>
                <w:lang w:val="en-GB"/>
              </w:rPr>
              <w:t xml:space="preserve">, hamper this transition. Support to early movers is therefore desirable to de-risk investments in maritime decarbonisation in the Union. Hence, during the period from 1 January [2028/first year after the entry into force of this directive] until 31 December 2040, 110 million allowances should be reserved to be allocated to shipping companies, on a transparent, equal and non-discriminatory basis, to cover part of 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ports and third countries in respect of which a derogation from the origin requirements should apply.</w:t>
            </w:r>
          </w:p>
        </w:tc>
        <w:tc>
          <w:tcPr>
            <w:tcW w:w="4876" w:type="dxa"/>
          </w:tcPr>
          <w:p w:rsidR="00343C6C" w:rsidRPr="00FC4A49" w:rsidP="005D58F9" w14:paraId="70FECDBF" w14:textId="77777777">
            <w:pPr>
              <w:pStyle w:val="Normal6"/>
              <w:rPr>
                <w:szCs w:val="24"/>
                <w:lang w:val="en-GB"/>
              </w:rPr>
            </w:pPr>
            <w:r w:rsidRPr="00FC4A49">
              <w:rPr>
                <w:lang w:val="en-GB"/>
              </w:rPr>
              <w:t>(20)</w:t>
            </w:r>
            <w:r w:rsidRPr="00FC4A49">
              <w:rPr>
                <w:lang w:val="en-GB"/>
              </w:rPr>
              <w:tab/>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w:t>
            </w:r>
            <w:r w:rsidRPr="00FC4A49">
              <w:rPr>
                <w:lang w:val="en-GB"/>
              </w:rPr>
              <w:t xml:space="preserve">pace of deployment of </w:t>
            </w:r>
            <w:r w:rsidRPr="00FC4A49">
              <w:rPr>
                <w:b/>
                <w:i/>
                <w:lang w:val="en-GB"/>
              </w:rPr>
              <w:t>sustainable maritime</w:t>
            </w:r>
            <w:r w:rsidRPr="00FC4A49">
              <w:rPr>
                <w:lang w:val="en-GB"/>
              </w:rPr>
              <w:t xml:space="preserve"> technologies, </w:t>
            </w:r>
            <w:r w:rsidRPr="00FC4A49">
              <w:rPr>
                <w:b/>
                <w:i/>
                <w:lang w:val="en-GB"/>
              </w:rPr>
              <w:t>including energy efficiency measures</w:t>
            </w:r>
            <w:r w:rsidRPr="00FC4A49">
              <w:rPr>
                <w:lang w:val="en-GB"/>
              </w:rPr>
              <w:t xml:space="preserve">, hamper this transition. Support to early movers is therefore desirable to de-risk investments in maritime decarbonisation in the Union. Hence, during the period from 1 January [2028/first year after the entry into force of this directive] until 31 December 2040, 110 million allowances should be reserved to be allocated to shipping companies, on a transparent, equal and non-discriminatory basis, to cover part of the price differential between conventional fossil fuels and eligible sustainable maritime fuels, as well as all or part of the additional cost incurred in deploying and operating eligible zero-emission propulsion technologies, and technologies required to use eligible sustainable maritime fuels upon verified operation on such fuels. Where allowances are allocated to a shipping company under this reserve, such allocation should be </w:t>
            </w:r>
            <w:r w:rsidRPr="00FC4A49">
              <w:rPr>
                <w:lang w:val="en-GB"/>
              </w:rPr>
              <w:t>taken into account</w:t>
            </w:r>
            <w:r w:rsidRPr="00FC4A49">
              <w:rPr>
                <w:lang w:val="en-GB"/>
              </w:rPr>
              <w:t xml:space="preserve"> by the shipping company if it intends to transfer the costs arising from the surrender of allowances to another entity in accordance with the reimbursement mechanism laid down in Article 3gc of Directive 2003/87/EC. For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ports and third countries in respect of which a derogation from the origin requirements should apply.</w:t>
            </w:r>
          </w:p>
        </w:tc>
      </w:tr>
    </w:tbl>
    <w:p w:rsidR="00343C6C" w:rsidRPr="00FC4A49" w:rsidP="00343C6C" w14:paraId="6F4FAA15"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E3CDDF0" w14:textId="77777777">
      <w:r w:rsidRPr="00FC4A49">
        <w:rPr>
          <w:rStyle w:val="HideTWBExt"/>
        </w:rPr>
        <w:t>&lt;/Amend&gt;</w:t>
      </w:r>
    </w:p>
    <w:p w:rsidR="00343C6C" w:rsidRPr="00FC4A49" w:rsidP="00343C6C" w14:paraId="0C9524D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172</w:t>
      </w:r>
      <w:r w:rsidRPr="00FC4A49">
        <w:rPr>
          <w:rStyle w:val="HideTWBExt"/>
          <w:b w:val="0"/>
          <w:lang w:val="en-GB"/>
        </w:rPr>
        <w:t>&lt;/NumAm&gt;</w:t>
      </w:r>
    </w:p>
    <w:p w:rsidR="00343C6C" w:rsidRPr="00FC4A49" w:rsidP="00343C6C" w14:paraId="50B1ED0B" w14:textId="77777777">
      <w:pPr>
        <w:pStyle w:val="NormalBold"/>
      </w:pPr>
      <w:r w:rsidRPr="00FC4A49">
        <w:rPr>
          <w:rStyle w:val="HideTWBExt"/>
          <w:b w:val="0"/>
        </w:rPr>
        <w:t>&lt;RepeatBlock-By&gt;&lt;Members&gt;</w:t>
      </w:r>
      <w:r w:rsidRPr="00FC4A49">
        <w:t>Thomas Bajada, Daniel Attard, Alex Agius Saliba</w:t>
      </w:r>
      <w:r w:rsidRPr="00FC4A49">
        <w:rPr>
          <w:rStyle w:val="HideTWBExt"/>
          <w:b w:val="0"/>
        </w:rPr>
        <w:t>&lt;/Members&gt;</w:t>
      </w:r>
    </w:p>
    <w:p w:rsidR="00343C6C" w:rsidRPr="00FC4A49" w:rsidP="00343C6C" w14:paraId="54DFA2A6" w14:textId="77777777">
      <w:r w:rsidRPr="00FC4A49">
        <w:rPr>
          <w:rStyle w:val="HideTWBExt"/>
        </w:rPr>
        <w:t>&lt;/RepeatBlock-By&gt;</w:t>
      </w:r>
    </w:p>
    <w:p w:rsidR="00343C6C" w:rsidRPr="00FC4A49" w:rsidP="00343C6C" w14:paraId="226FAA7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0EBBA93" w14:textId="77777777">
      <w:pPr>
        <w:pStyle w:val="NormalBold"/>
      </w:pPr>
      <w:r w:rsidRPr="00FC4A49">
        <w:rPr>
          <w:rStyle w:val="HideTWBExt"/>
          <w:b w:val="0"/>
        </w:rPr>
        <w:t>&lt;Article&gt;</w:t>
      </w:r>
      <w:r w:rsidRPr="00FC4A49">
        <w:t>Recital 20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6C64B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E617257" w14:textId="77777777">
            <w:pPr>
              <w:keepNext/>
            </w:pPr>
          </w:p>
        </w:tc>
      </w:tr>
      <w:tr w14:paraId="6A773DE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861D7DD" w14:textId="77777777">
            <w:pPr>
              <w:pStyle w:val="ColumnHeading"/>
              <w:keepNext/>
              <w:rPr>
                <w:lang w:val="en-GB"/>
              </w:rPr>
            </w:pPr>
            <w:r w:rsidRPr="00FC4A49">
              <w:rPr>
                <w:lang w:val="en-GB"/>
              </w:rPr>
              <w:t>Text proposed by the Commission</w:t>
            </w:r>
          </w:p>
        </w:tc>
        <w:tc>
          <w:tcPr>
            <w:tcW w:w="4876" w:type="dxa"/>
          </w:tcPr>
          <w:p w:rsidR="00343C6C" w:rsidRPr="00FC4A49" w:rsidP="005D58F9" w14:paraId="0CA32962" w14:textId="77777777">
            <w:pPr>
              <w:pStyle w:val="ColumnHeading"/>
              <w:keepNext/>
              <w:rPr>
                <w:lang w:val="en-GB"/>
              </w:rPr>
            </w:pPr>
            <w:r w:rsidRPr="00FC4A49">
              <w:rPr>
                <w:lang w:val="en-GB"/>
              </w:rPr>
              <w:t>Amendment</w:t>
            </w:r>
          </w:p>
        </w:tc>
      </w:tr>
      <w:tr w14:paraId="32C2A87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B8E0A86" w14:textId="77777777">
            <w:pPr>
              <w:pStyle w:val="Normal6"/>
              <w:rPr>
                <w:lang w:val="en-GB"/>
              </w:rPr>
            </w:pPr>
          </w:p>
        </w:tc>
        <w:tc>
          <w:tcPr>
            <w:tcW w:w="4876" w:type="dxa"/>
          </w:tcPr>
          <w:p w:rsidR="00343C6C" w:rsidRPr="00FC4A49" w:rsidP="005D58F9" w14:paraId="1336A773" w14:textId="77777777">
            <w:pPr>
              <w:pStyle w:val="Normal6"/>
              <w:rPr>
                <w:szCs w:val="24"/>
                <w:lang w:val="en-GB"/>
              </w:rPr>
            </w:pPr>
            <w:r w:rsidRPr="00FC4A49">
              <w:rPr>
                <w:b/>
                <w:i/>
                <w:lang w:val="en-GB"/>
              </w:rPr>
              <w:t>(20a)</w:t>
            </w:r>
            <w:r w:rsidRPr="00FC4A49">
              <w:rPr>
                <w:b/>
                <w:i/>
                <w:lang w:val="en-GB"/>
              </w:rPr>
              <w:tab/>
              <w:t>Island Member States suffer from a trade imbalance due to their dependency on the importation of raw materials and essential goods for the livelihood of their population and their lack of potential production intended for export. Therefore, unitised maritime freight and feeder services providing a scheduled connection between a port of call under the jurisdiction of a Member State and a port of call under the jurisdiction of an island Member State, where such services operate exclusively between the same two ports, give rise to a carbon cost that does not necessarily reflect the volume of cargo actually transported. For such services, the surrender obligation applicable under Article 12, paragraph 3-h, of Directive 2003/87/EC should be calculated by reference to the cargo carried relative to the capacity of the ship on each leg of the voyage, rather than by reference to the voyage considered as a whole, in order to reflect the reality of the trade imbalance. This reflects the structural and permanent character of these territories and should therefore not be subject to a fixed expiry date, while still preserving a meaningful contribution to the EU ETS and its environmental integrity.</w:t>
            </w:r>
          </w:p>
        </w:tc>
      </w:tr>
    </w:tbl>
    <w:p w:rsidR="00343C6C" w:rsidRPr="00FC4A49" w:rsidP="00343C6C" w14:paraId="70C6A8B6"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0433E23" w14:textId="77777777">
      <w:r w:rsidRPr="00FC4A49">
        <w:rPr>
          <w:rStyle w:val="HideTWBExt"/>
        </w:rPr>
        <w:t>&lt;/Amend&gt;</w:t>
      </w:r>
    </w:p>
    <w:p w:rsidR="00343C6C" w:rsidRPr="00FC4A49" w:rsidP="00343C6C" w14:paraId="38F34399"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173</w:t>
      </w:r>
      <w:r w:rsidRPr="00FC4A49">
        <w:rPr>
          <w:rStyle w:val="HideTWBExt"/>
          <w:b w:val="0"/>
          <w:lang w:val="en-GB"/>
        </w:rPr>
        <w:t>&lt;/NumAm&gt;</w:t>
      </w:r>
    </w:p>
    <w:p w:rsidR="00343C6C" w:rsidRPr="00FC4A49" w:rsidP="00343C6C" w14:paraId="677519A0" w14:textId="77777777">
      <w:pPr>
        <w:pStyle w:val="NormalBold"/>
      </w:pPr>
      <w:r w:rsidRPr="00FC4A49">
        <w:rPr>
          <w:rStyle w:val="HideTWBExt"/>
          <w:b w:val="0"/>
        </w:rPr>
        <w:t>&lt;RepeatBlock-By&gt;&lt;Members&gt;</w:t>
      </w:r>
      <w:r w:rsidRPr="00FC4A49">
        <w:t>Peter Agius, Michalis Hadjipantela</w:t>
      </w:r>
      <w:r w:rsidRPr="00FC4A49">
        <w:rPr>
          <w:rStyle w:val="HideTWBExt"/>
          <w:b w:val="0"/>
        </w:rPr>
        <w:t>&lt;/Members&gt;</w:t>
      </w:r>
    </w:p>
    <w:p w:rsidR="00343C6C" w:rsidRPr="00FC4A49" w:rsidP="00343C6C" w14:paraId="1264EF30" w14:textId="77777777">
      <w:r w:rsidRPr="00FC4A49">
        <w:rPr>
          <w:rStyle w:val="HideTWBExt"/>
        </w:rPr>
        <w:t>&lt;/RepeatBlock-By&gt;</w:t>
      </w:r>
    </w:p>
    <w:p w:rsidR="00343C6C" w:rsidRPr="00FC4A49" w:rsidP="00343C6C" w14:paraId="4538B2AB"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B2B26BC" w14:textId="77777777">
      <w:pPr>
        <w:pStyle w:val="NormalBold"/>
      </w:pPr>
      <w:r w:rsidRPr="00FC4A49">
        <w:rPr>
          <w:rStyle w:val="HideTWBExt"/>
          <w:b w:val="0"/>
        </w:rPr>
        <w:t>&lt;Article&gt;</w:t>
      </w:r>
      <w:r w:rsidRPr="00FC4A49">
        <w:t>Recital 20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F7B4F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179C141" w14:textId="77777777">
            <w:pPr>
              <w:keepNext/>
            </w:pPr>
          </w:p>
        </w:tc>
      </w:tr>
      <w:tr w14:paraId="60B0934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7E6B6E9" w14:textId="77777777">
            <w:pPr>
              <w:pStyle w:val="ColumnHeading"/>
              <w:keepNext/>
              <w:rPr>
                <w:lang w:val="en-GB"/>
              </w:rPr>
            </w:pPr>
            <w:r w:rsidRPr="00FC4A49">
              <w:rPr>
                <w:lang w:val="en-GB"/>
              </w:rPr>
              <w:t>Text proposed by the Commission</w:t>
            </w:r>
          </w:p>
        </w:tc>
        <w:tc>
          <w:tcPr>
            <w:tcW w:w="4876" w:type="dxa"/>
          </w:tcPr>
          <w:p w:rsidR="00343C6C" w:rsidRPr="00FC4A49" w:rsidP="005D58F9" w14:paraId="3903C530" w14:textId="77777777">
            <w:pPr>
              <w:pStyle w:val="ColumnHeading"/>
              <w:keepNext/>
              <w:rPr>
                <w:lang w:val="en-GB"/>
              </w:rPr>
            </w:pPr>
            <w:r w:rsidRPr="00FC4A49">
              <w:rPr>
                <w:lang w:val="en-GB"/>
              </w:rPr>
              <w:t>Amendment</w:t>
            </w:r>
          </w:p>
        </w:tc>
      </w:tr>
      <w:tr w14:paraId="4A7728B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10F30FB" w14:textId="77777777">
            <w:pPr>
              <w:pStyle w:val="Normal6"/>
              <w:rPr>
                <w:lang w:val="en-GB"/>
              </w:rPr>
            </w:pPr>
          </w:p>
        </w:tc>
        <w:tc>
          <w:tcPr>
            <w:tcW w:w="4876" w:type="dxa"/>
          </w:tcPr>
          <w:p w:rsidR="00343C6C" w:rsidRPr="00FC4A49" w:rsidP="005D58F9" w14:paraId="6ED708BD" w14:textId="77777777">
            <w:pPr>
              <w:pStyle w:val="Normal6"/>
              <w:rPr>
                <w:szCs w:val="24"/>
                <w:lang w:val="en-GB"/>
              </w:rPr>
            </w:pPr>
            <w:r w:rsidRPr="00FC4A49">
              <w:rPr>
                <w:b/>
                <w:i/>
                <w:lang w:val="en-GB"/>
              </w:rPr>
              <w:t>(20a)</w:t>
            </w:r>
            <w:r w:rsidRPr="00FC4A49">
              <w:rPr>
                <w:b/>
                <w:i/>
                <w:lang w:val="en-GB"/>
              </w:rPr>
              <w:tab/>
              <w:t>Where costs arising from the surrender of allowances are passed on by a shipping operator to a customer or intermediary purchasing maritime transport services, including through a surcharge, levy or other charge, such costs should be transparent and verifiable. The entity or customer bearing those costs should be provided with sufficient information to understand the basis on which the amount charged has been calculated, including the emissions to which the charge relates and any applicable reductions for the specific route.</w:t>
            </w:r>
          </w:p>
        </w:tc>
      </w:tr>
    </w:tbl>
    <w:p w:rsidR="00343C6C" w:rsidRPr="00FC4A49" w:rsidP="00343C6C" w14:paraId="58626154"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13CB3B9" w14:textId="77777777">
      <w:r w:rsidRPr="00FC4A49">
        <w:rPr>
          <w:rStyle w:val="HideTWBExt"/>
        </w:rPr>
        <w:t>&lt;/Amend&gt;</w:t>
      </w:r>
    </w:p>
    <w:p w:rsidR="00343C6C" w:rsidRPr="00FC4A49" w:rsidP="00343C6C" w14:paraId="10996835"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174</w:t>
      </w:r>
      <w:r w:rsidRPr="00FC4A49">
        <w:rPr>
          <w:rStyle w:val="HideTWBExt"/>
          <w:b w:val="0"/>
          <w:lang w:val="en-GB"/>
        </w:rPr>
        <w:t>&lt;/NumAm&gt;</w:t>
      </w:r>
    </w:p>
    <w:p w:rsidR="00343C6C" w:rsidRPr="00FC4A49" w:rsidP="00343C6C" w14:paraId="683F71F9" w14:textId="77777777">
      <w:pPr>
        <w:pStyle w:val="NormalBold"/>
      </w:pPr>
      <w:r w:rsidRPr="00FC4A49">
        <w:rPr>
          <w:rStyle w:val="HideTWBExt"/>
          <w:b w:val="0"/>
        </w:rPr>
        <w:t>&lt;RepeatBlock-By&gt;&lt;Members&gt;</w:t>
      </w:r>
      <w:r w:rsidRPr="00FC4A49">
        <w:t>Jens Gieseke, Ralf Seekatz, Sophia Kircher, Norbert Herhammer, Gheorghe Falcă, Andrea Wechsler, David McAllister, Isabelle Le Callennec</w:t>
      </w:r>
      <w:r w:rsidRPr="00FC4A49">
        <w:rPr>
          <w:rStyle w:val="HideTWBExt"/>
          <w:b w:val="0"/>
        </w:rPr>
        <w:t>&lt;/Members&gt;</w:t>
      </w:r>
    </w:p>
    <w:p w:rsidR="00343C6C" w:rsidRPr="00FC4A49" w:rsidP="00343C6C" w14:paraId="65044A8D" w14:textId="77777777">
      <w:r w:rsidRPr="00FC4A49">
        <w:rPr>
          <w:rStyle w:val="HideTWBExt"/>
        </w:rPr>
        <w:t>&lt;/RepeatBlock-By&gt;</w:t>
      </w:r>
    </w:p>
    <w:p w:rsidR="00343C6C" w:rsidRPr="00FC4A49" w:rsidP="00343C6C" w14:paraId="70ACEF0B"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55B6172" w14:textId="77777777">
      <w:pPr>
        <w:pStyle w:val="NormalBold"/>
      </w:pPr>
      <w:r w:rsidRPr="00FC4A49">
        <w:rPr>
          <w:rStyle w:val="HideTWBExt"/>
          <w:b w:val="0"/>
        </w:rPr>
        <w:t>&lt;Article&gt;</w:t>
      </w:r>
      <w:r w:rsidRPr="00FC4A49">
        <w:t>Recital 20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02FD5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DB63459" w14:textId="77777777">
            <w:pPr>
              <w:keepNext/>
            </w:pPr>
          </w:p>
        </w:tc>
      </w:tr>
      <w:tr w14:paraId="2A57729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7BCF519" w14:textId="77777777">
            <w:pPr>
              <w:pStyle w:val="ColumnHeading"/>
              <w:keepNext/>
              <w:rPr>
                <w:lang w:val="en-GB"/>
              </w:rPr>
            </w:pPr>
            <w:r w:rsidRPr="00FC4A49">
              <w:rPr>
                <w:lang w:val="en-GB"/>
              </w:rPr>
              <w:t>Text proposed by the Commission</w:t>
            </w:r>
          </w:p>
        </w:tc>
        <w:tc>
          <w:tcPr>
            <w:tcW w:w="4876" w:type="dxa"/>
          </w:tcPr>
          <w:p w:rsidR="00343C6C" w:rsidRPr="00FC4A49" w:rsidP="005D58F9" w14:paraId="5713B6C4" w14:textId="77777777">
            <w:pPr>
              <w:pStyle w:val="ColumnHeading"/>
              <w:keepNext/>
              <w:rPr>
                <w:lang w:val="en-GB"/>
              </w:rPr>
            </w:pPr>
            <w:r w:rsidRPr="00FC4A49">
              <w:rPr>
                <w:lang w:val="en-GB"/>
              </w:rPr>
              <w:t>Amendment</w:t>
            </w:r>
          </w:p>
        </w:tc>
      </w:tr>
      <w:tr w14:paraId="65A6D18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7D4E313" w14:textId="77777777">
            <w:pPr>
              <w:pStyle w:val="Normal6"/>
              <w:rPr>
                <w:lang w:val="en-GB"/>
              </w:rPr>
            </w:pPr>
          </w:p>
        </w:tc>
        <w:tc>
          <w:tcPr>
            <w:tcW w:w="4876" w:type="dxa"/>
          </w:tcPr>
          <w:p w:rsidR="00343C6C" w:rsidRPr="00FC4A49" w:rsidP="005D58F9" w14:paraId="3D183B46" w14:textId="77777777">
            <w:pPr>
              <w:pStyle w:val="Normal6"/>
              <w:rPr>
                <w:szCs w:val="24"/>
                <w:lang w:val="en-GB"/>
              </w:rPr>
            </w:pPr>
            <w:r w:rsidRPr="00FC4A49">
              <w:rPr>
                <w:b/>
                <w:i/>
                <w:lang w:val="en-GB"/>
              </w:rPr>
              <w:t>(20a)</w:t>
            </w:r>
            <w:r w:rsidRPr="00FC4A49">
              <w:rPr>
                <w:b/>
                <w:i/>
                <w:lang w:val="en-GB"/>
              </w:rPr>
              <w:tab/>
              <w:t>Agricultural residues that meet the applicable sustainability and traceability requirements can provide feedstock for advanced biofuels used in aviation and maritime transport. Support for the use of those fuels can create additional market opportunities for farmers and rural areas.</w:t>
            </w:r>
          </w:p>
        </w:tc>
      </w:tr>
    </w:tbl>
    <w:p w:rsidR="00343C6C" w:rsidRPr="00FC4A49" w:rsidP="00343C6C" w14:paraId="4BC04357"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9E435A7" w14:textId="77777777">
      <w:r w:rsidRPr="00FC4A49">
        <w:rPr>
          <w:rStyle w:val="HideTWBExt"/>
        </w:rPr>
        <w:t>&lt;/Amend&gt;</w:t>
      </w:r>
    </w:p>
    <w:p w:rsidR="00343C6C" w:rsidRPr="00FC4A49" w:rsidP="00343C6C" w14:paraId="486026B6"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175</w:t>
      </w:r>
      <w:r w:rsidRPr="00FC4A49">
        <w:rPr>
          <w:rStyle w:val="HideTWBExt"/>
          <w:b w:val="0"/>
          <w:lang w:val="en-GB"/>
        </w:rPr>
        <w:t>&lt;/NumAm&gt;</w:t>
      </w:r>
    </w:p>
    <w:p w:rsidR="00343C6C" w:rsidRPr="00FC4A49" w:rsidP="00343C6C" w14:paraId="2BB9E0B2" w14:textId="77777777">
      <w:pPr>
        <w:pStyle w:val="NormalBold"/>
      </w:pPr>
      <w:r w:rsidRPr="00FC4A49">
        <w:rPr>
          <w:rStyle w:val="HideTWBExt"/>
          <w:b w:val="0"/>
        </w:rPr>
        <w:t>&lt;RepeatBlock-By&gt;&lt;Members&gt;</w:t>
      </w:r>
      <w:r w:rsidRPr="00FC4A49">
        <w:t>Ondřej Knotek, Jana Nagyová, Antonín Staněk</w:t>
      </w:r>
      <w:r w:rsidRPr="00FC4A49">
        <w:rPr>
          <w:rStyle w:val="HideTWBExt"/>
          <w:b w:val="0"/>
        </w:rPr>
        <w:t>&lt;/Members&gt;</w:t>
      </w:r>
    </w:p>
    <w:p w:rsidR="00343C6C" w:rsidRPr="00FC4A49" w:rsidP="00343C6C" w14:paraId="14EDD892" w14:textId="77777777">
      <w:r w:rsidRPr="00FC4A49">
        <w:rPr>
          <w:rStyle w:val="HideTWBExt"/>
        </w:rPr>
        <w:t>&lt;/RepeatBlock-By&gt;</w:t>
      </w:r>
    </w:p>
    <w:p w:rsidR="00343C6C" w:rsidRPr="00FC4A49" w:rsidP="00343C6C" w14:paraId="039A0C98"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7E1D57F" w14:textId="77777777">
      <w:pPr>
        <w:pStyle w:val="NormalBold"/>
      </w:pPr>
      <w:r w:rsidRPr="00FC4A49">
        <w:rPr>
          <w:rStyle w:val="HideTWBExt"/>
          <w:b w:val="0"/>
        </w:rPr>
        <w:t>&lt;Article&gt;</w:t>
      </w:r>
      <w:r w:rsidRPr="00FC4A49">
        <w:t>Recital 21</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0EEA6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DC83E68" w14:textId="77777777">
            <w:pPr>
              <w:keepNext/>
            </w:pPr>
          </w:p>
        </w:tc>
      </w:tr>
      <w:tr w14:paraId="5BB2414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54279D5" w14:textId="77777777">
            <w:pPr>
              <w:pStyle w:val="ColumnHeading"/>
              <w:keepNext/>
              <w:rPr>
                <w:lang w:val="en-GB"/>
              </w:rPr>
            </w:pPr>
            <w:r w:rsidRPr="00FC4A49">
              <w:rPr>
                <w:lang w:val="en-GB"/>
              </w:rPr>
              <w:t>Text proposed by the Commission</w:t>
            </w:r>
          </w:p>
        </w:tc>
        <w:tc>
          <w:tcPr>
            <w:tcW w:w="4876" w:type="dxa"/>
          </w:tcPr>
          <w:p w:rsidR="00343C6C" w:rsidRPr="00FC4A49" w:rsidP="005D58F9" w14:paraId="2248BE1E" w14:textId="77777777">
            <w:pPr>
              <w:pStyle w:val="ColumnHeading"/>
              <w:keepNext/>
              <w:rPr>
                <w:lang w:val="en-GB"/>
              </w:rPr>
            </w:pPr>
            <w:r w:rsidRPr="00FC4A49">
              <w:rPr>
                <w:lang w:val="en-GB"/>
              </w:rPr>
              <w:t>Amendment</w:t>
            </w:r>
          </w:p>
        </w:tc>
      </w:tr>
      <w:tr w14:paraId="5C4C9D9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07F9D28" w14:textId="77777777">
            <w:pPr>
              <w:pStyle w:val="Normal6"/>
              <w:rPr>
                <w:lang w:val="en-GB"/>
              </w:rPr>
            </w:pPr>
            <w:r w:rsidRPr="00FC4A49">
              <w:rPr>
                <w:lang w:val="en-GB"/>
              </w:rPr>
              <w:t>(21)</w:t>
            </w:r>
            <w:r w:rsidRPr="00FC4A49">
              <w:rPr>
                <w:lang w:val="en-GB"/>
              </w:rPr>
              <w:tab/>
              <w:t xml:space="preserve">Given the evolving technological and commercial maturity of sustainable maritime fuels and </w:t>
            </w:r>
            <w:r w:rsidRPr="00FC4A49">
              <w:rPr>
                <w:b/>
                <w:i/>
                <w:lang w:val="en-GB"/>
              </w:rPr>
              <w:t>zero-emission</w:t>
            </w:r>
            <w:r w:rsidRPr="00FC4A49">
              <w:rPr>
                <w:lang w:val="en-GB"/>
              </w:rPr>
              <w:t xml:space="preserve"> alternative propulsion technologies, the Commission should carry out an evaluation of the functioning of the reserve established under Article 3gaa.</w:t>
            </w:r>
          </w:p>
        </w:tc>
        <w:tc>
          <w:tcPr>
            <w:tcW w:w="4876" w:type="dxa"/>
          </w:tcPr>
          <w:p w:rsidR="00343C6C" w:rsidRPr="00FC4A49" w:rsidP="005D58F9" w14:paraId="1ABCE93E" w14:textId="77777777">
            <w:pPr>
              <w:pStyle w:val="Normal6"/>
              <w:rPr>
                <w:szCs w:val="24"/>
                <w:lang w:val="en-GB"/>
              </w:rPr>
            </w:pPr>
            <w:r w:rsidRPr="00FC4A49">
              <w:rPr>
                <w:lang w:val="en-GB"/>
              </w:rPr>
              <w:t>(21)</w:t>
            </w:r>
            <w:r w:rsidRPr="00FC4A49">
              <w:rPr>
                <w:lang w:val="en-GB"/>
              </w:rPr>
              <w:tab/>
              <w:t xml:space="preserve">Given the evolving technological and commercial maturity of sustainable maritime fuels and </w:t>
            </w:r>
            <w:r w:rsidRPr="00FC4A49">
              <w:rPr>
                <w:b/>
                <w:i/>
                <w:lang w:val="en-GB"/>
              </w:rPr>
              <w:t>low-emission</w:t>
            </w:r>
            <w:r w:rsidRPr="00FC4A49">
              <w:rPr>
                <w:lang w:val="en-GB"/>
              </w:rPr>
              <w:t xml:space="preserve"> alternative propulsion technologies, the Commission should carry out an evaluation of the functioning of the reserve established under Article 3gaa.</w:t>
            </w:r>
          </w:p>
        </w:tc>
      </w:tr>
    </w:tbl>
    <w:p w:rsidR="00343C6C" w:rsidRPr="00FC4A49" w:rsidP="00343C6C" w14:paraId="024711FD"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B89BFBE" w14:textId="77777777">
      <w:r w:rsidRPr="00FC4A49">
        <w:rPr>
          <w:rStyle w:val="HideTWBExt"/>
        </w:rPr>
        <w:t>&lt;/Amend&gt;</w:t>
      </w:r>
    </w:p>
    <w:p w:rsidR="00343C6C" w:rsidRPr="00FC4A49" w:rsidP="00343C6C" w14:paraId="4D55942E"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176</w:t>
      </w:r>
      <w:r w:rsidRPr="00FC4A49">
        <w:rPr>
          <w:rStyle w:val="HideTWBExt"/>
          <w:b w:val="0"/>
          <w:lang w:val="en-GB"/>
        </w:rPr>
        <w:t>&lt;/NumAm&gt;</w:t>
      </w:r>
    </w:p>
    <w:p w:rsidR="00343C6C" w:rsidRPr="00FC4A49" w:rsidP="00343C6C" w14:paraId="672275E3" w14:textId="77777777">
      <w:pPr>
        <w:pStyle w:val="NormalBold"/>
      </w:pPr>
      <w:r w:rsidRPr="00FC4A49">
        <w:rPr>
          <w:rStyle w:val="HideTWBExt"/>
          <w:b w:val="0"/>
        </w:rPr>
        <w:t>&lt;RepeatBlock-By&gt;&lt;Members&gt;</w:t>
      </w:r>
      <w:r w:rsidRPr="00FC4A49">
        <w:t>Thomas Pellerin-Carlin, Christophe Clergeau, Nora Mebarek</w:t>
      </w:r>
      <w:r w:rsidRPr="00FC4A49">
        <w:rPr>
          <w:rStyle w:val="HideTWBExt"/>
          <w:b w:val="0"/>
        </w:rPr>
        <w:t>&lt;/Members&gt;</w:t>
      </w:r>
    </w:p>
    <w:p w:rsidR="00343C6C" w:rsidRPr="00FC4A49" w:rsidP="00343C6C" w14:paraId="301162C0" w14:textId="77777777">
      <w:r w:rsidRPr="00FC4A49">
        <w:rPr>
          <w:rStyle w:val="HideTWBExt"/>
        </w:rPr>
        <w:t>&lt;/RepeatBlock-By&gt;</w:t>
      </w:r>
    </w:p>
    <w:p w:rsidR="00343C6C" w:rsidRPr="00FC4A49" w:rsidP="00343C6C" w14:paraId="26063F10"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8ADFE16" w14:textId="77777777">
      <w:pPr>
        <w:pStyle w:val="NormalBold"/>
      </w:pPr>
      <w:r w:rsidRPr="00FC4A49">
        <w:rPr>
          <w:rStyle w:val="HideTWBExt"/>
          <w:b w:val="0"/>
        </w:rPr>
        <w:t>&lt;Article&gt;</w:t>
      </w:r>
      <w:r w:rsidRPr="00FC4A49">
        <w:t>Recital 21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823259"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5F97174" w14:textId="77777777">
            <w:pPr>
              <w:keepNext/>
            </w:pPr>
          </w:p>
        </w:tc>
      </w:tr>
      <w:tr w14:paraId="4997234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6D27DEA" w14:textId="77777777">
            <w:pPr>
              <w:pStyle w:val="ColumnHeading"/>
              <w:keepNext/>
              <w:rPr>
                <w:lang w:val="en-GB"/>
              </w:rPr>
            </w:pPr>
            <w:r w:rsidRPr="00FC4A49">
              <w:rPr>
                <w:lang w:val="en-GB"/>
              </w:rPr>
              <w:t>Text proposed by the Commission</w:t>
            </w:r>
          </w:p>
        </w:tc>
        <w:tc>
          <w:tcPr>
            <w:tcW w:w="4876" w:type="dxa"/>
          </w:tcPr>
          <w:p w:rsidR="00343C6C" w:rsidRPr="00FC4A49" w:rsidP="005D58F9" w14:paraId="44353DF8" w14:textId="77777777">
            <w:pPr>
              <w:pStyle w:val="ColumnHeading"/>
              <w:keepNext/>
              <w:rPr>
                <w:lang w:val="en-GB"/>
              </w:rPr>
            </w:pPr>
            <w:r w:rsidRPr="00FC4A49">
              <w:rPr>
                <w:lang w:val="en-GB"/>
              </w:rPr>
              <w:t>Amendment</w:t>
            </w:r>
          </w:p>
        </w:tc>
      </w:tr>
      <w:tr w14:paraId="74C46A1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630CF2E" w14:textId="77777777">
            <w:pPr>
              <w:pStyle w:val="Normal6"/>
              <w:rPr>
                <w:lang w:val="en-GB"/>
              </w:rPr>
            </w:pPr>
          </w:p>
        </w:tc>
        <w:tc>
          <w:tcPr>
            <w:tcW w:w="4876" w:type="dxa"/>
          </w:tcPr>
          <w:p w:rsidR="00343C6C" w:rsidRPr="00FC4A49" w:rsidP="005D58F9" w14:paraId="5988EBA1" w14:textId="77777777">
            <w:pPr>
              <w:pStyle w:val="Normal6"/>
              <w:rPr>
                <w:szCs w:val="24"/>
                <w:lang w:val="en-GB"/>
              </w:rPr>
            </w:pPr>
            <w:r w:rsidRPr="00FC4A49">
              <w:rPr>
                <w:b/>
                <w:i/>
                <w:lang w:val="en-GB"/>
              </w:rPr>
              <w:t>(21a)</w:t>
            </w:r>
            <w:r w:rsidRPr="00FC4A49">
              <w:rPr>
                <w:b/>
                <w:i/>
                <w:lang w:val="en-GB"/>
              </w:rPr>
              <w:tab/>
              <w:t>The risk of circumventing the obligations laid down in this Directive is not limited to the transhipment of containers. In the outermost regions, particularly in the Caribbean and the Indian Ocean, Union ports can be directly substituted by ports in neighbouring third countries for passenger and cruise traffic as well as freight. The Commission should monitor this traffic and have the means to respond to any shift in activity driven by avoidance, in order to safeguard both the environmental integrity of the system established by Directive 2003/87/EC and the economic activity of these regions.</w:t>
            </w:r>
          </w:p>
        </w:tc>
      </w:tr>
    </w:tbl>
    <w:p w:rsidR="00343C6C" w:rsidRPr="00FC4A49" w:rsidP="00343C6C" w14:paraId="2E27A03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13A5B7C" w14:textId="77777777">
      <w:r w:rsidRPr="00FC4A49">
        <w:rPr>
          <w:rStyle w:val="HideTWBExt"/>
        </w:rPr>
        <w:t>&lt;/Amend&gt;</w:t>
      </w:r>
    </w:p>
    <w:p w:rsidR="00343C6C" w:rsidRPr="00FC4A49" w:rsidP="00343C6C" w14:paraId="1831E17B"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177</w:t>
      </w:r>
      <w:r w:rsidRPr="00FC4A49">
        <w:rPr>
          <w:rStyle w:val="HideTWBExt"/>
          <w:b w:val="0"/>
          <w:lang w:val="en-GB"/>
        </w:rPr>
        <w:t>&lt;/NumAm&gt;</w:t>
      </w:r>
    </w:p>
    <w:p w:rsidR="00343C6C" w:rsidRPr="00FC4A49" w:rsidP="00343C6C" w14:paraId="4CA3DD49" w14:textId="77777777">
      <w:pPr>
        <w:pStyle w:val="NormalBold"/>
      </w:pPr>
      <w:r w:rsidRPr="00FC4A49">
        <w:rPr>
          <w:rStyle w:val="HideTWBExt"/>
          <w:b w:val="0"/>
        </w:rPr>
        <w:t>&lt;RepeatBlock-By&gt;&lt;Members&gt;</w:t>
      </w:r>
      <w:r w:rsidRPr="00FC4A49">
        <w:t>Matteo Ricci</w:t>
      </w:r>
      <w:r w:rsidRPr="00FC4A49">
        <w:rPr>
          <w:rStyle w:val="HideTWBExt"/>
          <w:b w:val="0"/>
        </w:rPr>
        <w:t>&lt;/Members&gt;</w:t>
      </w:r>
    </w:p>
    <w:p w:rsidR="00343C6C" w:rsidRPr="00FC4A49" w:rsidP="00343C6C" w14:paraId="456D1CCD" w14:textId="77777777">
      <w:r w:rsidRPr="00FC4A49">
        <w:rPr>
          <w:rStyle w:val="HideTWBExt"/>
        </w:rPr>
        <w:t>&lt;/RepeatBlock-By&gt;</w:t>
      </w:r>
    </w:p>
    <w:p w:rsidR="00343C6C" w:rsidRPr="00FC4A49" w:rsidP="00343C6C" w14:paraId="05F6B1CD"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40FCA54" w14:textId="77777777">
      <w:pPr>
        <w:pStyle w:val="NormalBold"/>
      </w:pPr>
      <w:r w:rsidRPr="00FC4A49">
        <w:rPr>
          <w:rStyle w:val="HideTWBExt"/>
          <w:b w:val="0"/>
        </w:rPr>
        <w:t>&lt;Article&gt;</w:t>
      </w:r>
      <w:r w:rsidRPr="00FC4A49">
        <w:t>Recital 22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D5214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CD1F5F2" w14:textId="77777777">
            <w:pPr>
              <w:keepNext/>
            </w:pPr>
          </w:p>
        </w:tc>
      </w:tr>
      <w:tr w14:paraId="1093444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46B5F63" w14:textId="77777777">
            <w:pPr>
              <w:pStyle w:val="ColumnHeading"/>
              <w:keepNext/>
              <w:rPr>
                <w:lang w:val="en-GB"/>
              </w:rPr>
            </w:pPr>
            <w:r w:rsidRPr="00FC4A49">
              <w:rPr>
                <w:lang w:val="en-GB"/>
              </w:rPr>
              <w:t>Text proposed by the Commission</w:t>
            </w:r>
          </w:p>
        </w:tc>
        <w:tc>
          <w:tcPr>
            <w:tcW w:w="4876" w:type="dxa"/>
          </w:tcPr>
          <w:p w:rsidR="00343C6C" w:rsidRPr="00FC4A49" w:rsidP="005D58F9" w14:paraId="06373FB2" w14:textId="77777777">
            <w:pPr>
              <w:pStyle w:val="ColumnHeading"/>
              <w:keepNext/>
              <w:rPr>
                <w:lang w:val="en-GB"/>
              </w:rPr>
            </w:pPr>
            <w:r w:rsidRPr="00FC4A49">
              <w:rPr>
                <w:lang w:val="en-GB"/>
              </w:rPr>
              <w:t>Amendment</w:t>
            </w:r>
          </w:p>
        </w:tc>
      </w:tr>
      <w:tr w14:paraId="6DA65E5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CAEABCF" w14:textId="77777777">
            <w:pPr>
              <w:pStyle w:val="Normal6"/>
              <w:rPr>
                <w:lang w:val="en-GB"/>
              </w:rPr>
            </w:pPr>
            <w:r w:rsidRPr="00FC4A49">
              <w:rPr>
                <w:lang w:val="en-GB"/>
              </w:rPr>
              <w:t>(22)</w:t>
            </w:r>
            <w:r w:rsidRPr="00FC4A49">
              <w:rPr>
                <w:lang w:val="en-GB"/>
              </w:rPr>
              <w:tab/>
              <w:t xml:space="preserve">Evasive behaviour from shipping companies is problematic, in particular as it can undermine the environmental integrity of the EU ETS. In order to reduce the risk of evasive port calls by containerships to ports outside the Union and the relocation of container transhipment activities outside the Union, Directive 2003/87/EC provides for an exclusion from the definition of ‘port of call’ of stops of containerships in a neighbouring container transhipment port identified in the implementing acts adopted pursuant to Article 3ga(2) of that Directive. However, the criterion related to the port’s share of transhipment of containers may not adequately cover ports outside the Union that have a high potential to attract transhipment activities from Union ports and where the transhipment of containers accounts for most container traffic. It is therefore appropriate to set this criterion at 50 % instead of 65 %. In addition, it is appropriate to exclude from the definition of ‘port of call’ ports with the necessary infrastructure for container transhipment activities that are located in the Union’s immediate vicinity, namely within 150 nautical miles from a port under the jurisdiction of a Member State. To ensure the proportionality of the measure and that it results in equal treatment, account should be taken of measures in third countries that have an effect equivalent to Directive 2003/87/EC. This includes ports in a third country with whom an ETS linking agreement is in place. To better capture major disruptions in the shipping market, which can rapidly alter container transhipment patterns, the Commission should review the validity of the list that identifies neighbouring container transhipment ports once a year instead of once every two years. However, for reasons of administrative efficiency, the Commission should be empowered to adopt implementing acts that amend the list </w:t>
            </w:r>
            <w:r w:rsidRPr="00FC4A49">
              <w:rPr>
                <w:lang w:val="en-GB"/>
              </w:rPr>
              <w:t>of neighbouring container transhipment ports only where necessary, for example where a port ceases to meet the criteria to be identified as a neighbouring container transhipment port. In order to further reduce the risk of evasive port calls outside of the Union and the relocation of container transhipment activities outside of the Union, it is appropriate to provide for a complementary measure. Such measure should consist in a temporary derogation from the surrender obligations under Directive 2003/87/EC in respect of certain maritime transport activities by large containerships that perform long-distance voyages between ports outside the Union and Union ports.</w:t>
            </w:r>
          </w:p>
        </w:tc>
        <w:tc>
          <w:tcPr>
            <w:tcW w:w="4876" w:type="dxa"/>
          </w:tcPr>
          <w:p w:rsidR="00343C6C" w:rsidRPr="00FC4A49" w:rsidP="005D58F9" w14:paraId="54020C80" w14:textId="77777777">
            <w:pPr>
              <w:pStyle w:val="Normal6"/>
              <w:rPr>
                <w:szCs w:val="24"/>
                <w:lang w:val="en-GB"/>
              </w:rPr>
            </w:pPr>
            <w:r w:rsidRPr="00FC4A49">
              <w:rPr>
                <w:lang w:val="en-GB"/>
              </w:rPr>
              <w:t>(22)</w:t>
            </w:r>
            <w:r w:rsidRPr="00FC4A49">
              <w:rPr>
                <w:lang w:val="en-GB"/>
              </w:rPr>
              <w:tab/>
              <w:t xml:space="preserve">Evasive behaviour from shipping companies is problematic, in particular as it can undermine the environmental integrity of the EU ETS. In order to reduce the risk of evasive port calls by containerships to ports outside the Union and the relocation of container transhipment activities outside the Union, Directive 2003/87/EC provides for an exclusion from the definition of ‘port of call’ of stops of containerships in a neighbouring container transhipment port identified in the implementing acts adopted pursuant to Article 3ga(2) of that Directive. However, the criterion related to the port’s share of transhipment of containers may not adequately cover ports outside the Union that have a high potential to attract transhipment activities from Union ports and where the transhipment of containers accounts for most container traffic. It is therefore appropriate to set this criterion at 50 % instead of 65 %. In addition, it is appropriate to exclude from the definition of ‘port of call’ ports with the necessary infrastructure for container transhipment activities that are located in the Union’s immediate vicinity, namely within 150 nautical miles from a port under the jurisdiction of a Member State. To ensure the proportionality of the measure and that it results in equal treatment, account should be taken of measures in third countries that have an effect equivalent to Directive 2003/87/EC. This includes ports in a third country with whom an ETS linking agreement is in place. To better capture major disruptions in the shipping market, which can rapidly alter container transhipment patterns, the Commission should review the validity of the list that identifies neighbouring container transhipment ports once a year instead of once every two years. However, for reasons of administrative efficiency, the Commission should be empowered to adopt implementing acts that amend the list </w:t>
            </w:r>
            <w:r w:rsidRPr="00FC4A49">
              <w:rPr>
                <w:lang w:val="en-GB"/>
              </w:rPr>
              <w:t xml:space="preserve">of neighbouring container transhipment ports only where necessary, for example where a port ceases to meet the criteria to be identified as a neighbouring container transhipment port. In order to further reduce the risk of evasive port calls outside of the Union and the relocation of container transhipment activities outside of the Union, it is appropriate to provide for a complementary measure. Such measure should consist in a temporary derogation from the surrender obligations under Directive 2003/87/EC in respect of certain maritime transport activities by large containerships that perform long-distance voyages between ports outside the Union and Union ports. </w:t>
            </w:r>
            <w:r w:rsidRPr="00FC4A49">
              <w:rPr>
                <w:b/>
                <w:i/>
                <w:lang w:val="en-GB"/>
              </w:rPr>
              <w:t>Since the incentive to divert a call or to break up a voyage in a port outside the Union depends, among other factors, on the emissions costs that can be avoided, which tend to increase with the distance of the voyage, it is appropriate to base the derogation on the distance of the voyage rather than on the share of unloaded transhipped containers. The latter would be difficult to implement, as it would require the monitoring and verification of cargo-related data for each port call, whereas the distance of the voyage is an objective parameter that is easier to monitor and verify. This would ensure equal treatment of all Union ports and protect direct calls at Union gateway ports.</w:t>
            </w:r>
          </w:p>
        </w:tc>
      </w:tr>
    </w:tbl>
    <w:p w:rsidR="00343C6C" w:rsidRPr="00FC4A49" w:rsidP="00343C6C" w14:paraId="227E39A0"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F757914" w14:textId="77777777">
      <w:r w:rsidRPr="00FC4A49">
        <w:rPr>
          <w:rStyle w:val="HideTWBExt"/>
        </w:rPr>
        <w:t>&lt;/Amend&gt;</w:t>
      </w:r>
    </w:p>
    <w:p w:rsidR="00343C6C" w:rsidRPr="00FC4A49" w:rsidP="00343C6C" w14:paraId="25304949"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178</w:t>
      </w:r>
      <w:r w:rsidRPr="00FC4A49">
        <w:rPr>
          <w:rStyle w:val="HideTWBExt"/>
          <w:b w:val="0"/>
          <w:lang w:val="en-GB"/>
        </w:rPr>
        <w:t>&lt;/NumAm&gt;</w:t>
      </w:r>
    </w:p>
    <w:p w:rsidR="00343C6C" w:rsidRPr="00FC4A49" w:rsidP="00343C6C" w14:paraId="48782ADE"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45116D13" w14:textId="77777777">
      <w:r w:rsidRPr="00FC4A49">
        <w:rPr>
          <w:rStyle w:val="HideTWBExt"/>
        </w:rPr>
        <w:t>&lt;/RepeatBlock-By&gt;</w:t>
      </w:r>
    </w:p>
    <w:p w:rsidR="00343C6C" w:rsidRPr="00FC4A49" w:rsidP="00343C6C" w14:paraId="4892575B"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12E15A7" w14:textId="77777777">
      <w:pPr>
        <w:pStyle w:val="NormalBold"/>
      </w:pPr>
      <w:r w:rsidRPr="00FC4A49">
        <w:rPr>
          <w:rStyle w:val="HideTWBExt"/>
          <w:b w:val="0"/>
        </w:rPr>
        <w:t>&lt;Article&gt;</w:t>
      </w:r>
      <w:r w:rsidRPr="00FC4A49">
        <w:t>Recital 22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03B5B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001681B" w14:textId="77777777">
            <w:pPr>
              <w:keepNext/>
            </w:pPr>
          </w:p>
        </w:tc>
      </w:tr>
      <w:tr w14:paraId="66ED25B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65FFD02" w14:textId="77777777">
            <w:pPr>
              <w:pStyle w:val="ColumnHeading"/>
              <w:keepNext/>
              <w:rPr>
                <w:lang w:val="en-GB"/>
              </w:rPr>
            </w:pPr>
            <w:r w:rsidRPr="00FC4A49">
              <w:rPr>
                <w:lang w:val="en-GB"/>
              </w:rPr>
              <w:t>Text proposed by the Commission</w:t>
            </w:r>
          </w:p>
        </w:tc>
        <w:tc>
          <w:tcPr>
            <w:tcW w:w="4876" w:type="dxa"/>
          </w:tcPr>
          <w:p w:rsidR="00343C6C" w:rsidRPr="00FC4A49" w:rsidP="005D58F9" w14:paraId="0B7A1E68" w14:textId="77777777">
            <w:pPr>
              <w:pStyle w:val="ColumnHeading"/>
              <w:keepNext/>
              <w:rPr>
                <w:lang w:val="en-GB"/>
              </w:rPr>
            </w:pPr>
            <w:r w:rsidRPr="00FC4A49">
              <w:rPr>
                <w:lang w:val="en-GB"/>
              </w:rPr>
              <w:t>Amendment</w:t>
            </w:r>
          </w:p>
        </w:tc>
      </w:tr>
      <w:tr w14:paraId="0E44EE2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2CDB913" w14:textId="77777777">
            <w:pPr>
              <w:pStyle w:val="Normal6"/>
              <w:rPr>
                <w:lang w:val="en-GB"/>
              </w:rPr>
            </w:pPr>
            <w:r w:rsidRPr="00FC4A49">
              <w:rPr>
                <w:lang w:val="en-GB"/>
              </w:rPr>
              <w:t>(22)</w:t>
            </w:r>
            <w:r w:rsidRPr="00FC4A49">
              <w:rPr>
                <w:lang w:val="en-GB"/>
              </w:rPr>
              <w:tab/>
              <w:t xml:space="preserve">Evasive behaviour from shipping companies is problematic, in particular as it </w:t>
            </w:r>
            <w:r w:rsidRPr="00FC4A49">
              <w:rPr>
                <w:lang w:val="en-GB"/>
              </w:rPr>
              <w:t xml:space="preserve">can undermine the environmental integrity of the EU ETS. In order to reduce the risk of evasive port calls by containerships to ports outside the Union and the relocation of container transhipment activities outside the Union, Directive 2003/87/EC provides for an exclusion from the definition of ‘port of call’ of stops of containerships in a neighbouring container transhipment port identified in the implementing acts adopted pursuant to Article 3ga(2) of that Directive. However, the criterion related to the port’s share of transhipment of containers may not adequately cover ports outside the Union that have a high potential to attract transhipment activities from Union ports and where the transhipment of containers accounts for most container traffic. It is therefore appropriate to set this criterion at 50 % instead of 65 %. In addition, it is appropriate to exclude from the definition of ‘port of call’ ports with the necessary infrastructure for container transhipment activities that are located in the Union’s immediate vicinity, namely within 150 nautical miles from a port under the jurisdiction of a Member State. To ensure the proportionality of the measure and that it results in equal treatment, account should be taken of measures in third countries that have an effect equivalent to Directive 2003/87/EC. This includes ports in a third country with whom an ETS linking agreement is in place. To better capture major disruptions in the shipping market, which can rapidly alter container transhipment patterns, the Commission should review the validity of the list that identifies neighbouring container transhipment ports once a year instead of once every two years. However, for reasons of administrative efficiency, the Commission should be empowered to adopt implementing acts that amend the list of neighbouring container transhipment ports only where necessary, for example where a port ceases to meet the criteria to be identified as a neighbouring container transhipment port. </w:t>
            </w:r>
            <w:r w:rsidRPr="00FC4A49">
              <w:rPr>
                <w:b/>
                <w:i/>
                <w:lang w:val="en-GB"/>
              </w:rPr>
              <w:t xml:space="preserve">In order to further </w:t>
            </w:r>
            <w:r w:rsidRPr="00FC4A49">
              <w:rPr>
                <w:b/>
                <w:i/>
                <w:lang w:val="en-GB"/>
              </w:rPr>
              <w:t>reduce the risk of evasive port calls outside of the Union and the relocation of container transhipment activities outside of the Union, it is appropriate to provide for a complementary measure. Such measure should consist in a temporary derogation from the surrender obligations under Directive 2003/87/EC in respect of certain maritime transport activities by large containerships that perform long-distance voyages between ports outside the Union and Union ports.</w:t>
            </w:r>
          </w:p>
        </w:tc>
        <w:tc>
          <w:tcPr>
            <w:tcW w:w="4876" w:type="dxa"/>
          </w:tcPr>
          <w:p w:rsidR="00343C6C" w:rsidRPr="00FC4A49" w:rsidP="005D58F9" w14:paraId="1941D995" w14:textId="77777777">
            <w:pPr>
              <w:pStyle w:val="Normal6"/>
              <w:rPr>
                <w:szCs w:val="24"/>
                <w:lang w:val="en-GB"/>
              </w:rPr>
            </w:pPr>
            <w:r w:rsidRPr="00FC4A49">
              <w:rPr>
                <w:lang w:val="en-GB"/>
              </w:rPr>
              <w:t>(22)</w:t>
            </w:r>
            <w:r w:rsidRPr="00FC4A49">
              <w:rPr>
                <w:lang w:val="en-GB"/>
              </w:rPr>
              <w:tab/>
              <w:t xml:space="preserve">Evasive behaviour from shipping companies is problematic, in particular as it </w:t>
            </w:r>
            <w:r w:rsidRPr="00FC4A49">
              <w:rPr>
                <w:lang w:val="en-GB"/>
              </w:rPr>
              <w:t xml:space="preserve">can undermine the environmental integrity of the EU ETS. In order to reduce the risk of evasive port calls by containerships to ports outside the Union and the relocation of container transhipment activities outside the Union, Directive 2003/87/EC provides for an exclusion from the definition of ‘port of call’ of stops of containerships in a neighbouring container transhipment port identified in the implementing acts adopted pursuant to Article 3ga(2) of that Directive. However, the criterion related to the port’s share of transhipment of containers may not adequately cover ports outside the Union that have a high potential to attract transhipment activities from Union ports and where the transhipment of containers accounts for most container traffic. It is therefore appropriate to set this criterion at 50 % instead of 65 %. In addition, it is appropriate to exclude from the definition of ‘port of call’ ports with the necessary infrastructure for container transhipment activities that are located in the Union’s immediate vicinity, namely within 150 nautical miles from a port under the jurisdiction of a Member State. To ensure the proportionality of the measure and that it results in equal treatment, account should be taken of measures in third countries that have an effect equivalent to Directive 2003/87/EC. This includes ports in a third country with whom an ETS linking agreement is in place. To better capture major disruptions in the shipping market, which can rapidly alter container transhipment patterns, the Commission should review the validity of the list that identifies neighbouring container transhipment ports once a year instead of once every two years. However, for reasons of administrative efficiency, the Commission should be empowered to adopt implementing acts that amend the list of neighbouring container transhipment ports only where necessary, for example where a port ceases to meet the criteria to be identified as a neighbouring container </w:t>
            </w:r>
            <w:r w:rsidRPr="00FC4A49">
              <w:rPr>
                <w:lang w:val="en-GB"/>
              </w:rPr>
              <w:t>transhipment port.</w:t>
            </w:r>
          </w:p>
        </w:tc>
      </w:tr>
    </w:tbl>
    <w:p w:rsidR="00343C6C" w:rsidRPr="00FC4A49" w:rsidP="00343C6C" w14:paraId="057099B9"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BC5FBFD" w14:textId="77777777">
      <w:r w:rsidRPr="00FC4A49">
        <w:rPr>
          <w:rStyle w:val="HideTWBExt"/>
        </w:rPr>
        <w:t>&lt;/Amend&gt;</w:t>
      </w:r>
    </w:p>
    <w:p w:rsidR="00343C6C" w:rsidRPr="00FC4A49" w:rsidP="00343C6C" w14:paraId="0089DA55"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179</w:t>
      </w:r>
      <w:r w:rsidRPr="00FC4A49">
        <w:rPr>
          <w:rStyle w:val="HideTWBExt"/>
          <w:b w:val="0"/>
          <w:lang w:val="en-GB"/>
        </w:rPr>
        <w:t>&lt;/NumAm&gt;</w:t>
      </w:r>
    </w:p>
    <w:p w:rsidR="00343C6C" w:rsidRPr="00FC4A49" w:rsidP="00343C6C" w14:paraId="4389977D" w14:textId="77777777">
      <w:pPr>
        <w:pStyle w:val="NormalBold"/>
      </w:pPr>
      <w:r w:rsidRPr="00FC4A49">
        <w:rPr>
          <w:rStyle w:val="HideTWBExt"/>
          <w:b w:val="0"/>
        </w:rPr>
        <w:t>&lt;RepeatBlock-By&gt;&lt;Members&gt;</w:t>
      </w:r>
      <w:r w:rsidRPr="00FC4A49">
        <w:t xml:space="preserve">Javi López, César Luena, Rosa Serrano Sierra, Alicia Homs Ginel, Juan Fernando López Aguilar, Lina Gálvez, Nicolás González Casares, Leire </w:t>
      </w:r>
      <w:r w:rsidRPr="00FC4A49">
        <w:t>Pajín</w:t>
      </w:r>
      <w:r w:rsidRPr="00FC4A49">
        <w:t>, Elena Sancho Murillo</w:t>
      </w:r>
      <w:r w:rsidRPr="00FC4A49">
        <w:rPr>
          <w:rStyle w:val="HideTWBExt"/>
          <w:b w:val="0"/>
        </w:rPr>
        <w:t>&lt;/Members&gt;</w:t>
      </w:r>
    </w:p>
    <w:p w:rsidR="00343C6C" w:rsidRPr="00FC4A49" w:rsidP="00343C6C" w14:paraId="1085817D" w14:textId="77777777">
      <w:r w:rsidRPr="00FC4A49">
        <w:rPr>
          <w:rStyle w:val="HideTWBExt"/>
        </w:rPr>
        <w:t>&lt;/RepeatBlock-By&gt;</w:t>
      </w:r>
    </w:p>
    <w:p w:rsidR="00343C6C" w:rsidRPr="00FC4A49" w:rsidP="00343C6C" w14:paraId="6CC546A3"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733DE30" w14:textId="77777777">
      <w:pPr>
        <w:pStyle w:val="NormalBold"/>
      </w:pPr>
      <w:r w:rsidRPr="00FC4A49">
        <w:rPr>
          <w:rStyle w:val="HideTWBExt"/>
          <w:b w:val="0"/>
        </w:rPr>
        <w:t>&lt;Article&gt;</w:t>
      </w:r>
      <w:r w:rsidRPr="00FC4A49">
        <w:t>Recital 22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8C20D7"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BDFC4C2" w14:textId="77777777">
            <w:pPr>
              <w:keepNext/>
            </w:pPr>
          </w:p>
        </w:tc>
      </w:tr>
      <w:tr w14:paraId="4202569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4D4B431" w14:textId="77777777">
            <w:pPr>
              <w:pStyle w:val="ColumnHeading"/>
              <w:keepNext/>
              <w:rPr>
                <w:lang w:val="en-GB"/>
              </w:rPr>
            </w:pPr>
            <w:r w:rsidRPr="00FC4A49">
              <w:rPr>
                <w:lang w:val="en-GB"/>
              </w:rPr>
              <w:t>Text proposed by the Commission</w:t>
            </w:r>
          </w:p>
        </w:tc>
        <w:tc>
          <w:tcPr>
            <w:tcW w:w="4876" w:type="dxa"/>
          </w:tcPr>
          <w:p w:rsidR="00343C6C" w:rsidRPr="00FC4A49" w:rsidP="005D58F9" w14:paraId="5F119EB4" w14:textId="77777777">
            <w:pPr>
              <w:pStyle w:val="ColumnHeading"/>
              <w:keepNext/>
              <w:rPr>
                <w:lang w:val="en-GB"/>
              </w:rPr>
            </w:pPr>
            <w:r w:rsidRPr="00FC4A49">
              <w:rPr>
                <w:lang w:val="en-GB"/>
              </w:rPr>
              <w:t>Amendment</w:t>
            </w:r>
          </w:p>
        </w:tc>
      </w:tr>
      <w:tr w14:paraId="596A415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EC12B68" w14:textId="77777777">
            <w:pPr>
              <w:pStyle w:val="Normal6"/>
              <w:rPr>
                <w:lang w:val="en-GB"/>
              </w:rPr>
            </w:pPr>
            <w:r w:rsidRPr="00FC4A49">
              <w:rPr>
                <w:lang w:val="en-GB"/>
              </w:rPr>
              <w:t>(22)</w:t>
            </w:r>
            <w:r w:rsidRPr="00FC4A49">
              <w:rPr>
                <w:lang w:val="en-GB"/>
              </w:rPr>
              <w:tab/>
              <w:t xml:space="preserve">Evasive behaviour from shipping companies is problematic, in particular as it can undermine the environmental integrity of the EU ETS. In order to reduce the risk of evasive port calls by containerships to ports outside the Union and the relocation of container transhipment activities outside the Union, Directive 2003/87/EC provides for an exclusion from the definition of ‘port of call’ of stops of containerships in a neighbouring container transhipment port identified in the implementing acts adopted pursuant to Article 3ga(2) of that Directive. However, the criterion related to the port’s share of transhipment of containers may not adequately cover ports outside the Union that have a high potential to attract transhipment activities from Union ports and where the transhipment of containers accounts for most container traffic. It is therefore appropriate to set this criterion at 50 % instead of 65 %. In addition, it is </w:t>
            </w:r>
            <w:r w:rsidRPr="00FC4A49">
              <w:rPr>
                <w:lang w:val="en-GB"/>
              </w:rPr>
              <w:t xml:space="preserve">appropriate to exclude from the definition of ‘port of call’ ports with the necessary infrastructure for container transhipment activities that are located in the Union’s immediate vicinity, namely within 150 nautical miles from a port under the jurisdiction of a Member State. To ensure the proportionality of the measure and that it results in equal treatment, account should be taken of measures in third countries that have an effect equivalent to Directive 2003/87/EC. This includes ports in a third country with whom an ETS linking agreement is in place. To better capture major disruptions in the shipping market, which can rapidly alter container transhipment patterns, the Commission should review the validity of the list that identifies neighbouring container transhipment ports once a year instead of once every two years. However, for reasons of administrative efficiency, the Commission should be empowered to adopt implementing acts that amend the list of neighbouring container transhipment ports only where necessary, for example where a port ceases to meet the criteria to be identified as a neighbouring container transhipment port. In order to further reduce the risk of evasive port calls outside of the Union and the relocation of container transhipment activities outside of the Union, it is appropriate to provide for a complementary measure. Such measure should consist in a </w:t>
            </w:r>
            <w:r w:rsidRPr="00FC4A49">
              <w:rPr>
                <w:b/>
                <w:i/>
                <w:lang w:val="en-GB"/>
              </w:rPr>
              <w:t>temporary</w:t>
            </w:r>
            <w:r w:rsidRPr="00FC4A49">
              <w:rPr>
                <w:lang w:val="en-GB"/>
              </w:rPr>
              <w:t xml:space="preserve"> derogation from the surrender obligations under Directive 2003/87/EC in respect of </w:t>
            </w:r>
            <w:r w:rsidRPr="00FC4A49">
              <w:rPr>
                <w:b/>
                <w:i/>
                <w:lang w:val="en-GB"/>
              </w:rPr>
              <w:t>certain maritime transport activities by large</w:t>
            </w:r>
            <w:r w:rsidRPr="00FC4A49">
              <w:rPr>
                <w:lang w:val="en-GB"/>
              </w:rPr>
              <w:t xml:space="preserve"> containerships </w:t>
            </w:r>
            <w:r w:rsidRPr="00FC4A49">
              <w:rPr>
                <w:b/>
                <w:i/>
                <w:lang w:val="en-GB"/>
              </w:rPr>
              <w:t>that perform long-distance voyages</w:t>
            </w:r>
            <w:r w:rsidRPr="00FC4A49">
              <w:rPr>
                <w:lang w:val="en-GB"/>
              </w:rPr>
              <w:t xml:space="preserve"> between ports outside the Union and Union ports.</w:t>
            </w:r>
          </w:p>
        </w:tc>
        <w:tc>
          <w:tcPr>
            <w:tcW w:w="4876" w:type="dxa"/>
          </w:tcPr>
          <w:p w:rsidR="00343C6C" w:rsidRPr="00FC4A49" w:rsidP="005D58F9" w14:paraId="03AB3058" w14:textId="77777777">
            <w:pPr>
              <w:pStyle w:val="Normal6"/>
              <w:rPr>
                <w:szCs w:val="24"/>
                <w:lang w:val="en-GB"/>
              </w:rPr>
            </w:pPr>
            <w:r w:rsidRPr="00FC4A49">
              <w:rPr>
                <w:lang w:val="en-GB"/>
              </w:rPr>
              <w:t>(22)</w:t>
            </w:r>
            <w:r w:rsidRPr="00FC4A49">
              <w:rPr>
                <w:lang w:val="en-GB"/>
              </w:rPr>
              <w:tab/>
              <w:t xml:space="preserve">Evasive behaviour from shipping companies is problematic, in particular as it can undermine the environmental integrity of the EU ETS. In order to reduce the risk of evasive port calls by containerships to ports outside the Union and the relocation of container transhipment activities outside the Union, Directive 2003/87/EC provides for an exclusion from the definition of 'port of call' of stops of containerships in a neighbouring container transhipment port identified in the implementing acts adopted pursuant to Article 3ga(2) of that Directive. However, the criterion related to the port's share of transhipment of containers may not adequately cover ports outside the Union that have a high potential to attract transhipment activities from Union ports and where the transhipment of containers accounts for most container traffic. It is therefore appropriate to set this criterion at 50 % instead of 65 %. In addition, it is </w:t>
            </w:r>
            <w:r w:rsidRPr="00FC4A49">
              <w:rPr>
                <w:lang w:val="en-GB"/>
              </w:rPr>
              <w:t xml:space="preserve">appropriate to exclude from the definition of 'port of call' ports with the necessary infrastructure for container transhipment activities that are located in the Union's immediate vicinity, namely within 150 nautical miles from a port under the jurisdiction of a Member State. To ensure the proportionality of the measure and that it results in equal treatment, account should be taken of measures in third countries that have an effect equivalent to Directive 2003/87/EC. This includes ports in a third country with whom an ETS linking agreement is in place. To better capture major disruptions in the shipping market, which can rapidly alter container transhipment patterns, the Commission should review the validity of the list that identifies neighbouring container transhipment ports once a year instead of once every two years. However, for reasons of administrative efficiency, the Commission should be empowered to adopt implementing acts that amend the list of neighbouring container transhipment ports only where necessary, for example where a port ceases to meet the criteria to be identified as a neighbouring container transhipment port. In order to further reduce the risk of evasive port calls outside of the Union and the relocation of container transhipment activities outside of the Union, it is appropriate to provide for a complementary measure. Such measure should consist in a derogation from the surrender obligations under Directive 2003/87/EC in respect of </w:t>
            </w:r>
            <w:r w:rsidRPr="00FC4A49">
              <w:rPr>
                <w:b/>
                <w:i/>
                <w:lang w:val="en-GB"/>
              </w:rPr>
              <w:t>voyages by</w:t>
            </w:r>
            <w:r w:rsidRPr="00FC4A49">
              <w:rPr>
                <w:lang w:val="en-GB"/>
              </w:rPr>
              <w:t xml:space="preserve"> containerships </w:t>
            </w:r>
            <w:r w:rsidRPr="00FC4A49">
              <w:rPr>
                <w:b/>
                <w:i/>
                <w:lang w:val="en-GB"/>
              </w:rPr>
              <w:t>exceeding 3 000 nautical miles</w:t>
            </w:r>
            <w:r w:rsidRPr="00FC4A49">
              <w:rPr>
                <w:lang w:val="en-GB"/>
              </w:rPr>
              <w:t xml:space="preserve"> between ports outside the Union and Union ports</w:t>
            </w:r>
            <w:r w:rsidRPr="00FC4A49">
              <w:rPr>
                <w:b/>
                <w:i/>
                <w:lang w:val="en-GB"/>
              </w:rPr>
              <w:t>, in either direction, with surrender percentages decreasing with the distance of the voyage</w:t>
            </w:r>
            <w:r w:rsidRPr="00FC4A49">
              <w:rPr>
                <w:lang w:val="en-GB"/>
              </w:rPr>
              <w:t xml:space="preserve">. </w:t>
            </w:r>
            <w:r w:rsidRPr="00FC4A49">
              <w:rPr>
                <w:b/>
                <w:i/>
                <w:lang w:val="en-GB"/>
              </w:rPr>
              <w:t xml:space="preserve">That approach should reduce the economic incentive to split direct deep-sea services through hubs outside the Union, preserve the direct connectivity of Union ports, and rely exclusively on data already monitored and reported under Regulation (EU) </w:t>
            </w:r>
            <w:r w:rsidRPr="00FC4A49">
              <w:rPr>
                <w:b/>
                <w:i/>
                <w:lang w:val="en-GB"/>
              </w:rPr>
              <w:t>2015/757.</w:t>
            </w:r>
          </w:p>
        </w:tc>
      </w:tr>
    </w:tbl>
    <w:p w:rsidR="00343C6C" w:rsidRPr="00FC4A49" w:rsidP="00343C6C" w14:paraId="5C586D6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76921D7" w14:textId="77777777">
      <w:r w:rsidRPr="00FC4A49">
        <w:rPr>
          <w:rStyle w:val="HideTWBExt"/>
        </w:rPr>
        <w:t>&lt;/Amend&gt;</w:t>
      </w:r>
    </w:p>
    <w:p w:rsidR="00343C6C" w:rsidRPr="00FC4A49" w:rsidP="00343C6C" w14:paraId="1D0D4644"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180</w:t>
      </w:r>
      <w:r w:rsidRPr="00FC4A49">
        <w:rPr>
          <w:rStyle w:val="HideTWBExt"/>
          <w:b w:val="0"/>
          <w:lang w:val="en-GB"/>
        </w:rPr>
        <w:t>&lt;/NumAm&gt;</w:t>
      </w:r>
    </w:p>
    <w:p w:rsidR="00343C6C" w:rsidRPr="00FC4A49" w:rsidP="00343C6C" w14:paraId="214D66C9" w14:textId="77777777">
      <w:pPr>
        <w:pStyle w:val="NormalBold"/>
      </w:pPr>
      <w:r w:rsidRPr="00FC4A49">
        <w:rPr>
          <w:rStyle w:val="HideTWBExt"/>
          <w:b w:val="0"/>
        </w:rPr>
        <w:t>&lt;RepeatBlock-By&gt;&lt;Members&gt;</w:t>
      </w:r>
      <w:r w:rsidRPr="00FC4A49">
        <w:t>Emma Wiesner, Billy Kelleher, Yvan Verougstraete, Anna Stürgkh, Jeannette Baljeu</w:t>
      </w:r>
      <w:r w:rsidRPr="00FC4A49">
        <w:rPr>
          <w:rStyle w:val="HideTWBExt"/>
          <w:b w:val="0"/>
        </w:rPr>
        <w:t>&lt;/Members&gt;</w:t>
      </w:r>
    </w:p>
    <w:p w:rsidR="00343C6C" w:rsidRPr="00FC4A49" w:rsidP="00343C6C" w14:paraId="316CFCD2" w14:textId="77777777">
      <w:r w:rsidRPr="00FC4A49">
        <w:rPr>
          <w:rStyle w:val="HideTWBExt"/>
        </w:rPr>
        <w:t>&lt;/RepeatBlock-By&gt;</w:t>
      </w:r>
    </w:p>
    <w:p w:rsidR="00343C6C" w:rsidRPr="00FC4A49" w:rsidP="00343C6C" w14:paraId="3D2BC8ED"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3C7EE42" w14:textId="77777777">
      <w:pPr>
        <w:pStyle w:val="NormalBold"/>
      </w:pPr>
      <w:r w:rsidRPr="00FC4A49">
        <w:rPr>
          <w:rStyle w:val="HideTWBExt"/>
          <w:b w:val="0"/>
        </w:rPr>
        <w:t>&lt;Article&gt;</w:t>
      </w:r>
      <w:r w:rsidRPr="00FC4A49">
        <w:t>Recital 22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68B0D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80C42BA" w14:textId="77777777">
            <w:pPr>
              <w:keepNext/>
            </w:pPr>
          </w:p>
        </w:tc>
      </w:tr>
      <w:tr w14:paraId="6CCB1DC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055D936" w14:textId="77777777">
            <w:pPr>
              <w:pStyle w:val="ColumnHeading"/>
              <w:keepNext/>
              <w:rPr>
                <w:lang w:val="en-GB"/>
              </w:rPr>
            </w:pPr>
            <w:r w:rsidRPr="00FC4A49">
              <w:rPr>
                <w:lang w:val="en-GB"/>
              </w:rPr>
              <w:t>Text proposed by the Commission</w:t>
            </w:r>
          </w:p>
        </w:tc>
        <w:tc>
          <w:tcPr>
            <w:tcW w:w="4876" w:type="dxa"/>
          </w:tcPr>
          <w:p w:rsidR="00343C6C" w:rsidRPr="00FC4A49" w:rsidP="005D58F9" w14:paraId="087ADF09" w14:textId="77777777">
            <w:pPr>
              <w:pStyle w:val="ColumnHeading"/>
              <w:keepNext/>
              <w:rPr>
                <w:lang w:val="en-GB"/>
              </w:rPr>
            </w:pPr>
            <w:r w:rsidRPr="00FC4A49">
              <w:rPr>
                <w:lang w:val="en-GB"/>
              </w:rPr>
              <w:t>Amendment</w:t>
            </w:r>
          </w:p>
        </w:tc>
      </w:tr>
      <w:tr w14:paraId="71A0381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7416BE0" w14:textId="77777777">
            <w:pPr>
              <w:pStyle w:val="Normal6"/>
              <w:rPr>
                <w:lang w:val="en-GB"/>
              </w:rPr>
            </w:pPr>
            <w:r w:rsidRPr="00FC4A49">
              <w:rPr>
                <w:lang w:val="en-GB"/>
              </w:rPr>
              <w:t>(22)</w:t>
            </w:r>
            <w:r w:rsidRPr="00FC4A49">
              <w:rPr>
                <w:lang w:val="en-GB"/>
              </w:rPr>
              <w:tab/>
              <w:t xml:space="preserve">Evasive behaviour from shipping companies is problematic, in particular as it can undermine the environmental integrity of the EU ETS. In order to reduce the risk of evasive port calls by containerships to ports outside the Union and the relocation of container transhipment activities outside the Union, Directive 2003/87/EC provides for an exclusion from the definition of ‘port of call’ of stops of containerships in a neighbouring container transhipment port identified in the implementing acts adopted pursuant to Article 3ga(2) of that Directive. However, the criterion related to the port’s share of transhipment of containers may not adequately cover ports outside the Union that have a high potential to attract transhipment activities from Union ports and where the transhipment of containers accounts for most container traffic. It is therefore appropriate to set this criterion at 50 % instead of 65 %. In addition, it is appropriate to exclude from the definition of ‘port of call’ ports with the necessary infrastructure for container transhipment activities that are located in the Union’s immediate vicinity, namely within </w:t>
            </w:r>
            <w:r w:rsidRPr="00FC4A49">
              <w:rPr>
                <w:b/>
                <w:i/>
                <w:lang w:val="en-GB"/>
              </w:rPr>
              <w:t>150</w:t>
            </w:r>
            <w:r w:rsidRPr="00FC4A49">
              <w:rPr>
                <w:lang w:val="en-GB"/>
              </w:rPr>
              <w:t xml:space="preserve"> nautical miles from a port under the jurisdiction of a Member State. To ensure the proportionality of the measure and that it results in equal treatment, account should be taken of measures in third countries that have an effect equivalent to Directive 2003/87/EC. This includes ports in a third country with whom an ETS linking </w:t>
            </w:r>
            <w:r w:rsidRPr="00FC4A49">
              <w:rPr>
                <w:lang w:val="en-GB"/>
              </w:rPr>
              <w:t>agreement is in place. To better capture major disruptions in the shipping market, which can rapidly alter container transhipment patterns, the Commission should review the validity of the list that identifies neighbouring container transhipment ports once a year instead of once every two years. However, for reasons of administrative efficiency, the Commission should be empowered to adopt implementing acts that amend the list of neighbouring container transhipment ports only where necessary, for example where a port ceases to meet the criteria to be identified as a neighbouring container transhipment port. In order to further reduce the risk of evasive port calls outside of the Union and the relocation of container transhipment activities outside of the Union, it is appropriate to provide for a complementary measure. Such measure should consist in a temporary derogation from the surrender obligations under Directive 2003/87/EC in respect of certain maritime transport activities by large containerships that perform long-distance voyages between ports outside the Union and Union ports.</w:t>
            </w:r>
          </w:p>
        </w:tc>
        <w:tc>
          <w:tcPr>
            <w:tcW w:w="4876" w:type="dxa"/>
          </w:tcPr>
          <w:p w:rsidR="00343C6C" w:rsidRPr="00FC4A49" w:rsidP="005D58F9" w14:paraId="33D44678" w14:textId="77777777">
            <w:pPr>
              <w:pStyle w:val="Normal6"/>
              <w:rPr>
                <w:szCs w:val="24"/>
                <w:lang w:val="en-GB"/>
              </w:rPr>
            </w:pPr>
            <w:r w:rsidRPr="00FC4A49">
              <w:rPr>
                <w:lang w:val="en-GB"/>
              </w:rPr>
              <w:t>(22)</w:t>
            </w:r>
            <w:r w:rsidRPr="00FC4A49">
              <w:rPr>
                <w:lang w:val="en-GB"/>
              </w:rPr>
              <w:tab/>
              <w:t xml:space="preserve">Evasive behaviour from shipping companies is problematic, in particular as it can undermine the environmental integrity of the EU ETS. In order to reduce the risk of evasive port calls by containerships to ports outside the Union and the relocation of container transhipment activities outside the Union, Directive 2003/87/EC provides for an exclusion from the definition of ‘port of call’ of stops of containerships in a neighbouring container transhipment port identified in the implementing acts adopted pursuant to Article 3ga(2) of that Directive. However, the criterion related to the port’s share of transhipment of containers may not adequately cover ports outside the Union that have a high potential to attract transhipment activities from Union ports and where the transhipment of containers accounts for most container traffic. It is therefore appropriate to set this criterion at 50 % instead of 65 %. In addition, it is appropriate to exclude from the definition of ‘port of call’ ports with the necessary infrastructure for container transhipment activities that are located in the Union’s immediate vicinity, namely within </w:t>
            </w:r>
            <w:r w:rsidRPr="00FC4A49">
              <w:rPr>
                <w:b/>
                <w:i/>
                <w:lang w:val="en-GB"/>
              </w:rPr>
              <w:t>300</w:t>
            </w:r>
            <w:r w:rsidRPr="00FC4A49">
              <w:rPr>
                <w:lang w:val="en-GB"/>
              </w:rPr>
              <w:t xml:space="preserve"> nautical miles from a port under the jurisdiction of a Member State. To ensure the proportionality of the measure and that it results in equal treatment, account should be taken of measures in third countries that have an effect equivalent to Directive 2003/87/EC. This includes ports in a third country with whom an ETS linking </w:t>
            </w:r>
            <w:r w:rsidRPr="00FC4A49">
              <w:rPr>
                <w:lang w:val="en-GB"/>
              </w:rPr>
              <w:t>agreement is in place. To better capture major disruptions in the shipping market, which can rapidly alter container transhipment patterns, the Commission should review the validity of the list that identifies neighbouring container transhipment ports once a year instead of once every two years. However, for reasons of administrative efficiency, the Commission should be empowered to adopt implementing acts that amend the list of neighbouring container transhipment ports only where necessary, for example where a port ceases to meet the criteria to be identified as a neighbouring container transhipment port. In order to further reduce the risk of evasive port calls outside of the Union and the relocation of container transhipment activities outside of the Union, it is appropriate to provide for a complementary measure. Such measure should consist in a temporary derogation from the surrender obligations under Directive 2003/87/EC in respect of certain maritime transport activities by large containerships that perform long-distance voyages between ports outside the Union and Union ports.</w:t>
            </w:r>
          </w:p>
        </w:tc>
      </w:tr>
    </w:tbl>
    <w:p w:rsidR="00343C6C" w:rsidRPr="00FC4A49" w:rsidP="00343C6C" w14:paraId="2A95BE87"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DBAFC9C" w14:textId="77777777">
      <w:r w:rsidRPr="00FC4A49">
        <w:rPr>
          <w:rStyle w:val="HideTWBExt"/>
        </w:rPr>
        <w:t>&lt;/Amend&gt;</w:t>
      </w:r>
    </w:p>
    <w:p w:rsidR="00343C6C" w:rsidRPr="00FC4A49" w:rsidP="00343C6C" w14:paraId="5A4C6FD4"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181</w:t>
      </w:r>
      <w:r w:rsidRPr="00FC4A49">
        <w:rPr>
          <w:rStyle w:val="HideTWBExt"/>
          <w:b w:val="0"/>
          <w:lang w:val="en-GB"/>
        </w:rPr>
        <w:t>&lt;/NumAm&gt;</w:t>
      </w:r>
    </w:p>
    <w:p w:rsidR="00343C6C" w:rsidRPr="00FC4A49" w:rsidP="00343C6C" w14:paraId="416AF2AE" w14:textId="77777777">
      <w:pPr>
        <w:pStyle w:val="NormalBold"/>
      </w:pPr>
      <w:r w:rsidRPr="00FC4A49">
        <w:rPr>
          <w:rStyle w:val="HideTWBExt"/>
          <w:b w:val="0"/>
        </w:rPr>
        <w:t>&lt;RepeatBlock-By&gt;&lt;Members&gt;</w:t>
      </w:r>
      <w:r w:rsidRPr="00FC4A49">
        <w:t xml:space="preserve">Jens Gieseke, Ralf Seekatz, Sophia Kircher, Norbert Herhammer, Gheorghe Falcă, Andrea Wechsler, David McAllister, Borja Giménez </w:t>
      </w:r>
      <w:r w:rsidRPr="00FC4A49">
        <w:t>Larraz</w:t>
      </w:r>
      <w:r w:rsidRPr="00FC4A49">
        <w:t>, Isabelle Le Callennec</w:t>
      </w:r>
      <w:r w:rsidRPr="00FC4A49">
        <w:rPr>
          <w:rStyle w:val="HideTWBExt"/>
          <w:b w:val="0"/>
        </w:rPr>
        <w:t>&lt;/Members&gt;</w:t>
      </w:r>
    </w:p>
    <w:p w:rsidR="00343C6C" w:rsidRPr="00FC4A49" w:rsidP="00343C6C" w14:paraId="3EECCECF" w14:textId="77777777">
      <w:r w:rsidRPr="00FC4A49">
        <w:rPr>
          <w:rStyle w:val="HideTWBExt"/>
        </w:rPr>
        <w:t>&lt;/RepeatBlock-By&gt;</w:t>
      </w:r>
    </w:p>
    <w:p w:rsidR="00343C6C" w:rsidRPr="00FC4A49" w:rsidP="00343C6C" w14:paraId="1DC6AD9F"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9FF7F1B" w14:textId="77777777">
      <w:pPr>
        <w:pStyle w:val="NormalBold"/>
      </w:pPr>
      <w:r w:rsidRPr="00FC4A49">
        <w:rPr>
          <w:rStyle w:val="HideTWBExt"/>
          <w:b w:val="0"/>
        </w:rPr>
        <w:t>&lt;Article&gt;</w:t>
      </w:r>
      <w:r w:rsidRPr="00FC4A49">
        <w:t>Recital 22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3990BA"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9BC208E" w14:textId="77777777">
            <w:pPr>
              <w:keepNext/>
            </w:pPr>
          </w:p>
        </w:tc>
      </w:tr>
      <w:tr w14:paraId="747E86E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871D854" w14:textId="77777777">
            <w:pPr>
              <w:pStyle w:val="ColumnHeading"/>
              <w:keepNext/>
              <w:rPr>
                <w:lang w:val="en-GB"/>
              </w:rPr>
            </w:pPr>
            <w:r w:rsidRPr="00FC4A49">
              <w:rPr>
                <w:lang w:val="en-GB"/>
              </w:rPr>
              <w:t>Text proposed by the Commission</w:t>
            </w:r>
          </w:p>
        </w:tc>
        <w:tc>
          <w:tcPr>
            <w:tcW w:w="4876" w:type="dxa"/>
          </w:tcPr>
          <w:p w:rsidR="00343C6C" w:rsidRPr="00FC4A49" w:rsidP="005D58F9" w14:paraId="72850786" w14:textId="77777777">
            <w:pPr>
              <w:pStyle w:val="ColumnHeading"/>
              <w:keepNext/>
              <w:rPr>
                <w:lang w:val="en-GB"/>
              </w:rPr>
            </w:pPr>
            <w:r w:rsidRPr="00FC4A49">
              <w:rPr>
                <w:lang w:val="en-GB"/>
              </w:rPr>
              <w:t>Amendment</w:t>
            </w:r>
          </w:p>
        </w:tc>
      </w:tr>
      <w:tr w14:paraId="7B204B2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50B3DFD" w14:textId="77777777">
            <w:pPr>
              <w:pStyle w:val="Normal6"/>
              <w:rPr>
                <w:lang w:val="en-GB"/>
              </w:rPr>
            </w:pPr>
          </w:p>
        </w:tc>
        <w:tc>
          <w:tcPr>
            <w:tcW w:w="4876" w:type="dxa"/>
          </w:tcPr>
          <w:p w:rsidR="00343C6C" w:rsidRPr="00FC4A49" w:rsidP="005D58F9" w14:paraId="0B55F18C" w14:textId="77777777">
            <w:pPr>
              <w:pStyle w:val="Normal6"/>
              <w:rPr>
                <w:szCs w:val="24"/>
                <w:lang w:val="en-GB"/>
              </w:rPr>
            </w:pPr>
            <w:r w:rsidRPr="00FC4A49">
              <w:rPr>
                <w:b/>
                <w:i/>
                <w:lang w:val="en-GB"/>
              </w:rPr>
              <w:t>(22a)</w:t>
            </w:r>
            <w:r w:rsidRPr="00FC4A49">
              <w:rPr>
                <w:b/>
                <w:i/>
                <w:lang w:val="en-GB"/>
              </w:rPr>
              <w:tab/>
              <w:t xml:space="preserve">Transhipment activity provides the critical mass required to retain direct deep-sea connectivity, port and terminal investment, strategic logistics knowledge and control of cargo-flow data within the Union. Preventing carbon and business leakage is therefore relevant not only to </w:t>
            </w:r>
            <w:r w:rsidRPr="00FC4A49">
              <w:rPr>
                <w:b/>
                <w:i/>
                <w:lang w:val="en-GB"/>
              </w:rPr>
              <w:t>port competitiveness, but also to the resilience of Union supply chains, security of supply and open strategic autonomy. Measures under this Directive should reduce global emissions without creating incentives to relocate traffic, infrastructure, investment, data and decision-making outside the Union.</w:t>
            </w:r>
          </w:p>
        </w:tc>
      </w:tr>
    </w:tbl>
    <w:p w:rsidR="00343C6C" w:rsidRPr="00FC4A49" w:rsidP="00343C6C" w14:paraId="20EFA8A1"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524E867" w14:textId="77777777">
      <w:r w:rsidRPr="00FC4A49">
        <w:rPr>
          <w:rStyle w:val="HideTWBExt"/>
        </w:rPr>
        <w:t>&lt;/Amend&gt;</w:t>
      </w:r>
    </w:p>
    <w:p w:rsidR="00343C6C" w:rsidRPr="00FC4A49" w:rsidP="00343C6C" w14:paraId="2BE20394"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182</w:t>
      </w:r>
      <w:r w:rsidRPr="00FC4A49">
        <w:rPr>
          <w:rStyle w:val="HideTWBExt"/>
          <w:b w:val="0"/>
          <w:lang w:val="en-GB"/>
        </w:rPr>
        <w:t>&lt;/NumAm&gt;</w:t>
      </w:r>
    </w:p>
    <w:p w:rsidR="00343C6C" w:rsidRPr="00FC4A49" w:rsidP="00343C6C" w14:paraId="18B0213B" w14:textId="77777777">
      <w:pPr>
        <w:pStyle w:val="NormalBold"/>
      </w:pPr>
      <w:r w:rsidRPr="00FC4A49">
        <w:rPr>
          <w:rStyle w:val="HideTWBExt"/>
          <w:b w:val="0"/>
        </w:rPr>
        <w:t>&lt;RepeatBlock-By&gt;&lt;Members&gt;</w:t>
      </w:r>
      <w:r w:rsidRPr="00FC4A49">
        <w:t xml:space="preserve">Dolors Montserrat, Nicolás Pascual de la </w:t>
      </w:r>
      <w:r w:rsidRPr="00FC4A49">
        <w:t>Parte</w:t>
      </w:r>
      <w:r w:rsidRPr="00FC4A49">
        <w:t xml:space="preserve">, Rosa </w:t>
      </w:r>
      <w:r w:rsidRPr="00FC4A49">
        <w:t>Estaràs</w:t>
      </w:r>
      <w:r w:rsidRPr="00FC4A49">
        <w:t xml:space="preserve"> Ferragut, Adrián Vázquez </w:t>
      </w:r>
      <w:r w:rsidRPr="00FC4A49">
        <w:t>Lázara</w:t>
      </w:r>
      <w:r w:rsidRPr="00FC4A49">
        <w:t xml:space="preserve">, Esteban González Pons, Juan Ignacio Zoido Álvarez, Carmen Crespo Díaz, Susana Solís Pérez, Esther Herranz García, Pablo Arias Echeverría, Fernando Navarrete Rojas, Raúl de la Hoz Quintano, Gabriel Mato, Isabel Benjumea </w:t>
      </w:r>
      <w:r w:rsidRPr="00FC4A49">
        <w:t>Benjumea</w:t>
      </w:r>
      <w:r w:rsidRPr="00FC4A49">
        <w:t xml:space="preserve">, Elena Nevado del Campo, Alma </w:t>
      </w:r>
      <w:r w:rsidRPr="00FC4A49">
        <w:t>Ezcurra</w:t>
      </w:r>
      <w:r w:rsidRPr="00FC4A49">
        <w:t xml:space="preserve"> Almansa, Pilar del Castillo Vera, Maravillas Abadía Jover, Borja Giménez </w:t>
      </w:r>
      <w:r w:rsidRPr="00FC4A49">
        <w:t>Larraz</w:t>
      </w:r>
      <w:r w:rsidRPr="00FC4A49">
        <w:t>, Antonio López-</w:t>
      </w:r>
      <w:r w:rsidRPr="00FC4A49">
        <w:t>Istúriz</w:t>
      </w:r>
      <w:r w:rsidRPr="00FC4A49">
        <w:t xml:space="preserve"> White, Javier Zarzalejos, Francisco José Millán Mon</w:t>
      </w:r>
      <w:r w:rsidRPr="00FC4A49">
        <w:rPr>
          <w:rStyle w:val="HideTWBExt"/>
          <w:b w:val="0"/>
        </w:rPr>
        <w:t>&lt;/Members&gt;</w:t>
      </w:r>
    </w:p>
    <w:p w:rsidR="00343C6C" w:rsidRPr="00FC4A49" w:rsidP="00343C6C" w14:paraId="37F78D74" w14:textId="77777777">
      <w:r w:rsidRPr="00FC4A49">
        <w:rPr>
          <w:rStyle w:val="HideTWBExt"/>
        </w:rPr>
        <w:t>&lt;/RepeatBlock-By&gt;</w:t>
      </w:r>
    </w:p>
    <w:p w:rsidR="00343C6C" w:rsidRPr="00FC4A49" w:rsidP="00343C6C" w14:paraId="2EFA7DBF"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AB6E3B9" w14:textId="77777777">
      <w:pPr>
        <w:pStyle w:val="NormalBold"/>
      </w:pPr>
      <w:r w:rsidRPr="00FC4A49">
        <w:rPr>
          <w:rStyle w:val="HideTWBExt"/>
          <w:b w:val="0"/>
        </w:rPr>
        <w:t>&lt;Article&gt;</w:t>
      </w:r>
      <w:r w:rsidRPr="00FC4A49">
        <w:t>Recital 22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37443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54B1A28" w14:textId="77777777">
            <w:pPr>
              <w:keepNext/>
            </w:pPr>
          </w:p>
        </w:tc>
      </w:tr>
      <w:tr w14:paraId="4C3736E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C413AC9" w14:textId="77777777">
            <w:pPr>
              <w:pStyle w:val="ColumnHeading"/>
              <w:keepNext/>
              <w:rPr>
                <w:lang w:val="en-GB"/>
              </w:rPr>
            </w:pPr>
            <w:r w:rsidRPr="00FC4A49">
              <w:rPr>
                <w:lang w:val="en-GB"/>
              </w:rPr>
              <w:t>Text proposed by the Commission</w:t>
            </w:r>
          </w:p>
        </w:tc>
        <w:tc>
          <w:tcPr>
            <w:tcW w:w="4876" w:type="dxa"/>
          </w:tcPr>
          <w:p w:rsidR="00343C6C" w:rsidRPr="00FC4A49" w:rsidP="005D58F9" w14:paraId="1D79296F" w14:textId="77777777">
            <w:pPr>
              <w:pStyle w:val="ColumnHeading"/>
              <w:keepNext/>
              <w:rPr>
                <w:lang w:val="en-GB"/>
              </w:rPr>
            </w:pPr>
            <w:r w:rsidRPr="00FC4A49">
              <w:rPr>
                <w:lang w:val="en-GB"/>
              </w:rPr>
              <w:t>Amendment</w:t>
            </w:r>
          </w:p>
        </w:tc>
      </w:tr>
      <w:tr w14:paraId="60A83F2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D4222DE" w14:textId="77777777">
            <w:pPr>
              <w:pStyle w:val="Normal6"/>
              <w:rPr>
                <w:lang w:val="en-GB"/>
              </w:rPr>
            </w:pPr>
          </w:p>
        </w:tc>
        <w:tc>
          <w:tcPr>
            <w:tcW w:w="4876" w:type="dxa"/>
          </w:tcPr>
          <w:p w:rsidR="00343C6C" w:rsidRPr="00FC4A49" w:rsidP="005D58F9" w14:paraId="6D408E84" w14:textId="77777777">
            <w:pPr>
              <w:pStyle w:val="Normal6"/>
              <w:rPr>
                <w:szCs w:val="24"/>
                <w:lang w:val="en-GB"/>
              </w:rPr>
            </w:pPr>
            <w:r w:rsidRPr="00FC4A49">
              <w:rPr>
                <w:b/>
                <w:i/>
                <w:lang w:val="en-GB"/>
              </w:rPr>
              <w:t>(22a)</w:t>
            </w:r>
            <w:r w:rsidRPr="00FC4A49">
              <w:rPr>
                <w:b/>
                <w:i/>
                <w:lang w:val="en-GB"/>
              </w:rPr>
              <w:tab/>
              <w:t>Transhipment activity provides the critical mass required to retain direct deep-sea connectivity, port and terminal investment, strategic logistics knowledge and control of cargo-flow data within the Union. Preventing carbon and business leakage is therefore relevant not only to port competitiveness, but also to the resilience of Union supply chains, security of supply and open strategic autonomy. Measures under this Directive should reduce global emissions without creating incentives to relocate traffic, infrastructure, investment, data and decision-making outside the Union.</w:t>
            </w:r>
          </w:p>
        </w:tc>
      </w:tr>
    </w:tbl>
    <w:p w:rsidR="00343C6C" w:rsidRPr="00FC4A49" w:rsidP="00343C6C" w14:paraId="318AEBD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985A36B" w14:textId="77777777">
      <w:r w:rsidRPr="00FC4A49">
        <w:rPr>
          <w:rStyle w:val="HideTWBExt"/>
        </w:rPr>
        <w:t>&lt;/Amend&gt;</w:t>
      </w:r>
    </w:p>
    <w:p w:rsidR="00343C6C" w:rsidRPr="00FC4A49" w:rsidP="00343C6C" w14:paraId="399096B8"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183</w:t>
      </w:r>
      <w:r w:rsidRPr="00FC4A49">
        <w:rPr>
          <w:rStyle w:val="HideTWBExt"/>
          <w:b w:val="0"/>
          <w:lang w:val="en-GB"/>
        </w:rPr>
        <w:t>&lt;/NumAm&gt;</w:t>
      </w:r>
    </w:p>
    <w:p w:rsidR="00343C6C" w:rsidRPr="00FC4A49" w:rsidP="00343C6C" w14:paraId="7AF2D374" w14:textId="77777777">
      <w:pPr>
        <w:pStyle w:val="NormalBold"/>
      </w:pPr>
      <w:r w:rsidRPr="00FC4A49">
        <w:rPr>
          <w:rStyle w:val="HideTWBExt"/>
          <w:b w:val="0"/>
        </w:rPr>
        <w:t>&lt;RepeatBlock-By&gt;&lt;Members&gt;</w:t>
      </w:r>
      <w:r w:rsidRPr="00FC4A49">
        <w:t xml:space="preserve">Jens Gieseke, Ralf Seekatz, Sophia Kircher, Norbert Herhammer, Gheorghe Falcă, </w:t>
      </w:r>
      <w:r w:rsidRPr="00FC4A49">
        <w:t xml:space="preserve">Andrea Wechsler, David McAllister, Borja Giménez </w:t>
      </w:r>
      <w:r w:rsidRPr="00FC4A49">
        <w:t>Larraz</w:t>
      </w:r>
      <w:r w:rsidRPr="00FC4A49">
        <w:t>, Isabelle Le Callennec</w:t>
      </w:r>
      <w:r w:rsidRPr="00FC4A49">
        <w:rPr>
          <w:rStyle w:val="HideTWBExt"/>
          <w:b w:val="0"/>
        </w:rPr>
        <w:t>&lt;/Members&gt;</w:t>
      </w:r>
    </w:p>
    <w:p w:rsidR="00343C6C" w:rsidRPr="00FC4A49" w:rsidP="00343C6C" w14:paraId="50A6F556" w14:textId="77777777">
      <w:r w:rsidRPr="00FC4A49">
        <w:rPr>
          <w:rStyle w:val="HideTWBExt"/>
        </w:rPr>
        <w:t>&lt;/RepeatBlock-By&gt;</w:t>
      </w:r>
    </w:p>
    <w:p w:rsidR="00343C6C" w:rsidRPr="00FC4A49" w:rsidP="00343C6C" w14:paraId="301EC92C"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8186A2A" w14:textId="77777777">
      <w:pPr>
        <w:pStyle w:val="NormalBold"/>
      </w:pPr>
      <w:r w:rsidRPr="00FC4A49">
        <w:rPr>
          <w:rStyle w:val="HideTWBExt"/>
          <w:b w:val="0"/>
        </w:rPr>
        <w:t>&lt;Article&gt;</w:t>
      </w:r>
      <w:r w:rsidRPr="00FC4A49">
        <w:t>Recital 24</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B4B805"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BAD842E" w14:textId="77777777">
            <w:pPr>
              <w:keepNext/>
            </w:pPr>
          </w:p>
        </w:tc>
      </w:tr>
      <w:tr w14:paraId="7E2CBF2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2047374" w14:textId="77777777">
            <w:pPr>
              <w:pStyle w:val="ColumnHeading"/>
              <w:keepNext/>
              <w:rPr>
                <w:lang w:val="en-GB"/>
              </w:rPr>
            </w:pPr>
            <w:r w:rsidRPr="00FC4A49">
              <w:rPr>
                <w:lang w:val="en-GB"/>
              </w:rPr>
              <w:t>Text proposed by the Commission</w:t>
            </w:r>
          </w:p>
        </w:tc>
        <w:tc>
          <w:tcPr>
            <w:tcW w:w="4876" w:type="dxa"/>
          </w:tcPr>
          <w:p w:rsidR="00343C6C" w:rsidRPr="00FC4A49" w:rsidP="005D58F9" w14:paraId="5FCE0899" w14:textId="77777777">
            <w:pPr>
              <w:pStyle w:val="ColumnHeading"/>
              <w:keepNext/>
              <w:rPr>
                <w:lang w:val="en-GB"/>
              </w:rPr>
            </w:pPr>
            <w:r w:rsidRPr="00FC4A49">
              <w:rPr>
                <w:lang w:val="en-GB"/>
              </w:rPr>
              <w:t>Amendment</w:t>
            </w:r>
          </w:p>
        </w:tc>
      </w:tr>
      <w:tr w14:paraId="10B6D34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5AE38C0" w14:textId="77777777">
            <w:pPr>
              <w:pStyle w:val="Normal6"/>
              <w:rPr>
                <w:lang w:val="en-GB"/>
              </w:rPr>
            </w:pPr>
            <w:r w:rsidRPr="00FC4A49">
              <w:rPr>
                <w:lang w:val="en-GB"/>
              </w:rPr>
              <w:t>(24)</w:t>
            </w:r>
            <w:r w:rsidRPr="00FC4A49">
              <w:rPr>
                <w:lang w:val="en-GB"/>
              </w:rPr>
              <w:tab/>
              <w:t xml:space="preserve">Emissions from ships below 5 000 gross tonnage but not below 400 gross tonnage </w:t>
            </w:r>
            <w:r w:rsidRPr="00FC4A49">
              <w:rPr>
                <w:b/>
                <w:i/>
                <w:lang w:val="en-GB"/>
              </w:rPr>
              <w:t>represent about 15 % of emissions from ships under</w:t>
            </w:r>
            <w:r w:rsidRPr="00FC4A49">
              <w:rPr>
                <w:lang w:val="en-GB"/>
              </w:rPr>
              <w:t xml:space="preserve"> the scope of application of Directive 2003/87/EC</w:t>
            </w:r>
            <w:r w:rsidRPr="00FC4A49">
              <w:rPr>
                <w:b/>
                <w:i/>
                <w:lang w:val="en-GB"/>
              </w:rPr>
              <w:t>, but emissions from ships within that range are emitted by a large number of ships</w:t>
            </w:r>
            <w:r w:rsidRPr="00FC4A49">
              <w:rPr>
                <w:lang w:val="en-GB"/>
              </w:rPr>
              <w:t xml:space="preserve">. The inclusion of emissions from certain categories of ships </w:t>
            </w:r>
            <w:r w:rsidRPr="00FC4A49">
              <w:rPr>
                <w:b/>
                <w:i/>
                <w:lang w:val="en-GB"/>
              </w:rPr>
              <w:t>below 5 000 gross tonnage but not below 400 gross tonnage is beneficial to improve the effectiveness</w:t>
            </w:r>
            <w:r w:rsidRPr="00FC4A49">
              <w:rPr>
                <w:lang w:val="en-GB"/>
              </w:rPr>
              <w:t xml:space="preserve"> of the </w:t>
            </w:r>
            <w:r w:rsidRPr="00FC4A49">
              <w:rPr>
                <w:b/>
                <w:i/>
                <w:lang w:val="en-GB"/>
              </w:rPr>
              <w:t>EU ETS</w:t>
            </w:r>
            <w:r w:rsidRPr="00FC4A49">
              <w:rPr>
                <w:lang w:val="en-GB"/>
              </w:rPr>
              <w:t xml:space="preserve"> and the </w:t>
            </w:r>
            <w:r w:rsidRPr="00FC4A49">
              <w:rPr>
                <w:b/>
                <w:i/>
                <w:lang w:val="en-GB"/>
              </w:rPr>
              <w:t>level playing field with</w:t>
            </w:r>
            <w:r w:rsidRPr="00FC4A49">
              <w:rPr>
                <w:lang w:val="en-GB"/>
              </w:rPr>
              <w:t xml:space="preserve"> ships </w:t>
            </w:r>
            <w:r w:rsidRPr="00FC4A49">
              <w:rPr>
                <w:b/>
                <w:i/>
                <w:lang w:val="en-GB"/>
              </w:rPr>
              <w:t>of 5 000 gross tonnage and above and therefore those ships</w:t>
            </w:r>
            <w:r w:rsidRPr="00FC4A49">
              <w:rPr>
                <w:lang w:val="en-GB"/>
              </w:rPr>
              <w:t xml:space="preserve"> should </w:t>
            </w:r>
            <w:r w:rsidRPr="00FC4A49">
              <w:rPr>
                <w:b/>
                <w:i/>
                <w:lang w:val="en-GB"/>
              </w:rPr>
              <w:t>be included in the scope of this Directive</w:t>
            </w:r>
            <w:r w:rsidRPr="00FC4A49">
              <w:rPr>
                <w:lang w:val="en-GB"/>
              </w:rPr>
              <w:t xml:space="preserve">. No later than 31 December 2031, the Commission should present a report to the European Parliament and to the Council in which it should examine the feasibility and economic, environmental and social impacts of the inclusion in Directive 2003/87/EC of emissions from </w:t>
            </w:r>
            <w:r w:rsidRPr="00FC4A49">
              <w:rPr>
                <w:b/>
                <w:i/>
                <w:lang w:val="en-GB"/>
              </w:rPr>
              <w:t>ro</w:t>
            </w:r>
            <w:r w:rsidRPr="00FC4A49">
              <w:rPr>
                <w:b/>
                <w:i/>
                <w:lang w:val="en-GB"/>
              </w:rPr>
              <w:t>-pax ships and passenger</w:t>
            </w:r>
            <w:r w:rsidRPr="00FC4A49">
              <w:rPr>
                <w:lang w:val="en-GB"/>
              </w:rPr>
              <w:t xml:space="preserve"> ships below 5 000 gross tonnage.</w:t>
            </w:r>
            <w:r w:rsidRPr="00FC4A49">
              <w:rPr>
                <w:b/>
                <w:i/>
                <w:lang w:val="en-GB"/>
              </w:rPr>
              <w:t>”</w:t>
            </w:r>
          </w:p>
        </w:tc>
        <w:tc>
          <w:tcPr>
            <w:tcW w:w="4876" w:type="dxa"/>
          </w:tcPr>
          <w:p w:rsidR="00343C6C" w:rsidRPr="00FC4A49" w:rsidP="005D58F9" w14:paraId="57C3E1B5" w14:textId="77777777">
            <w:pPr>
              <w:pStyle w:val="Normal6"/>
              <w:rPr>
                <w:szCs w:val="24"/>
                <w:lang w:val="en-GB"/>
              </w:rPr>
            </w:pPr>
            <w:r w:rsidRPr="00FC4A49">
              <w:rPr>
                <w:lang w:val="en-GB"/>
              </w:rPr>
              <w:t>(24)</w:t>
            </w:r>
            <w:r w:rsidRPr="00FC4A49">
              <w:rPr>
                <w:lang w:val="en-GB"/>
              </w:rPr>
              <w:tab/>
              <w:t xml:space="preserve">Emissions from ships below 5 000 gross tonnage but not below 400 gross tonnage </w:t>
            </w:r>
            <w:r w:rsidRPr="00FC4A49">
              <w:rPr>
                <w:b/>
                <w:i/>
                <w:lang w:val="en-GB"/>
              </w:rPr>
              <w:t>should not be included</w:t>
            </w:r>
            <w:r w:rsidRPr="00FC4A49">
              <w:rPr>
                <w:lang w:val="en-GB"/>
              </w:rPr>
              <w:t xml:space="preserve"> </w:t>
            </w:r>
            <w:r w:rsidRPr="00FC4A49">
              <w:rPr>
                <w:b/>
                <w:i/>
                <w:lang w:val="en-GB"/>
              </w:rPr>
              <w:t>in</w:t>
            </w:r>
            <w:r w:rsidRPr="00FC4A49">
              <w:rPr>
                <w:lang w:val="en-GB"/>
              </w:rPr>
              <w:t xml:space="preserve"> the scope of application of Directive 2003/87/EC. The inclusion of emissions from certain categories of ships</w:t>
            </w:r>
            <w:r w:rsidRPr="00FC4A49">
              <w:rPr>
                <w:b/>
                <w:i/>
                <w:lang w:val="en-GB"/>
              </w:rPr>
              <w:t>, such as oil tankers, chemical tankers, gas carriers and LNG carriers, is premature due to the uncertainty with regard to the outcome</w:t>
            </w:r>
            <w:r w:rsidRPr="00FC4A49">
              <w:rPr>
                <w:lang w:val="en-GB"/>
              </w:rPr>
              <w:t xml:space="preserve"> of the </w:t>
            </w:r>
            <w:r w:rsidRPr="00FC4A49">
              <w:rPr>
                <w:b/>
                <w:i/>
                <w:lang w:val="en-GB"/>
              </w:rPr>
              <w:t>discussions in the International Maritime Organization (IMO) on the Net-Zero Framework</w:t>
            </w:r>
            <w:r w:rsidRPr="00FC4A49">
              <w:rPr>
                <w:lang w:val="en-GB"/>
              </w:rPr>
              <w:t xml:space="preserve"> and the </w:t>
            </w:r>
            <w:r w:rsidRPr="00FC4A49">
              <w:rPr>
                <w:b/>
                <w:i/>
                <w:lang w:val="en-GB"/>
              </w:rPr>
              <w:t>implementation of ETS2, as well as the increasing tensions in world energy supply due to the conflicts in Ukraine and the Middle East. At a time of rising energy prices, the</w:t>
            </w:r>
            <w:r w:rsidRPr="00FC4A49">
              <w:rPr>
                <w:lang w:val="en-GB"/>
              </w:rPr>
              <w:t xml:space="preserve"> ships </w:t>
            </w:r>
            <w:r w:rsidRPr="00FC4A49">
              <w:rPr>
                <w:b/>
                <w:i/>
                <w:lang w:val="en-GB"/>
              </w:rPr>
              <w:t>that carry energy products</w:t>
            </w:r>
            <w:r w:rsidRPr="00FC4A49">
              <w:rPr>
                <w:lang w:val="en-GB"/>
              </w:rPr>
              <w:t xml:space="preserve"> should </w:t>
            </w:r>
            <w:r w:rsidRPr="00FC4A49">
              <w:rPr>
                <w:b/>
                <w:i/>
                <w:lang w:val="en-GB"/>
              </w:rPr>
              <w:t>not be subject to further charges</w:t>
            </w:r>
            <w:r w:rsidRPr="00FC4A49">
              <w:rPr>
                <w:lang w:val="en-GB"/>
              </w:rPr>
              <w:t xml:space="preserve">. No later than 31 December 2031, the Commission should present a report to the European Parliament and to the Council in which it should examine the feasibility and economic, environmental and social impacts of the inclusion in Directive 2003/87/EC of emissions from </w:t>
            </w:r>
            <w:r w:rsidRPr="00FC4A49">
              <w:rPr>
                <w:b/>
                <w:i/>
                <w:lang w:val="en-GB"/>
              </w:rPr>
              <w:t>additional categories of</w:t>
            </w:r>
            <w:r w:rsidRPr="00FC4A49">
              <w:rPr>
                <w:lang w:val="en-GB"/>
              </w:rPr>
              <w:t xml:space="preserve"> ships below 5 000 gross tonnage </w:t>
            </w:r>
            <w:r w:rsidRPr="00FC4A49">
              <w:rPr>
                <w:b/>
                <w:i/>
                <w:lang w:val="en-GB"/>
              </w:rPr>
              <w:t>as from 2036</w:t>
            </w:r>
            <w:r w:rsidRPr="00FC4A49">
              <w:rPr>
                <w:lang w:val="en-GB"/>
              </w:rPr>
              <w:t xml:space="preserve">. </w:t>
            </w:r>
            <w:r w:rsidRPr="00FC4A49">
              <w:rPr>
                <w:b/>
                <w:i/>
                <w:lang w:val="en-GB"/>
              </w:rPr>
              <w:t>The report should assess, in particular, modal backshift from short-sea shipping to road, regional and feeder connectivity, effects on smaller ports and operators, the cumulative impact of Union legislation, availability of low- and zero-emission technologies, port-infrastructure needs, simplified monitoring, reporting and verification arrangements and developments at IMO level.</w:t>
            </w:r>
          </w:p>
        </w:tc>
      </w:tr>
    </w:tbl>
    <w:p w:rsidR="00343C6C" w:rsidRPr="00FC4A49" w:rsidP="00343C6C" w14:paraId="50D4A55C"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08D88E58" w14:textId="77777777">
      <w:r w:rsidRPr="00FC4A49">
        <w:rPr>
          <w:rStyle w:val="HideTWBExt"/>
        </w:rPr>
        <w:t>&lt;/Amend&gt;</w:t>
      </w:r>
    </w:p>
    <w:p w:rsidR="00343C6C" w:rsidRPr="00FC4A49" w:rsidP="00343C6C" w14:paraId="588F48EF"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184</w:t>
      </w:r>
      <w:r w:rsidRPr="00FC4A49">
        <w:rPr>
          <w:rStyle w:val="HideTWBExt"/>
          <w:b w:val="0"/>
          <w:lang w:val="en-GB"/>
        </w:rPr>
        <w:t>&lt;/NumAm&gt;</w:t>
      </w:r>
    </w:p>
    <w:p w:rsidR="00343C6C" w:rsidRPr="00FC4A49" w:rsidP="00343C6C" w14:paraId="0BEDEF24" w14:textId="77777777">
      <w:pPr>
        <w:pStyle w:val="NormalBold"/>
      </w:pPr>
      <w:r w:rsidRPr="00FC4A49">
        <w:rPr>
          <w:rStyle w:val="HideTWBExt"/>
          <w:b w:val="0"/>
        </w:rPr>
        <w:t>&lt;RepeatBlock-By&gt;&lt;Members&gt;</w:t>
      </w:r>
      <w:r w:rsidRPr="00FC4A49">
        <w:t xml:space="preserve">Dolors Montserrat, Nicolás Pascual de la </w:t>
      </w:r>
      <w:r w:rsidRPr="00FC4A49">
        <w:t>Parte</w:t>
      </w:r>
      <w:r w:rsidRPr="00FC4A49">
        <w:t xml:space="preserve">, Rosa </w:t>
      </w:r>
      <w:r w:rsidRPr="00FC4A49">
        <w:t>Estaràs</w:t>
      </w:r>
      <w:r w:rsidRPr="00FC4A49">
        <w:t xml:space="preserve"> Ferragut, Adrián Vázquez </w:t>
      </w:r>
      <w:r w:rsidRPr="00FC4A49">
        <w:t>Lázara</w:t>
      </w:r>
      <w:r w:rsidRPr="00FC4A49">
        <w:t xml:space="preserve">, Esteban González Pons, Juan Ignacio Zoido Álvarez, Carmen Crespo Díaz, Susana Solís Pérez, Esther Herranz García, Pablo Arias Echeverría, Fernando Navarrete Rojas, Raúl de la Hoz Quintano, Gabriel Mato, Isabel Benjumea </w:t>
      </w:r>
      <w:r w:rsidRPr="00FC4A49">
        <w:t>Benjumea</w:t>
      </w:r>
      <w:r w:rsidRPr="00FC4A49">
        <w:t xml:space="preserve">, Elena Nevado del Campo, Alma </w:t>
      </w:r>
      <w:r w:rsidRPr="00FC4A49">
        <w:t>Ezcurra</w:t>
      </w:r>
      <w:r w:rsidRPr="00FC4A49">
        <w:t xml:space="preserve"> Almansa, Pilar del Castillo Vera, Maravillas Abadía Jover, Borja Giménez </w:t>
      </w:r>
      <w:r w:rsidRPr="00FC4A49">
        <w:t>Larraz</w:t>
      </w:r>
      <w:r w:rsidRPr="00FC4A49">
        <w:t>, Antonio López-</w:t>
      </w:r>
      <w:r w:rsidRPr="00FC4A49">
        <w:t>Istúriz</w:t>
      </w:r>
      <w:r w:rsidRPr="00FC4A49">
        <w:t xml:space="preserve"> White, Javier Zarzalejos, Francisco José Millán Mon</w:t>
      </w:r>
      <w:r w:rsidRPr="00FC4A49">
        <w:rPr>
          <w:rStyle w:val="HideTWBExt"/>
          <w:b w:val="0"/>
        </w:rPr>
        <w:t>&lt;/Members&gt;</w:t>
      </w:r>
    </w:p>
    <w:p w:rsidR="00343C6C" w:rsidRPr="00FC4A49" w:rsidP="00343C6C" w14:paraId="41FBE449" w14:textId="77777777">
      <w:r w:rsidRPr="00FC4A49">
        <w:rPr>
          <w:rStyle w:val="HideTWBExt"/>
        </w:rPr>
        <w:t>&lt;/RepeatBlock-By&gt;</w:t>
      </w:r>
    </w:p>
    <w:p w:rsidR="00343C6C" w:rsidRPr="00FC4A49" w:rsidP="00343C6C" w14:paraId="7771A4CD"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DCC35F8" w14:textId="77777777">
      <w:pPr>
        <w:pStyle w:val="NormalBold"/>
      </w:pPr>
      <w:r w:rsidRPr="00FC4A49">
        <w:rPr>
          <w:rStyle w:val="HideTWBExt"/>
          <w:b w:val="0"/>
        </w:rPr>
        <w:t>&lt;Article&gt;</w:t>
      </w:r>
      <w:r w:rsidRPr="00FC4A49">
        <w:t>Recital 24</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9424D5"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7E3F61B4" w14:textId="77777777">
            <w:pPr>
              <w:keepNext/>
            </w:pPr>
          </w:p>
        </w:tc>
      </w:tr>
      <w:tr w14:paraId="71E7A04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E55F5B1" w14:textId="77777777">
            <w:pPr>
              <w:pStyle w:val="ColumnHeading"/>
              <w:keepNext/>
              <w:rPr>
                <w:lang w:val="en-GB"/>
              </w:rPr>
            </w:pPr>
            <w:r w:rsidRPr="00FC4A49">
              <w:rPr>
                <w:lang w:val="en-GB"/>
              </w:rPr>
              <w:t>Text proposed by the Commission</w:t>
            </w:r>
          </w:p>
        </w:tc>
        <w:tc>
          <w:tcPr>
            <w:tcW w:w="4876" w:type="dxa"/>
          </w:tcPr>
          <w:p w:rsidR="00343C6C" w:rsidRPr="00FC4A49" w:rsidP="005D58F9" w14:paraId="32BF59DF" w14:textId="77777777">
            <w:pPr>
              <w:pStyle w:val="ColumnHeading"/>
              <w:keepNext/>
              <w:rPr>
                <w:lang w:val="en-GB"/>
              </w:rPr>
            </w:pPr>
            <w:r w:rsidRPr="00FC4A49">
              <w:rPr>
                <w:lang w:val="en-GB"/>
              </w:rPr>
              <w:t>Amendment</w:t>
            </w:r>
          </w:p>
        </w:tc>
      </w:tr>
      <w:tr w14:paraId="22367E4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DFD46BE" w14:textId="77777777">
            <w:pPr>
              <w:pStyle w:val="Normal6"/>
              <w:rPr>
                <w:lang w:val="en-GB"/>
              </w:rPr>
            </w:pPr>
            <w:r w:rsidRPr="00FC4A49">
              <w:rPr>
                <w:lang w:val="en-GB"/>
              </w:rPr>
              <w:t>(24)</w:t>
            </w:r>
            <w:r w:rsidRPr="00FC4A49">
              <w:rPr>
                <w:lang w:val="en-GB"/>
              </w:rPr>
              <w:tab/>
              <w:t xml:space="preserve">Emissions from ships below 5 000 gross tonnage but not below 400 gross tonnage </w:t>
            </w:r>
            <w:r w:rsidRPr="00FC4A49">
              <w:rPr>
                <w:b/>
                <w:i/>
                <w:lang w:val="en-GB"/>
              </w:rPr>
              <w:t>represent about 15 % of emissions from ships under</w:t>
            </w:r>
            <w:r w:rsidRPr="00FC4A49">
              <w:rPr>
                <w:lang w:val="en-GB"/>
              </w:rPr>
              <w:t xml:space="preserve"> the scope of application of Directive 2003/87/EC</w:t>
            </w:r>
            <w:r w:rsidRPr="00FC4A49">
              <w:rPr>
                <w:b/>
                <w:i/>
                <w:lang w:val="en-GB"/>
              </w:rPr>
              <w:t>, but emissions from ships within that range are emitted by a large number of ships</w:t>
            </w:r>
            <w:r w:rsidRPr="00FC4A49">
              <w:rPr>
                <w:lang w:val="en-GB"/>
              </w:rPr>
              <w:t xml:space="preserve">. The inclusion of emissions from certain categories of ships </w:t>
            </w:r>
            <w:r w:rsidRPr="00FC4A49">
              <w:rPr>
                <w:b/>
                <w:i/>
                <w:lang w:val="en-GB"/>
              </w:rPr>
              <w:t>below 5 000 gross tonnage but not below 400 gross tonnage is beneficial to improve the effectiveness</w:t>
            </w:r>
            <w:r w:rsidRPr="00FC4A49">
              <w:rPr>
                <w:lang w:val="en-GB"/>
              </w:rPr>
              <w:t xml:space="preserve"> of the </w:t>
            </w:r>
            <w:r w:rsidRPr="00FC4A49">
              <w:rPr>
                <w:b/>
                <w:i/>
                <w:lang w:val="en-GB"/>
              </w:rPr>
              <w:t>EU ETS</w:t>
            </w:r>
            <w:r w:rsidRPr="00FC4A49">
              <w:rPr>
                <w:lang w:val="en-GB"/>
              </w:rPr>
              <w:t xml:space="preserve"> and the </w:t>
            </w:r>
            <w:r w:rsidRPr="00FC4A49">
              <w:rPr>
                <w:b/>
                <w:i/>
                <w:lang w:val="en-GB"/>
              </w:rPr>
              <w:t>level playing field with</w:t>
            </w:r>
            <w:r w:rsidRPr="00FC4A49">
              <w:rPr>
                <w:lang w:val="en-GB"/>
              </w:rPr>
              <w:t xml:space="preserve"> ships </w:t>
            </w:r>
            <w:r w:rsidRPr="00FC4A49">
              <w:rPr>
                <w:b/>
                <w:i/>
                <w:lang w:val="en-GB"/>
              </w:rPr>
              <w:t>of 5 000 gross tonnage and above and therefore those ships</w:t>
            </w:r>
            <w:r w:rsidRPr="00FC4A49">
              <w:rPr>
                <w:lang w:val="en-GB"/>
              </w:rPr>
              <w:t xml:space="preserve"> should </w:t>
            </w:r>
            <w:r w:rsidRPr="00FC4A49">
              <w:rPr>
                <w:b/>
                <w:i/>
                <w:lang w:val="en-GB"/>
              </w:rPr>
              <w:t>be included in the scope of this Directive</w:t>
            </w:r>
            <w:r w:rsidRPr="00FC4A49">
              <w:rPr>
                <w:lang w:val="en-GB"/>
              </w:rPr>
              <w:t xml:space="preserve">. No later than 31 December 2031, the Commission should present a report to the European Parliament and to the Council in which it should examine the feasibility and economic, environmental and social impacts of the inclusion in Directive 2003/87/EC of emissions from </w:t>
            </w:r>
            <w:r w:rsidRPr="00FC4A49">
              <w:rPr>
                <w:b/>
                <w:i/>
                <w:lang w:val="en-GB"/>
              </w:rPr>
              <w:t>ro</w:t>
            </w:r>
            <w:r w:rsidRPr="00FC4A49">
              <w:rPr>
                <w:b/>
                <w:i/>
                <w:lang w:val="en-GB"/>
              </w:rPr>
              <w:t>-pax ships and passenger</w:t>
            </w:r>
            <w:r w:rsidRPr="00FC4A49">
              <w:rPr>
                <w:lang w:val="en-GB"/>
              </w:rPr>
              <w:t xml:space="preserve"> ships below 5 000 gross tonnage.</w:t>
            </w:r>
            <w:r w:rsidRPr="00FC4A49">
              <w:rPr>
                <w:b/>
                <w:i/>
                <w:lang w:val="en-GB"/>
              </w:rPr>
              <w:t>”</w:t>
            </w:r>
          </w:p>
        </w:tc>
        <w:tc>
          <w:tcPr>
            <w:tcW w:w="4876" w:type="dxa"/>
          </w:tcPr>
          <w:p w:rsidR="00343C6C" w:rsidRPr="00FC4A49" w:rsidP="005D58F9" w14:paraId="588FDDA2" w14:textId="77777777">
            <w:pPr>
              <w:pStyle w:val="Normal6"/>
              <w:rPr>
                <w:szCs w:val="24"/>
                <w:lang w:val="en-GB"/>
              </w:rPr>
            </w:pPr>
            <w:r w:rsidRPr="00FC4A49">
              <w:rPr>
                <w:lang w:val="en-GB"/>
              </w:rPr>
              <w:t>(24)</w:t>
            </w:r>
            <w:r w:rsidRPr="00FC4A49">
              <w:rPr>
                <w:lang w:val="en-GB"/>
              </w:rPr>
              <w:tab/>
              <w:t xml:space="preserve">Emissions from ships below 5 000 gross tonnage but not below 400 gross tonnage </w:t>
            </w:r>
            <w:r w:rsidRPr="00FC4A49">
              <w:rPr>
                <w:b/>
                <w:i/>
                <w:lang w:val="en-GB"/>
              </w:rPr>
              <w:t>should not be included in</w:t>
            </w:r>
            <w:r w:rsidRPr="00FC4A49">
              <w:rPr>
                <w:lang w:val="en-GB"/>
              </w:rPr>
              <w:t xml:space="preserve"> the scope of application of Directive 2003/87/EC. The inclusion of emissions from certain categories of ships</w:t>
            </w:r>
            <w:r w:rsidRPr="00FC4A49">
              <w:rPr>
                <w:b/>
                <w:i/>
                <w:lang w:val="en-GB"/>
              </w:rPr>
              <w:t>, as oil tankers, chemical tankers, gas carriers and LNG carriers, is premature due to the uncertainty with regards to the outcome</w:t>
            </w:r>
            <w:r w:rsidRPr="00FC4A49">
              <w:rPr>
                <w:lang w:val="en-GB"/>
              </w:rPr>
              <w:t xml:space="preserve"> of the </w:t>
            </w:r>
            <w:r w:rsidRPr="00FC4A49">
              <w:rPr>
                <w:b/>
                <w:i/>
                <w:lang w:val="en-GB"/>
              </w:rPr>
              <w:t>discussions in the International Maritime Organization (IMO) on the Net-Zero Framework</w:t>
            </w:r>
            <w:r w:rsidRPr="00FC4A49">
              <w:rPr>
                <w:lang w:val="en-GB"/>
              </w:rPr>
              <w:t xml:space="preserve"> and the </w:t>
            </w:r>
            <w:r w:rsidRPr="00FC4A49">
              <w:rPr>
                <w:b/>
                <w:i/>
                <w:lang w:val="en-GB"/>
              </w:rPr>
              <w:t>implementation of ETS2, as well as the increasing tensions in world energy supply due to the conflicts in Ukraine and the Middle East. At a time of rising energy prices, the</w:t>
            </w:r>
            <w:r w:rsidRPr="00FC4A49">
              <w:rPr>
                <w:lang w:val="en-GB"/>
              </w:rPr>
              <w:t xml:space="preserve"> ships </w:t>
            </w:r>
            <w:r w:rsidRPr="00FC4A49">
              <w:rPr>
                <w:b/>
                <w:i/>
                <w:lang w:val="en-GB"/>
              </w:rPr>
              <w:t>that carry energy products</w:t>
            </w:r>
            <w:r w:rsidRPr="00FC4A49">
              <w:rPr>
                <w:lang w:val="en-GB"/>
              </w:rPr>
              <w:t xml:space="preserve"> should </w:t>
            </w:r>
            <w:r w:rsidRPr="00FC4A49">
              <w:rPr>
                <w:b/>
                <w:i/>
                <w:lang w:val="en-GB"/>
              </w:rPr>
              <w:t>not be subject to further charges</w:t>
            </w:r>
            <w:r w:rsidRPr="00FC4A49">
              <w:rPr>
                <w:lang w:val="en-GB"/>
              </w:rPr>
              <w:t xml:space="preserve">. No later than 31 December 2031, the Commission should present a report to the European Parliament and to the Council in which it should examine the feasibility and economic, environmental and social impacts of the inclusion in Directive 2003/87/EC of emissions from </w:t>
            </w:r>
            <w:r w:rsidRPr="00FC4A49">
              <w:rPr>
                <w:b/>
                <w:i/>
                <w:lang w:val="en-GB"/>
              </w:rPr>
              <w:t>additional categories of</w:t>
            </w:r>
            <w:r w:rsidRPr="00FC4A49">
              <w:rPr>
                <w:lang w:val="en-GB"/>
              </w:rPr>
              <w:t xml:space="preserve"> ships below 5 000 gross tonnage </w:t>
            </w:r>
            <w:r w:rsidRPr="00FC4A49">
              <w:rPr>
                <w:b/>
                <w:i/>
                <w:lang w:val="en-GB"/>
              </w:rPr>
              <w:t>as from 2036</w:t>
            </w:r>
            <w:r w:rsidRPr="00FC4A49">
              <w:rPr>
                <w:lang w:val="en-GB"/>
              </w:rPr>
              <w:t xml:space="preserve">. </w:t>
            </w:r>
            <w:r w:rsidRPr="00FC4A49">
              <w:rPr>
                <w:b/>
                <w:i/>
                <w:lang w:val="en-GB"/>
              </w:rPr>
              <w:t xml:space="preserve">The report should assess, in particular, modal backshift from short-sea shipping to road, regional and feeder connectivity, effects on smaller ports and operators, the cumulative impact of Union legislation, availability of low- and zero-emission technologies, port-infrastructure needs, simplified monitoring, reporting and verification </w:t>
            </w:r>
            <w:r w:rsidRPr="00FC4A49">
              <w:rPr>
                <w:b/>
                <w:i/>
                <w:lang w:val="en-GB"/>
              </w:rPr>
              <w:t>arrangements and developments at IMO level.</w:t>
            </w:r>
          </w:p>
        </w:tc>
      </w:tr>
    </w:tbl>
    <w:p w:rsidR="00343C6C" w:rsidRPr="00FC4A49" w:rsidP="00343C6C" w14:paraId="1F97F969"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447F5C8" w14:textId="77777777">
      <w:r w:rsidRPr="00FC4A49">
        <w:rPr>
          <w:rStyle w:val="HideTWBExt"/>
        </w:rPr>
        <w:t>&lt;/Amend&gt;</w:t>
      </w:r>
    </w:p>
    <w:p w:rsidR="00343C6C" w:rsidRPr="00FC4A49" w:rsidP="00343C6C" w14:paraId="5BE8EE8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185</w:t>
      </w:r>
      <w:r w:rsidRPr="00FC4A49">
        <w:rPr>
          <w:rStyle w:val="HideTWBExt"/>
          <w:b w:val="0"/>
          <w:lang w:val="en-GB"/>
        </w:rPr>
        <w:t>&lt;/NumAm&gt;</w:t>
      </w:r>
    </w:p>
    <w:p w:rsidR="00343C6C" w:rsidRPr="00FC4A49" w:rsidP="00343C6C" w14:paraId="12145C89" w14:textId="77777777">
      <w:pPr>
        <w:pStyle w:val="NormalBold"/>
      </w:pPr>
      <w:r w:rsidRPr="00FC4A49">
        <w:rPr>
          <w:rStyle w:val="HideTWBExt"/>
          <w:b w:val="0"/>
        </w:rPr>
        <w:t>&lt;RepeatBlock-By&gt;&lt;Members&gt;</w:t>
      </w:r>
      <w:r w:rsidRPr="00FC4A49">
        <w:t>Niels Flemming Hansen</w:t>
      </w:r>
      <w:r w:rsidRPr="00FC4A49">
        <w:rPr>
          <w:rStyle w:val="HideTWBExt"/>
          <w:b w:val="0"/>
        </w:rPr>
        <w:t>&lt;/Members&gt;</w:t>
      </w:r>
    </w:p>
    <w:p w:rsidR="00343C6C" w:rsidRPr="00FC4A49" w:rsidP="00343C6C" w14:paraId="322EA7EC" w14:textId="77777777">
      <w:r w:rsidRPr="00FC4A49">
        <w:rPr>
          <w:rStyle w:val="HideTWBExt"/>
        </w:rPr>
        <w:t>&lt;/RepeatBlock-By&gt;</w:t>
      </w:r>
    </w:p>
    <w:p w:rsidR="00343C6C" w:rsidRPr="00FC4A49" w:rsidP="00343C6C" w14:paraId="42ECCC65"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16A195C" w14:textId="77777777">
      <w:pPr>
        <w:pStyle w:val="NormalBold"/>
      </w:pPr>
      <w:r w:rsidRPr="00FC4A49">
        <w:rPr>
          <w:rStyle w:val="HideTWBExt"/>
          <w:b w:val="0"/>
        </w:rPr>
        <w:t>&lt;Article&gt;</w:t>
      </w:r>
      <w:r w:rsidRPr="00FC4A49">
        <w:t>Recital 24</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BCC475"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E5B89A8" w14:textId="77777777">
            <w:pPr>
              <w:keepNext/>
            </w:pPr>
          </w:p>
        </w:tc>
      </w:tr>
      <w:tr w14:paraId="376D6AE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CC9687D" w14:textId="77777777">
            <w:pPr>
              <w:pStyle w:val="ColumnHeading"/>
              <w:keepNext/>
              <w:rPr>
                <w:lang w:val="en-GB"/>
              </w:rPr>
            </w:pPr>
            <w:r w:rsidRPr="00FC4A49">
              <w:rPr>
                <w:lang w:val="en-GB"/>
              </w:rPr>
              <w:t>Text proposed by the Commission</w:t>
            </w:r>
          </w:p>
        </w:tc>
        <w:tc>
          <w:tcPr>
            <w:tcW w:w="4876" w:type="dxa"/>
          </w:tcPr>
          <w:p w:rsidR="00343C6C" w:rsidRPr="00FC4A49" w:rsidP="005D58F9" w14:paraId="65BA4EC9" w14:textId="77777777">
            <w:pPr>
              <w:pStyle w:val="ColumnHeading"/>
              <w:keepNext/>
              <w:rPr>
                <w:lang w:val="en-GB"/>
              </w:rPr>
            </w:pPr>
            <w:r w:rsidRPr="00FC4A49">
              <w:rPr>
                <w:lang w:val="en-GB"/>
              </w:rPr>
              <w:t>Amendment</w:t>
            </w:r>
          </w:p>
        </w:tc>
      </w:tr>
      <w:tr w14:paraId="71BCD1C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BAA2F39" w14:textId="77777777">
            <w:pPr>
              <w:pStyle w:val="Normal6"/>
              <w:rPr>
                <w:lang w:val="en-GB"/>
              </w:rPr>
            </w:pPr>
            <w:r w:rsidRPr="00FC4A49">
              <w:rPr>
                <w:lang w:val="en-GB"/>
              </w:rPr>
              <w:t>(24)</w:t>
            </w:r>
            <w:r w:rsidRPr="00FC4A49">
              <w:rPr>
                <w:lang w:val="en-GB"/>
              </w:rPr>
              <w:tab/>
              <w:t xml:space="preserve">Emissions from ships below 5 000 gross tonnage but not below 400 gross tonnage represent about 15 % of emissions from ships under the scope of application of Directive 2003/87/EC, but emissions from ships within that range are emitted by a large number of ships. The inclusion of emissions from certain categories of ships below 5 000 gross tonnage but not below 400 gross tonnage is beneficial to improve the effectiveness of the EU ETS and the level playing field with ships of 5 000 gross tonnage and above and therefore those ships should be included in the scope of this Directive. No later than 31 December 2031, the Commission should present a report to the European Parliament and to the Council in which it should examine the feasibility and economic, environmental and social impacts of the inclusion in Directive 2003/87/EC of emissions from </w:t>
            </w:r>
            <w:r w:rsidRPr="00FC4A49">
              <w:rPr>
                <w:lang w:val="en-GB"/>
              </w:rPr>
              <w:t>ro</w:t>
            </w:r>
            <w:r w:rsidRPr="00FC4A49">
              <w:rPr>
                <w:lang w:val="en-GB"/>
              </w:rPr>
              <w:t>-pax ships and passenger ships below 5 000 gross tonnage.</w:t>
            </w:r>
            <w:r w:rsidRPr="00FC4A49">
              <w:rPr>
                <w:b/>
                <w:i/>
                <w:lang w:val="en-GB"/>
              </w:rPr>
              <w:t>”</w:t>
            </w:r>
          </w:p>
        </w:tc>
        <w:tc>
          <w:tcPr>
            <w:tcW w:w="4876" w:type="dxa"/>
          </w:tcPr>
          <w:p w:rsidR="00343C6C" w:rsidRPr="00FC4A49" w:rsidP="005D58F9" w14:paraId="4AE296B7" w14:textId="77777777">
            <w:pPr>
              <w:pStyle w:val="Normal6"/>
              <w:rPr>
                <w:szCs w:val="24"/>
                <w:lang w:val="en-GB"/>
              </w:rPr>
            </w:pPr>
            <w:r w:rsidRPr="00FC4A49">
              <w:rPr>
                <w:lang w:val="en-GB"/>
              </w:rPr>
              <w:t>(24)</w:t>
            </w:r>
            <w:r w:rsidRPr="00FC4A49">
              <w:rPr>
                <w:lang w:val="en-GB"/>
              </w:rPr>
              <w:tab/>
              <w:t xml:space="preserve">Emissions from ships below 5 000 gross tonnage but not below 400 gross tonnage represent about 15 % of emissions from ships under the scope of application of Directive 2003/87/EC, but emissions from ships within that range are emitted by a large number of ships. The inclusion of emissions from certain categories of ships below 5 000 gross tonnage but not below 400 gross tonnage is beneficial to improve the effectiveness of the EU ETS and the level playing field with ships of 5 000 gross tonnage and above and therefore those ships should be included in the scope of this Directive. </w:t>
            </w:r>
            <w:r w:rsidRPr="00FC4A49">
              <w:rPr>
                <w:b/>
                <w:i/>
                <w:lang w:val="en-GB"/>
              </w:rPr>
              <w:t>General cargo ships below 5 000 gross tonnage but not below 400 gross tonnage have monitored and reported their emissions under Regulation (EU) 2015/757 since 1 January 2025. As the verified emissions data required for their inclusion is therefore already available, those ships should be included in the EU ETS before 2031.</w:t>
            </w:r>
            <w:r w:rsidRPr="00FC4A49">
              <w:rPr>
                <w:lang w:val="en-GB"/>
              </w:rPr>
              <w:t xml:space="preserve"> No later than 31 December 2031, the Commission should present a report to the European Parliament and to the Council in which it should examine the feasibility and economic, environmental and social impacts of the inclusion in Directive 2003/87/EC of emissions from </w:t>
            </w:r>
            <w:r w:rsidRPr="00FC4A49">
              <w:rPr>
                <w:lang w:val="en-GB"/>
              </w:rPr>
              <w:t>ro</w:t>
            </w:r>
            <w:r w:rsidRPr="00FC4A49">
              <w:rPr>
                <w:lang w:val="en-GB"/>
              </w:rPr>
              <w:t>-pax ships and passenger ships below 5 000 gross tonnage.</w:t>
            </w:r>
          </w:p>
        </w:tc>
      </w:tr>
    </w:tbl>
    <w:p w:rsidR="00343C6C" w:rsidRPr="00FC4A49" w:rsidP="00343C6C" w14:paraId="73C9B82E"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CABAFBA" w14:textId="77777777">
      <w:r w:rsidRPr="00FC4A49">
        <w:rPr>
          <w:rStyle w:val="HideTWBExt"/>
        </w:rPr>
        <w:t>&lt;/Amend&gt;</w:t>
      </w:r>
    </w:p>
    <w:p w:rsidR="00343C6C" w:rsidRPr="00FC4A49" w:rsidP="00343C6C" w14:paraId="7D0801BA"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186</w:t>
      </w:r>
      <w:r w:rsidRPr="00FC4A49">
        <w:rPr>
          <w:rStyle w:val="HideTWBExt"/>
          <w:b w:val="0"/>
          <w:lang w:val="en-GB"/>
        </w:rPr>
        <w:t>&lt;/NumAm&gt;</w:t>
      </w:r>
    </w:p>
    <w:p w:rsidR="00343C6C" w:rsidRPr="00FC4A49" w:rsidP="00343C6C" w14:paraId="37372BD7"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5A99B4B1" w14:textId="77777777">
      <w:r w:rsidRPr="00FC4A49">
        <w:rPr>
          <w:rStyle w:val="HideTWBExt"/>
        </w:rPr>
        <w:t>&lt;/RepeatBlock-By&gt;</w:t>
      </w:r>
    </w:p>
    <w:p w:rsidR="00343C6C" w:rsidRPr="00FC4A49" w:rsidP="00343C6C" w14:paraId="55B5BF1E"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871D36A" w14:textId="77777777">
      <w:pPr>
        <w:pStyle w:val="NormalBold"/>
      </w:pPr>
      <w:r w:rsidRPr="00FC4A49">
        <w:rPr>
          <w:rStyle w:val="HideTWBExt"/>
          <w:b w:val="0"/>
        </w:rPr>
        <w:t>&lt;Article&gt;</w:t>
      </w:r>
      <w:r w:rsidRPr="00FC4A49">
        <w:t>Recital 24</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A932B9"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1C86A78" w14:textId="77777777">
            <w:pPr>
              <w:keepNext/>
            </w:pPr>
          </w:p>
        </w:tc>
      </w:tr>
      <w:tr w14:paraId="1DA8645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60B8E5D" w14:textId="77777777">
            <w:pPr>
              <w:pStyle w:val="ColumnHeading"/>
              <w:keepNext/>
              <w:rPr>
                <w:lang w:val="en-GB"/>
              </w:rPr>
            </w:pPr>
            <w:r w:rsidRPr="00FC4A49">
              <w:rPr>
                <w:lang w:val="en-GB"/>
              </w:rPr>
              <w:t>Text proposed by the Commission</w:t>
            </w:r>
          </w:p>
        </w:tc>
        <w:tc>
          <w:tcPr>
            <w:tcW w:w="4876" w:type="dxa"/>
          </w:tcPr>
          <w:p w:rsidR="00343C6C" w:rsidRPr="00FC4A49" w:rsidP="005D58F9" w14:paraId="34618E99" w14:textId="77777777">
            <w:pPr>
              <w:pStyle w:val="ColumnHeading"/>
              <w:keepNext/>
              <w:rPr>
                <w:lang w:val="en-GB"/>
              </w:rPr>
            </w:pPr>
            <w:r w:rsidRPr="00FC4A49">
              <w:rPr>
                <w:lang w:val="en-GB"/>
              </w:rPr>
              <w:t>Amendment</w:t>
            </w:r>
          </w:p>
        </w:tc>
      </w:tr>
      <w:tr w14:paraId="32E4415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01D3E02" w14:textId="77777777">
            <w:pPr>
              <w:pStyle w:val="Normal6"/>
              <w:rPr>
                <w:lang w:val="en-GB"/>
              </w:rPr>
            </w:pPr>
            <w:r w:rsidRPr="00FC4A49">
              <w:rPr>
                <w:lang w:val="en-GB"/>
              </w:rPr>
              <w:t>(24)</w:t>
            </w:r>
            <w:r w:rsidRPr="00FC4A49">
              <w:rPr>
                <w:lang w:val="en-GB"/>
              </w:rPr>
              <w:tab/>
              <w:t xml:space="preserve">Emissions from ships below 5 000 gross tonnage but not below 400 gross tonnage represent about 15 % of emissions from ships under the scope of application of Directive 2003/87/EC, but emissions from ships within that range are emitted by a large number of ships. The inclusion of emissions from </w:t>
            </w:r>
            <w:r w:rsidRPr="00FC4A49">
              <w:rPr>
                <w:b/>
                <w:i/>
                <w:lang w:val="en-GB"/>
              </w:rPr>
              <w:t>certain categories of</w:t>
            </w:r>
            <w:r w:rsidRPr="00FC4A49">
              <w:rPr>
                <w:lang w:val="en-GB"/>
              </w:rPr>
              <w:t xml:space="preserve"> ships below 5 000 gross tonnage but not below 400 gross tonnage is beneficial to improve the effectiveness of the EU ETS and the level playing field with ships of 5 000 gross tonnage and above and therefore those ships should be included in the scope of this Directive. </w:t>
            </w:r>
            <w:r w:rsidRPr="00FC4A49">
              <w:rPr>
                <w:b/>
                <w:i/>
                <w:lang w:val="en-GB"/>
              </w:rPr>
              <w:t xml:space="preserve">No later than 31 December 2031, the Commission should present a report to the European Parliament and to the Council in which it should examine the feasibility and economic, environmental and social impacts of the inclusion in Directive 2003/87/EC of emissions from </w:t>
            </w:r>
            <w:r w:rsidRPr="00FC4A49">
              <w:rPr>
                <w:b/>
                <w:i/>
                <w:lang w:val="en-GB"/>
              </w:rPr>
              <w:t>ro</w:t>
            </w:r>
            <w:r w:rsidRPr="00FC4A49">
              <w:rPr>
                <w:b/>
                <w:i/>
                <w:lang w:val="en-GB"/>
              </w:rPr>
              <w:t>-pax ships and passenger ships below 5 000 gross tonnage.”</w:t>
            </w:r>
          </w:p>
        </w:tc>
        <w:tc>
          <w:tcPr>
            <w:tcW w:w="4876" w:type="dxa"/>
          </w:tcPr>
          <w:p w:rsidR="00343C6C" w:rsidRPr="00FC4A49" w:rsidP="005D58F9" w14:paraId="5CE0B09C" w14:textId="77777777">
            <w:pPr>
              <w:pStyle w:val="Normal6"/>
              <w:rPr>
                <w:szCs w:val="24"/>
                <w:lang w:val="en-GB"/>
              </w:rPr>
            </w:pPr>
            <w:r w:rsidRPr="00FC4A49">
              <w:rPr>
                <w:lang w:val="en-GB"/>
              </w:rPr>
              <w:t>(24)</w:t>
            </w:r>
            <w:r w:rsidRPr="00FC4A49">
              <w:rPr>
                <w:lang w:val="en-GB"/>
              </w:rPr>
              <w:tab/>
              <w:t>Emissions from ships below 5 000 gross tonnage but not below 400 gross tonnage represent about 15 % of emissions from ships under the scope of application of Directive 2003/87/EC, but emissions from ships within that range are emitted by a large number of ships. The inclusion of emissions from ships below 5 000 gross tonnage but not below 400 gross tonnage is beneficial to improve the effectiveness of the EU ETS and the level playing field with ships of 5 000 gross tonnage and above and therefore those ships should be included in the scope of this Directive.</w:t>
            </w:r>
          </w:p>
        </w:tc>
      </w:tr>
    </w:tbl>
    <w:p w:rsidR="00343C6C" w:rsidRPr="00FC4A49" w:rsidP="00343C6C" w14:paraId="79AC6DD0"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6FDCD61" w14:textId="77777777">
      <w:r w:rsidRPr="00FC4A49">
        <w:rPr>
          <w:rStyle w:val="HideTWBExt"/>
        </w:rPr>
        <w:t>&lt;/Amend&gt;</w:t>
      </w:r>
    </w:p>
    <w:p w:rsidR="00343C6C" w:rsidRPr="00FC4A49" w:rsidP="00343C6C" w14:paraId="2D5A80E2"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187</w:t>
      </w:r>
      <w:r w:rsidRPr="00FC4A49">
        <w:rPr>
          <w:rStyle w:val="HideTWBExt"/>
          <w:b w:val="0"/>
          <w:lang w:val="en-GB"/>
        </w:rPr>
        <w:t>&lt;/NumAm&gt;</w:t>
      </w:r>
    </w:p>
    <w:p w:rsidR="00343C6C" w:rsidRPr="00FC4A49" w:rsidP="00343C6C" w14:paraId="040F194D" w14:textId="77777777">
      <w:pPr>
        <w:pStyle w:val="NormalBold"/>
      </w:pPr>
      <w:r w:rsidRPr="00FC4A49">
        <w:rPr>
          <w:rStyle w:val="HideTWBExt"/>
          <w:b w:val="0"/>
        </w:rPr>
        <w:t>&lt;RepeatBlock-By&gt;&lt;Members&gt;</w:t>
      </w:r>
      <w:r w:rsidRPr="00FC4A49">
        <w:t>Li Andersson, Jonas Sjöstedt, Per Clausen</w:t>
      </w:r>
      <w:r w:rsidRPr="00FC4A49">
        <w:rPr>
          <w:rStyle w:val="HideTWBExt"/>
          <w:b w:val="0"/>
        </w:rPr>
        <w:t>&lt;/Members&gt;</w:t>
      </w:r>
    </w:p>
    <w:p w:rsidR="00343C6C" w:rsidRPr="00FC4A49" w:rsidP="00343C6C" w14:paraId="524A3F1E" w14:textId="77777777">
      <w:r w:rsidRPr="00FC4A49">
        <w:rPr>
          <w:rStyle w:val="HideTWBExt"/>
        </w:rPr>
        <w:t>&lt;/RepeatBlock-By&gt;</w:t>
      </w:r>
    </w:p>
    <w:p w:rsidR="00343C6C" w:rsidRPr="00FC4A49" w:rsidP="00343C6C" w14:paraId="056438D2"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0E4785F" w14:textId="77777777">
      <w:pPr>
        <w:pStyle w:val="NormalBold"/>
      </w:pPr>
      <w:r w:rsidRPr="00FC4A49">
        <w:rPr>
          <w:rStyle w:val="HideTWBExt"/>
          <w:b w:val="0"/>
        </w:rPr>
        <w:t>&lt;Article&gt;</w:t>
      </w:r>
      <w:r w:rsidRPr="00FC4A49">
        <w:t>Recital 24</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F4D688"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7EADB89" w14:textId="77777777">
            <w:pPr>
              <w:keepNext/>
            </w:pPr>
          </w:p>
        </w:tc>
      </w:tr>
      <w:tr w14:paraId="0EC6C81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6D70F59" w14:textId="77777777">
            <w:pPr>
              <w:pStyle w:val="ColumnHeading"/>
              <w:keepNext/>
              <w:rPr>
                <w:lang w:val="en-GB"/>
              </w:rPr>
            </w:pPr>
            <w:r w:rsidRPr="00FC4A49">
              <w:rPr>
                <w:lang w:val="en-GB"/>
              </w:rPr>
              <w:t>Text proposed by the Commission</w:t>
            </w:r>
          </w:p>
        </w:tc>
        <w:tc>
          <w:tcPr>
            <w:tcW w:w="4876" w:type="dxa"/>
          </w:tcPr>
          <w:p w:rsidR="00343C6C" w:rsidRPr="00FC4A49" w:rsidP="005D58F9" w14:paraId="6374B168" w14:textId="77777777">
            <w:pPr>
              <w:pStyle w:val="ColumnHeading"/>
              <w:keepNext/>
              <w:rPr>
                <w:lang w:val="en-GB"/>
              </w:rPr>
            </w:pPr>
            <w:r w:rsidRPr="00FC4A49">
              <w:rPr>
                <w:lang w:val="en-GB"/>
              </w:rPr>
              <w:t>Amendment</w:t>
            </w:r>
          </w:p>
        </w:tc>
      </w:tr>
      <w:tr w14:paraId="471411E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AF6BDA5" w14:textId="77777777">
            <w:pPr>
              <w:pStyle w:val="Normal6"/>
              <w:rPr>
                <w:lang w:val="en-GB"/>
              </w:rPr>
            </w:pPr>
            <w:r w:rsidRPr="00FC4A49">
              <w:rPr>
                <w:lang w:val="en-GB"/>
              </w:rPr>
              <w:t>(24)</w:t>
            </w:r>
            <w:r w:rsidRPr="00FC4A49">
              <w:rPr>
                <w:lang w:val="en-GB"/>
              </w:rPr>
              <w:tab/>
              <w:t xml:space="preserve">Emissions from ships below 5 000 gross tonnage but not below 400 gross tonnage represent about 15 % of emissions from ships under the scope of application of Directive 2003/87/EC, but emissions from ships within that range are emitted by a large number of ships. The inclusion of emissions from certain categories of ships below 5 000 gross tonnage but not below 400 gross tonnage is beneficial to improve the effectiveness of the EU ETS and the level playing field with ships of 5 000 gross tonnage and above and therefore those ships should be included in the scope of this Directive. </w:t>
            </w:r>
            <w:r w:rsidRPr="00FC4A49">
              <w:rPr>
                <w:b/>
                <w:i/>
                <w:lang w:val="en-GB"/>
              </w:rPr>
              <w:t xml:space="preserve">No later than 31 December 2031, the Commission should present a report to the European Parliament and to the Council in which it should examine the feasibility and economic, environmental and social impacts of the inclusion in Directive 2003/87/EC of emissions from </w:t>
            </w:r>
            <w:r w:rsidRPr="00FC4A49">
              <w:rPr>
                <w:b/>
                <w:i/>
                <w:lang w:val="en-GB"/>
              </w:rPr>
              <w:t>ro</w:t>
            </w:r>
            <w:r w:rsidRPr="00FC4A49">
              <w:rPr>
                <w:b/>
                <w:i/>
                <w:lang w:val="en-GB"/>
              </w:rPr>
              <w:t>-pax ships and passenger ships below 5 000 gross tonnage.”</w:t>
            </w:r>
          </w:p>
        </w:tc>
        <w:tc>
          <w:tcPr>
            <w:tcW w:w="4876" w:type="dxa"/>
          </w:tcPr>
          <w:p w:rsidR="00343C6C" w:rsidRPr="00FC4A49" w:rsidP="005D58F9" w14:paraId="66D651FC" w14:textId="77777777">
            <w:pPr>
              <w:pStyle w:val="Normal6"/>
              <w:rPr>
                <w:szCs w:val="24"/>
                <w:lang w:val="en-GB"/>
              </w:rPr>
            </w:pPr>
            <w:r w:rsidRPr="00FC4A49">
              <w:rPr>
                <w:lang w:val="en-GB"/>
              </w:rPr>
              <w:t>(24)</w:t>
            </w:r>
            <w:r w:rsidRPr="00FC4A49">
              <w:rPr>
                <w:lang w:val="en-GB"/>
              </w:rPr>
              <w:tab/>
              <w:t>Emissions from ships below 5 000 gross tonnage but not below 400 gross tonnage represent about 15 % of emissions from ships under the scope of application of Directive 2003/87/EC, but emissions from ships within that range are emitted by a large number of ships. The inclusion of emissions from certain categories of ships below 5 000 gross tonnage but not below 400 gross tonnage is beneficial to improve the effectiveness of the EU ETS and the level playing field with ships of 5 000 gross tonnage and above and therefore those ships should be included in the scope of this Directive.</w:t>
            </w:r>
          </w:p>
        </w:tc>
      </w:tr>
    </w:tbl>
    <w:p w:rsidR="00343C6C" w:rsidRPr="00FC4A49" w:rsidP="00343C6C" w14:paraId="67FEBCB4"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29A28AC"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5F171BCF" w14:textId="77777777">
      <w:pPr>
        <w:pStyle w:val="Normal12Italic"/>
        <w:rPr>
          <w:noProof w:val="0"/>
          <w:lang w:val="en-GB"/>
        </w:rPr>
      </w:pPr>
      <w:r w:rsidRPr="00FC4A49">
        <w:rPr>
          <w:noProof w:val="0"/>
          <w:lang w:val="en-GB"/>
        </w:rPr>
        <w:t xml:space="preserve">Not including all smaller vessels is a significant missed opportunity. Exempting </w:t>
      </w:r>
      <w:r w:rsidRPr="00FC4A49">
        <w:rPr>
          <w:noProof w:val="0"/>
          <w:lang w:val="en-GB"/>
        </w:rPr>
        <w:t>ro</w:t>
      </w:r>
      <w:r w:rsidRPr="00FC4A49">
        <w:rPr>
          <w:noProof w:val="0"/>
          <w:lang w:val="en-GB"/>
        </w:rPr>
        <w:t>-pax and passenger ships, cruise passenger ships, bulk carriers, containers and reefer carriers would still leave 1/3 of small ships emissions uncovered. Ferries have a major electrification potential (half of EU ferries could be electrified by 2035), and the EU Electrification Action Plan recognises ferry electrification as a real opportunity to cut emissions and strengthen Europe's maritime manufacturing base.</w:t>
      </w:r>
    </w:p>
    <w:p w:rsidR="00343C6C" w:rsidRPr="00FC4A49" w:rsidP="00343C6C" w14:paraId="1492BF6D" w14:textId="77777777">
      <w:r w:rsidRPr="00FC4A49">
        <w:rPr>
          <w:rStyle w:val="HideTWBExt"/>
        </w:rPr>
        <w:t>&lt;/Amend&gt;</w:t>
      </w:r>
    </w:p>
    <w:p w:rsidR="00343C6C" w:rsidRPr="00FC4A49" w:rsidP="00343C6C" w14:paraId="738F75A7"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188</w:t>
      </w:r>
      <w:r w:rsidRPr="00FC4A49">
        <w:rPr>
          <w:rStyle w:val="HideTWBExt"/>
          <w:b w:val="0"/>
          <w:lang w:val="en-GB"/>
        </w:rPr>
        <w:t>&lt;/NumAm&gt;</w:t>
      </w:r>
    </w:p>
    <w:p w:rsidR="00343C6C" w:rsidRPr="00FC4A49" w:rsidP="00343C6C" w14:paraId="61A186BF" w14:textId="77777777">
      <w:pPr>
        <w:pStyle w:val="NormalBold"/>
      </w:pPr>
      <w:r w:rsidRPr="00FC4A49">
        <w:rPr>
          <w:rStyle w:val="HideTWBExt"/>
          <w:b w:val="0"/>
        </w:rPr>
        <w:t>&lt;RepeatBlock-By&gt;&lt;Members&gt;</w:t>
      </w:r>
      <w:r w:rsidRPr="00FC4A49">
        <w:t xml:space="preserve">Emma Wiesner, Yvan Verougstraete, Gerben-Jan Gerbrandy, Anna </w:t>
      </w:r>
      <w:r w:rsidRPr="00FC4A49">
        <w:t>Stürgkh</w:t>
      </w:r>
      <w:r w:rsidRPr="00FC4A49">
        <w:rPr>
          <w:rStyle w:val="HideTWBExt"/>
          <w:b w:val="0"/>
        </w:rPr>
        <w:t>&lt;/Members&gt;</w:t>
      </w:r>
    </w:p>
    <w:p w:rsidR="00343C6C" w:rsidRPr="00FC4A49" w:rsidP="00343C6C" w14:paraId="0CBB29A0" w14:textId="77777777">
      <w:r w:rsidRPr="00FC4A49">
        <w:rPr>
          <w:rStyle w:val="HideTWBExt"/>
        </w:rPr>
        <w:t>&lt;/RepeatBlock-By&gt;</w:t>
      </w:r>
    </w:p>
    <w:p w:rsidR="00343C6C" w:rsidRPr="00FC4A49" w:rsidP="00343C6C" w14:paraId="0338A99C"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FCF67EA" w14:textId="77777777">
      <w:pPr>
        <w:pStyle w:val="NormalBold"/>
      </w:pPr>
      <w:r w:rsidRPr="00FC4A49">
        <w:rPr>
          <w:rStyle w:val="HideTWBExt"/>
          <w:b w:val="0"/>
        </w:rPr>
        <w:t>&lt;Article&gt;</w:t>
      </w:r>
      <w:r w:rsidRPr="00FC4A49">
        <w:t>Recital 24</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42ADD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2D25639" w14:textId="77777777">
            <w:pPr>
              <w:keepNext/>
            </w:pPr>
          </w:p>
        </w:tc>
      </w:tr>
      <w:tr w14:paraId="63DF16F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B14B302" w14:textId="77777777">
            <w:pPr>
              <w:pStyle w:val="ColumnHeading"/>
              <w:keepNext/>
              <w:rPr>
                <w:lang w:val="en-GB"/>
              </w:rPr>
            </w:pPr>
            <w:r w:rsidRPr="00FC4A49">
              <w:rPr>
                <w:lang w:val="en-GB"/>
              </w:rPr>
              <w:t>Text proposed by the Commission</w:t>
            </w:r>
          </w:p>
        </w:tc>
        <w:tc>
          <w:tcPr>
            <w:tcW w:w="4876" w:type="dxa"/>
          </w:tcPr>
          <w:p w:rsidR="00343C6C" w:rsidRPr="00FC4A49" w:rsidP="005D58F9" w14:paraId="3423FE49" w14:textId="77777777">
            <w:pPr>
              <w:pStyle w:val="ColumnHeading"/>
              <w:keepNext/>
              <w:rPr>
                <w:lang w:val="en-GB"/>
              </w:rPr>
            </w:pPr>
            <w:r w:rsidRPr="00FC4A49">
              <w:rPr>
                <w:lang w:val="en-GB"/>
              </w:rPr>
              <w:t>Amendment</w:t>
            </w:r>
          </w:p>
        </w:tc>
      </w:tr>
      <w:tr w14:paraId="7C5FFF3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0805FB8" w14:textId="77777777">
            <w:pPr>
              <w:pStyle w:val="Normal6"/>
              <w:rPr>
                <w:lang w:val="en-GB"/>
              </w:rPr>
            </w:pPr>
            <w:r w:rsidRPr="00FC4A49">
              <w:rPr>
                <w:lang w:val="en-GB"/>
              </w:rPr>
              <w:t>(24)</w:t>
            </w:r>
            <w:r w:rsidRPr="00FC4A49">
              <w:rPr>
                <w:lang w:val="en-GB"/>
              </w:rPr>
              <w:tab/>
              <w:t xml:space="preserve">Emissions from ships below 5 000 gross tonnage but not below 400 gross tonnage represent about 15 % of emissions from ships under the scope of application of Directive 2003/87/EC, but emissions from ships within that range are emitted by a large number of ships. The inclusion of emissions from certain categories of ships below 5 000 gross tonnage but not below 400 gross tonnage is beneficial to improve the effectiveness of the EU ETS and the level playing field with ships of 5 000 gross tonnage and above and therefore those ships should be included in the scope of this Directive. </w:t>
            </w:r>
            <w:r w:rsidRPr="00FC4A49">
              <w:rPr>
                <w:b/>
                <w:i/>
                <w:lang w:val="en-GB"/>
              </w:rPr>
              <w:t xml:space="preserve">No later than 31 December 2031, the Commission should present a report to the European Parliament and to the Council in which it should examine the feasibility and economic, environmental and social impacts of the inclusion in Directive 2003/87/EC of emissions from </w:t>
            </w:r>
            <w:r w:rsidRPr="00FC4A49">
              <w:rPr>
                <w:b/>
                <w:i/>
                <w:lang w:val="en-GB"/>
              </w:rPr>
              <w:t>ro</w:t>
            </w:r>
            <w:r w:rsidRPr="00FC4A49">
              <w:rPr>
                <w:b/>
                <w:i/>
                <w:lang w:val="en-GB"/>
              </w:rPr>
              <w:t>-pax ships and passenger ships below 5 000 gross tonnage.”</w:t>
            </w:r>
          </w:p>
        </w:tc>
        <w:tc>
          <w:tcPr>
            <w:tcW w:w="4876" w:type="dxa"/>
          </w:tcPr>
          <w:p w:rsidR="00343C6C" w:rsidRPr="00FC4A49" w:rsidP="005D58F9" w14:paraId="57E4B77C" w14:textId="77777777">
            <w:pPr>
              <w:pStyle w:val="Normal6"/>
              <w:rPr>
                <w:szCs w:val="24"/>
                <w:lang w:val="en-GB"/>
              </w:rPr>
            </w:pPr>
            <w:r w:rsidRPr="00FC4A49">
              <w:rPr>
                <w:lang w:val="en-GB"/>
              </w:rPr>
              <w:t>(24)</w:t>
            </w:r>
            <w:r w:rsidRPr="00FC4A49">
              <w:rPr>
                <w:lang w:val="en-GB"/>
              </w:rPr>
              <w:tab/>
              <w:t>Emissions from ships below 5 000 gross tonnage but not below 400 gross tonnage represent about 15 % of emissions from ships under the scope of application of Directive 2003/87/EC, but emissions from ships within that range are emitted by a large number of ships. The inclusion of emissions from certain categories of ships below 5 000 gross tonnage but not below 400 gross tonnage is beneficial to improve the effectiveness of the EU ETS and the level playing field with ships of 5 000 gross tonnage and above and therefore those ships should be included in the scope of this Directive.</w:t>
            </w:r>
          </w:p>
        </w:tc>
      </w:tr>
    </w:tbl>
    <w:p w:rsidR="00343C6C" w:rsidRPr="00FC4A49" w:rsidP="00343C6C" w14:paraId="09CFC1B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02487629"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30E9B818" w14:textId="77777777">
      <w:pPr>
        <w:pStyle w:val="Normal12Italic"/>
        <w:rPr>
          <w:noProof w:val="0"/>
          <w:lang w:val="en-GB"/>
        </w:rPr>
      </w:pPr>
      <w:r w:rsidRPr="00FC4A49">
        <w:rPr>
          <w:noProof w:val="0"/>
          <w:lang w:val="en-GB"/>
        </w:rPr>
        <w:t>All ships below 5000 gross tonnage but not below 400 gross tonnage should be included under the EU ETS.</w:t>
      </w:r>
    </w:p>
    <w:p w:rsidR="00343C6C" w:rsidRPr="00FC4A49" w:rsidP="00343C6C" w14:paraId="11484937" w14:textId="77777777">
      <w:r w:rsidRPr="00FC4A49">
        <w:rPr>
          <w:rStyle w:val="HideTWBExt"/>
        </w:rPr>
        <w:t>&lt;/Amend&gt;</w:t>
      </w:r>
    </w:p>
    <w:p w:rsidR="00343C6C" w:rsidRPr="00FC4A49" w:rsidP="00343C6C" w14:paraId="5D11B7C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189</w:t>
      </w:r>
      <w:r w:rsidRPr="00FC4A49">
        <w:rPr>
          <w:rStyle w:val="HideTWBExt"/>
          <w:b w:val="0"/>
          <w:lang w:val="en-GB"/>
        </w:rPr>
        <w:t>&lt;/NumAm&gt;</w:t>
      </w:r>
    </w:p>
    <w:p w:rsidR="00343C6C" w:rsidRPr="00FC4A49" w:rsidP="00343C6C" w14:paraId="0BC32F1F" w14:textId="77777777">
      <w:pPr>
        <w:pStyle w:val="NormalBold"/>
      </w:pPr>
      <w:r w:rsidRPr="00FC4A49">
        <w:rPr>
          <w:rStyle w:val="HideTWBExt"/>
          <w:b w:val="0"/>
        </w:rPr>
        <w:t>&lt;RepeatBlock-By&gt;&lt;Members&gt;</w:t>
      </w:r>
      <w:r w:rsidRPr="00FC4A49">
        <w:t>Peter Liese, Dolors Montserrat, Letizia Moratti, Peter Agius, Michalis Hadjipantela, Lídia Pereira, Seán Kelly</w:t>
      </w:r>
      <w:r w:rsidRPr="00FC4A49">
        <w:rPr>
          <w:rStyle w:val="HideTWBExt"/>
          <w:b w:val="0"/>
        </w:rPr>
        <w:t>&lt;/Members&gt;</w:t>
      </w:r>
    </w:p>
    <w:p w:rsidR="00343C6C" w:rsidRPr="00FC4A49" w:rsidP="00343C6C" w14:paraId="59F38117" w14:textId="77777777">
      <w:r w:rsidRPr="00FC4A49">
        <w:rPr>
          <w:rStyle w:val="HideTWBExt"/>
        </w:rPr>
        <w:t>&lt;/RepeatBlock-By&gt;</w:t>
      </w:r>
    </w:p>
    <w:p w:rsidR="00343C6C" w:rsidRPr="00FC4A49" w:rsidP="00343C6C" w14:paraId="6DAC3E7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3E5901D" w14:textId="77777777">
      <w:pPr>
        <w:pStyle w:val="NormalBold"/>
      </w:pPr>
      <w:r w:rsidRPr="00FC4A49">
        <w:rPr>
          <w:rStyle w:val="HideTWBExt"/>
          <w:b w:val="0"/>
        </w:rPr>
        <w:t>&lt;Article&gt;</w:t>
      </w:r>
      <w:r w:rsidRPr="00FC4A49">
        <w:t>Recital 24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9DD2E7"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8D6483C" w14:textId="77777777">
            <w:pPr>
              <w:keepNext/>
            </w:pPr>
          </w:p>
        </w:tc>
      </w:tr>
      <w:tr w14:paraId="1A5F689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4B0CF19" w14:textId="77777777">
            <w:pPr>
              <w:pStyle w:val="ColumnHeading"/>
              <w:keepNext/>
              <w:rPr>
                <w:lang w:val="en-GB"/>
              </w:rPr>
            </w:pPr>
            <w:r w:rsidRPr="00FC4A49">
              <w:rPr>
                <w:lang w:val="en-GB"/>
              </w:rPr>
              <w:t>Text proposed by the Commission</w:t>
            </w:r>
          </w:p>
        </w:tc>
        <w:tc>
          <w:tcPr>
            <w:tcW w:w="4876" w:type="dxa"/>
          </w:tcPr>
          <w:p w:rsidR="00343C6C" w:rsidRPr="00FC4A49" w:rsidP="005D58F9" w14:paraId="5E05AA34" w14:textId="77777777">
            <w:pPr>
              <w:pStyle w:val="ColumnHeading"/>
              <w:keepNext/>
              <w:rPr>
                <w:lang w:val="en-GB"/>
              </w:rPr>
            </w:pPr>
            <w:r w:rsidRPr="00FC4A49">
              <w:rPr>
                <w:lang w:val="en-GB"/>
              </w:rPr>
              <w:t>Amendment</w:t>
            </w:r>
          </w:p>
        </w:tc>
      </w:tr>
      <w:tr w14:paraId="24E12A5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93CC25F" w14:textId="77777777">
            <w:pPr>
              <w:pStyle w:val="Normal6"/>
              <w:rPr>
                <w:lang w:val="en-GB"/>
              </w:rPr>
            </w:pPr>
          </w:p>
        </w:tc>
        <w:tc>
          <w:tcPr>
            <w:tcW w:w="4876" w:type="dxa"/>
          </w:tcPr>
          <w:p w:rsidR="00343C6C" w:rsidRPr="00FC4A49" w:rsidP="005D58F9" w14:paraId="0AF99BF8" w14:textId="77777777">
            <w:pPr>
              <w:pStyle w:val="Normal6"/>
              <w:rPr>
                <w:szCs w:val="24"/>
                <w:lang w:val="en-GB"/>
              </w:rPr>
            </w:pPr>
            <w:r w:rsidRPr="00FC4A49">
              <w:rPr>
                <w:b/>
                <w:i/>
                <w:lang w:val="en-GB"/>
              </w:rPr>
              <w:t>(24a)</w:t>
            </w:r>
            <w:r w:rsidRPr="00FC4A49">
              <w:rPr>
                <w:b/>
                <w:i/>
                <w:lang w:val="en-GB"/>
              </w:rPr>
              <w:tab/>
              <w:t xml:space="preserve">The challenges of island Member States, enclaves as well as small or less prosperous islands should be </w:t>
            </w:r>
            <w:r w:rsidRPr="00FC4A49">
              <w:rPr>
                <w:b/>
                <w:i/>
                <w:lang w:val="en-GB"/>
              </w:rPr>
              <w:t xml:space="preserve">taken into </w:t>
            </w:r>
            <w:r w:rsidRPr="00FC4A49">
              <w:rPr>
                <w:b/>
                <w:i/>
                <w:lang w:val="en-GB"/>
              </w:rPr>
              <w:t>account</w:t>
            </w:r>
            <w:r w:rsidRPr="00FC4A49">
              <w:rPr>
                <w:b/>
                <w:i/>
                <w:lang w:val="en-GB"/>
              </w:rPr>
              <w:t xml:space="preserve"> in a more targeted manner. Therefore, emissions from voyages between islands with fewer than 200,000 permanent residents and the mainland of the same Member State, including from ro-ro cargo ships, should be exempted. Emissions from voyages between island Member States and another Member state, or to or from an island within a NUTS level 2 region whose GDP per capita in purchasing power standards is below 75 % of the EU-27-average, should be exempted by 50 % of their verified emissions. Mainland territories or enclaves that lack permanent fixed road or rail connections to the European mainland and that are located contiguous to non-Union territories should be treated as islands.</w:t>
            </w:r>
          </w:p>
        </w:tc>
      </w:tr>
    </w:tbl>
    <w:p w:rsidR="00343C6C" w:rsidRPr="00FC4A49" w:rsidP="00343C6C" w14:paraId="6D217297"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735ECCA" w14:textId="77777777">
      <w:r w:rsidRPr="00FC4A49">
        <w:rPr>
          <w:rStyle w:val="HideTWBExt"/>
        </w:rPr>
        <w:t>&lt;/Amend&gt;</w:t>
      </w:r>
    </w:p>
    <w:p w:rsidR="00343C6C" w:rsidRPr="00804E2D" w:rsidP="00343C6C" w14:paraId="5A94DB52" w14:textId="77777777">
      <w:pPr>
        <w:pStyle w:val="AMNumberTabs0"/>
        <w:keepNext/>
        <w:rPr>
          <w:lang w:val="it-IT"/>
        </w:rPr>
      </w:pPr>
      <w:r w:rsidRPr="00804E2D">
        <w:rPr>
          <w:rStyle w:val="HideTWBExt"/>
          <w:b w:val="0"/>
          <w:lang w:val="it-IT"/>
        </w:rPr>
        <w:t>&lt;Amend&gt;</w:t>
      </w:r>
      <w:r w:rsidRPr="00804E2D">
        <w:rPr>
          <w:lang w:val="it-IT"/>
        </w:rPr>
        <w:t>Amendment</w:t>
      </w:r>
      <w:r w:rsidRPr="00804E2D">
        <w:rPr>
          <w:lang w:val="it-IT"/>
        </w:rPr>
        <w:tab/>
      </w:r>
      <w:r w:rsidRPr="00804E2D">
        <w:rPr>
          <w:lang w:val="it-IT"/>
        </w:rPr>
        <w:tab/>
      </w:r>
      <w:r w:rsidRPr="00804E2D">
        <w:rPr>
          <w:rStyle w:val="HideTWBExt"/>
          <w:b w:val="0"/>
          <w:lang w:val="it-IT"/>
        </w:rPr>
        <w:t>&lt;NumAm&gt;</w:t>
      </w:r>
      <w:r w:rsidRPr="00804E2D">
        <w:rPr>
          <w:lang w:val="it-IT"/>
        </w:rPr>
        <w:t>190</w:t>
      </w:r>
      <w:r w:rsidRPr="00804E2D">
        <w:rPr>
          <w:rStyle w:val="HideTWBExt"/>
          <w:b w:val="0"/>
          <w:lang w:val="it-IT"/>
        </w:rPr>
        <w:t>&lt;/NumAm&gt;</w:t>
      </w:r>
    </w:p>
    <w:p w:rsidR="00343C6C" w:rsidRPr="00804E2D" w:rsidP="00343C6C" w14:paraId="1BAEB6D4" w14:textId="77777777">
      <w:pPr>
        <w:pStyle w:val="NormalBold"/>
        <w:rPr>
          <w:lang w:val="it-IT"/>
        </w:rPr>
      </w:pPr>
      <w:r w:rsidRPr="00804E2D">
        <w:rPr>
          <w:rStyle w:val="HideTWBExt"/>
          <w:b w:val="0"/>
          <w:lang w:val="it-IT"/>
        </w:rPr>
        <w:t>&lt;RepeatBlock-By&gt;&lt;Members&gt;</w:t>
      </w:r>
      <w:r w:rsidRPr="00804E2D">
        <w:rPr>
          <w:lang w:val="it-IT"/>
        </w:rPr>
        <w:t>Alessandro Ciriani, Nicola Procaccini, Pietro Fiocchi, Michele Picaro, Antonella Sberna, Stefano Cavedagna, Paolo Inselvini, Sander Smit, Marco Squarta, Alexandr Vondra, Carlo Fidanza, Sergio Berlato, Carlo Ciccioli, Giovanni Crosetto, Elena Donazzan, Alberico Gambino, Chiara Gemma, Lara Magoni, Mario Mantovani, Giuseppe Milazzo, Denis Nesci, Daniele Polato, Ruggero Razza, Francesco Torselli, Francesco Ventola, Mariateresa Vivaldini</w:t>
      </w:r>
      <w:r w:rsidRPr="00804E2D">
        <w:rPr>
          <w:rStyle w:val="HideTWBExt"/>
          <w:b w:val="0"/>
          <w:lang w:val="it-IT"/>
        </w:rPr>
        <w:t>&lt;/Members&gt;</w:t>
      </w:r>
    </w:p>
    <w:p w:rsidR="00343C6C" w:rsidRPr="00FC4A49" w:rsidP="00343C6C" w14:paraId="18A894EC" w14:textId="77777777">
      <w:r w:rsidRPr="00FC4A49">
        <w:rPr>
          <w:rStyle w:val="HideTWBExt"/>
        </w:rPr>
        <w:t>&lt;/RepeatBlock-By&gt;</w:t>
      </w:r>
    </w:p>
    <w:p w:rsidR="00343C6C" w:rsidRPr="00FC4A49" w:rsidP="00343C6C" w14:paraId="1665D42A"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B890C19" w14:textId="77777777">
      <w:pPr>
        <w:pStyle w:val="NormalBold"/>
      </w:pPr>
      <w:r w:rsidRPr="00FC4A49">
        <w:rPr>
          <w:rStyle w:val="HideTWBExt"/>
          <w:b w:val="0"/>
        </w:rPr>
        <w:t>&lt;Article&gt;</w:t>
      </w:r>
      <w:r w:rsidRPr="00FC4A49">
        <w:t>Recital 24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1232D0"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3A207CE" w14:textId="77777777">
            <w:pPr>
              <w:keepNext/>
            </w:pPr>
          </w:p>
        </w:tc>
      </w:tr>
      <w:tr w14:paraId="2AEC385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734529E" w14:textId="77777777">
            <w:pPr>
              <w:pStyle w:val="ColumnHeading"/>
              <w:keepNext/>
              <w:rPr>
                <w:lang w:val="en-GB"/>
              </w:rPr>
            </w:pPr>
            <w:r w:rsidRPr="00FC4A49">
              <w:rPr>
                <w:lang w:val="en-GB"/>
              </w:rPr>
              <w:t>Text proposed by the Commission</w:t>
            </w:r>
          </w:p>
        </w:tc>
        <w:tc>
          <w:tcPr>
            <w:tcW w:w="4876" w:type="dxa"/>
          </w:tcPr>
          <w:p w:rsidR="00343C6C" w:rsidRPr="00FC4A49" w:rsidP="005D58F9" w14:paraId="0D52574F" w14:textId="77777777">
            <w:pPr>
              <w:pStyle w:val="ColumnHeading"/>
              <w:keepNext/>
              <w:rPr>
                <w:lang w:val="en-GB"/>
              </w:rPr>
            </w:pPr>
            <w:r w:rsidRPr="00FC4A49">
              <w:rPr>
                <w:lang w:val="en-GB"/>
              </w:rPr>
              <w:t>Amendment</w:t>
            </w:r>
          </w:p>
        </w:tc>
      </w:tr>
      <w:tr w14:paraId="363C516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33ADFEA" w14:textId="77777777">
            <w:pPr>
              <w:pStyle w:val="Normal6"/>
              <w:rPr>
                <w:lang w:val="en-GB"/>
              </w:rPr>
            </w:pPr>
          </w:p>
        </w:tc>
        <w:tc>
          <w:tcPr>
            <w:tcW w:w="4876" w:type="dxa"/>
          </w:tcPr>
          <w:p w:rsidR="00343C6C" w:rsidRPr="00FC4A49" w:rsidP="005D58F9" w14:paraId="44ACDA37" w14:textId="77777777">
            <w:pPr>
              <w:pStyle w:val="Normal6"/>
              <w:rPr>
                <w:szCs w:val="24"/>
                <w:lang w:val="en-GB"/>
              </w:rPr>
            </w:pPr>
            <w:r w:rsidRPr="00FC4A49">
              <w:rPr>
                <w:b/>
                <w:i/>
                <w:lang w:val="en-GB"/>
              </w:rPr>
              <w:t>(24a)</w:t>
            </w:r>
            <w:r w:rsidRPr="00FC4A49">
              <w:rPr>
                <w:b/>
                <w:i/>
                <w:lang w:val="en-GB"/>
              </w:rPr>
              <w:tab/>
              <w:t xml:space="preserve">In order to protect territorial continuity and the affordability of essential connections, the derogation for island services should cover not only islands with fewer than 200 000 permanent residents but also islands located in regions whose gross domestic product per capita, measured in purchasing power standards, is below 75 % of the Union average, and should apply to passenger, </w:t>
            </w:r>
            <w:r w:rsidRPr="00FC4A49">
              <w:rPr>
                <w:b/>
                <w:i/>
                <w:lang w:val="en-GB"/>
              </w:rPr>
              <w:t>ro</w:t>
            </w:r>
            <w:r w:rsidRPr="00FC4A49">
              <w:rPr>
                <w:b/>
                <w:i/>
                <w:lang w:val="en-GB"/>
              </w:rPr>
              <w:t xml:space="preserve">-pax, ro-ro cargo and other cargo services between those islands </w:t>
            </w:r>
            <w:r w:rsidRPr="00FC4A49">
              <w:rPr>
                <w:b/>
                <w:i/>
                <w:lang w:val="en-GB"/>
              </w:rPr>
              <w:t>and a port of the same Member State. Eligibility should be determined on the basis of the data available at the date of entry into force of this Directive, and the derogation should apply until 31 December 2040 to give operators the predictability needed to invest in fleet renewal.</w:t>
            </w:r>
          </w:p>
        </w:tc>
      </w:tr>
    </w:tbl>
    <w:p w:rsidR="00343C6C" w:rsidRPr="00FC4A49" w:rsidP="00343C6C" w14:paraId="430B21E6"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D2053B7" w14:textId="77777777">
      <w:r w:rsidRPr="00FC4A49">
        <w:rPr>
          <w:rStyle w:val="HideTWBExt"/>
        </w:rPr>
        <w:t>&lt;/Amend&gt;</w:t>
      </w:r>
    </w:p>
    <w:p w:rsidR="00343C6C" w:rsidRPr="00FC4A49" w:rsidP="00343C6C" w14:paraId="12DDBC67"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191</w:t>
      </w:r>
      <w:r w:rsidRPr="00FC4A49">
        <w:rPr>
          <w:rStyle w:val="HideTWBExt"/>
          <w:b w:val="0"/>
          <w:lang w:val="en-GB"/>
        </w:rPr>
        <w:t>&lt;/NumAm&gt;</w:t>
      </w:r>
    </w:p>
    <w:p w:rsidR="00343C6C" w:rsidRPr="00FC4A49" w:rsidP="00343C6C" w14:paraId="5F916DB1" w14:textId="77777777">
      <w:pPr>
        <w:pStyle w:val="NormalBold"/>
      </w:pPr>
      <w:r w:rsidRPr="00FC4A49">
        <w:rPr>
          <w:rStyle w:val="HideTWBExt"/>
          <w:b w:val="0"/>
        </w:rPr>
        <w:t>&lt;RepeatBlock-By&gt;&lt;Members&gt;</w:t>
      </w:r>
      <w:r w:rsidRPr="00FC4A49">
        <w:t xml:space="preserve">Peter Agius, Michalis Hadjipantela, Dimitris </w:t>
      </w:r>
      <w:r w:rsidRPr="00FC4A49">
        <w:t>Tsiodras</w:t>
      </w:r>
      <w:r w:rsidRPr="00FC4A49">
        <w:rPr>
          <w:rStyle w:val="HideTWBExt"/>
          <w:b w:val="0"/>
        </w:rPr>
        <w:t>&lt;/Members&gt;</w:t>
      </w:r>
    </w:p>
    <w:p w:rsidR="00343C6C" w:rsidRPr="00FC4A49" w:rsidP="00343C6C" w14:paraId="692A1AEE" w14:textId="77777777">
      <w:r w:rsidRPr="00FC4A49">
        <w:rPr>
          <w:rStyle w:val="HideTWBExt"/>
        </w:rPr>
        <w:t>&lt;/RepeatBlock-By&gt;</w:t>
      </w:r>
    </w:p>
    <w:p w:rsidR="00343C6C" w:rsidRPr="00FC4A49" w:rsidP="00343C6C" w14:paraId="0F58116D"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0A14AD4" w14:textId="77777777">
      <w:pPr>
        <w:pStyle w:val="NormalBold"/>
      </w:pPr>
      <w:r w:rsidRPr="00FC4A49">
        <w:rPr>
          <w:rStyle w:val="HideTWBExt"/>
          <w:b w:val="0"/>
        </w:rPr>
        <w:t>&lt;Article&gt;</w:t>
      </w:r>
      <w:r w:rsidRPr="00FC4A49">
        <w:t>Recital 24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B19C8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6C084C1" w14:textId="77777777">
            <w:pPr>
              <w:keepNext/>
            </w:pPr>
          </w:p>
        </w:tc>
      </w:tr>
      <w:tr w14:paraId="00E15DA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2CDEA24" w14:textId="77777777">
            <w:pPr>
              <w:pStyle w:val="ColumnHeading"/>
              <w:keepNext/>
              <w:rPr>
                <w:lang w:val="en-GB"/>
              </w:rPr>
            </w:pPr>
            <w:r w:rsidRPr="00FC4A49">
              <w:rPr>
                <w:lang w:val="en-GB"/>
              </w:rPr>
              <w:t>Text proposed by the Commission</w:t>
            </w:r>
          </w:p>
        </w:tc>
        <w:tc>
          <w:tcPr>
            <w:tcW w:w="4876" w:type="dxa"/>
          </w:tcPr>
          <w:p w:rsidR="00343C6C" w:rsidRPr="00FC4A49" w:rsidP="005D58F9" w14:paraId="009C226D" w14:textId="77777777">
            <w:pPr>
              <w:pStyle w:val="ColumnHeading"/>
              <w:keepNext/>
              <w:rPr>
                <w:lang w:val="en-GB"/>
              </w:rPr>
            </w:pPr>
            <w:r w:rsidRPr="00FC4A49">
              <w:rPr>
                <w:lang w:val="en-GB"/>
              </w:rPr>
              <w:t>Amendment</w:t>
            </w:r>
          </w:p>
        </w:tc>
      </w:tr>
      <w:tr w14:paraId="10E6998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0D3AAE3" w14:textId="77777777">
            <w:pPr>
              <w:pStyle w:val="Normal6"/>
              <w:rPr>
                <w:lang w:val="en-GB"/>
              </w:rPr>
            </w:pPr>
          </w:p>
        </w:tc>
        <w:tc>
          <w:tcPr>
            <w:tcW w:w="4876" w:type="dxa"/>
          </w:tcPr>
          <w:p w:rsidR="00343C6C" w:rsidRPr="00FC4A49" w:rsidP="005D58F9" w14:paraId="334FA12A" w14:textId="77777777">
            <w:pPr>
              <w:pStyle w:val="Normal6"/>
              <w:rPr>
                <w:szCs w:val="24"/>
                <w:lang w:val="en-GB"/>
              </w:rPr>
            </w:pPr>
            <w:r w:rsidRPr="00FC4A49">
              <w:rPr>
                <w:b/>
                <w:i/>
                <w:lang w:val="en-GB"/>
              </w:rPr>
              <w:t>(24a)</w:t>
            </w:r>
            <w:r w:rsidRPr="00FC4A49">
              <w:rPr>
                <w:b/>
                <w:i/>
                <w:lang w:val="en-GB"/>
              </w:rPr>
              <w:tab/>
              <w:t>For island Member States and island regions without rail or land connections to the European mainland, maritime shipping and aviation are not disposable commercial choices but essential economic lifelines. Blanket carbon charges imposed on island logistics function therefore as an inescapable tax on geography, placing an additional handicap on insularity, especially as the marginal abatement cost curves for the maritime and aviation sectors are significantly steeper, higher and more inelastic than those of stationary sectors such as power and heavy industry.</w:t>
            </w:r>
          </w:p>
        </w:tc>
      </w:tr>
    </w:tbl>
    <w:p w:rsidR="00343C6C" w:rsidRPr="00FC4A49" w:rsidP="00343C6C" w14:paraId="799DB97E"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2E21FF8" w14:textId="77777777">
      <w:r w:rsidRPr="00FC4A49">
        <w:rPr>
          <w:rStyle w:val="HideTWBExt"/>
        </w:rPr>
        <w:t>&lt;/Amend&gt;</w:t>
      </w:r>
    </w:p>
    <w:p w:rsidR="00343C6C" w:rsidRPr="00FC4A49" w:rsidP="00343C6C" w14:paraId="16C7B9CB"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192</w:t>
      </w:r>
      <w:r w:rsidRPr="00FC4A49">
        <w:rPr>
          <w:rStyle w:val="HideTWBExt"/>
          <w:b w:val="0"/>
          <w:lang w:val="en-GB"/>
        </w:rPr>
        <w:t>&lt;/NumAm&gt;</w:t>
      </w:r>
    </w:p>
    <w:p w:rsidR="00343C6C" w:rsidRPr="00FC4A49" w:rsidP="00343C6C" w14:paraId="072F538D" w14:textId="77777777">
      <w:pPr>
        <w:pStyle w:val="NormalBold"/>
      </w:pPr>
      <w:r w:rsidRPr="00FC4A49">
        <w:rPr>
          <w:rStyle w:val="HideTWBExt"/>
          <w:b w:val="0"/>
        </w:rPr>
        <w:t>&lt;RepeatBlock-By&gt;&lt;Members&gt;</w:t>
      </w:r>
      <w:r w:rsidRPr="00FC4A49">
        <w:t>Annalisa Corrado</w:t>
      </w:r>
      <w:r w:rsidRPr="00FC4A49">
        <w:rPr>
          <w:rStyle w:val="HideTWBExt"/>
          <w:b w:val="0"/>
        </w:rPr>
        <w:t>&lt;/Members&gt;</w:t>
      </w:r>
    </w:p>
    <w:p w:rsidR="00343C6C" w:rsidRPr="00FC4A49" w:rsidP="00343C6C" w14:paraId="3DA5018B" w14:textId="77777777">
      <w:r w:rsidRPr="00FC4A49">
        <w:rPr>
          <w:rStyle w:val="HideTWBExt"/>
        </w:rPr>
        <w:t>&lt;/RepeatBlock-By&gt;</w:t>
      </w:r>
    </w:p>
    <w:p w:rsidR="00343C6C" w:rsidRPr="00FC4A49" w:rsidP="00343C6C" w14:paraId="7E39099C"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D3296E3" w14:textId="77777777">
      <w:pPr>
        <w:pStyle w:val="NormalBold"/>
      </w:pPr>
      <w:r w:rsidRPr="00FC4A49">
        <w:rPr>
          <w:rStyle w:val="HideTWBExt"/>
          <w:b w:val="0"/>
        </w:rPr>
        <w:t>&lt;Article&gt;</w:t>
      </w:r>
      <w:r w:rsidRPr="00FC4A49">
        <w:t>Recital 24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2F4F8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8D36DFD" w14:textId="77777777">
            <w:pPr>
              <w:keepNext/>
            </w:pPr>
          </w:p>
        </w:tc>
      </w:tr>
      <w:tr w14:paraId="3F5EA76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C0C1A30" w14:textId="77777777">
            <w:pPr>
              <w:pStyle w:val="ColumnHeading"/>
              <w:keepNext/>
              <w:rPr>
                <w:lang w:val="en-GB"/>
              </w:rPr>
            </w:pPr>
            <w:r w:rsidRPr="00FC4A49">
              <w:rPr>
                <w:lang w:val="en-GB"/>
              </w:rPr>
              <w:t>Text proposed by the Commission</w:t>
            </w:r>
          </w:p>
        </w:tc>
        <w:tc>
          <w:tcPr>
            <w:tcW w:w="4876" w:type="dxa"/>
          </w:tcPr>
          <w:p w:rsidR="00343C6C" w:rsidRPr="00FC4A49" w:rsidP="005D58F9" w14:paraId="17555305" w14:textId="77777777">
            <w:pPr>
              <w:pStyle w:val="ColumnHeading"/>
              <w:keepNext/>
              <w:rPr>
                <w:lang w:val="en-GB"/>
              </w:rPr>
            </w:pPr>
            <w:r w:rsidRPr="00FC4A49">
              <w:rPr>
                <w:lang w:val="en-GB"/>
              </w:rPr>
              <w:t>Amendment</w:t>
            </w:r>
          </w:p>
        </w:tc>
      </w:tr>
      <w:tr w14:paraId="6C8CAA8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D490A4A" w14:textId="77777777">
            <w:pPr>
              <w:pStyle w:val="Normal6"/>
              <w:rPr>
                <w:lang w:val="en-GB"/>
              </w:rPr>
            </w:pPr>
          </w:p>
        </w:tc>
        <w:tc>
          <w:tcPr>
            <w:tcW w:w="4876" w:type="dxa"/>
          </w:tcPr>
          <w:p w:rsidR="00343C6C" w:rsidRPr="00FC4A49" w:rsidP="005D58F9" w14:paraId="661C73A0" w14:textId="77777777">
            <w:pPr>
              <w:pStyle w:val="Normal6"/>
              <w:rPr>
                <w:szCs w:val="24"/>
                <w:lang w:val="en-GB"/>
              </w:rPr>
            </w:pPr>
            <w:r w:rsidRPr="00FC4A49">
              <w:rPr>
                <w:b/>
                <w:i/>
                <w:lang w:val="en-GB"/>
              </w:rPr>
              <w:t>(24a)</w:t>
            </w:r>
            <w:r w:rsidRPr="00FC4A49">
              <w:rPr>
                <w:b/>
                <w:i/>
                <w:lang w:val="en-GB"/>
              </w:rPr>
              <w:tab/>
              <w:t>Voyages performed by motorised private yachts generate disproportionately high greenhouse gas emissions per passenger-</w:t>
            </w:r>
            <w:r w:rsidRPr="00FC4A49">
              <w:rPr>
                <w:b/>
                <w:i/>
                <w:lang w:val="en-GB"/>
              </w:rPr>
              <w:t>kilometer</w:t>
            </w:r>
            <w:r w:rsidRPr="00FC4A49">
              <w:rPr>
                <w:b/>
                <w:i/>
                <w:lang w:val="en-GB"/>
              </w:rPr>
              <w:t xml:space="preserve"> compared to commercial maritime transport. To operationalise the polluter pays principle and ensure an equitable contribution to decarbonisation, ship owners and managers operating motorised private yachts should be subject to a carbon price per tonne of CO</w:t>
            </w:r>
            <w:r w:rsidRPr="00FC4A49">
              <w:rPr>
                <w:b/>
                <w:i/>
                <w:vertAlign w:val="subscript"/>
                <w:lang w:val="en-GB"/>
              </w:rPr>
              <w:t>2</w:t>
            </w:r>
            <w:r w:rsidRPr="00FC4A49">
              <w:rPr>
                <w:lang w:val="en-GB"/>
              </w:rPr>
              <w:t xml:space="preserve"> </w:t>
            </w:r>
            <w:r w:rsidRPr="00FC4A49">
              <w:rPr>
                <w:b/>
                <w:i/>
                <w:lang w:val="en-GB"/>
              </w:rPr>
              <w:t>emitted.</w:t>
            </w:r>
          </w:p>
        </w:tc>
      </w:tr>
    </w:tbl>
    <w:p w:rsidR="00343C6C" w:rsidRPr="00FC4A49" w:rsidP="00343C6C" w14:paraId="6B77AC80"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9219D37" w14:textId="77777777">
      <w:r w:rsidRPr="00FC4A49">
        <w:rPr>
          <w:rStyle w:val="HideTWBExt"/>
        </w:rPr>
        <w:t>&lt;/Amend&gt;</w:t>
      </w:r>
    </w:p>
    <w:p w:rsidR="00343C6C" w:rsidRPr="00FC4A49" w:rsidP="00343C6C" w14:paraId="7E07E343"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193</w:t>
      </w:r>
      <w:r w:rsidRPr="00FC4A49">
        <w:rPr>
          <w:rStyle w:val="HideTWBExt"/>
          <w:b w:val="0"/>
          <w:lang w:val="en-GB"/>
        </w:rPr>
        <w:t>&lt;/NumAm&gt;</w:t>
      </w:r>
    </w:p>
    <w:p w:rsidR="00343C6C" w:rsidRPr="00FC4A49" w:rsidP="00343C6C" w14:paraId="0FA66D77" w14:textId="77777777">
      <w:pPr>
        <w:pStyle w:val="NormalBold"/>
      </w:pPr>
      <w:r w:rsidRPr="00FC4A49">
        <w:rPr>
          <w:rStyle w:val="HideTWBExt"/>
          <w:b w:val="0"/>
        </w:rPr>
        <w:t>&lt;RepeatBlock-By&gt;&lt;Members&gt;</w:t>
      </w:r>
      <w:r w:rsidRPr="00FC4A49">
        <w:t>Mohammed Chahim, Peter Liese</w:t>
      </w:r>
      <w:r w:rsidRPr="00FC4A49">
        <w:rPr>
          <w:rStyle w:val="HideTWBExt"/>
          <w:b w:val="0"/>
        </w:rPr>
        <w:t>&lt;/Members&gt;</w:t>
      </w:r>
    </w:p>
    <w:p w:rsidR="00343C6C" w:rsidRPr="00FC4A49" w:rsidP="00343C6C" w14:paraId="7EC225E6" w14:textId="77777777">
      <w:r w:rsidRPr="00FC4A49">
        <w:rPr>
          <w:rStyle w:val="HideTWBExt"/>
        </w:rPr>
        <w:t>&lt;/RepeatBlock-By&gt;</w:t>
      </w:r>
    </w:p>
    <w:p w:rsidR="00343C6C" w:rsidRPr="00FC4A49" w:rsidP="00343C6C" w14:paraId="7934E72E"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D95CF03" w14:textId="77777777">
      <w:pPr>
        <w:pStyle w:val="NormalBold"/>
      </w:pPr>
      <w:r w:rsidRPr="00FC4A49">
        <w:rPr>
          <w:rStyle w:val="HideTWBExt"/>
          <w:b w:val="0"/>
        </w:rPr>
        <w:t>&lt;Article&gt;</w:t>
      </w:r>
      <w:r w:rsidRPr="00FC4A49">
        <w:t>Recital 24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4076D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7733974E" w14:textId="77777777">
            <w:pPr>
              <w:keepNext/>
            </w:pPr>
          </w:p>
        </w:tc>
      </w:tr>
      <w:tr w14:paraId="7431B75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11CA292" w14:textId="77777777">
            <w:pPr>
              <w:pStyle w:val="ColumnHeading"/>
              <w:keepNext/>
              <w:rPr>
                <w:lang w:val="en-GB"/>
              </w:rPr>
            </w:pPr>
            <w:r w:rsidRPr="00FC4A49">
              <w:rPr>
                <w:lang w:val="en-GB"/>
              </w:rPr>
              <w:t>Text proposed by the Commission</w:t>
            </w:r>
          </w:p>
        </w:tc>
        <w:tc>
          <w:tcPr>
            <w:tcW w:w="4876" w:type="dxa"/>
          </w:tcPr>
          <w:p w:rsidR="00343C6C" w:rsidRPr="00FC4A49" w:rsidP="005D58F9" w14:paraId="7295B445" w14:textId="77777777">
            <w:pPr>
              <w:pStyle w:val="ColumnHeading"/>
              <w:keepNext/>
              <w:rPr>
                <w:lang w:val="en-GB"/>
              </w:rPr>
            </w:pPr>
            <w:r w:rsidRPr="00FC4A49">
              <w:rPr>
                <w:lang w:val="en-GB"/>
              </w:rPr>
              <w:t>Amendment</w:t>
            </w:r>
          </w:p>
        </w:tc>
      </w:tr>
      <w:tr w14:paraId="4E1BCB2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2549E8A" w14:textId="77777777">
            <w:pPr>
              <w:pStyle w:val="Normal6"/>
              <w:rPr>
                <w:lang w:val="en-GB"/>
              </w:rPr>
            </w:pPr>
          </w:p>
        </w:tc>
        <w:tc>
          <w:tcPr>
            <w:tcW w:w="4876" w:type="dxa"/>
          </w:tcPr>
          <w:p w:rsidR="00343C6C" w:rsidRPr="00FC4A49" w:rsidP="005D58F9" w14:paraId="7352E4AE" w14:textId="77777777">
            <w:pPr>
              <w:pStyle w:val="Normal6"/>
              <w:rPr>
                <w:szCs w:val="24"/>
                <w:lang w:val="en-GB"/>
              </w:rPr>
            </w:pPr>
            <w:r w:rsidRPr="00FC4A49">
              <w:rPr>
                <w:b/>
                <w:i/>
                <w:lang w:val="en-GB"/>
              </w:rPr>
              <w:t>(24a)</w:t>
            </w:r>
            <w:r w:rsidRPr="00FC4A49">
              <w:rPr>
                <w:b/>
                <w:i/>
                <w:lang w:val="en-GB"/>
              </w:rPr>
              <w:tab/>
              <w:t>Voyages performed by motorised private yachts generate disproportionately high greenhouse gas emissions per passenger-</w:t>
            </w:r>
            <w:r w:rsidRPr="00FC4A49">
              <w:rPr>
                <w:b/>
                <w:i/>
                <w:lang w:val="en-GB"/>
              </w:rPr>
              <w:t>kilometer</w:t>
            </w:r>
            <w:r w:rsidRPr="00FC4A49">
              <w:rPr>
                <w:b/>
                <w:i/>
                <w:lang w:val="en-GB"/>
              </w:rPr>
              <w:t xml:space="preserve"> compared to commercial maritime transport. To operationalise the polluter pays principle and ensure an equitable contribution to decarbonisation, ship owners and managers operating motorised private yachts should be subject to a carbon price per tonne of CO</w:t>
            </w:r>
            <w:r w:rsidRPr="00FC4A49">
              <w:rPr>
                <w:b/>
                <w:i/>
                <w:vertAlign w:val="subscript"/>
                <w:lang w:val="en-GB"/>
              </w:rPr>
              <w:t>2</w:t>
            </w:r>
            <w:r w:rsidRPr="00FC4A49">
              <w:rPr>
                <w:lang w:val="en-GB"/>
              </w:rPr>
              <w:t xml:space="preserve"> </w:t>
            </w:r>
            <w:r w:rsidRPr="00FC4A49">
              <w:rPr>
                <w:b/>
                <w:i/>
                <w:lang w:val="en-GB"/>
              </w:rPr>
              <w:t>emitted.</w:t>
            </w:r>
          </w:p>
        </w:tc>
      </w:tr>
    </w:tbl>
    <w:p w:rsidR="00343C6C" w:rsidRPr="00FC4A49" w:rsidP="00343C6C" w14:paraId="1B4DF017"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8005011" w14:textId="77777777">
      <w:r w:rsidRPr="00FC4A49">
        <w:rPr>
          <w:rStyle w:val="HideTWBExt"/>
        </w:rPr>
        <w:t>&lt;/Amend&gt;</w:t>
      </w:r>
    </w:p>
    <w:p w:rsidR="00343C6C" w:rsidRPr="00FC4A49" w:rsidP="00343C6C" w14:paraId="5AF709C6"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194</w:t>
      </w:r>
      <w:r w:rsidRPr="00FC4A49">
        <w:rPr>
          <w:rStyle w:val="HideTWBExt"/>
          <w:b w:val="0"/>
          <w:lang w:val="en-GB"/>
        </w:rPr>
        <w:t>&lt;/NumAm&gt;</w:t>
      </w:r>
    </w:p>
    <w:p w:rsidR="00343C6C" w:rsidRPr="00FC4A49" w:rsidP="00343C6C" w14:paraId="523EE106" w14:textId="77777777">
      <w:pPr>
        <w:pStyle w:val="NormalBold"/>
      </w:pPr>
      <w:r w:rsidRPr="00FC4A49">
        <w:rPr>
          <w:rStyle w:val="HideTWBExt"/>
          <w:b w:val="0"/>
        </w:rPr>
        <w:t>&lt;RepeatBlock-By&gt;&lt;Members&gt;</w:t>
      </w:r>
      <w:r w:rsidRPr="00FC4A49">
        <w:t xml:space="preserve">Peter Agius, Michalis Hadjipantela, Dimitris </w:t>
      </w:r>
      <w:r w:rsidRPr="00FC4A49">
        <w:t>Tsiodras</w:t>
      </w:r>
      <w:r w:rsidRPr="00FC4A49">
        <w:rPr>
          <w:rStyle w:val="HideTWBExt"/>
          <w:b w:val="0"/>
        </w:rPr>
        <w:t>&lt;/Members&gt;</w:t>
      </w:r>
    </w:p>
    <w:p w:rsidR="00343C6C" w:rsidRPr="00FC4A49" w:rsidP="00343C6C" w14:paraId="514B72D4" w14:textId="77777777">
      <w:r w:rsidRPr="00FC4A49">
        <w:rPr>
          <w:rStyle w:val="HideTWBExt"/>
        </w:rPr>
        <w:t>&lt;/RepeatBlock-By&gt;</w:t>
      </w:r>
    </w:p>
    <w:p w:rsidR="00343C6C" w:rsidRPr="00FC4A49" w:rsidP="00343C6C" w14:paraId="56810C13"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804E2D" w:rsidP="00343C6C" w14:paraId="2FB925AC" w14:textId="77777777">
      <w:pPr>
        <w:pStyle w:val="NormalBold"/>
        <w:rPr>
          <w:lang w:val="fr-BE"/>
        </w:rPr>
      </w:pPr>
      <w:r w:rsidRPr="00804E2D">
        <w:rPr>
          <w:rStyle w:val="HideTWBExt"/>
          <w:b w:val="0"/>
          <w:lang w:val="fr-BE"/>
        </w:rPr>
        <w:t>&lt;Article&gt;</w:t>
      </w:r>
      <w:r w:rsidRPr="00804E2D">
        <w:rPr>
          <w:lang w:val="fr-BE"/>
        </w:rPr>
        <w:t>Recital</w:t>
      </w:r>
      <w:r w:rsidRPr="00804E2D">
        <w:rPr>
          <w:lang w:val="fr-BE"/>
        </w:rPr>
        <w:t xml:space="preserve"> 24 b (new)</w:t>
      </w:r>
      <w:r w:rsidRPr="00804E2D">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3EFF898"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804E2D" w:rsidP="005D58F9" w14:paraId="6CE6F91F" w14:textId="77777777">
            <w:pPr>
              <w:keepNext/>
              <w:rPr>
                <w:lang w:val="fr-BE"/>
              </w:rPr>
            </w:pPr>
          </w:p>
        </w:tc>
      </w:tr>
      <w:tr w14:paraId="2E2B660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820D36E" w14:textId="77777777">
            <w:pPr>
              <w:pStyle w:val="ColumnHeading"/>
              <w:keepNext/>
              <w:rPr>
                <w:lang w:val="en-GB"/>
              </w:rPr>
            </w:pPr>
            <w:r w:rsidRPr="00FC4A49">
              <w:rPr>
                <w:lang w:val="en-GB"/>
              </w:rPr>
              <w:t>Text proposed by the Commission</w:t>
            </w:r>
          </w:p>
        </w:tc>
        <w:tc>
          <w:tcPr>
            <w:tcW w:w="4876" w:type="dxa"/>
          </w:tcPr>
          <w:p w:rsidR="00343C6C" w:rsidRPr="00FC4A49" w:rsidP="005D58F9" w14:paraId="7E5C18AB" w14:textId="77777777">
            <w:pPr>
              <w:pStyle w:val="ColumnHeading"/>
              <w:keepNext/>
              <w:rPr>
                <w:lang w:val="en-GB"/>
              </w:rPr>
            </w:pPr>
            <w:r w:rsidRPr="00FC4A49">
              <w:rPr>
                <w:lang w:val="en-GB"/>
              </w:rPr>
              <w:t>Amendment</w:t>
            </w:r>
          </w:p>
        </w:tc>
      </w:tr>
      <w:tr w14:paraId="0289F61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1F6424E" w14:textId="77777777">
            <w:pPr>
              <w:pStyle w:val="Normal6"/>
              <w:rPr>
                <w:lang w:val="en-GB"/>
              </w:rPr>
            </w:pPr>
          </w:p>
        </w:tc>
        <w:tc>
          <w:tcPr>
            <w:tcW w:w="4876" w:type="dxa"/>
          </w:tcPr>
          <w:p w:rsidR="00343C6C" w:rsidRPr="00FC4A49" w:rsidP="005D58F9" w14:paraId="6F5A9EC6" w14:textId="77777777">
            <w:pPr>
              <w:pStyle w:val="Normal6"/>
              <w:rPr>
                <w:szCs w:val="24"/>
                <w:lang w:val="en-GB"/>
              </w:rPr>
            </w:pPr>
            <w:r w:rsidRPr="00FC4A49">
              <w:rPr>
                <w:b/>
                <w:i/>
                <w:lang w:val="en-GB"/>
              </w:rPr>
              <w:t>(24b)</w:t>
            </w:r>
            <w:r w:rsidRPr="00FC4A49">
              <w:rPr>
                <w:b/>
                <w:i/>
                <w:lang w:val="en-GB"/>
              </w:rPr>
              <w:tab/>
              <w:t>Treaty provisions obliging the Union to consider the particular handicaps of islands in its policies must be effectively applied, in particular to ensure a proportionate and considerate application of the Union’s commitment to climate neutrality while not compounding further the existing handicaps of islands.</w:t>
            </w:r>
          </w:p>
        </w:tc>
      </w:tr>
    </w:tbl>
    <w:p w:rsidR="00343C6C" w:rsidRPr="00FC4A49" w:rsidP="00343C6C" w14:paraId="01B3647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A221055" w14:textId="77777777">
      <w:r w:rsidRPr="00FC4A49">
        <w:rPr>
          <w:rStyle w:val="HideTWBExt"/>
        </w:rPr>
        <w:t>&lt;/Amend&gt;</w:t>
      </w:r>
    </w:p>
    <w:p w:rsidR="00343C6C" w:rsidRPr="00FC4A49" w:rsidP="00343C6C" w14:paraId="52BB1AC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195</w:t>
      </w:r>
      <w:r w:rsidRPr="00FC4A49">
        <w:rPr>
          <w:rStyle w:val="HideTWBExt"/>
          <w:b w:val="0"/>
          <w:lang w:val="en-GB"/>
        </w:rPr>
        <w:t>&lt;/NumAm&gt;</w:t>
      </w:r>
    </w:p>
    <w:p w:rsidR="00343C6C" w:rsidRPr="00FC4A49" w:rsidP="00343C6C" w14:paraId="6EFFDF85" w14:textId="77777777">
      <w:pPr>
        <w:pStyle w:val="NormalBold"/>
      </w:pPr>
      <w:r w:rsidRPr="00FC4A49">
        <w:rPr>
          <w:rStyle w:val="HideTWBExt"/>
          <w:b w:val="0"/>
        </w:rPr>
        <w:t>&lt;RepeatBlock-By&gt;&lt;Members&gt;</w:t>
      </w:r>
      <w:r w:rsidRPr="00FC4A49">
        <w:t xml:space="preserve">Peter Agius, Michalis Hadjipantela, Dimitris </w:t>
      </w:r>
      <w:r w:rsidRPr="00FC4A49">
        <w:t>Tsiodras</w:t>
      </w:r>
      <w:r w:rsidRPr="00FC4A49">
        <w:rPr>
          <w:rStyle w:val="HideTWBExt"/>
          <w:b w:val="0"/>
        </w:rPr>
        <w:t>&lt;/Members&gt;</w:t>
      </w:r>
    </w:p>
    <w:p w:rsidR="00343C6C" w:rsidRPr="00FC4A49" w:rsidP="00343C6C" w14:paraId="692EE23B" w14:textId="77777777">
      <w:r w:rsidRPr="00FC4A49">
        <w:rPr>
          <w:rStyle w:val="HideTWBExt"/>
        </w:rPr>
        <w:t>&lt;/RepeatBlock-By&gt;</w:t>
      </w:r>
    </w:p>
    <w:p w:rsidR="00343C6C" w:rsidRPr="00FC4A49" w:rsidP="00343C6C" w14:paraId="46A9E772"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804E2D" w:rsidP="00343C6C" w14:paraId="7F20DD79" w14:textId="77777777">
      <w:pPr>
        <w:pStyle w:val="NormalBold"/>
        <w:rPr>
          <w:lang w:val="fr-BE"/>
        </w:rPr>
      </w:pPr>
      <w:r w:rsidRPr="00804E2D">
        <w:rPr>
          <w:rStyle w:val="HideTWBExt"/>
          <w:b w:val="0"/>
          <w:lang w:val="fr-BE"/>
        </w:rPr>
        <w:t>&lt;Article&gt;</w:t>
      </w:r>
      <w:r w:rsidRPr="00804E2D">
        <w:rPr>
          <w:lang w:val="fr-BE"/>
        </w:rPr>
        <w:t>Recital</w:t>
      </w:r>
      <w:r w:rsidRPr="00804E2D">
        <w:rPr>
          <w:lang w:val="fr-BE"/>
        </w:rPr>
        <w:t xml:space="preserve"> 24 c (new)</w:t>
      </w:r>
      <w:r w:rsidRPr="00804E2D">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914B049"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804E2D" w:rsidP="005D58F9" w14:paraId="2ADD5BBA" w14:textId="77777777">
            <w:pPr>
              <w:keepNext/>
              <w:rPr>
                <w:lang w:val="fr-BE"/>
              </w:rPr>
            </w:pPr>
          </w:p>
        </w:tc>
      </w:tr>
      <w:tr w14:paraId="34B54C7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9BB9F75" w14:textId="77777777">
            <w:pPr>
              <w:pStyle w:val="ColumnHeading"/>
              <w:keepNext/>
              <w:rPr>
                <w:lang w:val="en-GB"/>
              </w:rPr>
            </w:pPr>
            <w:r w:rsidRPr="00FC4A49">
              <w:rPr>
                <w:lang w:val="en-GB"/>
              </w:rPr>
              <w:t>Text proposed by the Commission</w:t>
            </w:r>
          </w:p>
        </w:tc>
        <w:tc>
          <w:tcPr>
            <w:tcW w:w="4876" w:type="dxa"/>
          </w:tcPr>
          <w:p w:rsidR="00343C6C" w:rsidRPr="00FC4A49" w:rsidP="005D58F9" w14:paraId="2DE13B86" w14:textId="77777777">
            <w:pPr>
              <w:pStyle w:val="ColumnHeading"/>
              <w:keepNext/>
              <w:rPr>
                <w:lang w:val="en-GB"/>
              </w:rPr>
            </w:pPr>
            <w:r w:rsidRPr="00FC4A49">
              <w:rPr>
                <w:lang w:val="en-GB"/>
              </w:rPr>
              <w:t>Amendment</w:t>
            </w:r>
          </w:p>
        </w:tc>
      </w:tr>
      <w:tr w14:paraId="6F6F88F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A42267A" w14:textId="77777777">
            <w:pPr>
              <w:pStyle w:val="Normal6"/>
              <w:rPr>
                <w:lang w:val="en-GB"/>
              </w:rPr>
            </w:pPr>
          </w:p>
        </w:tc>
        <w:tc>
          <w:tcPr>
            <w:tcW w:w="4876" w:type="dxa"/>
          </w:tcPr>
          <w:p w:rsidR="00343C6C" w:rsidRPr="00FC4A49" w:rsidP="005D58F9" w14:paraId="46CADC3A" w14:textId="77777777">
            <w:pPr>
              <w:pStyle w:val="Normal6"/>
              <w:rPr>
                <w:szCs w:val="24"/>
                <w:lang w:val="en-GB"/>
              </w:rPr>
            </w:pPr>
            <w:r w:rsidRPr="00FC4A49">
              <w:rPr>
                <w:b/>
                <w:i/>
                <w:lang w:val="en-GB"/>
              </w:rPr>
              <w:t>(24c)</w:t>
            </w:r>
            <w:r w:rsidRPr="00FC4A49">
              <w:rPr>
                <w:b/>
                <w:i/>
                <w:lang w:val="en-GB"/>
              </w:rPr>
              <w:tab/>
              <w:t xml:space="preserve">Island Member States, Union island regions and outermost regions frequently depend largely on </w:t>
            </w:r>
            <w:r w:rsidRPr="00FC4A49">
              <w:rPr>
                <w:b/>
                <w:i/>
                <w:lang w:val="en-GB"/>
              </w:rPr>
              <w:t>on</w:t>
            </w:r>
            <w:r w:rsidRPr="00FC4A49">
              <w:rPr>
                <w:b/>
                <w:i/>
                <w:lang w:val="en-GB"/>
              </w:rPr>
              <w:t xml:space="preserve"> a services economy, in which imports of goods into their territory significantly outweigh the local manufacture and production. This results in asymmetric trade flows and a consequent phenomenon of laden inbound containers and trailers returning to mainland empty or half-empty, resulting in an effective double-leg transport and ETS tariffs.</w:t>
            </w:r>
          </w:p>
        </w:tc>
      </w:tr>
    </w:tbl>
    <w:p w:rsidR="00343C6C" w:rsidRPr="00FC4A49" w:rsidP="00343C6C" w14:paraId="24E65B27"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4439E8B" w14:textId="77777777">
      <w:r w:rsidRPr="00FC4A49">
        <w:rPr>
          <w:rStyle w:val="HideTWBExt"/>
        </w:rPr>
        <w:t>&lt;/Amend&gt;</w:t>
      </w:r>
    </w:p>
    <w:p w:rsidR="00343C6C" w:rsidRPr="00FC4A49" w:rsidP="00343C6C" w14:paraId="6AE4C9E6"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196</w:t>
      </w:r>
      <w:r w:rsidRPr="00FC4A49">
        <w:rPr>
          <w:rStyle w:val="HideTWBExt"/>
          <w:b w:val="0"/>
          <w:lang w:val="en-GB"/>
        </w:rPr>
        <w:t>&lt;/NumAm&gt;</w:t>
      </w:r>
    </w:p>
    <w:p w:rsidR="00343C6C" w:rsidRPr="00FC4A49" w:rsidP="00343C6C" w14:paraId="66225FE8" w14:textId="77777777">
      <w:pPr>
        <w:pStyle w:val="NormalBold"/>
      </w:pPr>
      <w:r w:rsidRPr="00FC4A49">
        <w:rPr>
          <w:rStyle w:val="HideTWBExt"/>
          <w:b w:val="0"/>
        </w:rPr>
        <w:t>&lt;RepeatBlock-By&gt;&lt;Members&gt;</w:t>
      </w:r>
      <w:r w:rsidRPr="00FC4A49">
        <w:t xml:space="preserve">Peter Agius, Michalis Hadjipantela, Dimitris </w:t>
      </w:r>
      <w:r w:rsidRPr="00FC4A49">
        <w:t>Tsiodras</w:t>
      </w:r>
      <w:r w:rsidRPr="00FC4A49">
        <w:rPr>
          <w:rStyle w:val="HideTWBExt"/>
          <w:b w:val="0"/>
        </w:rPr>
        <w:t>&lt;/Members&gt;</w:t>
      </w:r>
    </w:p>
    <w:p w:rsidR="00343C6C" w:rsidRPr="00FC4A49" w:rsidP="00343C6C" w14:paraId="4FC64217" w14:textId="77777777">
      <w:r w:rsidRPr="00FC4A49">
        <w:rPr>
          <w:rStyle w:val="HideTWBExt"/>
        </w:rPr>
        <w:t>&lt;/RepeatBlock-By&gt;</w:t>
      </w:r>
    </w:p>
    <w:p w:rsidR="00343C6C" w:rsidRPr="00FC4A49" w:rsidP="00343C6C" w14:paraId="03E23B0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804E2D" w:rsidP="00343C6C" w14:paraId="18FF711C" w14:textId="77777777">
      <w:pPr>
        <w:pStyle w:val="NormalBold"/>
        <w:rPr>
          <w:lang w:val="fr-BE"/>
        </w:rPr>
      </w:pPr>
      <w:r w:rsidRPr="00804E2D">
        <w:rPr>
          <w:rStyle w:val="HideTWBExt"/>
          <w:b w:val="0"/>
          <w:lang w:val="fr-BE"/>
        </w:rPr>
        <w:t>&lt;Article&gt;</w:t>
      </w:r>
      <w:r w:rsidRPr="00804E2D">
        <w:rPr>
          <w:lang w:val="fr-BE"/>
        </w:rPr>
        <w:t>Recital</w:t>
      </w:r>
      <w:r w:rsidRPr="00804E2D">
        <w:rPr>
          <w:lang w:val="fr-BE"/>
        </w:rPr>
        <w:t xml:space="preserve"> 24 d (new)</w:t>
      </w:r>
      <w:r w:rsidRPr="00804E2D">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83AFC5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804E2D" w:rsidP="005D58F9" w14:paraId="1AA2F26D" w14:textId="77777777">
            <w:pPr>
              <w:keepNext/>
              <w:rPr>
                <w:lang w:val="fr-BE"/>
              </w:rPr>
            </w:pPr>
          </w:p>
        </w:tc>
      </w:tr>
      <w:tr w14:paraId="12E06BD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9F0618B" w14:textId="77777777">
            <w:pPr>
              <w:pStyle w:val="ColumnHeading"/>
              <w:keepNext/>
              <w:rPr>
                <w:lang w:val="en-GB"/>
              </w:rPr>
            </w:pPr>
            <w:r w:rsidRPr="00FC4A49">
              <w:rPr>
                <w:lang w:val="en-GB"/>
              </w:rPr>
              <w:t>Text proposed by the Commission</w:t>
            </w:r>
          </w:p>
        </w:tc>
        <w:tc>
          <w:tcPr>
            <w:tcW w:w="4876" w:type="dxa"/>
          </w:tcPr>
          <w:p w:rsidR="00343C6C" w:rsidRPr="00FC4A49" w:rsidP="005D58F9" w14:paraId="65DAB862" w14:textId="77777777">
            <w:pPr>
              <w:pStyle w:val="ColumnHeading"/>
              <w:keepNext/>
              <w:rPr>
                <w:lang w:val="en-GB"/>
              </w:rPr>
            </w:pPr>
            <w:r w:rsidRPr="00FC4A49">
              <w:rPr>
                <w:lang w:val="en-GB"/>
              </w:rPr>
              <w:t>Amendment</w:t>
            </w:r>
          </w:p>
        </w:tc>
      </w:tr>
      <w:tr w14:paraId="6741F6F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6968BBF" w14:textId="77777777">
            <w:pPr>
              <w:pStyle w:val="Normal6"/>
              <w:rPr>
                <w:lang w:val="en-GB"/>
              </w:rPr>
            </w:pPr>
          </w:p>
        </w:tc>
        <w:tc>
          <w:tcPr>
            <w:tcW w:w="4876" w:type="dxa"/>
          </w:tcPr>
          <w:p w:rsidR="00343C6C" w:rsidRPr="00FC4A49" w:rsidP="005D58F9" w14:paraId="187BFA67" w14:textId="77777777">
            <w:pPr>
              <w:pStyle w:val="Normal6"/>
              <w:rPr>
                <w:szCs w:val="24"/>
                <w:lang w:val="en-GB"/>
              </w:rPr>
            </w:pPr>
            <w:r w:rsidRPr="00FC4A49">
              <w:rPr>
                <w:b/>
                <w:i/>
                <w:lang w:val="en-GB"/>
              </w:rPr>
              <w:t>(24d)</w:t>
            </w:r>
            <w:r w:rsidRPr="00FC4A49">
              <w:rPr>
                <w:b/>
                <w:i/>
                <w:lang w:val="en-GB"/>
              </w:rPr>
              <w:tab/>
              <w:t>Measures to reduce allowances for air and maritime voyages connecting islands to the mainland are hence imperatively needed to ensure that climate neutrality ambitions are in line with the Union’s policies for islands, while securing a proportionate obligation for island populations in their participation in the fight against climate change.</w:t>
            </w:r>
          </w:p>
        </w:tc>
      </w:tr>
    </w:tbl>
    <w:p w:rsidR="00343C6C" w:rsidRPr="00FC4A49" w:rsidP="00343C6C" w14:paraId="68AD433D"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9F97A9D" w14:textId="77777777">
      <w:r w:rsidRPr="00FC4A49">
        <w:rPr>
          <w:rStyle w:val="HideTWBExt"/>
        </w:rPr>
        <w:t>&lt;/Amend&gt;</w:t>
      </w:r>
    </w:p>
    <w:p w:rsidR="00343C6C" w:rsidRPr="00FC4A49" w:rsidP="00343C6C" w14:paraId="44DEDBF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197</w:t>
      </w:r>
      <w:r w:rsidRPr="00FC4A49">
        <w:rPr>
          <w:rStyle w:val="HideTWBExt"/>
          <w:b w:val="0"/>
          <w:lang w:val="en-GB"/>
        </w:rPr>
        <w:t>&lt;/NumAm&gt;</w:t>
      </w:r>
    </w:p>
    <w:p w:rsidR="00343C6C" w:rsidRPr="00FC4A49" w:rsidP="00343C6C" w14:paraId="34A87169" w14:textId="77777777">
      <w:pPr>
        <w:pStyle w:val="NormalBold"/>
      </w:pPr>
      <w:r w:rsidRPr="00FC4A49">
        <w:rPr>
          <w:rStyle w:val="HideTWBExt"/>
          <w:b w:val="0"/>
        </w:rPr>
        <w:t>&lt;RepeatBlock-By&gt;&lt;Members&gt;</w:t>
      </w:r>
      <w:r w:rsidRPr="00FC4A49">
        <w:t>Thomas Bajada, Daniel Attard, Yannis Maniatis, Sakis Arnaoutoglou, Alex Agius Saliba</w:t>
      </w:r>
      <w:r w:rsidRPr="00FC4A49">
        <w:rPr>
          <w:rStyle w:val="HideTWBExt"/>
          <w:b w:val="0"/>
        </w:rPr>
        <w:t>&lt;/Members&gt;</w:t>
      </w:r>
    </w:p>
    <w:p w:rsidR="00343C6C" w:rsidRPr="00FC4A49" w:rsidP="00343C6C" w14:paraId="3D13A036" w14:textId="77777777">
      <w:r w:rsidRPr="00FC4A49">
        <w:rPr>
          <w:rStyle w:val="HideTWBExt"/>
        </w:rPr>
        <w:t>&lt;/RepeatBlock-By&gt;</w:t>
      </w:r>
    </w:p>
    <w:p w:rsidR="00343C6C" w:rsidRPr="00FC4A49" w:rsidP="00343C6C" w14:paraId="34F61401"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F6A42C7" w14:textId="77777777">
      <w:pPr>
        <w:pStyle w:val="NormalBold"/>
      </w:pPr>
      <w:r w:rsidRPr="00FC4A49">
        <w:rPr>
          <w:rStyle w:val="HideTWBExt"/>
          <w:b w:val="0"/>
        </w:rPr>
        <w:t>&lt;Article&gt;</w:t>
      </w:r>
      <w:r w:rsidRPr="00FC4A49">
        <w:t>Recital 25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30A1C7"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A90B306" w14:textId="77777777">
            <w:pPr>
              <w:keepNext/>
            </w:pPr>
          </w:p>
        </w:tc>
      </w:tr>
      <w:tr w14:paraId="6C9731C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0BB3CC4" w14:textId="77777777">
            <w:pPr>
              <w:pStyle w:val="ColumnHeading"/>
              <w:keepNext/>
              <w:rPr>
                <w:lang w:val="en-GB"/>
              </w:rPr>
            </w:pPr>
            <w:r w:rsidRPr="00FC4A49">
              <w:rPr>
                <w:lang w:val="en-GB"/>
              </w:rPr>
              <w:t>Text proposed by the Commission</w:t>
            </w:r>
          </w:p>
        </w:tc>
        <w:tc>
          <w:tcPr>
            <w:tcW w:w="4876" w:type="dxa"/>
          </w:tcPr>
          <w:p w:rsidR="00343C6C" w:rsidRPr="00FC4A49" w:rsidP="005D58F9" w14:paraId="4A16ED37" w14:textId="77777777">
            <w:pPr>
              <w:pStyle w:val="ColumnHeading"/>
              <w:keepNext/>
              <w:rPr>
                <w:lang w:val="en-GB"/>
              </w:rPr>
            </w:pPr>
            <w:r w:rsidRPr="00FC4A49">
              <w:rPr>
                <w:lang w:val="en-GB"/>
              </w:rPr>
              <w:t>Amendment</w:t>
            </w:r>
          </w:p>
        </w:tc>
      </w:tr>
      <w:tr w14:paraId="533E324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F5E1847" w14:textId="77777777">
            <w:pPr>
              <w:pStyle w:val="Normal6"/>
              <w:rPr>
                <w:lang w:val="en-GB"/>
              </w:rPr>
            </w:pPr>
            <w:r w:rsidRPr="00FC4A49">
              <w:rPr>
                <w:lang w:val="en-GB"/>
              </w:rPr>
              <w:t>(25)</w:t>
            </w:r>
            <w:r w:rsidRPr="00FC4A49">
              <w:rPr>
                <w:lang w:val="en-GB"/>
              </w:rPr>
              <w:tab/>
              <w:t xml:space="preserve">The current derogations provided for in Directive 2003/87/EC from the obligation to surrender allowances </w:t>
            </w:r>
            <w:r w:rsidRPr="00FC4A49">
              <w:rPr>
                <w:b/>
                <w:i/>
                <w:lang w:val="en-GB"/>
              </w:rPr>
              <w:t>for</w:t>
            </w:r>
            <w:r w:rsidRPr="00FC4A49">
              <w:rPr>
                <w:lang w:val="en-GB"/>
              </w:rPr>
              <w:t xml:space="preserve">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w:t>
            </w:r>
            <w:r w:rsidRPr="00FC4A49">
              <w:rPr>
                <w:b/>
                <w:i/>
                <w:lang w:val="en-GB"/>
              </w:rPr>
              <w:t>the</w:t>
            </w:r>
            <w:r w:rsidRPr="00FC4A49">
              <w:rPr>
                <w:lang w:val="en-GB"/>
              </w:rPr>
              <w:t xml:space="preserve"> fleets serving </w:t>
            </w:r>
            <w:r w:rsidRPr="00FC4A49">
              <w:rPr>
                <w:b/>
                <w:i/>
                <w:lang w:val="en-GB"/>
              </w:rPr>
              <w:t>those</w:t>
            </w:r>
            <w:r w:rsidRPr="00FC4A49">
              <w:rPr>
                <w:lang w:val="en-GB"/>
              </w:rPr>
              <w:t xml:space="preserve"> routes </w:t>
            </w:r>
            <w:r w:rsidRPr="00FC4A49">
              <w:rPr>
                <w:b/>
                <w:i/>
                <w:lang w:val="en-GB"/>
              </w:rPr>
              <w:t>and</w:t>
            </w:r>
            <w:r w:rsidRPr="00FC4A49">
              <w:rPr>
                <w:lang w:val="en-GB"/>
              </w:rPr>
              <w:t xml:space="preserve">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w:t>
            </w:r>
            <w:r w:rsidRPr="00FC4A49">
              <w:rPr>
                <w:lang w:val="en-GB"/>
              </w:rPr>
              <w:t xml:space="preserve">services, the duration of these derogations should be extended for a limited period of time. Given the specific technical and operational challenges associated with the decarbonisation of ice-class ships, the Commission should review, before the expiry of the derogation applicable to those ships, the progress made in the deployment of suitable low- and zero-emission technologies and assess the appropriateness of extending that derogation beyond 31 December </w:t>
            </w:r>
            <w:r w:rsidRPr="00FC4A49">
              <w:rPr>
                <w:b/>
                <w:i/>
                <w:lang w:val="en-GB"/>
              </w:rPr>
              <w:t>2035</w:t>
            </w:r>
            <w:r w:rsidRPr="00FC4A49">
              <w:rPr>
                <w:lang w:val="en-GB"/>
              </w:rPr>
              <w:t>.</w:t>
            </w:r>
          </w:p>
        </w:tc>
        <w:tc>
          <w:tcPr>
            <w:tcW w:w="4876" w:type="dxa"/>
          </w:tcPr>
          <w:p w:rsidR="00343C6C" w:rsidRPr="00FC4A49" w:rsidP="005D58F9" w14:paraId="57D64C69" w14:textId="77777777">
            <w:pPr>
              <w:pStyle w:val="Normal6"/>
              <w:rPr>
                <w:szCs w:val="24"/>
                <w:lang w:val="en-GB"/>
              </w:rPr>
            </w:pPr>
            <w:r w:rsidRPr="00FC4A49">
              <w:rPr>
                <w:lang w:val="en-GB"/>
              </w:rPr>
              <w:t>(25)</w:t>
            </w:r>
            <w:r w:rsidRPr="00FC4A49">
              <w:rPr>
                <w:lang w:val="en-GB"/>
              </w:rPr>
              <w:tab/>
              <w:t xml:space="preserve">The current derogations provided for in Directive 2003/87/EC from the obligation to surrender allowances </w:t>
            </w:r>
            <w:r w:rsidRPr="00FC4A49">
              <w:rPr>
                <w:b/>
                <w:i/>
                <w:lang w:val="en-GB"/>
              </w:rPr>
              <w:t>in the context of</w:t>
            </w:r>
            <w:r w:rsidRPr="00FC4A49">
              <w:rPr>
                <w:lang w:val="en-GB"/>
              </w:rPr>
              <w:t xml:space="preserve"> ice-class ships, </w:t>
            </w:r>
            <w:r w:rsidRPr="00FC4A49">
              <w:rPr>
                <w:b/>
                <w:i/>
                <w:lang w:val="en-GB"/>
              </w:rPr>
              <w:t>ships</w:t>
            </w:r>
            <w:r w:rsidRPr="00FC4A49">
              <w:rPr>
                <w:lang w:val="en-GB"/>
              </w:rPr>
              <w:t xml:space="preserve">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fleets serving </w:t>
            </w:r>
            <w:r w:rsidRPr="00FC4A49">
              <w:rPr>
                <w:b/>
                <w:i/>
                <w:lang w:val="en-GB"/>
              </w:rPr>
              <w:t>connectivity</w:t>
            </w:r>
            <w:r w:rsidRPr="00FC4A49">
              <w:rPr>
                <w:lang w:val="en-GB"/>
              </w:rPr>
              <w:t xml:space="preserve"> routes </w:t>
            </w:r>
            <w:r w:rsidRPr="00FC4A49">
              <w:rPr>
                <w:b/>
                <w:i/>
                <w:lang w:val="en-GB"/>
              </w:rPr>
              <w:t>to small islands and outermost regions and relevant</w:t>
            </w:r>
            <w:r w:rsidRPr="00FC4A49">
              <w:rPr>
                <w:lang w:val="en-GB"/>
              </w:rPr>
              <w:t xml:space="preserve"> services is progressing</w:t>
            </w:r>
            <w:r w:rsidRPr="00FC4A49">
              <w:rPr>
                <w:b/>
                <w:i/>
                <w:lang w:val="en-GB"/>
              </w:rPr>
              <w:t>,</w:t>
            </w:r>
            <w:r w:rsidRPr="00FC4A49">
              <w:rPr>
                <w:lang w:val="en-GB"/>
              </w:rPr>
              <w:t xml:space="preserve"> and innovative technologies</w:t>
            </w:r>
            <w:r w:rsidRPr="00FC4A49">
              <w:rPr>
                <w:b/>
                <w:i/>
                <w:lang w:val="en-GB"/>
              </w:rPr>
              <w:t>,</w:t>
            </w:r>
            <w:r w:rsidRPr="00FC4A49">
              <w:rPr>
                <w:lang w:val="en-GB"/>
              </w:rPr>
              <w:t xml:space="preserve"> such as battery-electric and wind-assisted propulsion</w:t>
            </w:r>
            <w:r w:rsidRPr="00FC4A49">
              <w:rPr>
                <w:b/>
                <w:i/>
                <w:lang w:val="en-GB"/>
              </w:rPr>
              <w:t>,</w:t>
            </w:r>
            <w:r w:rsidRPr="00FC4A49">
              <w:rPr>
                <w:lang w:val="en-GB"/>
              </w:rPr>
              <w:t xml:space="preserve"> are becoming increasingly viable, the large-scale deployment of emission reduction solutions </w:t>
            </w:r>
            <w:r w:rsidRPr="00FC4A49">
              <w:rPr>
                <w:b/>
                <w:i/>
                <w:lang w:val="en-GB"/>
              </w:rPr>
              <w:t>through cleaner fuels, methods of propulsion and other relevant sustainable maritime technologies</w:t>
            </w:r>
            <w:r w:rsidRPr="00FC4A49">
              <w:rPr>
                <w:lang w:val="en-GB"/>
              </w:rPr>
              <w:t xml:space="preserve"> on those vessels that are important for connectivity purposes remains constrained, in particular by </w:t>
            </w:r>
            <w:r w:rsidRPr="00FC4A49">
              <w:rPr>
                <w:b/>
                <w:i/>
                <w:lang w:val="en-GB"/>
              </w:rPr>
              <w:t>port</w:t>
            </w:r>
            <w:r w:rsidRPr="00FC4A49">
              <w:rPr>
                <w:lang w:val="en-GB"/>
              </w:rPr>
              <w:t xml:space="preserve"> </w:t>
            </w:r>
            <w:r w:rsidRPr="00FC4A49">
              <w:rPr>
                <w:lang w:val="en-GB"/>
              </w:rPr>
              <w:t>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for a limited period of time. Given the specific technical and operational challenges associated with the decarbonisation of ice-class ships, the Commission should review, before the expiry of the derogation applicable to those ships, the progress made in the deployment of suitable low- and zero-emission technologies and assess the appropriateness of extending that derogation beyond 31 December </w:t>
            </w:r>
            <w:r w:rsidRPr="00FC4A49">
              <w:rPr>
                <w:b/>
                <w:i/>
                <w:lang w:val="en-GB"/>
              </w:rPr>
              <w:t>2040</w:t>
            </w:r>
            <w:r w:rsidRPr="00FC4A49">
              <w:rPr>
                <w:lang w:val="en-GB"/>
              </w:rPr>
              <w:t xml:space="preserve">. </w:t>
            </w:r>
            <w:r w:rsidRPr="00FC4A49">
              <w:rPr>
                <w:b/>
                <w:i/>
                <w:lang w:val="en-GB"/>
              </w:rPr>
              <w:t xml:space="preserve">In order to ensure the transition to low- and zero- emission </w:t>
            </w:r>
            <w:r w:rsidRPr="00FC4A49">
              <w:rPr>
                <w:b/>
                <w:i/>
                <w:lang w:val="en-GB"/>
              </w:rPr>
              <w:t>techonologies</w:t>
            </w:r>
            <w:r w:rsidRPr="00FC4A49">
              <w:rPr>
                <w:b/>
                <w:i/>
                <w:lang w:val="en-GB"/>
              </w:rPr>
              <w:t>, access to funding for investments in the decarbonisation of these fleets should be provided through the dedicated support of funding of the Industrial Decarbonisation Bank. The temporary nature of the derogations provided does not address the permanent geographical constraints faced by island Member States. It is therefore more appropriate to provide for a periodic, criteria-based renewal mechanism for essential island maritime connectivity services instead of a fixed expiry date, while preserving the temporary and reviewable character of the derogation and the environmental integrity of the EU ETS.</w:t>
            </w:r>
          </w:p>
        </w:tc>
      </w:tr>
      <w:tr w14:paraId="1D56565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41BE1B4" w14:textId="77777777">
            <w:pPr>
              <w:pStyle w:val="Normal6"/>
              <w:rPr>
                <w:lang w:val="en-GB"/>
              </w:rPr>
            </w:pPr>
            <w:r w:rsidRPr="00FC4A49">
              <w:rPr>
                <w:lang w:val="en-GB"/>
              </w:rPr>
              <w:t>__________________</w:t>
            </w:r>
          </w:p>
        </w:tc>
        <w:tc>
          <w:tcPr>
            <w:tcW w:w="4876" w:type="dxa"/>
          </w:tcPr>
          <w:p w:rsidR="00343C6C" w:rsidRPr="00FC4A49" w:rsidP="005D58F9" w14:paraId="0CAE7F4D" w14:textId="77777777">
            <w:pPr>
              <w:pStyle w:val="Normal6"/>
              <w:rPr>
                <w:szCs w:val="24"/>
                <w:lang w:val="en-GB"/>
              </w:rPr>
            </w:pPr>
            <w:r w:rsidRPr="00FC4A49">
              <w:rPr>
                <w:lang w:val="en-GB"/>
              </w:rPr>
              <w:t>__________________</w:t>
            </w:r>
          </w:p>
        </w:tc>
      </w:tr>
      <w:tr w14:paraId="09C1AA7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43ADEE9" w14:textId="77777777">
            <w:pPr>
              <w:pStyle w:val="Normal6"/>
              <w:rPr>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c>
          <w:tcPr>
            <w:tcW w:w="4876" w:type="dxa"/>
          </w:tcPr>
          <w:p w:rsidR="00343C6C" w:rsidRPr="00FC4A49" w:rsidP="005D58F9" w14:paraId="318656EE" w14:textId="77777777">
            <w:pPr>
              <w:pStyle w:val="Normal6"/>
              <w:rPr>
                <w:szCs w:val="24"/>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r>
    </w:tbl>
    <w:p w:rsidR="00343C6C" w:rsidRPr="00FC4A49" w:rsidP="00343C6C" w14:paraId="65B5BEC5"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08646B1B"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0F6D8EA1" w14:textId="77777777">
      <w:pPr>
        <w:pStyle w:val="Normal12Italic"/>
        <w:rPr>
          <w:noProof w:val="0"/>
          <w:lang w:val="en-GB"/>
        </w:rPr>
      </w:pPr>
      <w:r w:rsidRPr="00FC4A49">
        <w:rPr>
          <w:noProof w:val="0"/>
          <w:lang w:val="en-GB"/>
        </w:rPr>
        <w:t>In order for such derogations to allow for significant decarbonisation of essential connectivity, access to dedicated support of funding through the Industrial Decarbonisation Bank is necessary to gradually phase out these derogations. Furthermore, a fixed calendar extension does not address a permanent structural constraint and would require repeated legislative amendment. This introduces a reviewable, criteria-based renewal mechanism, and extends eligibility beyond purely domestic routes to reflect the permanent structural dependency that island Member States have on critical maritime connectivity.</w:t>
      </w:r>
    </w:p>
    <w:p w:rsidR="00343C6C" w:rsidRPr="00FC4A49" w:rsidP="00343C6C" w14:paraId="79056338" w14:textId="77777777">
      <w:r w:rsidRPr="00FC4A49">
        <w:rPr>
          <w:rStyle w:val="HideTWBExt"/>
        </w:rPr>
        <w:t>&lt;/Amend&gt;</w:t>
      </w:r>
    </w:p>
    <w:p w:rsidR="00343C6C" w:rsidRPr="00FC4A49" w:rsidP="00343C6C" w14:paraId="53EC683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198</w:t>
      </w:r>
      <w:r w:rsidRPr="00FC4A49">
        <w:rPr>
          <w:rStyle w:val="HideTWBExt"/>
          <w:b w:val="0"/>
          <w:lang w:val="en-GB"/>
        </w:rPr>
        <w:t>&lt;/NumAm&gt;</w:t>
      </w:r>
    </w:p>
    <w:p w:rsidR="00343C6C" w:rsidRPr="00FC4A49" w:rsidP="00343C6C" w14:paraId="2F67A5DB" w14:textId="77777777">
      <w:pPr>
        <w:pStyle w:val="NormalBold"/>
      </w:pPr>
      <w:r w:rsidRPr="00FC4A49">
        <w:rPr>
          <w:rStyle w:val="HideTWBExt"/>
          <w:b w:val="0"/>
        </w:rPr>
        <w:t>&lt;RepeatBlock-By&gt;&lt;Members&gt;</w:t>
      </w:r>
      <w:r w:rsidRPr="00FC4A49">
        <w:t>Nora Mebarek, Christophe Clergeau</w:t>
      </w:r>
      <w:r w:rsidRPr="00FC4A49">
        <w:rPr>
          <w:rStyle w:val="HideTWBExt"/>
          <w:b w:val="0"/>
        </w:rPr>
        <w:t>&lt;/Members&gt;</w:t>
      </w:r>
    </w:p>
    <w:p w:rsidR="00343C6C" w:rsidRPr="00FC4A49" w:rsidP="00343C6C" w14:paraId="36529727" w14:textId="77777777">
      <w:r w:rsidRPr="00FC4A49">
        <w:rPr>
          <w:rStyle w:val="HideTWBExt"/>
        </w:rPr>
        <w:t>&lt;/RepeatBlock-By&gt;</w:t>
      </w:r>
    </w:p>
    <w:p w:rsidR="00343C6C" w:rsidRPr="00FC4A49" w:rsidP="00343C6C" w14:paraId="197D8FC8"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101B29E" w14:textId="77777777">
      <w:pPr>
        <w:pStyle w:val="NormalBold"/>
      </w:pPr>
      <w:r w:rsidRPr="00FC4A49">
        <w:rPr>
          <w:rStyle w:val="HideTWBExt"/>
          <w:b w:val="0"/>
        </w:rPr>
        <w:t>&lt;Article&gt;</w:t>
      </w:r>
      <w:r w:rsidRPr="00FC4A49">
        <w:t>Recital 25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782425"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92E0B66" w14:textId="77777777">
            <w:pPr>
              <w:keepNext/>
            </w:pPr>
          </w:p>
        </w:tc>
      </w:tr>
      <w:tr w14:paraId="37C67C6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A0F6773" w14:textId="77777777">
            <w:pPr>
              <w:pStyle w:val="ColumnHeading"/>
              <w:keepNext/>
              <w:rPr>
                <w:lang w:val="en-GB"/>
              </w:rPr>
            </w:pPr>
            <w:r w:rsidRPr="00FC4A49">
              <w:rPr>
                <w:lang w:val="en-GB"/>
              </w:rPr>
              <w:t>Text proposed by the Commission</w:t>
            </w:r>
          </w:p>
        </w:tc>
        <w:tc>
          <w:tcPr>
            <w:tcW w:w="4876" w:type="dxa"/>
          </w:tcPr>
          <w:p w:rsidR="00343C6C" w:rsidRPr="00FC4A49" w:rsidP="005D58F9" w14:paraId="7C006F9B" w14:textId="77777777">
            <w:pPr>
              <w:pStyle w:val="ColumnHeading"/>
              <w:keepNext/>
              <w:rPr>
                <w:lang w:val="en-GB"/>
              </w:rPr>
            </w:pPr>
            <w:r w:rsidRPr="00FC4A49">
              <w:rPr>
                <w:lang w:val="en-GB"/>
              </w:rPr>
              <w:t>Amendment</w:t>
            </w:r>
          </w:p>
        </w:tc>
      </w:tr>
      <w:tr w14:paraId="50E452D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4A049D2" w14:textId="77777777">
            <w:pPr>
              <w:pStyle w:val="Normal6"/>
              <w:rPr>
                <w:lang w:val="en-GB"/>
              </w:rPr>
            </w:pPr>
            <w:r w:rsidRPr="00FC4A49">
              <w:rPr>
                <w:lang w:val="en-GB"/>
              </w:rPr>
              <w:t>(25)</w:t>
            </w:r>
            <w:r w:rsidRPr="00FC4A49">
              <w:rPr>
                <w:lang w:val="en-GB"/>
              </w:rPr>
              <w:tab/>
              <w:t>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w:t>
            </w:r>
            <w:r w:rsidRPr="00FC4A49">
              <w:rPr>
                <w:b/>
                <w:i/>
                <w:lang w:val="en-GB"/>
              </w:rPr>
              <w:t>for a</w:t>
            </w:r>
            <w:r w:rsidRPr="00FC4A49">
              <w:rPr>
                <w:lang w:val="en-GB"/>
              </w:rPr>
              <w:t xml:space="preserve"> limited period </w:t>
            </w:r>
            <w:r w:rsidRPr="00FC4A49">
              <w:rPr>
                <w:b/>
                <w:i/>
                <w:lang w:val="en-GB"/>
              </w:rPr>
              <w:t>of time</w:t>
            </w:r>
            <w:r w:rsidRPr="00FC4A49">
              <w:rPr>
                <w:lang w:val="en-GB"/>
              </w:rPr>
              <w:t xml:space="preserve">. Given the specific technical and operational challenges associated with the decarbonisation of ice-class ships, the </w:t>
            </w:r>
            <w:r w:rsidRPr="00FC4A49">
              <w:rPr>
                <w:lang w:val="en-GB"/>
              </w:rPr>
              <w:t>Commission should review, before the expiry of the derogation applicable to those ships, the progress made in the deployment of suitable low- and zero-emission technologies and assess the appropriateness of extending that derogation beyond 31 December 2035.</w:t>
            </w:r>
          </w:p>
        </w:tc>
        <w:tc>
          <w:tcPr>
            <w:tcW w:w="4876" w:type="dxa"/>
          </w:tcPr>
          <w:p w:rsidR="00343C6C" w:rsidRPr="00FC4A49" w:rsidP="005D58F9" w14:paraId="243CF088" w14:textId="77777777">
            <w:pPr>
              <w:pStyle w:val="Normal6"/>
              <w:rPr>
                <w:szCs w:val="24"/>
                <w:lang w:val="en-GB"/>
              </w:rPr>
            </w:pPr>
            <w:r w:rsidRPr="00FC4A49">
              <w:rPr>
                <w:lang w:val="en-GB"/>
              </w:rPr>
              <w:t>(25)</w:t>
            </w:r>
            <w:r w:rsidRPr="00FC4A49">
              <w:rPr>
                <w:lang w:val="en-GB"/>
              </w:rPr>
              <w:tab/>
              <w:t>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w:t>
            </w:r>
            <w:r w:rsidRPr="00FC4A49">
              <w:rPr>
                <w:b/>
                <w:i/>
                <w:lang w:val="en-GB"/>
              </w:rPr>
              <w:t xml:space="preserve">until 31 December 2040. As regards the outermost regions, those derogations are intended to ensure territorial continuity and the accessibility </w:t>
            </w:r>
            <w:r w:rsidRPr="00FC4A49">
              <w:rPr>
                <w:b/>
                <w:i/>
                <w:lang w:val="en-GB"/>
              </w:rPr>
              <w:t>of essential transport services for the populations of those regions, in view of their structural situation as recognised in Article 349 TFEU, and not to confer an advantage on operators. Their scope should remain</w:t>
            </w:r>
            <w:r w:rsidRPr="00FC4A49">
              <w:rPr>
                <w:lang w:val="en-GB"/>
              </w:rPr>
              <w:t xml:space="preserve"> limited </w:t>
            </w:r>
            <w:r w:rsidRPr="00FC4A49">
              <w:rPr>
                <w:b/>
                <w:i/>
                <w:lang w:val="en-GB"/>
              </w:rPr>
              <w:t>to that of the links between those regions and the rest of the territory of the Member State in which they are situated. The</w:t>
            </w:r>
            <w:r w:rsidRPr="00FC4A49">
              <w:rPr>
                <w:lang w:val="en-GB"/>
              </w:rPr>
              <w:t xml:space="preserve"> period </w:t>
            </w:r>
            <w:r w:rsidRPr="00FC4A49">
              <w:rPr>
                <w:b/>
                <w:i/>
                <w:lang w:val="en-GB"/>
              </w:rPr>
              <w:t>covered by those derogations should be used to effectively decarbonise the fleets and the port infrastructure serving those regions, through targeted support under this Directive. In order to preserve the environmental integrity of the system established by this Directive, the allowances corresponding to the emissions not covered should be cancelled rather than auctioned</w:t>
            </w:r>
            <w:r w:rsidRPr="00FC4A49">
              <w:rPr>
                <w:lang w:val="en-GB"/>
              </w:rPr>
              <w:t>. Given the specific technical and operational challenges associated with the decarbonisation of ice-class ships, the Commission should review, before the expiry of the derogation applicable to those ships, the progress made in the deployment of suitable low- and zero-emission technologies and assess the appropriateness of extending that derogation beyond 31 December 2035.</w:t>
            </w:r>
          </w:p>
        </w:tc>
      </w:tr>
      <w:tr w14:paraId="042B69B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24A0BB8" w14:textId="77777777">
            <w:pPr>
              <w:pStyle w:val="Normal6"/>
              <w:rPr>
                <w:lang w:val="en-GB"/>
              </w:rPr>
            </w:pPr>
            <w:r w:rsidRPr="00FC4A49">
              <w:rPr>
                <w:lang w:val="en-GB"/>
              </w:rPr>
              <w:t>__________________</w:t>
            </w:r>
          </w:p>
        </w:tc>
        <w:tc>
          <w:tcPr>
            <w:tcW w:w="4876" w:type="dxa"/>
          </w:tcPr>
          <w:p w:rsidR="00343C6C" w:rsidRPr="00FC4A49" w:rsidP="005D58F9" w14:paraId="4DB06BFB" w14:textId="77777777">
            <w:pPr>
              <w:pStyle w:val="Normal6"/>
              <w:rPr>
                <w:szCs w:val="24"/>
                <w:lang w:val="en-GB"/>
              </w:rPr>
            </w:pPr>
            <w:r w:rsidRPr="00FC4A49">
              <w:rPr>
                <w:lang w:val="en-GB"/>
              </w:rPr>
              <w:t>__________________</w:t>
            </w:r>
          </w:p>
        </w:tc>
      </w:tr>
      <w:tr w14:paraId="5892FF0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083F3D8" w14:textId="77777777">
            <w:pPr>
              <w:pStyle w:val="Normal6"/>
              <w:rPr>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c>
          <w:tcPr>
            <w:tcW w:w="4876" w:type="dxa"/>
          </w:tcPr>
          <w:p w:rsidR="00343C6C" w:rsidRPr="00FC4A49" w:rsidP="005D58F9" w14:paraId="312E4ED5" w14:textId="77777777">
            <w:pPr>
              <w:pStyle w:val="Normal6"/>
              <w:rPr>
                <w:szCs w:val="24"/>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r>
    </w:tbl>
    <w:p w:rsidR="00343C6C" w:rsidRPr="00FC4A49" w:rsidP="00343C6C" w14:paraId="1A4F35A5"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BC9BCF3" w14:textId="77777777">
      <w:r w:rsidRPr="00FC4A49">
        <w:rPr>
          <w:rStyle w:val="HideTWBExt"/>
        </w:rPr>
        <w:t>&lt;/Amend&gt;</w:t>
      </w:r>
    </w:p>
    <w:p w:rsidR="00343C6C" w:rsidRPr="00FC4A49" w:rsidP="00343C6C" w14:paraId="6BC7C25D"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199</w:t>
      </w:r>
      <w:r w:rsidRPr="00FC4A49">
        <w:rPr>
          <w:rStyle w:val="HideTWBExt"/>
          <w:b w:val="0"/>
          <w:lang w:val="en-GB"/>
        </w:rPr>
        <w:t>&lt;/NumAm&gt;</w:t>
      </w:r>
    </w:p>
    <w:p w:rsidR="00343C6C" w:rsidRPr="00FC4A49" w:rsidP="00343C6C" w14:paraId="69784B57" w14:textId="77777777">
      <w:pPr>
        <w:pStyle w:val="NormalBold"/>
      </w:pPr>
      <w:r w:rsidRPr="00FC4A49">
        <w:rPr>
          <w:rStyle w:val="HideTWBExt"/>
          <w:b w:val="0"/>
        </w:rPr>
        <w:t>&lt;RepeatBlock-By&gt;&lt;Members&gt;</w:t>
      </w:r>
      <w:r w:rsidRPr="00FC4A49">
        <w:t xml:space="preserve">Jens Gieseke, Ralf Seekatz, Sophia Kircher, Norbert Herhammer, Gheorghe Falcă, Andrea Wechsler, Borja Giménez </w:t>
      </w:r>
      <w:r w:rsidRPr="00FC4A49">
        <w:t>Larraz</w:t>
      </w:r>
      <w:r w:rsidRPr="00FC4A49">
        <w:t>, Isabelle Le Callennec</w:t>
      </w:r>
      <w:r w:rsidRPr="00FC4A49">
        <w:rPr>
          <w:rStyle w:val="HideTWBExt"/>
          <w:b w:val="0"/>
        </w:rPr>
        <w:t>&lt;/Members&gt;</w:t>
      </w:r>
    </w:p>
    <w:p w:rsidR="00343C6C" w:rsidRPr="00FC4A49" w:rsidP="00343C6C" w14:paraId="46EF35A0" w14:textId="77777777">
      <w:r w:rsidRPr="00FC4A49">
        <w:rPr>
          <w:rStyle w:val="HideTWBExt"/>
        </w:rPr>
        <w:t>&lt;/RepeatBlock-By&gt;</w:t>
      </w:r>
    </w:p>
    <w:p w:rsidR="00343C6C" w:rsidRPr="00FC4A49" w:rsidP="00343C6C" w14:paraId="61E91FFA"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77CA664" w14:textId="77777777">
      <w:pPr>
        <w:pStyle w:val="NormalBold"/>
      </w:pPr>
      <w:r w:rsidRPr="00FC4A49">
        <w:rPr>
          <w:rStyle w:val="HideTWBExt"/>
          <w:b w:val="0"/>
        </w:rPr>
        <w:t>&lt;Article&gt;</w:t>
      </w:r>
      <w:r w:rsidRPr="00FC4A49">
        <w:t>Recital 25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82AA3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4082BBD" w14:textId="77777777">
            <w:pPr>
              <w:keepNext/>
            </w:pPr>
          </w:p>
        </w:tc>
      </w:tr>
      <w:tr w14:paraId="01DC1B1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7C97897" w14:textId="77777777">
            <w:pPr>
              <w:pStyle w:val="ColumnHeading"/>
              <w:keepNext/>
              <w:rPr>
                <w:lang w:val="en-GB"/>
              </w:rPr>
            </w:pPr>
            <w:r w:rsidRPr="00FC4A49">
              <w:rPr>
                <w:lang w:val="en-GB"/>
              </w:rPr>
              <w:t>Text proposed by the Commission</w:t>
            </w:r>
          </w:p>
        </w:tc>
        <w:tc>
          <w:tcPr>
            <w:tcW w:w="4876" w:type="dxa"/>
          </w:tcPr>
          <w:p w:rsidR="00343C6C" w:rsidRPr="00FC4A49" w:rsidP="005D58F9" w14:paraId="37242CEC" w14:textId="77777777">
            <w:pPr>
              <w:pStyle w:val="ColumnHeading"/>
              <w:keepNext/>
              <w:rPr>
                <w:lang w:val="en-GB"/>
              </w:rPr>
            </w:pPr>
            <w:r w:rsidRPr="00FC4A49">
              <w:rPr>
                <w:lang w:val="en-GB"/>
              </w:rPr>
              <w:t>Amendment</w:t>
            </w:r>
          </w:p>
        </w:tc>
      </w:tr>
      <w:tr w14:paraId="1773BA3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4076A5C" w14:textId="77777777">
            <w:pPr>
              <w:pStyle w:val="Normal6"/>
              <w:rPr>
                <w:lang w:val="en-GB"/>
              </w:rPr>
            </w:pPr>
            <w:r w:rsidRPr="00FC4A49">
              <w:rPr>
                <w:lang w:val="en-GB"/>
              </w:rPr>
              <w:t>(25)</w:t>
            </w:r>
            <w:r w:rsidRPr="00FC4A49">
              <w:rPr>
                <w:lang w:val="en-GB"/>
              </w:rPr>
              <w:tab/>
              <w:t xml:space="preserve">The current derogations provided for in Directive 2003/87/EC from the obligation to surrender allowances for ice-class ships, for voyages involving outermost regions and small islands without a fixed </w:t>
            </w:r>
            <w:r w:rsidRPr="00FC4A49">
              <w:rPr>
                <w:b/>
                <w:i/>
                <w:lang w:val="en-GB"/>
              </w:rPr>
              <w:t>land connection,</w:t>
            </w:r>
            <w:r w:rsidRPr="00FC4A49">
              <w:rPr>
                <w:lang w:val="en-GB"/>
              </w:rPr>
              <w:t xml:space="preserve">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b/>
                <w:i/>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w:t>
            </w:r>
            <w:r w:rsidRPr="00FC4A49">
              <w:rPr>
                <w:b/>
                <w:i/>
                <w:lang w:val="en-GB"/>
              </w:rPr>
              <w:t>for a limited period of time</w:t>
            </w:r>
            <w:r w:rsidRPr="00FC4A49">
              <w:rPr>
                <w:lang w:val="en-GB"/>
              </w:rPr>
              <w:t xml:space="preserve">. Given the specific technical and operational challenges associated with the decarbonisation of ice-class ships, the </w:t>
            </w:r>
            <w:r w:rsidRPr="00FC4A49">
              <w:rPr>
                <w:b/>
                <w:i/>
                <w:lang w:val="en-GB"/>
              </w:rPr>
              <w:t>Commission should review, before the expiry of the</w:t>
            </w:r>
            <w:r w:rsidRPr="00FC4A49">
              <w:rPr>
                <w:lang w:val="en-GB"/>
              </w:rPr>
              <w:t xml:space="preserve"> derogation applicable to </w:t>
            </w:r>
            <w:r w:rsidRPr="00FC4A49">
              <w:rPr>
                <w:b/>
                <w:i/>
                <w:lang w:val="en-GB"/>
              </w:rPr>
              <w:t>those</w:t>
            </w:r>
            <w:r w:rsidRPr="00FC4A49">
              <w:rPr>
                <w:lang w:val="en-GB"/>
              </w:rPr>
              <w:t xml:space="preserve"> ships</w:t>
            </w:r>
            <w:r w:rsidRPr="00FC4A49">
              <w:rPr>
                <w:b/>
                <w:i/>
                <w:lang w:val="en-GB"/>
              </w:rPr>
              <w:t>, the progress made in the deployment of suitable low- and zero-emission technologies and assess the appropriateness of extending that derogation beyond 31 December 2035</w:t>
            </w:r>
            <w:r w:rsidRPr="00FC4A49">
              <w:rPr>
                <w:lang w:val="en-GB"/>
              </w:rPr>
              <w:t>.</w:t>
            </w:r>
          </w:p>
        </w:tc>
        <w:tc>
          <w:tcPr>
            <w:tcW w:w="4876" w:type="dxa"/>
          </w:tcPr>
          <w:p w:rsidR="00343C6C" w:rsidRPr="00FC4A49" w:rsidP="005D58F9" w14:paraId="5B88500C" w14:textId="77777777">
            <w:pPr>
              <w:pStyle w:val="Normal6"/>
              <w:rPr>
                <w:szCs w:val="24"/>
                <w:lang w:val="en-GB"/>
              </w:rPr>
            </w:pPr>
            <w:r w:rsidRPr="00FC4A49">
              <w:rPr>
                <w:lang w:val="en-GB"/>
              </w:rPr>
              <w:t>(25)</w:t>
            </w:r>
            <w:r w:rsidRPr="00FC4A49">
              <w:rPr>
                <w:lang w:val="en-GB"/>
              </w:rPr>
              <w:tab/>
              <w:t xml:space="preserve">The current derogations provided for in Directive 2003/87/EC from the obligation to surrender allowances for ice-class ships, for voyages involving outermost regions and small islands without a fixed </w:t>
            </w:r>
            <w:r w:rsidRPr="00FC4A49">
              <w:rPr>
                <w:b/>
                <w:i/>
                <w:lang w:val="en-GB"/>
              </w:rPr>
              <w:t>road or rail link with the mainland</w:t>
            </w:r>
            <w:r w:rsidRPr="00FC4A49">
              <w:rPr>
                <w:lang w:val="en-GB"/>
              </w:rPr>
              <w:t xml:space="preserve"> and for certain passenger </w:t>
            </w:r>
            <w:r w:rsidRPr="00FC4A49">
              <w:rPr>
                <w:b/>
                <w:i/>
                <w:lang w:val="en-GB"/>
              </w:rPr>
              <w:t>and essential maritime</w:t>
            </w:r>
            <w:r w:rsidRPr="00FC4A49">
              <w:rPr>
                <w:lang w:val="en-GB"/>
              </w:rPr>
              <w:t xml:space="preserve"> transport services operated under public service obligations or public service contracts are set to end on 31 December 2030</w:t>
            </w:r>
            <w:r w:rsidRPr="00FC4A49">
              <w:rPr>
                <w:b/>
                <w:i/>
                <w:lang w:val="en-GB"/>
              </w:rPr>
              <w:t>. Islands and outermost regions face permanent geographical constraints and depend structurally on maritime transport for territorial continuity, the movement of passengers and goods and access to essential services. In order to preserve their connectivity and the affordability of maritime transport, those derogations should be extended until 31 December 2040. The derogation for island connections should apply irrespective of the population of the island and should cover essential connections with ports under the jurisdiction of any Member State</w:t>
            </w:r>
            <w:r w:rsidRPr="00FC4A49">
              <w:rPr>
                <w:lang w:val="en-GB"/>
              </w:rPr>
              <w:t xml:space="preserve">.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 and in light of the need to ensure territorial continuity, connectivity and affordability of essential maritime services, the duration of these derogations should be extended. Given the specific technical and operational challenges associated with the decarbonisation of ice-class ships, the derogation applicable to </w:t>
            </w:r>
            <w:r w:rsidRPr="00FC4A49">
              <w:rPr>
                <w:b/>
                <w:i/>
                <w:lang w:val="en-GB"/>
              </w:rPr>
              <w:t xml:space="preserve">ships with ice </w:t>
            </w:r>
            <w:r w:rsidRPr="00FC4A49">
              <w:rPr>
                <w:b/>
                <w:i/>
                <w:lang w:val="en-GB"/>
              </w:rPr>
              <w:t>class IA or IA Super, or an equivalent ice class, should continue to apply without a time limit. In addition, shipping companies should be allowed to reduce the number of allowances to be surrendered by an amount corresponding exclusively to the additional emissions resulting from the sailing of ice-class</w:t>
            </w:r>
            <w:r w:rsidRPr="00FC4A49">
              <w:rPr>
                <w:lang w:val="en-GB"/>
              </w:rPr>
              <w:t xml:space="preserve"> ships </w:t>
            </w:r>
            <w:r w:rsidRPr="00FC4A49">
              <w:rPr>
                <w:b/>
                <w:i/>
                <w:lang w:val="en-GB"/>
              </w:rPr>
              <w:t>in ice conditions</w:t>
            </w:r>
            <w:r w:rsidRPr="00FC4A49">
              <w:rPr>
                <w:lang w:val="en-GB"/>
              </w:rPr>
              <w:t>.</w:t>
            </w:r>
          </w:p>
        </w:tc>
      </w:tr>
      <w:tr w14:paraId="73E98D8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DBCCD37" w14:textId="77777777">
            <w:pPr>
              <w:pStyle w:val="Normal6"/>
              <w:rPr>
                <w:lang w:val="en-GB"/>
              </w:rPr>
            </w:pPr>
            <w:r w:rsidRPr="00FC4A49">
              <w:rPr>
                <w:lang w:val="en-GB"/>
              </w:rPr>
              <w:t>__________________</w:t>
            </w:r>
          </w:p>
        </w:tc>
        <w:tc>
          <w:tcPr>
            <w:tcW w:w="4876" w:type="dxa"/>
          </w:tcPr>
          <w:p w:rsidR="00343C6C" w:rsidRPr="00FC4A49" w:rsidP="005D58F9" w14:paraId="5F199803" w14:textId="77777777">
            <w:pPr>
              <w:pStyle w:val="Normal6"/>
              <w:rPr>
                <w:szCs w:val="24"/>
                <w:lang w:val="en-GB"/>
              </w:rPr>
            </w:pPr>
            <w:r w:rsidRPr="00FC4A49">
              <w:rPr>
                <w:lang w:val="en-GB"/>
              </w:rPr>
              <w:t>__________________</w:t>
            </w:r>
          </w:p>
        </w:tc>
      </w:tr>
      <w:tr w14:paraId="3D0BAB7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1E80142" w14:textId="77777777">
            <w:pPr>
              <w:pStyle w:val="Normal6"/>
              <w:rPr>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c>
          <w:tcPr>
            <w:tcW w:w="4876" w:type="dxa"/>
          </w:tcPr>
          <w:p w:rsidR="00343C6C" w:rsidRPr="00FC4A49" w:rsidP="005D58F9" w14:paraId="1C85333F" w14:textId="77777777">
            <w:pPr>
              <w:pStyle w:val="Normal6"/>
              <w:rPr>
                <w:szCs w:val="24"/>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r>
    </w:tbl>
    <w:p w:rsidR="00343C6C" w:rsidRPr="00FC4A49" w:rsidP="00343C6C" w14:paraId="03BCC055"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B2B2BC8" w14:textId="77777777">
      <w:r w:rsidRPr="00FC4A49">
        <w:rPr>
          <w:rStyle w:val="HideTWBExt"/>
        </w:rPr>
        <w:t>&lt;/Amend&gt;</w:t>
      </w:r>
    </w:p>
    <w:p w:rsidR="00343C6C" w:rsidRPr="00804E2D" w:rsidP="00343C6C" w14:paraId="12E7B08B" w14:textId="77777777">
      <w:pPr>
        <w:pStyle w:val="AMNumberTabs0"/>
        <w:keepNext/>
        <w:rPr>
          <w:lang w:val="pt-PT"/>
        </w:rPr>
      </w:pPr>
      <w:r w:rsidRPr="00804E2D">
        <w:rPr>
          <w:rStyle w:val="HideTWBExt"/>
          <w:b w:val="0"/>
          <w:lang w:val="pt-PT"/>
        </w:rPr>
        <w:t>&lt;Amend&gt;</w:t>
      </w:r>
      <w:r w:rsidRPr="00804E2D">
        <w:rPr>
          <w:lang w:val="pt-PT"/>
        </w:rPr>
        <w:t>Amendment</w:t>
      </w:r>
      <w:r w:rsidRPr="00804E2D">
        <w:rPr>
          <w:lang w:val="pt-PT"/>
        </w:rPr>
        <w:tab/>
      </w:r>
      <w:r w:rsidRPr="00804E2D">
        <w:rPr>
          <w:lang w:val="pt-PT"/>
        </w:rPr>
        <w:tab/>
      </w:r>
      <w:r w:rsidRPr="00804E2D">
        <w:rPr>
          <w:rStyle w:val="HideTWBExt"/>
          <w:b w:val="0"/>
          <w:lang w:val="pt-PT"/>
        </w:rPr>
        <w:t>&lt;NumAm&gt;</w:t>
      </w:r>
      <w:r w:rsidRPr="00804E2D">
        <w:rPr>
          <w:lang w:val="pt-PT"/>
        </w:rPr>
        <w:t>200</w:t>
      </w:r>
      <w:r w:rsidRPr="00804E2D">
        <w:rPr>
          <w:rStyle w:val="HideTWBExt"/>
          <w:b w:val="0"/>
          <w:lang w:val="pt-PT"/>
        </w:rPr>
        <w:t>&lt;/NumAm&gt;</w:t>
      </w:r>
    </w:p>
    <w:p w:rsidR="00343C6C" w:rsidRPr="00804E2D" w:rsidP="00343C6C" w14:paraId="5D6C8CE0" w14:textId="77777777">
      <w:pPr>
        <w:pStyle w:val="NormalBold"/>
        <w:rPr>
          <w:lang w:val="pt-PT"/>
        </w:rPr>
      </w:pPr>
      <w:r w:rsidRPr="00804E2D">
        <w:rPr>
          <w:rStyle w:val="HideTWBExt"/>
          <w:b w:val="0"/>
          <w:lang w:val="pt-PT"/>
        </w:rPr>
        <w:t>&lt;RepeatBlock-By&gt;&lt;Members&gt;</w:t>
      </w:r>
      <w:r w:rsidRPr="00804E2D">
        <w:rPr>
          <w:lang w:val="pt-PT"/>
        </w:rPr>
        <w:t>Sérgio Humberto, Paulo do Nascimento Cabral, Paulo Cunha, Lídia Pereira</w:t>
      </w:r>
      <w:r w:rsidRPr="00804E2D">
        <w:rPr>
          <w:rStyle w:val="HideTWBExt"/>
          <w:b w:val="0"/>
          <w:lang w:val="pt-PT"/>
        </w:rPr>
        <w:t>&lt;/Members&gt;</w:t>
      </w:r>
    </w:p>
    <w:p w:rsidR="00343C6C" w:rsidRPr="00FC4A49" w:rsidP="00343C6C" w14:paraId="2865590C" w14:textId="77777777">
      <w:r w:rsidRPr="00FC4A49">
        <w:rPr>
          <w:rStyle w:val="HideTWBExt"/>
        </w:rPr>
        <w:t>&lt;/RepeatBlock-By&gt;</w:t>
      </w:r>
    </w:p>
    <w:p w:rsidR="00343C6C" w:rsidRPr="00FC4A49" w:rsidP="00343C6C" w14:paraId="5315FBDF"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D6C840A" w14:textId="77777777">
      <w:pPr>
        <w:pStyle w:val="NormalBold"/>
      </w:pPr>
      <w:r w:rsidRPr="00FC4A49">
        <w:rPr>
          <w:rStyle w:val="HideTWBExt"/>
          <w:b w:val="0"/>
        </w:rPr>
        <w:t>&lt;Article&gt;</w:t>
      </w:r>
      <w:r w:rsidRPr="00FC4A49">
        <w:t>Recital 25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92CD6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71227F0" w14:textId="77777777">
            <w:pPr>
              <w:keepNext/>
            </w:pPr>
          </w:p>
        </w:tc>
      </w:tr>
      <w:tr w14:paraId="1E4BC19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0DF7AA8" w14:textId="77777777">
            <w:pPr>
              <w:pStyle w:val="ColumnHeading"/>
              <w:keepNext/>
              <w:rPr>
                <w:lang w:val="en-GB"/>
              </w:rPr>
            </w:pPr>
            <w:r w:rsidRPr="00FC4A49">
              <w:rPr>
                <w:lang w:val="en-GB"/>
              </w:rPr>
              <w:t>Text proposed by the Commission</w:t>
            </w:r>
          </w:p>
        </w:tc>
        <w:tc>
          <w:tcPr>
            <w:tcW w:w="4876" w:type="dxa"/>
          </w:tcPr>
          <w:p w:rsidR="00343C6C" w:rsidRPr="00FC4A49" w:rsidP="005D58F9" w14:paraId="28715161" w14:textId="77777777">
            <w:pPr>
              <w:pStyle w:val="ColumnHeading"/>
              <w:keepNext/>
              <w:rPr>
                <w:lang w:val="en-GB"/>
              </w:rPr>
            </w:pPr>
            <w:r w:rsidRPr="00FC4A49">
              <w:rPr>
                <w:lang w:val="en-GB"/>
              </w:rPr>
              <w:t>Amendment</w:t>
            </w:r>
          </w:p>
        </w:tc>
      </w:tr>
      <w:tr w14:paraId="1C2B74D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B4F99E5" w14:textId="77777777">
            <w:pPr>
              <w:pStyle w:val="Normal6"/>
              <w:rPr>
                <w:lang w:val="en-GB"/>
              </w:rPr>
            </w:pPr>
            <w:r w:rsidRPr="00FC4A49">
              <w:rPr>
                <w:lang w:val="en-GB"/>
              </w:rPr>
              <w:t>(25)</w:t>
            </w:r>
            <w:r w:rsidRPr="00FC4A49">
              <w:rPr>
                <w:lang w:val="en-GB"/>
              </w:rPr>
              <w:tab/>
              <w:t xml:space="preserve">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w:t>
            </w:r>
            <w:r w:rsidRPr="00FC4A49">
              <w:rPr>
                <w:b/>
                <w:i/>
                <w:lang w:val="en-GB"/>
              </w:rPr>
              <w:t>are set to end on 31 December 2030</w:t>
            </w:r>
            <w:r w:rsidRPr="00FC4A49">
              <w:rPr>
                <w:lang w:val="en-GB"/>
              </w:rPr>
              <w:t xml:space="preserve">. While the decarbonisation of ice-class ships and the fleets serving those routes and services is progressing and innovative technologies such as battery-electric and wind-assisted propulsion are becoming increasingly viable, the large-scale deployment of </w:t>
            </w:r>
            <w:r w:rsidRPr="00FC4A49">
              <w:rPr>
                <w:lang w:val="en-GB"/>
              </w:rPr>
              <w:t>emission reduction solutions on those vessels that are important for connectivity purposes remains constrained, in particular by infrastructure and investment needs</w:t>
            </w:r>
            <w:r w:rsidRPr="00FC4A49">
              <w:rPr>
                <w:b/>
                <w:i/>
                <w:lang w:val="en-GB"/>
              </w:rPr>
              <w:t>.</w:t>
            </w:r>
            <w:r w:rsidRPr="00FC4A49">
              <w:rPr>
                <w:lang w:val="en-GB"/>
              </w:rPr>
              <w:t xml:space="preserve"> </w:t>
            </w:r>
            <w:r w:rsidRPr="00FC4A49">
              <w:rPr>
                <w:b/>
                <w:i/>
                <w:lang w:val="en-GB"/>
              </w:rPr>
              <w:t>In order to allow sufficient time for that transition, and in light of the need to ensure territorial continuity, connectivity and affordability of essential maritime services, the duration of these derogations should be extended for a limited period of time. Given the specific technical and operational challenges associated with the decarbonisation of ice-class ships, the Commission should review, before the expiry of the derogation applicable to those ships, the progress made in the deployment of suitable low- and zero-emission technologies and assess the appropriateness of extending that derogation beyond 31 December 2035.</w:t>
            </w:r>
          </w:p>
        </w:tc>
        <w:tc>
          <w:tcPr>
            <w:tcW w:w="4876" w:type="dxa"/>
          </w:tcPr>
          <w:p w:rsidR="00343C6C" w:rsidRPr="00FC4A49" w:rsidP="005D58F9" w14:paraId="17CFDBAF" w14:textId="77777777">
            <w:pPr>
              <w:pStyle w:val="Normal6"/>
              <w:rPr>
                <w:szCs w:val="24"/>
                <w:lang w:val="en-GB"/>
              </w:rPr>
            </w:pPr>
            <w:r w:rsidRPr="00FC4A49">
              <w:rPr>
                <w:lang w:val="en-GB"/>
              </w:rPr>
              <w:t>(25)</w:t>
            </w:r>
            <w:r w:rsidRPr="00FC4A49">
              <w:rPr>
                <w:lang w:val="en-GB"/>
              </w:rPr>
              <w:tab/>
              <w:t>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w:t>
            </w:r>
            <w:r w:rsidRPr="00FC4A49">
              <w:rPr>
                <w:b/>
                <w:i/>
                <w:lang w:val="en-GB"/>
              </w:rPr>
              <w:t>, should be maintained in perpetuity</w:t>
            </w:r>
            <w:r w:rsidRPr="00FC4A49">
              <w:rPr>
                <w:lang w:val="en-GB"/>
              </w:rPr>
              <w:t xml:space="preserve">. While the decarbonisation of ice-class ships and the fleets serving those routes and services is progressing and innovative technologies such as battery-electric and wind-assisted propulsion are becoming increasingly viable, the large-scale deployment of </w:t>
            </w:r>
            <w:r w:rsidRPr="00FC4A49">
              <w:rPr>
                <w:lang w:val="en-GB"/>
              </w:rPr>
              <w:t>emission reduction solutions on those vessels that are important for connectivity purposes remains constrained, in particular by infrastructure and investment needs.</w:t>
            </w:r>
          </w:p>
        </w:tc>
      </w:tr>
      <w:tr w14:paraId="7A09BC6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A2EDCCF" w14:textId="77777777">
            <w:pPr>
              <w:pStyle w:val="Normal6"/>
              <w:rPr>
                <w:lang w:val="en-GB"/>
              </w:rPr>
            </w:pPr>
            <w:r w:rsidRPr="00FC4A49">
              <w:rPr>
                <w:lang w:val="en-GB"/>
              </w:rPr>
              <w:t>__________________</w:t>
            </w:r>
          </w:p>
        </w:tc>
        <w:tc>
          <w:tcPr>
            <w:tcW w:w="4876" w:type="dxa"/>
          </w:tcPr>
          <w:p w:rsidR="00343C6C" w:rsidRPr="00FC4A49" w:rsidP="005D58F9" w14:paraId="02D9D695" w14:textId="77777777">
            <w:pPr>
              <w:pStyle w:val="Normal6"/>
              <w:rPr>
                <w:szCs w:val="24"/>
                <w:lang w:val="en-GB"/>
              </w:rPr>
            </w:pPr>
            <w:r w:rsidRPr="00FC4A49">
              <w:rPr>
                <w:lang w:val="en-GB"/>
              </w:rPr>
              <w:t>__________________</w:t>
            </w:r>
          </w:p>
        </w:tc>
      </w:tr>
      <w:tr w14:paraId="6B481EF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28D0CE3" w14:textId="77777777">
            <w:pPr>
              <w:pStyle w:val="Normal6"/>
              <w:rPr>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c>
          <w:tcPr>
            <w:tcW w:w="4876" w:type="dxa"/>
          </w:tcPr>
          <w:p w:rsidR="00343C6C" w:rsidRPr="00FC4A49" w:rsidP="005D58F9" w14:paraId="58345906" w14:textId="77777777">
            <w:pPr>
              <w:pStyle w:val="Normal6"/>
              <w:rPr>
                <w:szCs w:val="24"/>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r>
    </w:tbl>
    <w:p w:rsidR="00343C6C" w:rsidRPr="00FC4A49" w:rsidP="00343C6C" w14:paraId="48D9814A"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{PT}</w:t>
      </w:r>
      <w:r w:rsidRPr="00FC4A49">
        <w:rPr>
          <w:lang w:val="en-GB"/>
        </w:rPr>
        <w:t>pt</w:t>
      </w:r>
      <w:r w:rsidRPr="00FC4A49">
        <w:rPr>
          <w:rStyle w:val="HideTWBExt"/>
          <w:lang w:val="en-GB"/>
        </w:rPr>
        <w:t>&lt;/Original&gt;</w:t>
      </w:r>
    </w:p>
    <w:p w:rsidR="00343C6C" w:rsidRPr="00FC4A49" w:rsidP="00343C6C" w14:paraId="5B41C255" w14:textId="77777777">
      <w:r w:rsidRPr="00FC4A49">
        <w:rPr>
          <w:rStyle w:val="HideTWBExt"/>
        </w:rPr>
        <w:t>&lt;/Amend&gt;</w:t>
      </w:r>
    </w:p>
    <w:p w:rsidR="00343C6C" w:rsidRPr="00FC4A49" w:rsidP="00343C6C" w14:paraId="7F12CB6A"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201</w:t>
      </w:r>
      <w:r w:rsidRPr="00FC4A49">
        <w:rPr>
          <w:rStyle w:val="HideTWBExt"/>
          <w:b w:val="0"/>
          <w:lang w:val="en-GB"/>
        </w:rPr>
        <w:t>&lt;/NumAm&gt;</w:t>
      </w:r>
    </w:p>
    <w:p w:rsidR="00343C6C" w:rsidRPr="00FC4A49" w:rsidP="00343C6C" w14:paraId="0F12B01A" w14:textId="77777777">
      <w:pPr>
        <w:pStyle w:val="NormalBold"/>
      </w:pPr>
      <w:r w:rsidRPr="00FC4A49">
        <w:rPr>
          <w:rStyle w:val="HideTWBExt"/>
          <w:b w:val="0"/>
        </w:rPr>
        <w:t>&lt;RepeatBlock-By&gt;&lt;Members&gt;</w:t>
      </w:r>
      <w:r w:rsidRPr="00FC4A49">
        <w:t xml:space="preserve">Dimitris Tsiodras, Eleonora Meleti, Emmanouil </w:t>
      </w:r>
      <w:r w:rsidRPr="00FC4A49">
        <w:t>Kefalogiannis</w:t>
      </w:r>
      <w:r w:rsidRPr="00FC4A49">
        <w:t xml:space="preserve">, </w:t>
      </w:r>
      <w:r w:rsidRPr="00FC4A49">
        <w:t>Elissavet</w:t>
      </w:r>
      <w:r w:rsidRPr="00FC4A49">
        <w:t xml:space="preserve"> Vozemberg-</w:t>
      </w:r>
      <w:r w:rsidRPr="00FC4A49">
        <w:t>Vrionidi</w:t>
      </w:r>
      <w:r w:rsidRPr="00FC4A49">
        <w:t xml:space="preserve">, Fredis </w:t>
      </w:r>
      <w:r w:rsidRPr="00FC4A49">
        <w:t>Beleris</w:t>
      </w:r>
      <w:r w:rsidRPr="00FC4A49">
        <w:t>, Georgios Aftias, Vangelis Meimarakis, Michalis Hadjipantela, Loucas Fourlas</w:t>
      </w:r>
      <w:r w:rsidRPr="00FC4A49">
        <w:rPr>
          <w:rStyle w:val="HideTWBExt"/>
          <w:b w:val="0"/>
        </w:rPr>
        <w:t>&lt;/Members&gt;</w:t>
      </w:r>
    </w:p>
    <w:p w:rsidR="00343C6C" w:rsidRPr="00FC4A49" w:rsidP="00343C6C" w14:paraId="5AFA92F6" w14:textId="77777777">
      <w:r w:rsidRPr="00FC4A49">
        <w:rPr>
          <w:rStyle w:val="HideTWBExt"/>
        </w:rPr>
        <w:t>&lt;/RepeatBlock-By&gt;</w:t>
      </w:r>
    </w:p>
    <w:p w:rsidR="00343C6C" w:rsidRPr="00FC4A49" w:rsidP="00343C6C" w14:paraId="59E4C613"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88FB785" w14:textId="77777777">
      <w:pPr>
        <w:pStyle w:val="NormalBold"/>
      </w:pPr>
      <w:r w:rsidRPr="00FC4A49">
        <w:rPr>
          <w:rStyle w:val="HideTWBExt"/>
          <w:b w:val="0"/>
        </w:rPr>
        <w:t>&lt;Article&gt;</w:t>
      </w:r>
      <w:r w:rsidRPr="00FC4A49">
        <w:t>Recital 25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A5C6D0"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7C804360" w14:textId="77777777">
            <w:pPr>
              <w:keepNext/>
            </w:pPr>
          </w:p>
        </w:tc>
      </w:tr>
      <w:tr w14:paraId="1B392A5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5C90D06" w14:textId="77777777">
            <w:pPr>
              <w:pStyle w:val="ColumnHeading"/>
              <w:keepNext/>
              <w:rPr>
                <w:lang w:val="en-GB"/>
              </w:rPr>
            </w:pPr>
            <w:r w:rsidRPr="00FC4A49">
              <w:rPr>
                <w:lang w:val="en-GB"/>
              </w:rPr>
              <w:t>Text proposed by the Commission</w:t>
            </w:r>
          </w:p>
        </w:tc>
        <w:tc>
          <w:tcPr>
            <w:tcW w:w="4876" w:type="dxa"/>
          </w:tcPr>
          <w:p w:rsidR="00343C6C" w:rsidRPr="00FC4A49" w:rsidP="005D58F9" w14:paraId="3D059BDC" w14:textId="77777777">
            <w:pPr>
              <w:pStyle w:val="ColumnHeading"/>
              <w:keepNext/>
              <w:rPr>
                <w:lang w:val="en-GB"/>
              </w:rPr>
            </w:pPr>
            <w:r w:rsidRPr="00FC4A49">
              <w:rPr>
                <w:lang w:val="en-GB"/>
              </w:rPr>
              <w:t>Amendment</w:t>
            </w:r>
          </w:p>
        </w:tc>
      </w:tr>
      <w:tr w14:paraId="4AC4517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B1A99F4" w14:textId="77777777">
            <w:pPr>
              <w:pStyle w:val="Normal6"/>
              <w:rPr>
                <w:lang w:val="en-GB"/>
              </w:rPr>
            </w:pPr>
            <w:r w:rsidRPr="00FC4A49">
              <w:rPr>
                <w:lang w:val="en-GB"/>
              </w:rPr>
              <w:t>(25)</w:t>
            </w:r>
            <w:r w:rsidRPr="00FC4A49">
              <w:rPr>
                <w:lang w:val="en-GB"/>
              </w:rPr>
              <w:tab/>
              <w:t>The current derogations provided for in Directive 2003/87/EC from the obligation to surrender allowances for ice-</w:t>
            </w:r>
            <w:r w:rsidRPr="00FC4A49">
              <w:rPr>
                <w:lang w:val="en-GB"/>
              </w:rPr>
              <w:t>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for a limited period of time. Given the specific technical and operational challenges associated with the decarbonisation of ice-class ships, the Commission should review, before the expiry of the derogation applicable to those ships, the progress made in the deployment of suitable low- and zero-emission technologies and assess the appropriateness of extending that derogation beyond </w:t>
            </w:r>
            <w:r w:rsidRPr="00FC4A49">
              <w:rPr>
                <w:b/>
                <w:i/>
                <w:lang w:val="en-GB"/>
              </w:rPr>
              <w:t>31 December 2035</w:t>
            </w:r>
            <w:r w:rsidRPr="00FC4A49">
              <w:rPr>
                <w:lang w:val="en-GB"/>
              </w:rPr>
              <w:t>.</w:t>
            </w:r>
          </w:p>
        </w:tc>
        <w:tc>
          <w:tcPr>
            <w:tcW w:w="4876" w:type="dxa"/>
          </w:tcPr>
          <w:p w:rsidR="00343C6C" w:rsidRPr="00FC4A49" w:rsidP="005D58F9" w14:paraId="46912EFC" w14:textId="77777777">
            <w:pPr>
              <w:pStyle w:val="Normal6"/>
              <w:rPr>
                <w:szCs w:val="24"/>
                <w:lang w:val="en-GB"/>
              </w:rPr>
            </w:pPr>
            <w:r w:rsidRPr="00FC4A49">
              <w:rPr>
                <w:lang w:val="en-GB"/>
              </w:rPr>
              <w:t>(25)</w:t>
            </w:r>
            <w:r w:rsidRPr="00FC4A49">
              <w:rPr>
                <w:lang w:val="en-GB"/>
              </w:rPr>
              <w:tab/>
              <w:t>The current derogations provided for in Directive 2003/87/EC from the obligation to surrender allowances for ice-</w:t>
            </w:r>
            <w:r w:rsidRPr="00FC4A49">
              <w:rPr>
                <w:lang w:val="en-GB"/>
              </w:rPr>
              <w:t>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for a limited period of time. Given the specific technical and operational challenges associated with the decarbonisation of ice-class ships, the Commission should review, before the expiry of the derogation applicable to those ships, the progress made in the deployment of suitable low- and zero-emission technologies and assess the appropriateness of extending that derogation beyond </w:t>
            </w:r>
            <w:r w:rsidRPr="00FC4A49">
              <w:rPr>
                <w:b/>
                <w:i/>
                <w:lang w:val="en-GB"/>
              </w:rPr>
              <w:t>beyond</w:t>
            </w:r>
            <w:r w:rsidRPr="00FC4A49">
              <w:rPr>
                <w:b/>
                <w:i/>
                <w:lang w:val="en-GB"/>
              </w:rPr>
              <w:t xml:space="preserve"> that date</w:t>
            </w:r>
            <w:r w:rsidRPr="00FC4A49">
              <w:rPr>
                <w:lang w:val="en-GB"/>
              </w:rPr>
              <w:t xml:space="preserve">. </w:t>
            </w:r>
            <w:r w:rsidRPr="00FC4A49">
              <w:rPr>
                <w:b/>
                <w:i/>
                <w:lang w:val="en-GB"/>
              </w:rPr>
              <w:t>Furthermore, shipping companies are required under international law to deviate from their planned voyage or to additional navigation in order to render assistance to persons in distress at sea or to participate in search and rescue activities. Emissions resulting from such activities do not result from decisions relating to the commercial operation of the voyage but from compliance with obligations concerning the safety of human life at sea. Such emissions should therefore not give rise to an obligation to surrender allowances.</w:t>
            </w:r>
          </w:p>
        </w:tc>
      </w:tr>
      <w:tr w14:paraId="36010F4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87511FF" w14:textId="77777777">
            <w:pPr>
              <w:pStyle w:val="Normal6"/>
              <w:rPr>
                <w:lang w:val="en-GB"/>
              </w:rPr>
            </w:pPr>
            <w:r w:rsidRPr="00FC4A49">
              <w:rPr>
                <w:lang w:val="en-GB"/>
              </w:rPr>
              <w:t>__________________</w:t>
            </w:r>
          </w:p>
        </w:tc>
        <w:tc>
          <w:tcPr>
            <w:tcW w:w="4876" w:type="dxa"/>
          </w:tcPr>
          <w:p w:rsidR="00343C6C" w:rsidRPr="00FC4A49" w:rsidP="005D58F9" w14:paraId="6E405B72" w14:textId="77777777">
            <w:pPr>
              <w:pStyle w:val="Normal6"/>
              <w:rPr>
                <w:szCs w:val="24"/>
                <w:lang w:val="en-GB"/>
              </w:rPr>
            </w:pPr>
            <w:r w:rsidRPr="00FC4A49">
              <w:rPr>
                <w:lang w:val="en-GB"/>
              </w:rPr>
              <w:t>__________________</w:t>
            </w:r>
          </w:p>
        </w:tc>
      </w:tr>
      <w:tr w14:paraId="0F9FECA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1B35814" w14:textId="77777777">
            <w:pPr>
              <w:pStyle w:val="Normal6"/>
              <w:rPr>
                <w:lang w:val="en-GB"/>
              </w:rPr>
            </w:pPr>
            <w:r w:rsidRPr="00FC4A49">
              <w:rPr>
                <w:vertAlign w:val="superscript"/>
                <w:lang w:val="en-GB"/>
              </w:rPr>
              <w:t>16</w:t>
            </w:r>
            <w:r w:rsidRPr="00FC4A49">
              <w:rPr>
                <w:lang w:val="en-GB"/>
              </w:rPr>
              <w:t xml:space="preserve"> European Commission: Directorate-</w:t>
            </w:r>
            <w:r w:rsidRPr="00FC4A49">
              <w:rPr>
                <w:lang w:val="en-GB"/>
              </w:rPr>
              <w:t>General for Climate Action and Ricardo, Electric vessels and wind-assisted propulsion systems- opportunities for the EU maritime industry and value chain – Final report, Publications Office of the European Union, 2026, https://data.europa.eu/doi/10.2834/7505429.</w:t>
            </w:r>
          </w:p>
        </w:tc>
        <w:tc>
          <w:tcPr>
            <w:tcW w:w="4876" w:type="dxa"/>
          </w:tcPr>
          <w:p w:rsidR="00343C6C" w:rsidRPr="00FC4A49" w:rsidP="005D58F9" w14:paraId="3846CFD5" w14:textId="77777777">
            <w:pPr>
              <w:pStyle w:val="Normal6"/>
              <w:rPr>
                <w:szCs w:val="24"/>
                <w:lang w:val="en-GB"/>
              </w:rPr>
            </w:pPr>
            <w:r w:rsidRPr="00FC4A49">
              <w:rPr>
                <w:vertAlign w:val="superscript"/>
                <w:lang w:val="en-GB"/>
              </w:rPr>
              <w:t>16</w:t>
            </w:r>
            <w:r w:rsidRPr="00FC4A49">
              <w:rPr>
                <w:lang w:val="en-GB"/>
              </w:rPr>
              <w:t xml:space="preserve"> European Commission: Directorate-</w:t>
            </w:r>
            <w:r w:rsidRPr="00FC4A49">
              <w:rPr>
                <w:lang w:val="en-GB"/>
              </w:rPr>
              <w:t>General for Climate Action and Ricardo, Electric vessels and wind-assisted propulsion systems- opportunities for the EU maritime industry and value chain – Final report, Publications Office of the European Union, 2026, https://data.europa.eu/doi/10.2834/7505429.</w:t>
            </w:r>
          </w:p>
        </w:tc>
      </w:tr>
    </w:tbl>
    <w:p w:rsidR="00343C6C" w:rsidRPr="00FC4A49" w:rsidP="00343C6C" w14:paraId="0547A1F0"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81C15AF"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58789577" w14:textId="77777777">
      <w:pPr>
        <w:pStyle w:val="Normal12Italic"/>
        <w:rPr>
          <w:noProof w:val="0"/>
          <w:lang w:val="en-GB"/>
        </w:rPr>
      </w:pPr>
      <w:r w:rsidRPr="00FC4A49">
        <w:rPr>
          <w:noProof w:val="0"/>
          <w:lang w:val="en-GB"/>
        </w:rPr>
        <w:t xml:space="preserve">Shipping companies may be required under international law to deviate from a planned voyage in order </w:t>
      </w:r>
      <w:r w:rsidRPr="00FC4A49">
        <w:rPr>
          <w:noProof w:val="0"/>
          <w:lang w:val="en-GB"/>
        </w:rPr>
        <w:t>torender</w:t>
      </w:r>
      <w:r w:rsidRPr="00FC4A49">
        <w:rPr>
          <w:noProof w:val="0"/>
          <w:lang w:val="en-GB"/>
        </w:rPr>
        <w:t xml:space="preserve"> assistance to persons in distress at sea or to participate in search and rescue activities. </w:t>
      </w:r>
      <w:r w:rsidRPr="00FC4A49">
        <w:rPr>
          <w:noProof w:val="0"/>
          <w:lang w:val="en-GB"/>
        </w:rPr>
        <w:t>Additionalemissions</w:t>
      </w:r>
      <w:r w:rsidRPr="00FC4A49">
        <w:rPr>
          <w:noProof w:val="0"/>
          <w:lang w:val="en-GB"/>
        </w:rPr>
        <w:t xml:space="preserve"> resulting directly from such activities do not arise from the commercial operation or optimisation </w:t>
      </w:r>
      <w:r w:rsidRPr="00FC4A49">
        <w:rPr>
          <w:noProof w:val="0"/>
          <w:lang w:val="en-GB"/>
        </w:rPr>
        <w:t>ofthe</w:t>
      </w:r>
      <w:r w:rsidRPr="00FC4A49">
        <w:rPr>
          <w:noProof w:val="0"/>
          <w:lang w:val="en-GB"/>
        </w:rPr>
        <w:t xml:space="preserve"> voyage or decisions but from compliance with obligations concerning the safety of human life at </w:t>
      </w:r>
      <w:r w:rsidRPr="00FC4A49">
        <w:rPr>
          <w:noProof w:val="0"/>
          <w:lang w:val="en-GB"/>
        </w:rPr>
        <w:t>sea.Shipping</w:t>
      </w:r>
      <w:r w:rsidRPr="00FC4A49">
        <w:rPr>
          <w:noProof w:val="0"/>
          <w:lang w:val="en-GB"/>
        </w:rPr>
        <w:t xml:space="preserve"> companies should therefore not incur an EU ETS surrender obligation for emissions from </w:t>
      </w:r>
      <w:r w:rsidRPr="00FC4A49">
        <w:rPr>
          <w:noProof w:val="0"/>
          <w:lang w:val="en-GB"/>
        </w:rPr>
        <w:t>activitiesundertaken</w:t>
      </w:r>
      <w:r w:rsidRPr="00FC4A49">
        <w:rPr>
          <w:noProof w:val="0"/>
          <w:lang w:val="en-GB"/>
        </w:rPr>
        <w:t xml:space="preserve"> for the protection of human life that do not constitute commercial maritime transport activity.</w:t>
      </w:r>
    </w:p>
    <w:p w:rsidR="00343C6C" w:rsidRPr="00FC4A49" w:rsidP="00343C6C" w14:paraId="250AED98" w14:textId="77777777">
      <w:r w:rsidRPr="00FC4A49">
        <w:rPr>
          <w:rStyle w:val="HideTWBExt"/>
        </w:rPr>
        <w:t>&lt;/Amend&gt;</w:t>
      </w:r>
    </w:p>
    <w:p w:rsidR="00343C6C" w:rsidRPr="00FC4A49" w:rsidP="00343C6C" w14:paraId="7967AA6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202</w:t>
      </w:r>
      <w:r w:rsidRPr="00FC4A49">
        <w:rPr>
          <w:rStyle w:val="HideTWBExt"/>
          <w:b w:val="0"/>
          <w:lang w:val="en-GB"/>
        </w:rPr>
        <w:t>&lt;/NumAm&gt;</w:t>
      </w:r>
    </w:p>
    <w:p w:rsidR="00343C6C" w:rsidRPr="00FC4A49" w:rsidP="00343C6C" w14:paraId="19001A84" w14:textId="77777777">
      <w:pPr>
        <w:pStyle w:val="NormalBold"/>
      </w:pPr>
      <w:r w:rsidRPr="00FC4A49">
        <w:rPr>
          <w:rStyle w:val="HideTWBExt"/>
          <w:b w:val="0"/>
        </w:rPr>
        <w:t>&lt;RepeatBlock-By&gt;&lt;Members&gt;</w:t>
      </w:r>
      <w:r w:rsidRPr="00FC4A49">
        <w:t xml:space="preserve">Javi López, César Luena, Rosa Serrano Sierra, Alicia Homs Ginel, Juan Fernando López Aguilar, Nicolás González Casares, Leire </w:t>
      </w:r>
      <w:r w:rsidRPr="00FC4A49">
        <w:t>Pajín</w:t>
      </w:r>
      <w:r w:rsidRPr="00FC4A49">
        <w:t>, Elena Sancho Murillo</w:t>
      </w:r>
      <w:r w:rsidRPr="00FC4A49">
        <w:rPr>
          <w:rStyle w:val="HideTWBExt"/>
          <w:b w:val="0"/>
        </w:rPr>
        <w:t>&lt;/Members&gt;</w:t>
      </w:r>
    </w:p>
    <w:p w:rsidR="00343C6C" w:rsidRPr="00FC4A49" w:rsidP="00343C6C" w14:paraId="3405F453" w14:textId="77777777">
      <w:r w:rsidRPr="00FC4A49">
        <w:rPr>
          <w:rStyle w:val="HideTWBExt"/>
        </w:rPr>
        <w:t>&lt;/RepeatBlock-By&gt;</w:t>
      </w:r>
    </w:p>
    <w:p w:rsidR="00343C6C" w:rsidRPr="00FC4A49" w:rsidP="00343C6C" w14:paraId="637ADABC"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B263C2E" w14:textId="77777777">
      <w:pPr>
        <w:pStyle w:val="NormalBold"/>
      </w:pPr>
      <w:r w:rsidRPr="00FC4A49">
        <w:rPr>
          <w:rStyle w:val="HideTWBExt"/>
          <w:b w:val="0"/>
        </w:rPr>
        <w:t>&lt;Article&gt;</w:t>
      </w:r>
      <w:r w:rsidRPr="00FC4A49">
        <w:t>Recital 25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3FCD74"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4DFA168" w14:textId="77777777">
            <w:pPr>
              <w:keepNext/>
            </w:pPr>
          </w:p>
        </w:tc>
      </w:tr>
      <w:tr w14:paraId="4153BE5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4B9973C" w14:textId="77777777">
            <w:pPr>
              <w:pStyle w:val="ColumnHeading"/>
              <w:keepNext/>
              <w:rPr>
                <w:lang w:val="en-GB"/>
              </w:rPr>
            </w:pPr>
            <w:r w:rsidRPr="00FC4A49">
              <w:rPr>
                <w:lang w:val="en-GB"/>
              </w:rPr>
              <w:t>Text proposed by the Commission</w:t>
            </w:r>
          </w:p>
        </w:tc>
        <w:tc>
          <w:tcPr>
            <w:tcW w:w="4876" w:type="dxa"/>
          </w:tcPr>
          <w:p w:rsidR="00343C6C" w:rsidRPr="00FC4A49" w:rsidP="005D58F9" w14:paraId="4EEBA632" w14:textId="77777777">
            <w:pPr>
              <w:pStyle w:val="ColumnHeading"/>
              <w:keepNext/>
              <w:rPr>
                <w:lang w:val="en-GB"/>
              </w:rPr>
            </w:pPr>
            <w:r w:rsidRPr="00FC4A49">
              <w:rPr>
                <w:lang w:val="en-GB"/>
              </w:rPr>
              <w:t>Amendment</w:t>
            </w:r>
          </w:p>
        </w:tc>
      </w:tr>
      <w:tr w14:paraId="0535138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4BA7C01" w14:textId="77777777">
            <w:pPr>
              <w:pStyle w:val="Normal6"/>
              <w:rPr>
                <w:lang w:val="en-GB"/>
              </w:rPr>
            </w:pPr>
            <w:r w:rsidRPr="00FC4A49">
              <w:rPr>
                <w:lang w:val="en-GB"/>
              </w:rPr>
              <w:t>(25)</w:t>
            </w:r>
            <w:r w:rsidRPr="00FC4A49">
              <w:rPr>
                <w:lang w:val="en-GB"/>
              </w:rPr>
              <w:tab/>
              <w:t xml:space="preserve">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w:t>
            </w:r>
            <w:r w:rsidRPr="00FC4A49">
              <w:rPr>
                <w:lang w:val="en-GB"/>
              </w:rPr>
              <w:t>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w:t>
            </w:r>
            <w:r w:rsidRPr="00FC4A49">
              <w:rPr>
                <w:b/>
                <w:i/>
                <w:lang w:val="en-GB"/>
              </w:rPr>
              <w:t>for a limited period of time</w:t>
            </w:r>
            <w:r w:rsidRPr="00FC4A49">
              <w:rPr>
                <w:lang w:val="en-GB"/>
              </w:rPr>
              <w:t>. Given the specific technical and operational challenges associated with the decarbonisation of ice-class ships, the Commission should review, before the expiry of the derogation applicable to those ships, the progress made in the deployment of suitable low- and zero-emission technologies and assess the appropriateness of extending that derogation beyond 31 December 2035.</w:t>
            </w:r>
          </w:p>
        </w:tc>
        <w:tc>
          <w:tcPr>
            <w:tcW w:w="4876" w:type="dxa"/>
          </w:tcPr>
          <w:p w:rsidR="00343C6C" w:rsidRPr="00FC4A49" w:rsidP="005D58F9" w14:paraId="41340F20" w14:textId="77777777">
            <w:pPr>
              <w:pStyle w:val="Normal6"/>
              <w:rPr>
                <w:szCs w:val="24"/>
                <w:lang w:val="en-GB"/>
              </w:rPr>
            </w:pPr>
            <w:r w:rsidRPr="00FC4A49">
              <w:rPr>
                <w:lang w:val="en-GB"/>
              </w:rPr>
              <w:t>(25)</w:t>
            </w:r>
            <w:r w:rsidRPr="00FC4A49">
              <w:rPr>
                <w:lang w:val="en-GB"/>
              </w:rPr>
              <w:tab/>
              <w:t xml:space="preserve">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w:t>
            </w:r>
            <w:r w:rsidRPr="00FC4A49">
              <w:rPr>
                <w:lang w:val="en-GB"/>
              </w:rPr>
              <w:t>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w:t>
            </w:r>
            <w:r w:rsidRPr="00FC4A49">
              <w:rPr>
                <w:b/>
                <w:i/>
                <w:lang w:val="en-GB"/>
              </w:rPr>
              <w:t>to 2040, as a derogation until 2030 does not provide sufficient predictability for the sector. However, over time, all sectors need to become climate neutral. Therefore, the derogations should be gradually phased out by 2040</w:t>
            </w:r>
            <w:r w:rsidRPr="00FC4A49">
              <w:rPr>
                <w:lang w:val="en-GB"/>
              </w:rPr>
              <w:t>. Given the specific technical and operational challenges associated with the decarbonisation of ice-class ships, the Commission should review, before the expiry of the derogation applicable to those ships, the progress made in the deployment of suitable low- and zero-emission technologies and assess the appropriateness of extending that derogation beyond 31 December 2035.</w:t>
            </w:r>
          </w:p>
        </w:tc>
      </w:tr>
      <w:tr w14:paraId="4FBC008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03AA770" w14:textId="77777777">
            <w:pPr>
              <w:pStyle w:val="Normal6"/>
              <w:rPr>
                <w:lang w:val="en-GB"/>
              </w:rPr>
            </w:pPr>
            <w:r w:rsidRPr="00FC4A49">
              <w:rPr>
                <w:lang w:val="en-GB"/>
              </w:rPr>
              <w:t>__________________</w:t>
            </w:r>
          </w:p>
        </w:tc>
        <w:tc>
          <w:tcPr>
            <w:tcW w:w="4876" w:type="dxa"/>
          </w:tcPr>
          <w:p w:rsidR="00343C6C" w:rsidRPr="00FC4A49" w:rsidP="005D58F9" w14:paraId="45365086" w14:textId="77777777">
            <w:pPr>
              <w:pStyle w:val="Normal6"/>
              <w:rPr>
                <w:szCs w:val="24"/>
                <w:lang w:val="en-GB"/>
              </w:rPr>
            </w:pPr>
            <w:r w:rsidRPr="00FC4A49">
              <w:rPr>
                <w:lang w:val="en-GB"/>
              </w:rPr>
              <w:t>__________________</w:t>
            </w:r>
          </w:p>
        </w:tc>
      </w:tr>
      <w:tr w14:paraId="205C91A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A6DA27E" w14:textId="77777777">
            <w:pPr>
              <w:pStyle w:val="Normal6"/>
              <w:rPr>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c>
          <w:tcPr>
            <w:tcW w:w="4876" w:type="dxa"/>
          </w:tcPr>
          <w:p w:rsidR="00343C6C" w:rsidRPr="00FC4A49" w:rsidP="005D58F9" w14:paraId="5AFFBF59" w14:textId="77777777">
            <w:pPr>
              <w:pStyle w:val="Normal6"/>
              <w:rPr>
                <w:szCs w:val="24"/>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r>
    </w:tbl>
    <w:p w:rsidR="00343C6C" w:rsidRPr="00FC4A49" w:rsidP="00343C6C" w14:paraId="1A4D533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37F509C" w14:textId="77777777">
      <w:r w:rsidRPr="00FC4A49">
        <w:rPr>
          <w:rStyle w:val="HideTWBExt"/>
        </w:rPr>
        <w:t>&lt;/Amend&gt;</w:t>
      </w:r>
    </w:p>
    <w:p w:rsidR="00343C6C" w:rsidRPr="00FC4A49" w:rsidP="00343C6C" w14:paraId="62CCEBFB"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203</w:t>
      </w:r>
      <w:r w:rsidRPr="00FC4A49">
        <w:rPr>
          <w:rStyle w:val="HideTWBExt"/>
          <w:b w:val="0"/>
          <w:lang w:val="en-GB"/>
        </w:rPr>
        <w:t>&lt;/NumAm&gt;</w:t>
      </w:r>
    </w:p>
    <w:p w:rsidR="00343C6C" w:rsidRPr="00FC4A49" w:rsidP="00343C6C" w14:paraId="6A85FA36" w14:textId="77777777">
      <w:pPr>
        <w:pStyle w:val="NormalBold"/>
      </w:pPr>
      <w:r w:rsidRPr="00FC4A49">
        <w:rPr>
          <w:rStyle w:val="HideTWBExt"/>
          <w:b w:val="0"/>
        </w:rPr>
        <w:t>&lt;RepeatBlock-By&gt;&lt;Members&gt;</w:t>
      </w:r>
      <w:r w:rsidRPr="00FC4A49">
        <w:t>Marie-Luce Brasier-Clain, Anne-Sophie Frigout, Mathilde Androuët, Valérie Deloge, Ondřej Knotek, Jana Nagyová</w:t>
      </w:r>
      <w:r w:rsidRPr="00FC4A49">
        <w:rPr>
          <w:rStyle w:val="HideTWBExt"/>
          <w:b w:val="0"/>
        </w:rPr>
        <w:t>&lt;/Members&gt;</w:t>
      </w:r>
    </w:p>
    <w:p w:rsidR="00343C6C" w:rsidRPr="00FC4A49" w:rsidP="00343C6C" w14:paraId="30DCD763" w14:textId="77777777">
      <w:r w:rsidRPr="00FC4A49">
        <w:rPr>
          <w:rStyle w:val="HideTWBExt"/>
        </w:rPr>
        <w:t>&lt;/RepeatBlock-By&gt;</w:t>
      </w:r>
    </w:p>
    <w:p w:rsidR="00343C6C" w:rsidRPr="00FC4A49" w:rsidP="00343C6C" w14:paraId="233FCEC7"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1EC6BA7" w14:textId="77777777">
      <w:pPr>
        <w:pStyle w:val="NormalBold"/>
      </w:pPr>
      <w:r w:rsidRPr="00FC4A49">
        <w:rPr>
          <w:rStyle w:val="HideTWBExt"/>
          <w:b w:val="0"/>
        </w:rPr>
        <w:t>&lt;Article&gt;</w:t>
      </w:r>
      <w:r w:rsidRPr="00FC4A49">
        <w:t>Recital 25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73BC5E"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5EACAD2" w14:textId="77777777">
            <w:pPr>
              <w:keepNext/>
            </w:pPr>
          </w:p>
        </w:tc>
      </w:tr>
      <w:tr w14:paraId="7226FE8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20E5970" w14:textId="77777777">
            <w:pPr>
              <w:pStyle w:val="ColumnHeading"/>
              <w:keepNext/>
              <w:rPr>
                <w:lang w:val="en-GB"/>
              </w:rPr>
            </w:pPr>
            <w:r w:rsidRPr="00FC4A49">
              <w:rPr>
                <w:lang w:val="en-GB"/>
              </w:rPr>
              <w:t>Text proposed by the Commission</w:t>
            </w:r>
          </w:p>
        </w:tc>
        <w:tc>
          <w:tcPr>
            <w:tcW w:w="4876" w:type="dxa"/>
          </w:tcPr>
          <w:p w:rsidR="00343C6C" w:rsidRPr="00FC4A49" w:rsidP="005D58F9" w14:paraId="7B89D7C1" w14:textId="77777777">
            <w:pPr>
              <w:pStyle w:val="ColumnHeading"/>
              <w:keepNext/>
              <w:rPr>
                <w:lang w:val="en-GB"/>
              </w:rPr>
            </w:pPr>
            <w:r w:rsidRPr="00FC4A49">
              <w:rPr>
                <w:lang w:val="en-GB"/>
              </w:rPr>
              <w:t>Amendment</w:t>
            </w:r>
          </w:p>
        </w:tc>
      </w:tr>
      <w:tr w14:paraId="0D4446A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D00464E" w14:textId="77777777">
            <w:pPr>
              <w:pStyle w:val="Normal6"/>
              <w:rPr>
                <w:lang w:val="en-GB"/>
              </w:rPr>
            </w:pPr>
            <w:r w:rsidRPr="00FC4A49">
              <w:rPr>
                <w:lang w:val="en-GB"/>
              </w:rPr>
              <w:t>(25)</w:t>
            </w:r>
            <w:r w:rsidRPr="00FC4A49">
              <w:rPr>
                <w:lang w:val="en-GB"/>
              </w:rPr>
              <w:tab/>
              <w:t>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and in light of the need to ensure territorial continuity, connectivity and affordability of essential maritime services, the duration of these derogations should be extended </w:t>
            </w:r>
            <w:r w:rsidRPr="00FC4A49">
              <w:rPr>
                <w:b/>
                <w:i/>
                <w:lang w:val="en-GB"/>
              </w:rPr>
              <w:t>for a limited period of time. Given</w:t>
            </w:r>
            <w:r w:rsidRPr="00FC4A49">
              <w:rPr>
                <w:lang w:val="en-GB"/>
              </w:rPr>
              <w:t xml:space="preserve"> the </w:t>
            </w:r>
            <w:r w:rsidRPr="00FC4A49">
              <w:rPr>
                <w:b/>
                <w:i/>
                <w:lang w:val="en-GB"/>
              </w:rPr>
              <w:t>specific technical and operational challenges associated with the decarbonisation of</w:t>
            </w:r>
            <w:r w:rsidRPr="00FC4A49">
              <w:rPr>
                <w:lang w:val="en-GB"/>
              </w:rPr>
              <w:t xml:space="preserve"> ice-class ships</w:t>
            </w:r>
            <w:r w:rsidRPr="00FC4A49">
              <w:rPr>
                <w:b/>
                <w:i/>
                <w:lang w:val="en-GB"/>
              </w:rPr>
              <w:t>, the Commission</w:t>
            </w:r>
            <w:r w:rsidRPr="00FC4A49">
              <w:rPr>
                <w:lang w:val="en-GB"/>
              </w:rPr>
              <w:t xml:space="preserve"> should </w:t>
            </w:r>
            <w:r w:rsidRPr="00FC4A49">
              <w:rPr>
                <w:b/>
                <w:i/>
                <w:lang w:val="en-GB"/>
              </w:rPr>
              <w:t>review, before the expiry of the derogation applicable</w:t>
            </w:r>
            <w:r w:rsidRPr="00FC4A49">
              <w:rPr>
                <w:lang w:val="en-GB"/>
              </w:rPr>
              <w:t xml:space="preserve"> to </w:t>
            </w:r>
            <w:r w:rsidRPr="00FC4A49">
              <w:rPr>
                <w:b/>
                <w:i/>
                <w:lang w:val="en-GB"/>
              </w:rPr>
              <w:t>those ships, the progress made in the deployment</w:t>
            </w:r>
            <w:r w:rsidRPr="00FC4A49">
              <w:rPr>
                <w:lang w:val="en-GB"/>
              </w:rPr>
              <w:t xml:space="preserve"> of </w:t>
            </w:r>
            <w:r w:rsidRPr="00FC4A49">
              <w:rPr>
                <w:b/>
                <w:i/>
                <w:lang w:val="en-GB"/>
              </w:rPr>
              <w:t>suitable low- and zero-emission technologies and assess the appropriateness of extending that derogation beyond 31 December 2035</w:t>
            </w:r>
            <w:r w:rsidRPr="00FC4A49">
              <w:rPr>
                <w:lang w:val="en-GB"/>
              </w:rPr>
              <w:t>.</w:t>
            </w:r>
          </w:p>
        </w:tc>
        <w:tc>
          <w:tcPr>
            <w:tcW w:w="4876" w:type="dxa"/>
          </w:tcPr>
          <w:p w:rsidR="00343C6C" w:rsidRPr="00FC4A49" w:rsidP="005D58F9" w14:paraId="6E960B81" w14:textId="77777777">
            <w:pPr>
              <w:pStyle w:val="Normal6"/>
              <w:rPr>
                <w:szCs w:val="24"/>
                <w:lang w:val="en-GB"/>
              </w:rPr>
            </w:pPr>
            <w:r w:rsidRPr="00FC4A49">
              <w:rPr>
                <w:lang w:val="en-GB"/>
              </w:rPr>
              <w:t>(25)</w:t>
            </w:r>
            <w:r w:rsidRPr="00FC4A49">
              <w:rPr>
                <w:lang w:val="en-GB"/>
              </w:rPr>
              <w:tab/>
              <w:t>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and in light of the need to ensure territorial continuity, connectivity and affordability of essential maritime services, the duration of these derogations should be extended </w:t>
            </w:r>
            <w:r w:rsidRPr="00FC4A49">
              <w:rPr>
                <w:b/>
                <w:i/>
                <w:lang w:val="en-GB"/>
              </w:rPr>
              <w:t>indefinitely, while</w:t>
            </w:r>
            <w:r w:rsidRPr="00FC4A49">
              <w:rPr>
                <w:lang w:val="en-GB"/>
              </w:rPr>
              <w:t xml:space="preserve"> the </w:t>
            </w:r>
            <w:r w:rsidRPr="00FC4A49">
              <w:rPr>
                <w:b/>
                <w:i/>
                <w:lang w:val="en-GB"/>
              </w:rPr>
              <w:t>derogation applicable to</w:t>
            </w:r>
            <w:r w:rsidRPr="00FC4A49">
              <w:rPr>
                <w:lang w:val="en-GB"/>
              </w:rPr>
              <w:t xml:space="preserve"> ice-class ships should </w:t>
            </w:r>
            <w:r w:rsidRPr="00FC4A49">
              <w:rPr>
                <w:b/>
                <w:i/>
                <w:lang w:val="en-GB"/>
              </w:rPr>
              <w:t>also be expanded</w:t>
            </w:r>
            <w:r w:rsidRPr="00FC4A49">
              <w:rPr>
                <w:lang w:val="en-GB"/>
              </w:rPr>
              <w:t xml:space="preserve"> to </w:t>
            </w:r>
            <w:r w:rsidRPr="00FC4A49">
              <w:rPr>
                <w:b/>
                <w:i/>
                <w:lang w:val="en-GB"/>
              </w:rPr>
              <w:t>take account</w:t>
            </w:r>
            <w:r w:rsidRPr="00FC4A49">
              <w:rPr>
                <w:lang w:val="en-GB"/>
              </w:rPr>
              <w:t xml:space="preserve"> of </w:t>
            </w:r>
            <w:r w:rsidRPr="00FC4A49">
              <w:rPr>
                <w:b/>
                <w:i/>
                <w:lang w:val="en-GB"/>
              </w:rPr>
              <w:t>additional fuel consumption resulting from navigation in icy conditions</w:t>
            </w:r>
            <w:r w:rsidRPr="00FC4A49">
              <w:rPr>
                <w:lang w:val="en-GB"/>
              </w:rPr>
              <w:t>.</w:t>
            </w:r>
          </w:p>
        </w:tc>
      </w:tr>
      <w:tr w14:paraId="41D713A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F575900" w14:textId="77777777">
            <w:pPr>
              <w:pStyle w:val="Normal6"/>
              <w:rPr>
                <w:lang w:val="en-GB"/>
              </w:rPr>
            </w:pPr>
            <w:r w:rsidRPr="00FC4A49">
              <w:rPr>
                <w:lang w:val="en-GB"/>
              </w:rPr>
              <w:t>__________________</w:t>
            </w:r>
          </w:p>
        </w:tc>
        <w:tc>
          <w:tcPr>
            <w:tcW w:w="4876" w:type="dxa"/>
          </w:tcPr>
          <w:p w:rsidR="00343C6C" w:rsidRPr="00FC4A49" w:rsidP="005D58F9" w14:paraId="24FE10CB" w14:textId="77777777">
            <w:pPr>
              <w:pStyle w:val="Normal6"/>
              <w:rPr>
                <w:szCs w:val="24"/>
                <w:lang w:val="en-GB"/>
              </w:rPr>
            </w:pPr>
            <w:r w:rsidRPr="00FC4A49">
              <w:rPr>
                <w:lang w:val="en-GB"/>
              </w:rPr>
              <w:t>__________________</w:t>
            </w:r>
          </w:p>
        </w:tc>
      </w:tr>
      <w:tr w14:paraId="251FB25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3193086" w14:textId="77777777">
            <w:pPr>
              <w:pStyle w:val="Normal6"/>
              <w:rPr>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r w:rsidRPr="00FC4A49">
              <w:rPr>
                <w:lang w:val="en-GB"/>
              </w:rPr>
              <w:t>.</w:t>
            </w:r>
          </w:p>
        </w:tc>
        <w:tc>
          <w:tcPr>
            <w:tcW w:w="4876" w:type="dxa"/>
          </w:tcPr>
          <w:p w:rsidR="00343C6C" w:rsidRPr="00FC4A49" w:rsidP="005D58F9" w14:paraId="28677C7E" w14:textId="77777777">
            <w:pPr>
              <w:pStyle w:val="Normal6"/>
              <w:rPr>
                <w:szCs w:val="24"/>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r w:rsidRPr="00FC4A49">
              <w:rPr>
                <w:lang w:val="en-GB"/>
              </w:rPr>
              <w:t>.</w:t>
            </w:r>
          </w:p>
        </w:tc>
      </w:tr>
    </w:tbl>
    <w:p w:rsidR="00343C6C" w:rsidRPr="00FC4A49" w:rsidP="00343C6C" w14:paraId="4C09486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{FR}</w:t>
      </w:r>
      <w:r w:rsidRPr="00FC4A49">
        <w:rPr>
          <w:lang w:val="en-GB"/>
        </w:rPr>
        <w:t>fr</w:t>
      </w:r>
      <w:r w:rsidRPr="00FC4A49">
        <w:rPr>
          <w:rStyle w:val="HideTWBExt"/>
          <w:lang w:val="en-GB"/>
        </w:rPr>
        <w:t>&lt;/Original&gt;</w:t>
      </w:r>
    </w:p>
    <w:p w:rsidR="00343C6C" w:rsidRPr="00FC4A49" w:rsidP="00343C6C" w14:paraId="1B2CB733" w14:textId="77777777">
      <w:r w:rsidRPr="00FC4A49">
        <w:rPr>
          <w:rStyle w:val="HideTWBExt"/>
        </w:rPr>
        <w:t>&lt;/Amend&gt;</w:t>
      </w:r>
    </w:p>
    <w:p w:rsidR="00343C6C" w:rsidRPr="00FC4A49" w:rsidP="00343C6C" w14:paraId="44E992E8"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204</w:t>
      </w:r>
      <w:r w:rsidRPr="00FC4A49">
        <w:rPr>
          <w:rStyle w:val="HideTWBExt"/>
          <w:b w:val="0"/>
          <w:lang w:val="en-GB"/>
        </w:rPr>
        <w:t>&lt;/NumAm&gt;</w:t>
      </w:r>
    </w:p>
    <w:p w:rsidR="00343C6C" w:rsidRPr="00FC4A49" w:rsidP="00343C6C" w14:paraId="4FB5A14D" w14:textId="77777777">
      <w:pPr>
        <w:pStyle w:val="NormalBold"/>
      </w:pPr>
      <w:r w:rsidRPr="00FC4A49">
        <w:rPr>
          <w:rStyle w:val="HideTWBExt"/>
          <w:b w:val="0"/>
        </w:rPr>
        <w:t>&lt;RepeatBlock-By&gt;&lt;Members&gt;</w:t>
      </w:r>
      <w:r w:rsidRPr="00FC4A49">
        <w:t>Katri Kulmuni, Jeannette Baljeu</w:t>
      </w:r>
      <w:r w:rsidRPr="00FC4A49">
        <w:rPr>
          <w:rStyle w:val="HideTWBExt"/>
          <w:b w:val="0"/>
        </w:rPr>
        <w:t>&lt;/Members&gt;</w:t>
      </w:r>
    </w:p>
    <w:p w:rsidR="00343C6C" w:rsidRPr="00FC4A49" w:rsidP="00343C6C" w14:paraId="05F9EAB5" w14:textId="77777777">
      <w:r w:rsidRPr="00FC4A49">
        <w:rPr>
          <w:rStyle w:val="HideTWBExt"/>
        </w:rPr>
        <w:t>&lt;/RepeatBlock-By&gt;</w:t>
      </w:r>
    </w:p>
    <w:p w:rsidR="00343C6C" w:rsidRPr="00FC4A49" w:rsidP="00343C6C" w14:paraId="5FADCC2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97E39C1" w14:textId="77777777">
      <w:pPr>
        <w:pStyle w:val="NormalBold"/>
      </w:pPr>
      <w:r w:rsidRPr="00FC4A49">
        <w:rPr>
          <w:rStyle w:val="HideTWBExt"/>
          <w:b w:val="0"/>
        </w:rPr>
        <w:t>&lt;Article&gt;</w:t>
      </w:r>
      <w:r w:rsidRPr="00FC4A49">
        <w:t>Recital 25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B79537"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A7A7A6D" w14:textId="77777777">
            <w:pPr>
              <w:keepNext/>
            </w:pPr>
          </w:p>
        </w:tc>
      </w:tr>
      <w:tr w14:paraId="5FEAB80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8E45537" w14:textId="77777777">
            <w:pPr>
              <w:pStyle w:val="ColumnHeading"/>
              <w:keepNext/>
              <w:rPr>
                <w:lang w:val="en-GB"/>
              </w:rPr>
            </w:pPr>
            <w:r w:rsidRPr="00FC4A49">
              <w:rPr>
                <w:lang w:val="en-GB"/>
              </w:rPr>
              <w:t>Text proposed by the Commission</w:t>
            </w:r>
          </w:p>
        </w:tc>
        <w:tc>
          <w:tcPr>
            <w:tcW w:w="4876" w:type="dxa"/>
          </w:tcPr>
          <w:p w:rsidR="00343C6C" w:rsidRPr="00FC4A49" w:rsidP="005D58F9" w14:paraId="4AA61119" w14:textId="77777777">
            <w:pPr>
              <w:pStyle w:val="ColumnHeading"/>
              <w:keepNext/>
              <w:rPr>
                <w:lang w:val="en-GB"/>
              </w:rPr>
            </w:pPr>
            <w:r w:rsidRPr="00FC4A49">
              <w:rPr>
                <w:lang w:val="en-GB"/>
              </w:rPr>
              <w:t>Amendment</w:t>
            </w:r>
          </w:p>
        </w:tc>
      </w:tr>
      <w:tr w14:paraId="6FC183B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AA3F855" w14:textId="77777777">
            <w:pPr>
              <w:pStyle w:val="Normal6"/>
              <w:rPr>
                <w:lang w:val="en-GB"/>
              </w:rPr>
            </w:pPr>
            <w:r w:rsidRPr="00FC4A49">
              <w:rPr>
                <w:lang w:val="en-GB"/>
              </w:rPr>
              <w:t>(25)</w:t>
            </w:r>
            <w:r w:rsidRPr="00FC4A49">
              <w:rPr>
                <w:lang w:val="en-GB"/>
              </w:rPr>
              <w:tab/>
              <w:t>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b/>
                <w:i/>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w:t>
            </w:r>
            <w:r w:rsidRPr="00FC4A49">
              <w:rPr>
                <w:b/>
                <w:i/>
                <w:lang w:val="en-GB"/>
              </w:rPr>
              <w:t>for a limited period of time</w:t>
            </w:r>
            <w:r w:rsidRPr="00FC4A49">
              <w:rPr>
                <w:lang w:val="en-GB"/>
              </w:rPr>
              <w:t xml:space="preserve">. Given the specific technical and operational challenges associated with the decarbonisation of ice-class ships, the </w:t>
            </w:r>
            <w:r w:rsidRPr="00FC4A49">
              <w:rPr>
                <w:b/>
                <w:i/>
                <w:lang w:val="en-GB"/>
              </w:rPr>
              <w:t>Commission should review, before the expiry of the</w:t>
            </w:r>
            <w:r w:rsidRPr="00FC4A49">
              <w:rPr>
                <w:lang w:val="en-GB"/>
              </w:rPr>
              <w:t xml:space="preserve"> derogation applicable to </w:t>
            </w:r>
            <w:r w:rsidRPr="00FC4A49">
              <w:rPr>
                <w:b/>
                <w:i/>
                <w:lang w:val="en-GB"/>
              </w:rPr>
              <w:t>those</w:t>
            </w:r>
            <w:r w:rsidRPr="00FC4A49">
              <w:rPr>
                <w:lang w:val="en-GB"/>
              </w:rPr>
              <w:t xml:space="preserve"> ships</w:t>
            </w:r>
            <w:r w:rsidRPr="00FC4A49">
              <w:rPr>
                <w:b/>
                <w:i/>
                <w:lang w:val="en-GB"/>
              </w:rPr>
              <w:t xml:space="preserve">, the progress made in the deployment of suitable low- and zero-emission technologies and assess the appropriateness of extending that </w:t>
            </w:r>
            <w:r w:rsidRPr="00FC4A49">
              <w:rPr>
                <w:b/>
                <w:i/>
                <w:lang w:val="en-GB"/>
              </w:rPr>
              <w:t>derogation beyond 31 December 2035</w:t>
            </w:r>
            <w:r w:rsidRPr="00FC4A49">
              <w:rPr>
                <w:lang w:val="en-GB"/>
              </w:rPr>
              <w:t>.</w:t>
            </w:r>
          </w:p>
        </w:tc>
        <w:tc>
          <w:tcPr>
            <w:tcW w:w="4876" w:type="dxa"/>
          </w:tcPr>
          <w:p w:rsidR="00343C6C" w:rsidRPr="00FC4A49" w:rsidP="005D58F9" w14:paraId="0F7AA967" w14:textId="77777777">
            <w:pPr>
              <w:pStyle w:val="Normal6"/>
              <w:rPr>
                <w:szCs w:val="24"/>
                <w:lang w:val="en-GB"/>
              </w:rPr>
            </w:pPr>
            <w:r w:rsidRPr="00FC4A49">
              <w:rPr>
                <w:lang w:val="en-GB"/>
              </w:rPr>
              <w:t>(25)</w:t>
            </w:r>
            <w:r w:rsidRPr="00FC4A49">
              <w:rPr>
                <w:lang w:val="en-GB"/>
              </w:rPr>
              <w:tab/>
              <w:t xml:space="preserve">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 and in light of the need to ensure territorial continuity, connectivity and affordability of essential maritime services, the duration of these derogations should be extended. Given the specific technical and operational challenges associated with the decarbonisation of ice-class ships, the derogation applicable to </w:t>
            </w:r>
            <w:r w:rsidRPr="00FC4A49">
              <w:rPr>
                <w:b/>
                <w:i/>
                <w:lang w:val="en-GB"/>
              </w:rPr>
              <w:t xml:space="preserve">ships with ice class IA or IA Super, or an equivalent ice class, should continue to apply without a time limit. In addition, shipping companies should be allowed to reduce the number of allowances to be surrendered by an amount corresponding </w:t>
            </w:r>
            <w:r w:rsidRPr="00FC4A49">
              <w:rPr>
                <w:b/>
                <w:i/>
                <w:lang w:val="en-GB"/>
              </w:rPr>
              <w:t>exclusively to the additional emissions resulting from</w:t>
            </w:r>
            <w:r w:rsidRPr="00FC4A49">
              <w:rPr>
                <w:lang w:val="en-GB"/>
              </w:rPr>
              <w:t xml:space="preserve"> </w:t>
            </w:r>
            <w:r w:rsidRPr="00FC4A49">
              <w:rPr>
                <w:b/>
                <w:i/>
                <w:lang w:val="en-GB"/>
              </w:rPr>
              <w:t>the sailing of ice-class</w:t>
            </w:r>
            <w:r w:rsidRPr="00FC4A49">
              <w:rPr>
                <w:lang w:val="en-GB"/>
              </w:rPr>
              <w:t xml:space="preserve"> ships </w:t>
            </w:r>
            <w:r w:rsidRPr="00FC4A49">
              <w:rPr>
                <w:b/>
                <w:i/>
                <w:lang w:val="en-GB"/>
              </w:rPr>
              <w:t>in ice conditions</w:t>
            </w:r>
            <w:r w:rsidRPr="00FC4A49">
              <w:rPr>
                <w:lang w:val="en-GB"/>
              </w:rPr>
              <w:t>.</w:t>
            </w:r>
          </w:p>
        </w:tc>
      </w:tr>
      <w:tr w14:paraId="3C32FF8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DE6351A" w14:textId="77777777">
            <w:pPr>
              <w:pStyle w:val="Normal6"/>
              <w:rPr>
                <w:lang w:val="en-GB"/>
              </w:rPr>
            </w:pPr>
            <w:r w:rsidRPr="00FC4A49">
              <w:rPr>
                <w:lang w:val="en-GB"/>
              </w:rPr>
              <w:t>__________________</w:t>
            </w:r>
          </w:p>
        </w:tc>
        <w:tc>
          <w:tcPr>
            <w:tcW w:w="4876" w:type="dxa"/>
          </w:tcPr>
          <w:p w:rsidR="00343C6C" w:rsidRPr="00FC4A49" w:rsidP="005D58F9" w14:paraId="339026F3" w14:textId="77777777">
            <w:pPr>
              <w:pStyle w:val="Normal6"/>
              <w:rPr>
                <w:szCs w:val="24"/>
                <w:lang w:val="en-GB"/>
              </w:rPr>
            </w:pPr>
            <w:r w:rsidRPr="00FC4A49">
              <w:rPr>
                <w:lang w:val="en-GB"/>
              </w:rPr>
              <w:t>__________________</w:t>
            </w:r>
          </w:p>
        </w:tc>
      </w:tr>
      <w:tr w14:paraId="0E2053E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B81FAA6" w14:textId="77777777">
            <w:pPr>
              <w:pStyle w:val="Normal6"/>
              <w:rPr>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c>
          <w:tcPr>
            <w:tcW w:w="4876" w:type="dxa"/>
          </w:tcPr>
          <w:p w:rsidR="00343C6C" w:rsidRPr="00FC4A49" w:rsidP="005D58F9" w14:paraId="1479578C" w14:textId="77777777">
            <w:pPr>
              <w:pStyle w:val="Normal6"/>
              <w:rPr>
                <w:szCs w:val="24"/>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r>
    </w:tbl>
    <w:p w:rsidR="00343C6C" w:rsidRPr="00FC4A49" w:rsidP="00343C6C" w14:paraId="093F87A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544F1FB"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210406DF" w14:textId="77777777">
      <w:pPr>
        <w:pStyle w:val="Normal12Italic"/>
        <w:rPr>
          <w:noProof w:val="0"/>
          <w:lang w:val="en-GB"/>
        </w:rPr>
      </w:pPr>
      <w:r w:rsidRPr="00FC4A49">
        <w:rPr>
          <w:noProof w:val="0"/>
          <w:lang w:val="en-GB"/>
        </w:rPr>
        <w:t xml:space="preserve">To ensure maritime safety and level playing field, the structural and operational disadvantages faced by ice-classed ships should be reflected in the EU ETS. Moreover, ships will continue to sail in ice conditions in the coming decades, leading to additional energy consumption and greenhouse gas emissions compared with sailing in open water. Recognition of sailing in ice conditions contribute to the harmonization with the </w:t>
      </w:r>
      <w:r w:rsidRPr="00FC4A49">
        <w:rPr>
          <w:noProof w:val="0"/>
          <w:lang w:val="en-GB"/>
        </w:rPr>
        <w:t>FuelEU</w:t>
      </w:r>
      <w:r w:rsidRPr="00FC4A49">
        <w:rPr>
          <w:noProof w:val="0"/>
          <w:lang w:val="en-GB"/>
        </w:rPr>
        <w:t xml:space="preserve"> Maritime Regulation.</w:t>
      </w:r>
    </w:p>
    <w:p w:rsidR="00343C6C" w:rsidRPr="00FC4A49" w:rsidP="00343C6C" w14:paraId="328866F0" w14:textId="77777777">
      <w:r w:rsidRPr="00FC4A49">
        <w:rPr>
          <w:rStyle w:val="HideTWBExt"/>
        </w:rPr>
        <w:t>&lt;/Amend&gt;</w:t>
      </w:r>
    </w:p>
    <w:p w:rsidR="00343C6C" w:rsidRPr="00FC4A49" w:rsidP="00343C6C" w14:paraId="74B1C313"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205</w:t>
      </w:r>
      <w:r w:rsidRPr="00FC4A49">
        <w:rPr>
          <w:rStyle w:val="HideTWBExt"/>
          <w:b w:val="0"/>
          <w:lang w:val="en-GB"/>
        </w:rPr>
        <w:t>&lt;/NumAm&gt;</w:t>
      </w:r>
    </w:p>
    <w:p w:rsidR="00343C6C" w:rsidRPr="00FC4A49" w:rsidP="00343C6C" w14:paraId="629596A1"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1FC07987" w14:textId="77777777">
      <w:r w:rsidRPr="00FC4A49">
        <w:rPr>
          <w:rStyle w:val="HideTWBExt"/>
        </w:rPr>
        <w:t>&lt;/RepeatBlock-By&gt;</w:t>
      </w:r>
    </w:p>
    <w:p w:rsidR="00343C6C" w:rsidRPr="00FC4A49" w:rsidP="00343C6C" w14:paraId="3602FE1F"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BDBA914" w14:textId="77777777">
      <w:pPr>
        <w:pStyle w:val="NormalBold"/>
      </w:pPr>
      <w:r w:rsidRPr="00FC4A49">
        <w:rPr>
          <w:rStyle w:val="HideTWBExt"/>
          <w:b w:val="0"/>
        </w:rPr>
        <w:t>&lt;Article&gt;</w:t>
      </w:r>
      <w:r w:rsidRPr="00FC4A49">
        <w:t>Recital 25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6DCD2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4F2387D" w14:textId="77777777">
            <w:pPr>
              <w:keepNext/>
            </w:pPr>
          </w:p>
        </w:tc>
      </w:tr>
      <w:tr w14:paraId="28DC86C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E653946" w14:textId="77777777">
            <w:pPr>
              <w:pStyle w:val="ColumnHeading"/>
              <w:keepNext/>
              <w:rPr>
                <w:lang w:val="en-GB"/>
              </w:rPr>
            </w:pPr>
            <w:r w:rsidRPr="00FC4A49">
              <w:rPr>
                <w:lang w:val="en-GB"/>
              </w:rPr>
              <w:t>Text proposed by the Commission</w:t>
            </w:r>
          </w:p>
        </w:tc>
        <w:tc>
          <w:tcPr>
            <w:tcW w:w="4876" w:type="dxa"/>
          </w:tcPr>
          <w:p w:rsidR="00343C6C" w:rsidRPr="00FC4A49" w:rsidP="005D58F9" w14:paraId="4C530B12" w14:textId="77777777">
            <w:pPr>
              <w:pStyle w:val="ColumnHeading"/>
              <w:keepNext/>
              <w:rPr>
                <w:lang w:val="en-GB"/>
              </w:rPr>
            </w:pPr>
            <w:r w:rsidRPr="00FC4A49">
              <w:rPr>
                <w:lang w:val="en-GB"/>
              </w:rPr>
              <w:t>Amendment</w:t>
            </w:r>
          </w:p>
        </w:tc>
      </w:tr>
      <w:tr w14:paraId="1323A02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F2C81CD" w14:textId="77777777">
            <w:pPr>
              <w:pStyle w:val="Normal6"/>
              <w:rPr>
                <w:lang w:val="en-GB"/>
              </w:rPr>
            </w:pPr>
            <w:r w:rsidRPr="00FC4A49">
              <w:rPr>
                <w:lang w:val="en-GB"/>
              </w:rPr>
              <w:t>(25)</w:t>
            </w:r>
            <w:r w:rsidRPr="00FC4A49">
              <w:rPr>
                <w:lang w:val="en-GB"/>
              </w:rPr>
              <w:tab/>
              <w:t xml:space="preserve">The current derogations provided for in Directive 2003/87/EC from the obligation to surrender allowances </w:t>
            </w:r>
            <w:r w:rsidRPr="00FC4A49">
              <w:rPr>
                <w:b/>
                <w:i/>
                <w:lang w:val="en-GB"/>
              </w:rPr>
              <w:t>for ice-class ships,</w:t>
            </w:r>
            <w:r w:rsidRPr="00FC4A49">
              <w:rPr>
                <w:lang w:val="en-GB"/>
              </w:rPr>
              <w:t xml:space="preserve"> for voyages involving outermost regions and small islands without a fixed land connection, and for certain passenger transport services operated under public service obligations or public service contracts are set to end on 31 December 2030. While the decarbonisation of </w:t>
            </w:r>
            <w:r w:rsidRPr="00FC4A49">
              <w:rPr>
                <w:b/>
                <w:i/>
                <w:lang w:val="en-GB"/>
              </w:rPr>
              <w:t>ice-class ships and</w:t>
            </w:r>
            <w:r w:rsidRPr="00FC4A49">
              <w:rPr>
                <w:lang w:val="en-GB"/>
              </w:rPr>
              <w:t xml:space="preserve"> the fleets serving those routes and services is progressing and innovative technologies </w:t>
            </w:r>
            <w:r w:rsidRPr="00FC4A49">
              <w:rPr>
                <w:lang w:val="en-GB"/>
              </w:rPr>
              <w:t>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for a limited period of time. Given the </w:t>
            </w:r>
            <w:r w:rsidRPr="00FC4A49">
              <w:rPr>
                <w:b/>
                <w:i/>
                <w:lang w:val="en-GB"/>
              </w:rPr>
              <w:t>specific technical and operational challenges associated with the</w:t>
            </w:r>
            <w:r w:rsidRPr="00FC4A49">
              <w:rPr>
                <w:lang w:val="en-GB"/>
              </w:rPr>
              <w:t xml:space="preserve"> decarbonisation </w:t>
            </w:r>
            <w:r w:rsidRPr="00FC4A49">
              <w:rPr>
                <w:b/>
                <w:i/>
                <w:lang w:val="en-GB"/>
              </w:rPr>
              <w:t>of</w:t>
            </w:r>
            <w:r w:rsidRPr="00FC4A49">
              <w:rPr>
                <w:lang w:val="en-GB"/>
              </w:rPr>
              <w:t xml:space="preserve"> ice-class ships, the </w:t>
            </w:r>
            <w:r w:rsidRPr="00FC4A49">
              <w:rPr>
                <w:b/>
                <w:i/>
                <w:lang w:val="en-GB"/>
              </w:rPr>
              <w:t>Commission should review, before the expiry of the</w:t>
            </w:r>
            <w:r w:rsidRPr="00FC4A49">
              <w:rPr>
                <w:lang w:val="en-GB"/>
              </w:rPr>
              <w:t xml:space="preserve"> derogation </w:t>
            </w:r>
            <w:r w:rsidRPr="00FC4A49">
              <w:rPr>
                <w:b/>
                <w:i/>
                <w:lang w:val="en-GB"/>
              </w:rPr>
              <w:t>applicable to those ships, the progress made in the deployment of suitable low- and zero-emission technologies and assess the appropriateness of extending that derogation beyond 31 December 2035</w:t>
            </w:r>
            <w:r w:rsidRPr="00FC4A49">
              <w:rPr>
                <w:lang w:val="en-GB"/>
              </w:rPr>
              <w:t>.</w:t>
            </w:r>
          </w:p>
        </w:tc>
        <w:tc>
          <w:tcPr>
            <w:tcW w:w="4876" w:type="dxa"/>
          </w:tcPr>
          <w:p w:rsidR="00343C6C" w:rsidRPr="00FC4A49" w:rsidP="005D58F9" w14:paraId="597C5DB4" w14:textId="77777777">
            <w:pPr>
              <w:pStyle w:val="Normal6"/>
              <w:rPr>
                <w:szCs w:val="24"/>
                <w:lang w:val="en-GB"/>
              </w:rPr>
            </w:pPr>
            <w:r w:rsidRPr="00FC4A49">
              <w:rPr>
                <w:lang w:val="en-GB"/>
              </w:rPr>
              <w:t>(25)</w:t>
            </w:r>
            <w:r w:rsidRPr="00FC4A49">
              <w:rPr>
                <w:lang w:val="en-GB"/>
              </w:rPr>
              <w:tab/>
              <w:t xml:space="preserve">The current derogations provided for in Directive 2003/87/EC from the obligation to surrender allowances for voyages involving outermost regions and small islands without a fixed land connection, and for certain passenger transport services operated under public service obligations or public service contracts are set to end on 31 December 2030. While the decarbonisation of the fleets serving those routes and services is progressing and innovative technologies such as battery-electric and wind-assisted </w:t>
            </w:r>
            <w:r w:rsidRPr="00FC4A49">
              <w:rPr>
                <w:lang w:val="en-GB"/>
              </w:rPr>
              <w:t>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for a limited period of time. Given the </w:t>
            </w:r>
            <w:r w:rsidRPr="00FC4A49">
              <w:rPr>
                <w:b/>
                <w:i/>
                <w:lang w:val="en-GB"/>
              </w:rPr>
              <w:t>increasing availability of</w:t>
            </w:r>
            <w:r w:rsidRPr="00FC4A49">
              <w:rPr>
                <w:lang w:val="en-GB"/>
              </w:rPr>
              <w:t xml:space="preserve"> decarbonisation </w:t>
            </w:r>
            <w:r w:rsidRPr="00FC4A49">
              <w:rPr>
                <w:b/>
                <w:i/>
                <w:lang w:val="en-GB"/>
              </w:rPr>
              <w:t>technologies for</w:t>
            </w:r>
            <w:r w:rsidRPr="00FC4A49">
              <w:rPr>
                <w:lang w:val="en-GB"/>
              </w:rPr>
              <w:t xml:space="preserve"> ice-class ships, the derogation </w:t>
            </w:r>
            <w:r w:rsidRPr="00FC4A49">
              <w:rPr>
                <w:b/>
                <w:i/>
                <w:lang w:val="en-GB"/>
              </w:rPr>
              <w:t>currently provided for in Article 12(3-e) of Directive 2003/87/EC should be progressively phased out by 1 January 2036</w:t>
            </w:r>
            <w:r w:rsidRPr="00FC4A49">
              <w:rPr>
                <w:lang w:val="en-GB"/>
              </w:rPr>
              <w:t>.</w:t>
            </w:r>
          </w:p>
        </w:tc>
      </w:tr>
      <w:tr w14:paraId="3C0EAB4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8C2CE61" w14:textId="77777777">
            <w:pPr>
              <w:pStyle w:val="Normal6"/>
              <w:rPr>
                <w:lang w:val="en-GB"/>
              </w:rPr>
            </w:pPr>
            <w:r w:rsidRPr="00FC4A49">
              <w:rPr>
                <w:lang w:val="en-GB"/>
              </w:rPr>
              <w:t>__________________</w:t>
            </w:r>
          </w:p>
        </w:tc>
        <w:tc>
          <w:tcPr>
            <w:tcW w:w="4876" w:type="dxa"/>
          </w:tcPr>
          <w:p w:rsidR="00343C6C" w:rsidRPr="00FC4A49" w:rsidP="005D58F9" w14:paraId="44744883" w14:textId="77777777">
            <w:pPr>
              <w:pStyle w:val="Normal6"/>
              <w:rPr>
                <w:szCs w:val="24"/>
                <w:lang w:val="en-GB"/>
              </w:rPr>
            </w:pPr>
            <w:r w:rsidRPr="00FC4A49">
              <w:rPr>
                <w:lang w:val="en-GB"/>
              </w:rPr>
              <w:t>__________________</w:t>
            </w:r>
          </w:p>
        </w:tc>
      </w:tr>
      <w:tr w14:paraId="281B420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9CE570E" w14:textId="77777777">
            <w:pPr>
              <w:pStyle w:val="Normal6"/>
              <w:rPr>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c>
          <w:tcPr>
            <w:tcW w:w="4876" w:type="dxa"/>
          </w:tcPr>
          <w:p w:rsidR="00343C6C" w:rsidRPr="00FC4A49" w:rsidP="005D58F9" w14:paraId="1BEE82C3" w14:textId="77777777">
            <w:pPr>
              <w:pStyle w:val="Normal6"/>
              <w:rPr>
                <w:szCs w:val="24"/>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r>
    </w:tbl>
    <w:p w:rsidR="00343C6C" w:rsidRPr="00FC4A49" w:rsidP="00343C6C" w14:paraId="38C1533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BA37B04" w14:textId="77777777">
      <w:r w:rsidRPr="00FC4A49">
        <w:rPr>
          <w:rStyle w:val="HideTWBExt"/>
        </w:rPr>
        <w:t>&lt;/Amend&gt;</w:t>
      </w:r>
    </w:p>
    <w:p w:rsidR="00343C6C" w:rsidRPr="00FC4A49" w:rsidP="00343C6C" w14:paraId="4097E373"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206</w:t>
      </w:r>
      <w:r w:rsidRPr="00FC4A49">
        <w:rPr>
          <w:rStyle w:val="HideTWBExt"/>
          <w:b w:val="0"/>
          <w:lang w:val="en-GB"/>
        </w:rPr>
        <w:t>&lt;/NumAm&gt;</w:t>
      </w:r>
    </w:p>
    <w:p w:rsidR="00343C6C" w:rsidRPr="00FC4A49" w:rsidP="00343C6C" w14:paraId="1DFD892C" w14:textId="77777777">
      <w:pPr>
        <w:pStyle w:val="NormalBold"/>
      </w:pPr>
      <w:r w:rsidRPr="00FC4A49">
        <w:rPr>
          <w:rStyle w:val="HideTWBExt"/>
          <w:b w:val="0"/>
        </w:rPr>
        <w:t>&lt;RepeatBlock-By&gt;&lt;Members&gt;</w:t>
      </w:r>
      <w:r w:rsidRPr="00FC4A49">
        <w:t xml:space="preserve">Heléne </w:t>
      </w:r>
      <w:r w:rsidRPr="00FC4A49">
        <w:t>Fritzon</w:t>
      </w:r>
      <w:r w:rsidRPr="00FC4A49">
        <w:rPr>
          <w:rStyle w:val="HideTWBExt"/>
          <w:b w:val="0"/>
        </w:rPr>
        <w:t>&lt;/Members&gt;</w:t>
      </w:r>
    </w:p>
    <w:p w:rsidR="00343C6C" w:rsidRPr="00FC4A49" w:rsidP="00343C6C" w14:paraId="22842105" w14:textId="77777777">
      <w:r w:rsidRPr="00FC4A49">
        <w:rPr>
          <w:rStyle w:val="HideTWBExt"/>
        </w:rPr>
        <w:t>&lt;/RepeatBlock-By&gt;</w:t>
      </w:r>
    </w:p>
    <w:p w:rsidR="00343C6C" w:rsidRPr="00FC4A49" w:rsidP="00343C6C" w14:paraId="41F393F5"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880015C" w14:textId="77777777">
      <w:pPr>
        <w:pStyle w:val="NormalBold"/>
      </w:pPr>
      <w:r w:rsidRPr="00FC4A49">
        <w:rPr>
          <w:rStyle w:val="HideTWBExt"/>
          <w:b w:val="0"/>
        </w:rPr>
        <w:t>&lt;Article&gt;</w:t>
      </w:r>
      <w:r w:rsidRPr="00FC4A49">
        <w:t>Recital 25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5F259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1C0FAB8" w14:textId="77777777">
            <w:pPr>
              <w:keepNext/>
            </w:pPr>
          </w:p>
        </w:tc>
      </w:tr>
      <w:tr w14:paraId="5D62393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4319C91" w14:textId="77777777">
            <w:pPr>
              <w:pStyle w:val="ColumnHeading"/>
              <w:keepNext/>
              <w:rPr>
                <w:lang w:val="en-GB"/>
              </w:rPr>
            </w:pPr>
            <w:r w:rsidRPr="00FC4A49">
              <w:rPr>
                <w:lang w:val="en-GB"/>
              </w:rPr>
              <w:t>Text proposed by the Commission</w:t>
            </w:r>
          </w:p>
        </w:tc>
        <w:tc>
          <w:tcPr>
            <w:tcW w:w="4876" w:type="dxa"/>
          </w:tcPr>
          <w:p w:rsidR="00343C6C" w:rsidRPr="00FC4A49" w:rsidP="005D58F9" w14:paraId="2E5065E8" w14:textId="77777777">
            <w:pPr>
              <w:pStyle w:val="ColumnHeading"/>
              <w:keepNext/>
              <w:rPr>
                <w:lang w:val="en-GB"/>
              </w:rPr>
            </w:pPr>
            <w:r w:rsidRPr="00FC4A49">
              <w:rPr>
                <w:lang w:val="en-GB"/>
              </w:rPr>
              <w:t>Amendment</w:t>
            </w:r>
          </w:p>
        </w:tc>
      </w:tr>
      <w:tr w14:paraId="5E6A83F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C3ACFB3" w14:textId="77777777">
            <w:pPr>
              <w:pStyle w:val="Normal6"/>
              <w:rPr>
                <w:lang w:val="en-GB"/>
              </w:rPr>
            </w:pPr>
            <w:r w:rsidRPr="00FC4A49">
              <w:rPr>
                <w:lang w:val="en-GB"/>
              </w:rPr>
              <w:t>(25)</w:t>
            </w:r>
            <w:r w:rsidRPr="00FC4A49">
              <w:rPr>
                <w:lang w:val="en-GB"/>
              </w:rPr>
              <w:tab/>
              <w:t xml:space="preserve">The current derogations provided for in Directive 2003/87/EC from the </w:t>
            </w:r>
            <w:r w:rsidRPr="00FC4A49">
              <w:rPr>
                <w:lang w:val="en-GB"/>
              </w:rPr>
              <w:t>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for a limited period of time. Given the specific technical and operational challenges associated with the decarbonisation of ice-class ships, the Commission should review, before the expiry of the derogation applicable to those ships, the progress made in the deployment of suitable low- and zero-emission technologies and assess the appropriateness of extending that derogation beyond 31 December </w:t>
            </w:r>
            <w:r w:rsidRPr="00FC4A49">
              <w:rPr>
                <w:b/>
                <w:i/>
                <w:lang w:val="en-GB"/>
              </w:rPr>
              <w:t>2035</w:t>
            </w:r>
            <w:r w:rsidRPr="00FC4A49">
              <w:rPr>
                <w:lang w:val="en-GB"/>
              </w:rPr>
              <w:t>.</w:t>
            </w:r>
          </w:p>
        </w:tc>
        <w:tc>
          <w:tcPr>
            <w:tcW w:w="4876" w:type="dxa"/>
          </w:tcPr>
          <w:p w:rsidR="00343C6C" w:rsidRPr="00FC4A49" w:rsidP="005D58F9" w14:paraId="173EC725" w14:textId="77777777">
            <w:pPr>
              <w:pStyle w:val="Normal6"/>
              <w:rPr>
                <w:szCs w:val="24"/>
                <w:lang w:val="en-GB"/>
              </w:rPr>
            </w:pPr>
            <w:r w:rsidRPr="00FC4A49">
              <w:rPr>
                <w:lang w:val="en-GB"/>
              </w:rPr>
              <w:t>(25)</w:t>
            </w:r>
            <w:r w:rsidRPr="00FC4A49">
              <w:rPr>
                <w:lang w:val="en-GB"/>
              </w:rPr>
              <w:tab/>
              <w:t xml:space="preserve">The current derogations provided for in Directive 2003/87/EC from the </w:t>
            </w:r>
            <w:r w:rsidRPr="00FC4A49">
              <w:rPr>
                <w:lang w:val="en-GB"/>
              </w:rPr>
              <w:t>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for a limited period of time. Given the specific technical and operational challenges associated with the decarbonisation of ice-class ships, the Commission should review, before the expiry of the derogation applicable to those ships, the progress made in the deployment of suitable low- and zero-emission technologies and assess the appropriateness of extending that derogation beyond 31 December </w:t>
            </w:r>
            <w:r w:rsidRPr="00FC4A49">
              <w:rPr>
                <w:b/>
                <w:i/>
                <w:lang w:val="en-GB"/>
              </w:rPr>
              <w:t>2040</w:t>
            </w:r>
            <w:r w:rsidRPr="00FC4A49">
              <w:rPr>
                <w:lang w:val="en-GB"/>
              </w:rPr>
              <w:t>.</w:t>
            </w:r>
          </w:p>
        </w:tc>
      </w:tr>
      <w:tr w14:paraId="1625C52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756B843" w14:textId="77777777">
            <w:pPr>
              <w:pStyle w:val="Normal6"/>
              <w:rPr>
                <w:lang w:val="en-GB"/>
              </w:rPr>
            </w:pPr>
            <w:r w:rsidRPr="00FC4A49">
              <w:rPr>
                <w:lang w:val="en-GB"/>
              </w:rPr>
              <w:t>__________________</w:t>
            </w:r>
          </w:p>
        </w:tc>
        <w:tc>
          <w:tcPr>
            <w:tcW w:w="4876" w:type="dxa"/>
          </w:tcPr>
          <w:p w:rsidR="00343C6C" w:rsidRPr="00FC4A49" w:rsidP="005D58F9" w14:paraId="14E7A807" w14:textId="77777777">
            <w:pPr>
              <w:pStyle w:val="Normal6"/>
              <w:rPr>
                <w:szCs w:val="24"/>
                <w:lang w:val="en-GB"/>
              </w:rPr>
            </w:pPr>
            <w:r w:rsidRPr="00FC4A49">
              <w:rPr>
                <w:lang w:val="en-GB"/>
              </w:rPr>
              <w:t>__________________</w:t>
            </w:r>
          </w:p>
        </w:tc>
      </w:tr>
      <w:tr w14:paraId="63F923F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209FE67" w14:textId="77777777">
            <w:pPr>
              <w:pStyle w:val="Normal6"/>
              <w:rPr>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c>
          <w:tcPr>
            <w:tcW w:w="4876" w:type="dxa"/>
          </w:tcPr>
          <w:p w:rsidR="00343C6C" w:rsidRPr="00FC4A49" w:rsidP="005D58F9" w14:paraId="147191F5" w14:textId="77777777">
            <w:pPr>
              <w:pStyle w:val="Normal6"/>
              <w:rPr>
                <w:szCs w:val="24"/>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r>
    </w:tbl>
    <w:p w:rsidR="00343C6C" w:rsidRPr="00FC4A49" w:rsidP="00343C6C" w14:paraId="67E6A5C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671DF31" w14:textId="77777777">
      <w:r w:rsidRPr="00FC4A49">
        <w:rPr>
          <w:rStyle w:val="HideTWBExt"/>
        </w:rPr>
        <w:t>&lt;/Amend&gt;</w:t>
      </w:r>
    </w:p>
    <w:p w:rsidR="00343C6C" w:rsidRPr="00FC4A49" w:rsidP="00343C6C" w14:paraId="612D0D91"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207</w:t>
      </w:r>
      <w:r w:rsidRPr="00FC4A49">
        <w:rPr>
          <w:rStyle w:val="HideTWBExt"/>
          <w:b w:val="0"/>
          <w:lang w:val="en-GB"/>
        </w:rPr>
        <w:t>&lt;/NumAm&gt;</w:t>
      </w:r>
    </w:p>
    <w:p w:rsidR="00343C6C" w:rsidRPr="00FC4A49" w:rsidP="00343C6C" w14:paraId="186E6160" w14:textId="77777777">
      <w:pPr>
        <w:pStyle w:val="NormalBold"/>
      </w:pPr>
      <w:r w:rsidRPr="00FC4A49">
        <w:rPr>
          <w:rStyle w:val="HideTWBExt"/>
          <w:b w:val="0"/>
        </w:rPr>
        <w:t>&lt;RepeatBlock-By&gt;&lt;Members&gt;</w:t>
      </w:r>
      <w:r w:rsidRPr="00FC4A49">
        <w:t>Li Andersson, Jonas Sjöstedt</w:t>
      </w:r>
      <w:r w:rsidRPr="00FC4A49">
        <w:rPr>
          <w:rStyle w:val="HideTWBExt"/>
          <w:b w:val="0"/>
        </w:rPr>
        <w:t>&lt;/Members&gt;</w:t>
      </w:r>
    </w:p>
    <w:p w:rsidR="00343C6C" w:rsidRPr="00FC4A49" w:rsidP="00343C6C" w14:paraId="5D9A505A" w14:textId="77777777">
      <w:r w:rsidRPr="00FC4A49">
        <w:rPr>
          <w:rStyle w:val="HideTWBExt"/>
        </w:rPr>
        <w:t>&lt;/RepeatBlock-By&gt;</w:t>
      </w:r>
    </w:p>
    <w:p w:rsidR="00343C6C" w:rsidRPr="00FC4A49" w:rsidP="00343C6C" w14:paraId="04097A8B"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AAEE4E8" w14:textId="77777777">
      <w:pPr>
        <w:pStyle w:val="NormalBold"/>
      </w:pPr>
      <w:r w:rsidRPr="00FC4A49">
        <w:rPr>
          <w:rStyle w:val="HideTWBExt"/>
          <w:b w:val="0"/>
        </w:rPr>
        <w:t>&lt;Article&gt;</w:t>
      </w:r>
      <w:r w:rsidRPr="00FC4A49">
        <w:t>Recital 25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F9EA6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290A440" w14:textId="77777777">
            <w:pPr>
              <w:keepNext/>
            </w:pPr>
          </w:p>
        </w:tc>
      </w:tr>
      <w:tr w14:paraId="03DEC4D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BA2C312" w14:textId="77777777">
            <w:pPr>
              <w:pStyle w:val="ColumnHeading"/>
              <w:keepNext/>
              <w:rPr>
                <w:lang w:val="en-GB"/>
              </w:rPr>
            </w:pPr>
            <w:r w:rsidRPr="00FC4A49">
              <w:rPr>
                <w:lang w:val="en-GB"/>
              </w:rPr>
              <w:t>Text proposed by the Commission</w:t>
            </w:r>
          </w:p>
        </w:tc>
        <w:tc>
          <w:tcPr>
            <w:tcW w:w="4876" w:type="dxa"/>
          </w:tcPr>
          <w:p w:rsidR="00343C6C" w:rsidRPr="00FC4A49" w:rsidP="005D58F9" w14:paraId="7E2245DA" w14:textId="77777777">
            <w:pPr>
              <w:pStyle w:val="ColumnHeading"/>
              <w:keepNext/>
              <w:rPr>
                <w:lang w:val="en-GB"/>
              </w:rPr>
            </w:pPr>
            <w:r w:rsidRPr="00FC4A49">
              <w:rPr>
                <w:lang w:val="en-GB"/>
              </w:rPr>
              <w:t>Amendment</w:t>
            </w:r>
          </w:p>
        </w:tc>
      </w:tr>
      <w:tr w14:paraId="7178008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433381E" w14:textId="77777777">
            <w:pPr>
              <w:pStyle w:val="Normal6"/>
              <w:rPr>
                <w:lang w:val="en-GB"/>
              </w:rPr>
            </w:pPr>
            <w:r w:rsidRPr="00FC4A49">
              <w:rPr>
                <w:lang w:val="en-GB"/>
              </w:rPr>
              <w:t>(25)</w:t>
            </w:r>
            <w:r w:rsidRPr="00FC4A49">
              <w:rPr>
                <w:lang w:val="en-GB"/>
              </w:rPr>
              <w:tab/>
              <w:t>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for a limited period of time. Given the specific technical and operational challenges associated with the decarbonisation of ice-class ships, the Commission should review, before the expiry of the derogation applicable to those ships, the progress made in the deployment of suitable low- and zero-emission technologies and assess the appropriateness of extending that derogation beyond 31 December </w:t>
            </w:r>
            <w:r w:rsidRPr="00FC4A49">
              <w:rPr>
                <w:b/>
                <w:i/>
                <w:lang w:val="en-GB"/>
              </w:rPr>
              <w:t>2035</w:t>
            </w:r>
            <w:r w:rsidRPr="00FC4A49">
              <w:rPr>
                <w:lang w:val="en-GB"/>
              </w:rPr>
              <w:t>.</w:t>
            </w:r>
          </w:p>
        </w:tc>
        <w:tc>
          <w:tcPr>
            <w:tcW w:w="4876" w:type="dxa"/>
          </w:tcPr>
          <w:p w:rsidR="00343C6C" w:rsidRPr="00FC4A49" w:rsidP="005D58F9" w14:paraId="0BFC849C" w14:textId="77777777">
            <w:pPr>
              <w:pStyle w:val="Normal6"/>
              <w:rPr>
                <w:szCs w:val="24"/>
                <w:lang w:val="en-GB"/>
              </w:rPr>
            </w:pPr>
            <w:r w:rsidRPr="00FC4A49">
              <w:rPr>
                <w:lang w:val="en-GB"/>
              </w:rPr>
              <w:t>(25)</w:t>
            </w:r>
            <w:r w:rsidRPr="00FC4A49">
              <w:rPr>
                <w:lang w:val="en-GB"/>
              </w:rPr>
              <w:tab/>
              <w:t>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for a limited period of time. Given the specific technical and operational challenges associated with the decarbonisation of ice-class ships, the Commission should review, before the expiry of the derogation applicable to those ships, the progress made in the deployment of suitable low- and zero-emission technologies and assess the appropriateness of extending that derogation beyond 31 December </w:t>
            </w:r>
            <w:r w:rsidRPr="00FC4A49">
              <w:rPr>
                <w:b/>
                <w:i/>
                <w:lang w:val="en-GB"/>
              </w:rPr>
              <w:t>2040</w:t>
            </w:r>
            <w:r w:rsidRPr="00FC4A49">
              <w:rPr>
                <w:lang w:val="en-GB"/>
              </w:rPr>
              <w:t>.</w:t>
            </w:r>
          </w:p>
        </w:tc>
      </w:tr>
      <w:tr w14:paraId="02CD1FA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3B838AB" w14:textId="77777777">
            <w:pPr>
              <w:pStyle w:val="Normal6"/>
              <w:rPr>
                <w:lang w:val="en-GB"/>
              </w:rPr>
            </w:pPr>
            <w:r w:rsidRPr="00FC4A49">
              <w:rPr>
                <w:lang w:val="en-GB"/>
              </w:rPr>
              <w:t>__________________</w:t>
            </w:r>
          </w:p>
        </w:tc>
        <w:tc>
          <w:tcPr>
            <w:tcW w:w="4876" w:type="dxa"/>
          </w:tcPr>
          <w:p w:rsidR="00343C6C" w:rsidRPr="00FC4A49" w:rsidP="005D58F9" w14:paraId="6D62CFDC" w14:textId="77777777">
            <w:pPr>
              <w:pStyle w:val="Normal6"/>
              <w:rPr>
                <w:szCs w:val="24"/>
                <w:lang w:val="en-GB"/>
              </w:rPr>
            </w:pPr>
            <w:r w:rsidRPr="00FC4A49">
              <w:rPr>
                <w:lang w:val="en-GB"/>
              </w:rPr>
              <w:t>__________________</w:t>
            </w:r>
          </w:p>
        </w:tc>
      </w:tr>
      <w:tr w14:paraId="1D310EF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244703D" w14:textId="77777777">
            <w:pPr>
              <w:pStyle w:val="Normal6"/>
              <w:rPr>
                <w:lang w:val="en-GB"/>
              </w:rPr>
            </w:pPr>
            <w:r w:rsidRPr="00FC4A49">
              <w:rPr>
                <w:vertAlign w:val="superscript"/>
                <w:lang w:val="en-GB"/>
              </w:rPr>
              <w:t>16</w:t>
            </w:r>
            <w:r w:rsidRPr="00FC4A49">
              <w:rPr>
                <w:lang w:val="en-GB"/>
              </w:rPr>
              <w:t xml:space="preserve"> European Commission: Directorate-General for Climate Action and Ricardo, Electric vessels and wind-assisted </w:t>
            </w:r>
            <w:r w:rsidRPr="00FC4A49">
              <w:rPr>
                <w:lang w:val="en-GB"/>
              </w:rPr>
              <w:t>propulsion systems- opportunities for the EU maritime industry and value chain – Final report, Publications Office of the European Union, 2026, https://data.europa.eu/doi/10.2834/7505429.</w:t>
            </w:r>
          </w:p>
        </w:tc>
        <w:tc>
          <w:tcPr>
            <w:tcW w:w="4876" w:type="dxa"/>
          </w:tcPr>
          <w:p w:rsidR="00343C6C" w:rsidRPr="00FC4A49" w:rsidP="005D58F9" w14:paraId="66927F78" w14:textId="77777777">
            <w:pPr>
              <w:pStyle w:val="Normal6"/>
              <w:rPr>
                <w:szCs w:val="24"/>
                <w:lang w:val="en-GB"/>
              </w:rPr>
            </w:pPr>
            <w:r w:rsidRPr="00FC4A49">
              <w:rPr>
                <w:vertAlign w:val="superscript"/>
                <w:lang w:val="en-GB"/>
              </w:rPr>
              <w:t>16</w:t>
            </w:r>
            <w:r w:rsidRPr="00FC4A49">
              <w:rPr>
                <w:lang w:val="en-GB"/>
              </w:rPr>
              <w:t xml:space="preserve"> European Commission: Directorate-General for Climate Action and Ricardo, Electric vessels and wind-assisted </w:t>
            </w:r>
            <w:r w:rsidRPr="00FC4A49">
              <w:rPr>
                <w:lang w:val="en-GB"/>
              </w:rPr>
              <w:t>propulsion systems- opportunities for the EU maritime industry and value chain – Final report, Publications Office of the European Union, 2026, https://data.europa.eu/doi/10.2834/7505429.</w:t>
            </w:r>
          </w:p>
        </w:tc>
      </w:tr>
    </w:tbl>
    <w:p w:rsidR="00343C6C" w:rsidRPr="00FC4A49" w:rsidP="00343C6C" w14:paraId="7E18C511"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74D101E" w14:textId="77777777">
      <w:r w:rsidRPr="00FC4A49">
        <w:rPr>
          <w:rStyle w:val="HideTWBExt"/>
        </w:rPr>
        <w:t>&lt;/Amend&gt;</w:t>
      </w:r>
    </w:p>
    <w:p w:rsidR="00343C6C" w:rsidRPr="00FC4A49" w:rsidP="00343C6C" w14:paraId="52F7639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208</w:t>
      </w:r>
      <w:r w:rsidRPr="00FC4A49">
        <w:rPr>
          <w:rStyle w:val="HideTWBExt"/>
          <w:b w:val="0"/>
          <w:lang w:val="en-GB"/>
        </w:rPr>
        <w:t>&lt;/NumAm&gt;</w:t>
      </w:r>
    </w:p>
    <w:p w:rsidR="00343C6C" w:rsidRPr="00FC4A49" w:rsidP="00343C6C" w14:paraId="77B37209" w14:textId="77777777">
      <w:pPr>
        <w:pStyle w:val="NormalBold"/>
      </w:pPr>
      <w:r w:rsidRPr="00FC4A49">
        <w:rPr>
          <w:rStyle w:val="HideTWBExt"/>
          <w:b w:val="0"/>
        </w:rPr>
        <w:t>&lt;RepeatBlock-By&gt;&lt;Members&gt;</w:t>
      </w:r>
      <w:r w:rsidRPr="00FC4A49">
        <w:t>Emma Wiesner, Yvan Verougstraete, Anna Stürgkh, Jeannette Baljeu</w:t>
      </w:r>
      <w:r w:rsidRPr="00FC4A49">
        <w:rPr>
          <w:rStyle w:val="HideTWBExt"/>
          <w:b w:val="0"/>
        </w:rPr>
        <w:t>&lt;/Members&gt;</w:t>
      </w:r>
    </w:p>
    <w:p w:rsidR="00343C6C" w:rsidRPr="00FC4A49" w:rsidP="00343C6C" w14:paraId="3A2AC499" w14:textId="77777777">
      <w:r w:rsidRPr="00FC4A49">
        <w:rPr>
          <w:rStyle w:val="HideTWBExt"/>
        </w:rPr>
        <w:t>&lt;/RepeatBlock-By&gt;</w:t>
      </w:r>
    </w:p>
    <w:p w:rsidR="00343C6C" w:rsidRPr="00FC4A49" w:rsidP="00343C6C" w14:paraId="15C4E8D7"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E254FFB" w14:textId="77777777">
      <w:pPr>
        <w:pStyle w:val="NormalBold"/>
      </w:pPr>
      <w:r w:rsidRPr="00FC4A49">
        <w:rPr>
          <w:rStyle w:val="HideTWBExt"/>
          <w:b w:val="0"/>
        </w:rPr>
        <w:t>&lt;Article&gt;</w:t>
      </w:r>
      <w:r w:rsidRPr="00FC4A49">
        <w:t>Recital 25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88D26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87A1BC9" w14:textId="77777777">
            <w:pPr>
              <w:keepNext/>
            </w:pPr>
          </w:p>
        </w:tc>
      </w:tr>
      <w:tr w14:paraId="4B592FA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EFD625B" w14:textId="77777777">
            <w:pPr>
              <w:pStyle w:val="ColumnHeading"/>
              <w:keepNext/>
              <w:rPr>
                <w:lang w:val="en-GB"/>
              </w:rPr>
            </w:pPr>
            <w:r w:rsidRPr="00FC4A49">
              <w:rPr>
                <w:lang w:val="en-GB"/>
              </w:rPr>
              <w:t>Text proposed by the Commission</w:t>
            </w:r>
          </w:p>
        </w:tc>
        <w:tc>
          <w:tcPr>
            <w:tcW w:w="4876" w:type="dxa"/>
          </w:tcPr>
          <w:p w:rsidR="00343C6C" w:rsidRPr="00FC4A49" w:rsidP="005D58F9" w14:paraId="59B33731" w14:textId="77777777">
            <w:pPr>
              <w:pStyle w:val="ColumnHeading"/>
              <w:keepNext/>
              <w:rPr>
                <w:lang w:val="en-GB"/>
              </w:rPr>
            </w:pPr>
            <w:r w:rsidRPr="00FC4A49">
              <w:rPr>
                <w:lang w:val="en-GB"/>
              </w:rPr>
              <w:t>Amendment</w:t>
            </w:r>
          </w:p>
        </w:tc>
      </w:tr>
      <w:tr w14:paraId="78E3C2E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7855C14" w14:textId="77777777">
            <w:pPr>
              <w:pStyle w:val="Normal6"/>
              <w:rPr>
                <w:lang w:val="en-GB"/>
              </w:rPr>
            </w:pPr>
            <w:r w:rsidRPr="00FC4A49">
              <w:rPr>
                <w:lang w:val="en-GB"/>
              </w:rPr>
              <w:t>(25)</w:t>
            </w:r>
            <w:r w:rsidRPr="00FC4A49">
              <w:rPr>
                <w:lang w:val="en-GB"/>
              </w:rPr>
              <w:tab/>
              <w:t>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for a limited period of time. Given the specific technical and operational challenges associated with the decarbonisation of ice-class ships, the Commission should review, before the </w:t>
            </w:r>
            <w:r w:rsidRPr="00FC4A49">
              <w:rPr>
                <w:lang w:val="en-GB"/>
              </w:rPr>
              <w:t xml:space="preserve">expiry of the derogation applicable to those ships, the progress made in the deployment of suitable low- and zero-emission technologies and assess the appropriateness of extending that derogation beyond 31 December </w:t>
            </w:r>
            <w:r w:rsidRPr="00FC4A49">
              <w:rPr>
                <w:b/>
                <w:i/>
                <w:lang w:val="en-GB"/>
              </w:rPr>
              <w:t>2035</w:t>
            </w:r>
            <w:r w:rsidRPr="00FC4A49">
              <w:rPr>
                <w:lang w:val="en-GB"/>
              </w:rPr>
              <w:t>.</w:t>
            </w:r>
          </w:p>
        </w:tc>
        <w:tc>
          <w:tcPr>
            <w:tcW w:w="4876" w:type="dxa"/>
          </w:tcPr>
          <w:p w:rsidR="00343C6C" w:rsidRPr="00FC4A49" w:rsidP="005D58F9" w14:paraId="122A3945" w14:textId="77777777">
            <w:pPr>
              <w:pStyle w:val="Normal6"/>
              <w:rPr>
                <w:szCs w:val="24"/>
                <w:lang w:val="en-GB"/>
              </w:rPr>
            </w:pPr>
            <w:r w:rsidRPr="00FC4A49">
              <w:rPr>
                <w:lang w:val="en-GB"/>
              </w:rPr>
              <w:t>(25)</w:t>
            </w:r>
            <w:r w:rsidRPr="00FC4A49">
              <w:rPr>
                <w:lang w:val="en-GB"/>
              </w:rPr>
              <w:tab/>
              <w:t>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by infrastructure and investment needs. In order to allow sufficient time for that transition</w:t>
            </w:r>
            <w:r w:rsidRPr="00FC4A49">
              <w:rPr>
                <w:vertAlign w:val="superscript"/>
                <w:lang w:val="en-GB"/>
              </w:rPr>
              <w:t>16</w:t>
            </w:r>
            <w:r w:rsidRPr="00FC4A49">
              <w:rPr>
                <w:lang w:val="en-GB"/>
              </w:rPr>
              <w:t xml:space="preserve"> , and in light of the need to ensure territorial continuity, connectivity and affordability of essential maritime services, the duration of these derogations should be extended for a limited period of time. Given the specific technical and operational challenges associated with the decarbonisation of ice-class ships, the Commission should review, before the </w:t>
            </w:r>
            <w:r w:rsidRPr="00FC4A49">
              <w:rPr>
                <w:lang w:val="en-GB"/>
              </w:rPr>
              <w:t xml:space="preserve">expiry of the derogation applicable to those ships, the progress made in the deployment of suitable low- and zero-emission technologies and assess the appropriateness of extending that derogation beyond 31 December </w:t>
            </w:r>
            <w:r w:rsidRPr="00FC4A49">
              <w:rPr>
                <w:b/>
                <w:i/>
                <w:lang w:val="en-GB"/>
              </w:rPr>
              <w:t>2040</w:t>
            </w:r>
            <w:r w:rsidRPr="00FC4A49">
              <w:rPr>
                <w:lang w:val="en-GB"/>
              </w:rPr>
              <w:t>.</w:t>
            </w:r>
          </w:p>
        </w:tc>
      </w:tr>
      <w:tr w14:paraId="18428A5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4B96359" w14:textId="77777777">
            <w:pPr>
              <w:pStyle w:val="Normal6"/>
              <w:rPr>
                <w:lang w:val="en-GB"/>
              </w:rPr>
            </w:pPr>
            <w:r w:rsidRPr="00FC4A49">
              <w:rPr>
                <w:lang w:val="en-GB"/>
              </w:rPr>
              <w:t>__________________</w:t>
            </w:r>
          </w:p>
        </w:tc>
        <w:tc>
          <w:tcPr>
            <w:tcW w:w="4876" w:type="dxa"/>
          </w:tcPr>
          <w:p w:rsidR="00343C6C" w:rsidRPr="00FC4A49" w:rsidP="005D58F9" w14:paraId="67252D2A" w14:textId="77777777">
            <w:pPr>
              <w:pStyle w:val="Normal6"/>
              <w:rPr>
                <w:szCs w:val="24"/>
                <w:lang w:val="en-GB"/>
              </w:rPr>
            </w:pPr>
            <w:r w:rsidRPr="00FC4A49">
              <w:rPr>
                <w:lang w:val="en-GB"/>
              </w:rPr>
              <w:t>__________________</w:t>
            </w:r>
          </w:p>
        </w:tc>
      </w:tr>
      <w:tr w14:paraId="762F4B2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BC0E1AC" w14:textId="77777777">
            <w:pPr>
              <w:pStyle w:val="Normal6"/>
              <w:rPr>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c>
          <w:tcPr>
            <w:tcW w:w="4876" w:type="dxa"/>
          </w:tcPr>
          <w:p w:rsidR="00343C6C" w:rsidRPr="00FC4A49" w:rsidP="005D58F9" w14:paraId="419E6FAE" w14:textId="77777777">
            <w:pPr>
              <w:pStyle w:val="Normal6"/>
              <w:rPr>
                <w:szCs w:val="24"/>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r>
    </w:tbl>
    <w:p w:rsidR="00343C6C" w:rsidRPr="00FC4A49" w:rsidP="00343C6C" w14:paraId="0F62714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E9FA80C" w14:textId="77777777">
      <w:r w:rsidRPr="00FC4A49">
        <w:rPr>
          <w:rStyle w:val="HideTWBExt"/>
        </w:rPr>
        <w:t>&lt;/Amend&gt;</w:t>
      </w:r>
    </w:p>
    <w:p w:rsidR="00343C6C" w:rsidRPr="00FC4A49" w:rsidP="00343C6C" w14:paraId="330180D5"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209</w:t>
      </w:r>
      <w:r w:rsidRPr="00FC4A49">
        <w:rPr>
          <w:rStyle w:val="HideTWBExt"/>
          <w:b w:val="0"/>
          <w:lang w:val="en-GB"/>
        </w:rPr>
        <w:t>&lt;/NumAm&gt;</w:t>
      </w:r>
    </w:p>
    <w:p w:rsidR="00343C6C" w:rsidRPr="00FC4A49" w:rsidP="00343C6C" w14:paraId="5BB83CC0" w14:textId="77777777">
      <w:pPr>
        <w:pStyle w:val="NormalBold"/>
      </w:pPr>
      <w:r w:rsidRPr="00FC4A49">
        <w:rPr>
          <w:rStyle w:val="HideTWBExt"/>
          <w:b w:val="0"/>
        </w:rPr>
        <w:t>&lt;RepeatBlock-By&gt;&lt;Members&gt;</w:t>
      </w:r>
      <w:r w:rsidRPr="00FC4A49">
        <w:t>Galato</w:t>
      </w:r>
      <w:r w:rsidRPr="00FC4A49">
        <w:t xml:space="preserve"> Alexandraki, Emmanouil Fragkos</w:t>
      </w:r>
      <w:r w:rsidRPr="00FC4A49">
        <w:rPr>
          <w:rStyle w:val="HideTWBExt"/>
          <w:b w:val="0"/>
        </w:rPr>
        <w:t>&lt;/Members&gt;</w:t>
      </w:r>
    </w:p>
    <w:p w:rsidR="00343C6C" w:rsidRPr="00FC4A49" w:rsidP="00343C6C" w14:paraId="45FF75A1" w14:textId="77777777">
      <w:r w:rsidRPr="00FC4A49">
        <w:rPr>
          <w:rStyle w:val="HideTWBExt"/>
        </w:rPr>
        <w:t>&lt;/RepeatBlock-By&gt;</w:t>
      </w:r>
    </w:p>
    <w:p w:rsidR="00343C6C" w:rsidRPr="00FC4A49" w:rsidP="00343C6C" w14:paraId="74508032"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F52EEC8" w14:textId="77777777">
      <w:pPr>
        <w:pStyle w:val="NormalBold"/>
      </w:pPr>
      <w:r w:rsidRPr="00FC4A49">
        <w:rPr>
          <w:rStyle w:val="HideTWBExt"/>
          <w:b w:val="0"/>
        </w:rPr>
        <w:t>&lt;Article&gt;</w:t>
      </w:r>
      <w:r w:rsidRPr="00FC4A49">
        <w:t>Recital 25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B8814A"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B9F48CC" w14:textId="77777777">
            <w:pPr>
              <w:keepNext/>
            </w:pPr>
          </w:p>
        </w:tc>
      </w:tr>
      <w:tr w14:paraId="356CF4D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944E328" w14:textId="77777777">
            <w:pPr>
              <w:pStyle w:val="ColumnHeading"/>
              <w:keepNext/>
              <w:rPr>
                <w:lang w:val="en-GB"/>
              </w:rPr>
            </w:pPr>
            <w:r w:rsidRPr="00FC4A49">
              <w:rPr>
                <w:lang w:val="en-GB"/>
              </w:rPr>
              <w:t>Text proposed by the Commission</w:t>
            </w:r>
          </w:p>
        </w:tc>
        <w:tc>
          <w:tcPr>
            <w:tcW w:w="4876" w:type="dxa"/>
          </w:tcPr>
          <w:p w:rsidR="00343C6C" w:rsidRPr="00FC4A49" w:rsidP="005D58F9" w14:paraId="32CB1EE5" w14:textId="77777777">
            <w:pPr>
              <w:pStyle w:val="ColumnHeading"/>
              <w:keepNext/>
              <w:rPr>
                <w:lang w:val="en-GB"/>
              </w:rPr>
            </w:pPr>
            <w:r w:rsidRPr="00FC4A49">
              <w:rPr>
                <w:lang w:val="en-GB"/>
              </w:rPr>
              <w:t>Amendment</w:t>
            </w:r>
          </w:p>
        </w:tc>
      </w:tr>
      <w:tr w14:paraId="281F048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FFA6235" w14:textId="77777777">
            <w:pPr>
              <w:pStyle w:val="Normal6"/>
              <w:rPr>
                <w:lang w:val="en-GB"/>
              </w:rPr>
            </w:pPr>
            <w:r w:rsidRPr="00FC4A49">
              <w:rPr>
                <w:lang w:val="en-GB"/>
              </w:rPr>
              <w:t>(25)</w:t>
            </w:r>
            <w:r w:rsidRPr="00FC4A49">
              <w:rPr>
                <w:lang w:val="en-GB"/>
              </w:rPr>
              <w:tab/>
              <w:t xml:space="preserve">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w:t>
            </w:r>
            <w:r w:rsidRPr="00FC4A49">
              <w:rPr>
                <w:lang w:val="en-GB"/>
              </w:rPr>
              <w:t>by infrastructure and investment needs. In order to allow sufficient time for that transition</w:t>
            </w:r>
            <w:r w:rsidRPr="00FC4A49">
              <w:rPr>
                <w:vertAlign w:val="superscript"/>
                <w:lang w:val="en-GB"/>
              </w:rPr>
              <w:t>16</w:t>
            </w:r>
            <w:r w:rsidRPr="00FC4A49">
              <w:rPr>
                <w:lang w:val="en-GB"/>
              </w:rPr>
              <w:t xml:space="preserve">, and in light of the need to ensure territorial continuity, connectivity and affordability of essential maritime services, the duration of these derogations should be extended for a limited period of time. </w:t>
            </w:r>
            <w:r w:rsidRPr="00FC4A49">
              <w:rPr>
                <w:b/>
                <w:i/>
                <w:lang w:val="en-GB"/>
              </w:rPr>
              <w:t>Given the specific technical and operational challenges associated with the decarbonisation of ice-class ships, the Commission should review, before</w:t>
            </w:r>
            <w:r w:rsidRPr="00FC4A49">
              <w:rPr>
                <w:lang w:val="en-GB"/>
              </w:rPr>
              <w:t xml:space="preserve"> the </w:t>
            </w:r>
            <w:r w:rsidRPr="00FC4A49">
              <w:rPr>
                <w:b/>
                <w:i/>
                <w:lang w:val="en-GB"/>
              </w:rPr>
              <w:t>expiry of</w:t>
            </w:r>
            <w:r w:rsidRPr="00FC4A49">
              <w:rPr>
                <w:lang w:val="en-GB"/>
              </w:rPr>
              <w:t xml:space="preserve"> the derogation </w:t>
            </w:r>
            <w:r w:rsidRPr="00FC4A49">
              <w:rPr>
                <w:b/>
                <w:i/>
                <w:lang w:val="en-GB"/>
              </w:rPr>
              <w:t>applicable to those ships</w:t>
            </w:r>
            <w:r w:rsidRPr="00FC4A49">
              <w:rPr>
                <w:lang w:val="en-GB"/>
              </w:rPr>
              <w:t xml:space="preserve">, </w:t>
            </w:r>
            <w:r w:rsidRPr="00FC4A49">
              <w:rPr>
                <w:b/>
                <w:i/>
                <w:lang w:val="en-GB"/>
              </w:rPr>
              <w:t>the progress made in the deployment of suitable low-</w:t>
            </w:r>
            <w:r w:rsidRPr="00FC4A49">
              <w:rPr>
                <w:lang w:val="en-GB"/>
              </w:rPr>
              <w:t xml:space="preserve"> and </w:t>
            </w:r>
            <w:r w:rsidRPr="00FC4A49">
              <w:rPr>
                <w:b/>
                <w:i/>
                <w:lang w:val="en-GB"/>
              </w:rPr>
              <w:t>zero-emission technologies and assess the appropriateness of extending that derogation beyond 31 December 2035</w:t>
            </w:r>
            <w:r w:rsidRPr="00FC4A49">
              <w:rPr>
                <w:lang w:val="en-GB"/>
              </w:rPr>
              <w:t>.</w:t>
            </w:r>
          </w:p>
        </w:tc>
        <w:tc>
          <w:tcPr>
            <w:tcW w:w="4876" w:type="dxa"/>
          </w:tcPr>
          <w:p w:rsidR="00343C6C" w:rsidRPr="00FC4A49" w:rsidP="005D58F9" w14:paraId="33964D44" w14:textId="77777777">
            <w:pPr>
              <w:pStyle w:val="Normal6"/>
              <w:rPr>
                <w:szCs w:val="24"/>
                <w:lang w:val="en-GB"/>
              </w:rPr>
            </w:pPr>
            <w:r w:rsidRPr="00FC4A49">
              <w:rPr>
                <w:lang w:val="en-GB"/>
              </w:rPr>
              <w:t>(25)</w:t>
            </w:r>
            <w:r w:rsidRPr="00FC4A49">
              <w:rPr>
                <w:lang w:val="en-GB"/>
              </w:rPr>
              <w:tab/>
              <w:t xml:space="preserve">The current derogations provided for in Directive 2003/87/EC from the obligation to surrender allowances for ice-class ships,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those routes and services is progressing and innovative technologies such as battery-electric and wind-assisted propulsion are becoming increasingly viable, the large-scale deployment of emission reduction solutions on those vessels that are important for connectivity purposes remains constrained, in particular </w:t>
            </w:r>
            <w:r w:rsidRPr="00FC4A49">
              <w:rPr>
                <w:lang w:val="en-GB"/>
              </w:rPr>
              <w:t>by infrastructure and investment needs. In order to allow sufficient time for that transition</w:t>
            </w:r>
            <w:r w:rsidRPr="00FC4A49">
              <w:rPr>
                <w:vertAlign w:val="superscript"/>
                <w:lang w:val="en-GB"/>
              </w:rPr>
              <w:t>16</w:t>
            </w:r>
            <w:r w:rsidRPr="00FC4A49">
              <w:rPr>
                <w:lang w:val="en-GB"/>
              </w:rPr>
              <w:t xml:space="preserve">, and in light of the need to ensure territorial continuity, connectivity and affordability of essential maritime services, the duration of these derogations should be extended for a limited period of time. </w:t>
            </w:r>
            <w:r w:rsidRPr="00FC4A49">
              <w:rPr>
                <w:b/>
                <w:i/>
                <w:lang w:val="en-GB"/>
              </w:rPr>
              <w:t>In particular, as regards voyages serving small islands without a fixed road or rail connection to</w:t>
            </w:r>
            <w:r w:rsidRPr="00FC4A49">
              <w:rPr>
                <w:lang w:val="en-GB"/>
              </w:rPr>
              <w:t xml:space="preserve"> the </w:t>
            </w:r>
            <w:r w:rsidRPr="00FC4A49">
              <w:rPr>
                <w:b/>
                <w:i/>
                <w:lang w:val="en-GB"/>
              </w:rPr>
              <w:t>mainland,</w:t>
            </w:r>
            <w:r w:rsidRPr="00FC4A49">
              <w:rPr>
                <w:lang w:val="en-GB"/>
              </w:rPr>
              <w:t xml:space="preserve"> the derogation </w:t>
            </w:r>
            <w:r w:rsidRPr="00FC4A49">
              <w:rPr>
                <w:b/>
                <w:i/>
                <w:lang w:val="en-GB"/>
              </w:rPr>
              <w:t>should apply until 31 December 2040</w:t>
            </w:r>
            <w:r w:rsidRPr="00FC4A49">
              <w:rPr>
                <w:lang w:val="en-GB"/>
              </w:rPr>
              <w:t xml:space="preserve">, </w:t>
            </w:r>
            <w:r w:rsidRPr="00FC4A49">
              <w:rPr>
                <w:b/>
                <w:i/>
                <w:lang w:val="en-GB"/>
              </w:rPr>
              <w:t>so as to ensure territorial continuity and maritime connectivity</w:t>
            </w:r>
            <w:r w:rsidRPr="00FC4A49">
              <w:rPr>
                <w:lang w:val="en-GB"/>
              </w:rPr>
              <w:t xml:space="preserve"> and </w:t>
            </w:r>
            <w:r w:rsidRPr="00FC4A49">
              <w:rPr>
                <w:b/>
                <w:i/>
                <w:lang w:val="en-GB"/>
              </w:rPr>
              <w:t>avoid disproportionate increases in passenger and freight transportation costs for residents and local businesses</w:t>
            </w:r>
            <w:r w:rsidRPr="00FC4A49">
              <w:rPr>
                <w:lang w:val="en-GB"/>
              </w:rPr>
              <w:t>.</w:t>
            </w:r>
          </w:p>
        </w:tc>
      </w:tr>
      <w:tr w14:paraId="73FDF7F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8FD1B7D" w14:textId="77777777">
            <w:pPr>
              <w:pStyle w:val="Normal6"/>
              <w:rPr>
                <w:lang w:val="en-GB"/>
              </w:rPr>
            </w:pPr>
            <w:r w:rsidRPr="00FC4A49">
              <w:rPr>
                <w:lang w:val="en-GB"/>
              </w:rPr>
              <w:t>__________________</w:t>
            </w:r>
          </w:p>
        </w:tc>
        <w:tc>
          <w:tcPr>
            <w:tcW w:w="4876" w:type="dxa"/>
          </w:tcPr>
          <w:p w:rsidR="00343C6C" w:rsidRPr="00FC4A49" w:rsidP="005D58F9" w14:paraId="31145497" w14:textId="77777777">
            <w:pPr>
              <w:pStyle w:val="Normal6"/>
              <w:rPr>
                <w:szCs w:val="24"/>
                <w:lang w:val="en-GB"/>
              </w:rPr>
            </w:pPr>
            <w:r w:rsidRPr="00FC4A49">
              <w:rPr>
                <w:lang w:val="en-GB"/>
              </w:rPr>
              <w:t>__________________</w:t>
            </w:r>
          </w:p>
        </w:tc>
      </w:tr>
      <w:tr w14:paraId="250012E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11E0FF9" w14:textId="77777777">
            <w:pPr>
              <w:pStyle w:val="Normal6"/>
              <w:rPr>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c>
          <w:tcPr>
            <w:tcW w:w="4876" w:type="dxa"/>
          </w:tcPr>
          <w:p w:rsidR="00343C6C" w:rsidRPr="00FC4A49" w:rsidP="005D58F9" w14:paraId="2957B679" w14:textId="77777777">
            <w:pPr>
              <w:pStyle w:val="Normal6"/>
              <w:rPr>
                <w:szCs w:val="24"/>
                <w:lang w:val="en-GB"/>
              </w:rPr>
            </w:pPr>
            <w:r w:rsidRPr="00FC4A49">
              <w:rPr>
                <w:vertAlign w:val="superscript"/>
                <w:lang w:val="en-GB"/>
              </w:rPr>
              <w:t>16</w:t>
            </w:r>
            <w:r w:rsidRPr="00FC4A49">
              <w:rPr>
                <w:lang w:val="en-GB"/>
              </w:rPr>
              <w:t xml:space="preserve"> European Commission: Directorate-General for Climate Action and Ricardo, Electric vessels and wind-assisted propulsion systems- opportunities for the EU maritime industry and value chain – Final report, Publications Office of the European Union, 2026, https://data.europa.eu/doi/10.2834/7505429.</w:t>
            </w:r>
          </w:p>
        </w:tc>
      </w:tr>
    </w:tbl>
    <w:p w:rsidR="00343C6C" w:rsidRPr="00FC4A49" w:rsidP="00343C6C" w14:paraId="0EE204A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{EL}</w:t>
      </w:r>
      <w:r w:rsidRPr="00FC4A49">
        <w:rPr>
          <w:lang w:val="en-GB"/>
        </w:rPr>
        <w:t>el</w:t>
      </w:r>
      <w:r w:rsidRPr="00FC4A49">
        <w:rPr>
          <w:rStyle w:val="HideTWBExt"/>
          <w:lang w:val="en-GB"/>
        </w:rPr>
        <w:t>&lt;/Original&gt;</w:t>
      </w:r>
    </w:p>
    <w:p w:rsidR="00343C6C" w:rsidRPr="00FC4A49" w:rsidP="00343C6C" w14:paraId="0FDA5C1C" w14:textId="77777777">
      <w:r w:rsidRPr="00FC4A49">
        <w:rPr>
          <w:rStyle w:val="HideTWBExt"/>
        </w:rPr>
        <w:t>&lt;/Amend&gt;</w:t>
      </w:r>
    </w:p>
    <w:p w:rsidR="00343C6C" w:rsidRPr="00FC4A49" w:rsidP="00343C6C" w14:paraId="345DE8DA"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210</w:t>
      </w:r>
      <w:r w:rsidRPr="00FC4A49">
        <w:rPr>
          <w:rStyle w:val="HideTWBExt"/>
          <w:b w:val="0"/>
          <w:lang w:val="en-GB"/>
        </w:rPr>
        <w:t>&lt;/NumAm&gt;</w:t>
      </w:r>
    </w:p>
    <w:p w:rsidR="00343C6C" w:rsidRPr="00FC4A49" w:rsidP="00343C6C" w14:paraId="11BAB715" w14:textId="77777777">
      <w:pPr>
        <w:pStyle w:val="NormalBold"/>
      </w:pPr>
      <w:r w:rsidRPr="00FC4A49">
        <w:rPr>
          <w:rStyle w:val="HideTWBExt"/>
          <w:b w:val="0"/>
        </w:rPr>
        <w:t>&lt;RepeatBlock-By&gt;&lt;Members&gt;</w:t>
      </w:r>
      <w:r w:rsidRPr="00FC4A49">
        <w:t>Peter Agius, Michalis Hadjipantela</w:t>
      </w:r>
      <w:r w:rsidRPr="00FC4A49">
        <w:rPr>
          <w:rStyle w:val="HideTWBExt"/>
          <w:b w:val="0"/>
        </w:rPr>
        <w:t>&lt;/Members&gt;</w:t>
      </w:r>
    </w:p>
    <w:p w:rsidR="00343C6C" w:rsidRPr="00FC4A49" w:rsidP="00343C6C" w14:paraId="430E69D6" w14:textId="77777777">
      <w:r w:rsidRPr="00FC4A49">
        <w:rPr>
          <w:rStyle w:val="HideTWBExt"/>
        </w:rPr>
        <w:t>&lt;/RepeatBlock-By&gt;</w:t>
      </w:r>
    </w:p>
    <w:p w:rsidR="00343C6C" w:rsidRPr="00FC4A49" w:rsidP="00343C6C" w14:paraId="1AFEFBFB"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315795E" w14:textId="77777777">
      <w:pPr>
        <w:pStyle w:val="NormalBold"/>
      </w:pPr>
      <w:r w:rsidRPr="00FC4A49">
        <w:rPr>
          <w:rStyle w:val="HideTWBExt"/>
          <w:b w:val="0"/>
        </w:rPr>
        <w:t>&lt;Article&gt;</w:t>
      </w:r>
      <w:r w:rsidRPr="00FC4A49">
        <w:t>Recital 25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F1CEC0"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9DDD2EE" w14:textId="77777777">
            <w:pPr>
              <w:keepNext/>
            </w:pPr>
          </w:p>
        </w:tc>
      </w:tr>
      <w:tr w14:paraId="2E534C5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09570DF" w14:textId="77777777">
            <w:pPr>
              <w:pStyle w:val="ColumnHeading"/>
              <w:keepNext/>
              <w:rPr>
                <w:lang w:val="en-GB"/>
              </w:rPr>
            </w:pPr>
            <w:r w:rsidRPr="00FC4A49">
              <w:rPr>
                <w:lang w:val="en-GB"/>
              </w:rPr>
              <w:t>Text proposed by the Commission</w:t>
            </w:r>
          </w:p>
        </w:tc>
        <w:tc>
          <w:tcPr>
            <w:tcW w:w="4876" w:type="dxa"/>
          </w:tcPr>
          <w:p w:rsidR="00343C6C" w:rsidRPr="00FC4A49" w:rsidP="005D58F9" w14:paraId="0017DBAE" w14:textId="77777777">
            <w:pPr>
              <w:pStyle w:val="ColumnHeading"/>
              <w:keepNext/>
              <w:rPr>
                <w:lang w:val="en-GB"/>
              </w:rPr>
            </w:pPr>
            <w:r w:rsidRPr="00FC4A49">
              <w:rPr>
                <w:lang w:val="en-GB"/>
              </w:rPr>
              <w:t>Amendment</w:t>
            </w:r>
          </w:p>
        </w:tc>
      </w:tr>
      <w:tr w14:paraId="38A5A0D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CA3CE46" w14:textId="77777777">
            <w:pPr>
              <w:pStyle w:val="Normal6"/>
              <w:rPr>
                <w:lang w:val="en-GB"/>
              </w:rPr>
            </w:pPr>
          </w:p>
        </w:tc>
        <w:tc>
          <w:tcPr>
            <w:tcW w:w="4876" w:type="dxa"/>
          </w:tcPr>
          <w:p w:rsidR="00343C6C" w:rsidRPr="00FC4A49" w:rsidP="005D58F9" w14:paraId="432D370C" w14:textId="77777777">
            <w:pPr>
              <w:pStyle w:val="Normal6"/>
              <w:rPr>
                <w:szCs w:val="24"/>
                <w:lang w:val="en-GB"/>
              </w:rPr>
            </w:pPr>
            <w:r w:rsidRPr="00FC4A49">
              <w:rPr>
                <w:b/>
                <w:i/>
                <w:lang w:val="en-GB"/>
              </w:rPr>
              <w:t>(25a)</w:t>
            </w:r>
            <w:r w:rsidRPr="00FC4A49">
              <w:rPr>
                <w:b/>
                <w:i/>
                <w:lang w:val="en-GB"/>
              </w:rPr>
              <w:tab/>
              <w:t xml:space="preserve">Island Member States face permanent geographical constraints resulting from their structural dependence on maritime transport for their connectivity with the rest of the Union. Unlike most continental Member States, they cannot substitute the maritime leg of passenger and freight transport </w:t>
            </w:r>
            <w:r w:rsidRPr="00FC4A49">
              <w:rPr>
                <w:b/>
                <w:i/>
                <w:lang w:val="en-GB"/>
              </w:rPr>
              <w:t>with continuous road or rail connections. Maritime transport therefore constitutes an indispensable component of their access to and participation in the internal market. In order to safeguard territorial continuity and avoid disproportionate impacts on the connectivity of island Member States during the transition towards low- and zero-emission maritime transport, a temporary derogation from the obligation to surrender allowances should apply until 31 December 2040 to voyages between a port of call under the jurisdiction of an island Member State and a port of call under the jurisdiction of another Member State. This transitional derogation should be accompanied by enhanced support for the deployment of sustainable maritime fuels and zero-emission propulsion technologies on such connections.</w:t>
            </w:r>
          </w:p>
        </w:tc>
      </w:tr>
    </w:tbl>
    <w:p w:rsidR="00343C6C" w:rsidRPr="00FC4A49" w:rsidP="00343C6C" w14:paraId="451793D9"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48FB377" w14:textId="77777777">
      <w:r w:rsidRPr="00FC4A49">
        <w:rPr>
          <w:rStyle w:val="HideTWBExt"/>
        </w:rPr>
        <w:t>&lt;/Amend&gt;</w:t>
      </w:r>
    </w:p>
    <w:p w:rsidR="00343C6C" w:rsidRPr="00FC4A49" w:rsidP="00343C6C" w14:paraId="26D2F73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211</w:t>
      </w:r>
      <w:r w:rsidRPr="00FC4A49">
        <w:rPr>
          <w:rStyle w:val="HideTWBExt"/>
          <w:b w:val="0"/>
          <w:lang w:val="en-GB"/>
        </w:rPr>
        <w:t>&lt;/NumAm&gt;</w:t>
      </w:r>
    </w:p>
    <w:p w:rsidR="00343C6C" w:rsidRPr="00FC4A49" w:rsidP="00343C6C" w14:paraId="0661C0D0" w14:textId="77777777">
      <w:pPr>
        <w:pStyle w:val="NormalBold"/>
      </w:pPr>
      <w:r w:rsidRPr="00FC4A49">
        <w:rPr>
          <w:rStyle w:val="HideTWBExt"/>
          <w:b w:val="0"/>
        </w:rPr>
        <w:t>&lt;RepeatBlock-By&gt;&lt;Members&gt;</w:t>
      </w:r>
      <w:r w:rsidRPr="00FC4A49">
        <w:t>Marie-Luce Brasier-Clain, Anne-Sophie Frigout, Mathilde Androuët, Valérie Deloge, Jana Nagyová, Ondřej Knotek</w:t>
      </w:r>
      <w:r w:rsidRPr="00FC4A49">
        <w:rPr>
          <w:rStyle w:val="HideTWBExt"/>
          <w:b w:val="0"/>
        </w:rPr>
        <w:t>&lt;/Members&gt;</w:t>
      </w:r>
    </w:p>
    <w:p w:rsidR="00343C6C" w:rsidRPr="00FC4A49" w:rsidP="00343C6C" w14:paraId="6F2E8CE7" w14:textId="77777777">
      <w:r w:rsidRPr="00FC4A49">
        <w:rPr>
          <w:rStyle w:val="HideTWBExt"/>
        </w:rPr>
        <w:t>&lt;/RepeatBlock-By&gt;</w:t>
      </w:r>
    </w:p>
    <w:p w:rsidR="00343C6C" w:rsidRPr="00FC4A49" w:rsidP="00343C6C" w14:paraId="67E0739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8BFB430" w14:textId="77777777">
      <w:pPr>
        <w:pStyle w:val="NormalBold"/>
      </w:pPr>
      <w:r w:rsidRPr="00FC4A49">
        <w:rPr>
          <w:rStyle w:val="HideTWBExt"/>
          <w:b w:val="0"/>
        </w:rPr>
        <w:t>&lt;Article&gt;</w:t>
      </w:r>
      <w:r w:rsidRPr="00FC4A49">
        <w:t>Recital 25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959491"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D7055B9" w14:textId="77777777">
            <w:pPr>
              <w:keepNext/>
            </w:pPr>
          </w:p>
        </w:tc>
      </w:tr>
      <w:tr w14:paraId="0605D7D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A7149E8" w14:textId="77777777">
            <w:pPr>
              <w:pStyle w:val="ColumnHeading"/>
              <w:keepNext/>
              <w:rPr>
                <w:lang w:val="en-GB"/>
              </w:rPr>
            </w:pPr>
            <w:r w:rsidRPr="00FC4A49">
              <w:rPr>
                <w:lang w:val="en-GB"/>
              </w:rPr>
              <w:t>Text proposed by the Commission</w:t>
            </w:r>
          </w:p>
        </w:tc>
        <w:tc>
          <w:tcPr>
            <w:tcW w:w="4876" w:type="dxa"/>
          </w:tcPr>
          <w:p w:rsidR="00343C6C" w:rsidRPr="00FC4A49" w:rsidP="005D58F9" w14:paraId="272D0AD8" w14:textId="77777777">
            <w:pPr>
              <w:pStyle w:val="ColumnHeading"/>
              <w:keepNext/>
              <w:rPr>
                <w:lang w:val="en-GB"/>
              </w:rPr>
            </w:pPr>
            <w:r w:rsidRPr="00FC4A49">
              <w:rPr>
                <w:lang w:val="en-GB"/>
              </w:rPr>
              <w:t>Amendment</w:t>
            </w:r>
          </w:p>
        </w:tc>
      </w:tr>
      <w:tr w14:paraId="3D1EE07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935FEA4" w14:textId="77777777">
            <w:pPr>
              <w:pStyle w:val="Normal6"/>
              <w:rPr>
                <w:lang w:val="en-GB"/>
              </w:rPr>
            </w:pPr>
          </w:p>
        </w:tc>
        <w:tc>
          <w:tcPr>
            <w:tcW w:w="4876" w:type="dxa"/>
          </w:tcPr>
          <w:p w:rsidR="00343C6C" w:rsidRPr="00FC4A49" w:rsidP="005D58F9" w14:paraId="1776A183" w14:textId="77777777">
            <w:pPr>
              <w:pStyle w:val="Normal6"/>
              <w:rPr>
                <w:szCs w:val="24"/>
                <w:lang w:val="en-GB"/>
              </w:rPr>
            </w:pPr>
            <w:r w:rsidRPr="00FC4A49">
              <w:rPr>
                <w:b/>
                <w:i/>
                <w:lang w:val="en-GB"/>
              </w:rPr>
              <w:t>(25a)</w:t>
            </w:r>
            <w:r w:rsidRPr="00FC4A49">
              <w:rPr>
                <w:b/>
                <w:i/>
                <w:lang w:val="en-GB"/>
              </w:rPr>
              <w:tab/>
              <w:t xml:space="preserve">Given the permanent structural constraints faced by the outermost regions on account of their remoteness, insularity, reliance on a limited number of economic sectors and lack of alternative, comparable means of transport, as recognised in Article 349 TFEU, the application of the European Union emissions trading system to maritime transport should take account of the need to ensure these regions’ territorial continuity, connectivity and access to supplies. The extension of the scope of the emissions trading system to certain </w:t>
            </w:r>
            <w:r w:rsidRPr="00FC4A49">
              <w:rPr>
                <w:b/>
                <w:i/>
                <w:lang w:val="en-GB"/>
              </w:rPr>
              <w:t>categories of ships with a gross tonnage below 5 000 but not below 400 should not therefore lead to new surrender obligations for maritime services supporting the outermost regions in the context of routes subject to Article 12(3a) of Directive 2003/87/EC.</w:t>
            </w:r>
          </w:p>
        </w:tc>
      </w:tr>
    </w:tbl>
    <w:p w:rsidR="00343C6C" w:rsidRPr="00FC4A49" w:rsidP="00343C6C" w14:paraId="64958F04"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{FR}</w:t>
      </w:r>
      <w:r w:rsidRPr="00FC4A49">
        <w:rPr>
          <w:lang w:val="en-GB"/>
        </w:rPr>
        <w:t>fr</w:t>
      </w:r>
      <w:r w:rsidRPr="00FC4A49">
        <w:rPr>
          <w:rStyle w:val="HideTWBExt"/>
          <w:lang w:val="en-GB"/>
        </w:rPr>
        <w:t>&lt;/Original&gt;</w:t>
      </w:r>
    </w:p>
    <w:p w:rsidR="00343C6C" w:rsidRPr="00FC4A49" w:rsidP="00343C6C" w14:paraId="589C743A" w14:textId="77777777">
      <w:r w:rsidRPr="00FC4A49">
        <w:rPr>
          <w:rStyle w:val="HideTWBExt"/>
        </w:rPr>
        <w:t>&lt;/Amend&gt;</w:t>
      </w:r>
    </w:p>
    <w:p w:rsidR="00343C6C" w:rsidRPr="00804E2D" w:rsidP="00343C6C" w14:paraId="4952843A" w14:textId="77777777">
      <w:pPr>
        <w:pStyle w:val="AMNumberTabs0"/>
        <w:keepNext/>
        <w:rPr>
          <w:lang w:val="it-IT"/>
        </w:rPr>
      </w:pPr>
      <w:r w:rsidRPr="00804E2D">
        <w:rPr>
          <w:rStyle w:val="HideTWBExt"/>
          <w:b w:val="0"/>
          <w:lang w:val="it-IT"/>
        </w:rPr>
        <w:t>&lt;Amend&gt;</w:t>
      </w:r>
      <w:r w:rsidRPr="00804E2D">
        <w:rPr>
          <w:lang w:val="it-IT"/>
        </w:rPr>
        <w:t>Amendment</w:t>
      </w:r>
      <w:r w:rsidRPr="00804E2D">
        <w:rPr>
          <w:lang w:val="it-IT"/>
        </w:rPr>
        <w:tab/>
      </w:r>
      <w:r w:rsidRPr="00804E2D">
        <w:rPr>
          <w:lang w:val="it-IT"/>
        </w:rPr>
        <w:tab/>
      </w:r>
      <w:r w:rsidRPr="00804E2D">
        <w:rPr>
          <w:rStyle w:val="HideTWBExt"/>
          <w:b w:val="0"/>
          <w:lang w:val="it-IT"/>
        </w:rPr>
        <w:t>&lt;NumAm&gt;</w:t>
      </w:r>
      <w:r w:rsidRPr="00804E2D">
        <w:rPr>
          <w:lang w:val="it-IT"/>
        </w:rPr>
        <w:t>212</w:t>
      </w:r>
      <w:r w:rsidRPr="00804E2D">
        <w:rPr>
          <w:rStyle w:val="HideTWBExt"/>
          <w:b w:val="0"/>
          <w:lang w:val="it-IT"/>
        </w:rPr>
        <w:t>&lt;/NumAm&gt;</w:t>
      </w:r>
    </w:p>
    <w:p w:rsidR="00343C6C" w:rsidRPr="00804E2D" w:rsidP="00343C6C" w14:paraId="7DA791CA" w14:textId="77777777">
      <w:pPr>
        <w:pStyle w:val="NormalBold"/>
        <w:rPr>
          <w:lang w:val="it-IT"/>
        </w:rPr>
      </w:pPr>
      <w:r w:rsidRPr="00804E2D">
        <w:rPr>
          <w:rStyle w:val="HideTWBExt"/>
          <w:b w:val="0"/>
          <w:lang w:val="it-IT"/>
        </w:rPr>
        <w:t>&lt;RepeatBlock-By&gt;&lt;Members&gt;</w:t>
      </w:r>
      <w:r w:rsidRPr="00804E2D">
        <w:rPr>
          <w:lang w:val="it-IT"/>
        </w:rPr>
        <w:t>Alessandro Ciriani, Nicola Procaccini, Pietro Fiocchi, Michele Picaro, Sergio Berlato, Antonella Sberna, Paolo Inselvini, Sander Smit, Marco Squarta, Alexandr Vondra, Carlo Fidanza, Stefano Cavedagna, Carlo Ciccioli, Giovanni Crosetto, Elena Donazzan, Alberico Gambino, Chiara Gemma, Lara Magoni, Mario Mantovani, Giuseppe Milazzo, Denis Nesci, Daniele Polato, Ruggero Razza, Francesco Torselli, Francesco Ventola, Mariateresa Vivaldini</w:t>
      </w:r>
      <w:r w:rsidRPr="00804E2D">
        <w:rPr>
          <w:rStyle w:val="HideTWBExt"/>
          <w:b w:val="0"/>
          <w:lang w:val="it-IT"/>
        </w:rPr>
        <w:t>&lt;/Members&gt;</w:t>
      </w:r>
    </w:p>
    <w:p w:rsidR="00343C6C" w:rsidRPr="00FC4A49" w:rsidP="00343C6C" w14:paraId="2090E1BA" w14:textId="77777777">
      <w:r w:rsidRPr="00FC4A49">
        <w:rPr>
          <w:rStyle w:val="HideTWBExt"/>
        </w:rPr>
        <w:t>&lt;/RepeatBlock-By&gt;</w:t>
      </w:r>
    </w:p>
    <w:p w:rsidR="00343C6C" w:rsidRPr="00FC4A49" w:rsidP="00343C6C" w14:paraId="7130736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AC870FD" w14:textId="77777777">
      <w:pPr>
        <w:pStyle w:val="NormalBold"/>
      </w:pPr>
      <w:r w:rsidRPr="00FC4A49">
        <w:rPr>
          <w:rStyle w:val="HideTWBExt"/>
          <w:b w:val="0"/>
        </w:rPr>
        <w:t>&lt;Article&gt;</w:t>
      </w:r>
      <w:r w:rsidRPr="00FC4A49">
        <w:t>Recital 25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45CB5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6A37ED7" w14:textId="77777777">
            <w:pPr>
              <w:keepNext/>
            </w:pPr>
          </w:p>
        </w:tc>
      </w:tr>
      <w:tr w14:paraId="1FA0E14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5974650" w14:textId="77777777">
            <w:pPr>
              <w:pStyle w:val="ColumnHeading"/>
              <w:keepNext/>
              <w:rPr>
                <w:lang w:val="en-GB"/>
              </w:rPr>
            </w:pPr>
            <w:r w:rsidRPr="00FC4A49">
              <w:rPr>
                <w:lang w:val="en-GB"/>
              </w:rPr>
              <w:t>Text proposed by the Commission</w:t>
            </w:r>
          </w:p>
        </w:tc>
        <w:tc>
          <w:tcPr>
            <w:tcW w:w="4876" w:type="dxa"/>
          </w:tcPr>
          <w:p w:rsidR="00343C6C" w:rsidRPr="00FC4A49" w:rsidP="005D58F9" w14:paraId="07714641" w14:textId="77777777">
            <w:pPr>
              <w:pStyle w:val="ColumnHeading"/>
              <w:keepNext/>
              <w:rPr>
                <w:lang w:val="en-GB"/>
              </w:rPr>
            </w:pPr>
            <w:r w:rsidRPr="00FC4A49">
              <w:rPr>
                <w:lang w:val="en-GB"/>
              </w:rPr>
              <w:t>Amendment</w:t>
            </w:r>
          </w:p>
        </w:tc>
      </w:tr>
      <w:tr w14:paraId="7635A51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9EEA346" w14:textId="77777777">
            <w:pPr>
              <w:pStyle w:val="Normal6"/>
              <w:rPr>
                <w:lang w:val="en-GB"/>
              </w:rPr>
            </w:pPr>
          </w:p>
        </w:tc>
        <w:tc>
          <w:tcPr>
            <w:tcW w:w="4876" w:type="dxa"/>
          </w:tcPr>
          <w:p w:rsidR="00343C6C" w:rsidRPr="00FC4A49" w:rsidP="005D58F9" w14:paraId="52FAAFC3" w14:textId="77777777">
            <w:pPr>
              <w:pStyle w:val="Normal6"/>
              <w:rPr>
                <w:szCs w:val="24"/>
                <w:lang w:val="en-GB"/>
              </w:rPr>
            </w:pPr>
            <w:r w:rsidRPr="00FC4A49">
              <w:rPr>
                <w:b/>
                <w:i/>
                <w:lang w:val="en-GB"/>
              </w:rPr>
              <w:t>(25a)</w:t>
            </w:r>
            <w:r w:rsidRPr="00FC4A49">
              <w:rPr>
                <w:b/>
                <w:i/>
                <w:lang w:val="en-GB"/>
              </w:rPr>
              <w:tab/>
              <w:t>It is necessary to ensure that the application of the EU ETS to aviation does not undermine economic, social and territorial cohesion or the right to mobility of citizens residing on islands suffering from permanent structural and geographical handicaps. Those territories rely almost exclusively on air transport for essential connections with the mainland, as they lack viable alternatives such as high-speed rail services. It is therefore appropriate to provide for a temporary derogation, until 31 December 2030, from the obligation to surrender allowances for flights operated under public service obligations and for other routes ensuring the basic connectivity of those islands. That temporary measure should allow for the assessment of long-term structural solutions that reconcile decarbonisation with the protection of territorial continuity.</w:t>
            </w:r>
          </w:p>
        </w:tc>
      </w:tr>
    </w:tbl>
    <w:p w:rsidR="00343C6C" w:rsidRPr="00FC4A49" w:rsidP="00343C6C" w14:paraId="030AD6EC"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1E3C984" w14:textId="77777777">
      <w:r w:rsidRPr="00FC4A49">
        <w:rPr>
          <w:rStyle w:val="HideTWBExt"/>
        </w:rPr>
        <w:t>&lt;/Amend&gt;</w:t>
      </w:r>
    </w:p>
    <w:p w:rsidR="00343C6C" w:rsidRPr="00FC4A49" w:rsidP="00343C6C" w14:paraId="75CAE4F4"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213</w:t>
      </w:r>
      <w:r w:rsidRPr="00FC4A49">
        <w:rPr>
          <w:rStyle w:val="HideTWBExt"/>
          <w:b w:val="0"/>
          <w:lang w:val="en-GB"/>
        </w:rPr>
        <w:t>&lt;/NumAm&gt;</w:t>
      </w:r>
    </w:p>
    <w:p w:rsidR="00343C6C" w:rsidRPr="00FC4A49" w:rsidP="00343C6C" w14:paraId="03BE6958" w14:textId="77777777">
      <w:pPr>
        <w:pStyle w:val="NormalBold"/>
      </w:pPr>
      <w:r w:rsidRPr="00FC4A49">
        <w:rPr>
          <w:rStyle w:val="HideTWBExt"/>
          <w:b w:val="0"/>
        </w:rPr>
        <w:t>&lt;RepeatBlock-By&gt;&lt;Members&gt;</w:t>
      </w:r>
      <w:r w:rsidRPr="00FC4A49">
        <w:t xml:space="preserve">Javi López, César Luena, Rosa Serrano Sierra, Alicia Homs Ginel, Juan Fernando López Aguilar, Nicolás González Casares, Leire </w:t>
      </w:r>
      <w:r w:rsidRPr="00FC4A49">
        <w:t>Pajín</w:t>
      </w:r>
      <w:r w:rsidRPr="00FC4A49">
        <w:t>, Elena Sancho Murillo</w:t>
      </w:r>
      <w:r w:rsidRPr="00FC4A49">
        <w:rPr>
          <w:rStyle w:val="HideTWBExt"/>
          <w:b w:val="0"/>
        </w:rPr>
        <w:t>&lt;/Members&gt;</w:t>
      </w:r>
    </w:p>
    <w:p w:rsidR="00343C6C" w:rsidRPr="00FC4A49" w:rsidP="00343C6C" w14:paraId="3ADBFC75" w14:textId="77777777">
      <w:r w:rsidRPr="00FC4A49">
        <w:rPr>
          <w:rStyle w:val="HideTWBExt"/>
        </w:rPr>
        <w:t>&lt;/RepeatBlock-By&gt;</w:t>
      </w:r>
    </w:p>
    <w:p w:rsidR="00343C6C" w:rsidRPr="00FC4A49" w:rsidP="00343C6C" w14:paraId="2470E3C8"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9DF29E1" w14:textId="77777777">
      <w:pPr>
        <w:pStyle w:val="NormalBold"/>
      </w:pPr>
      <w:r w:rsidRPr="00FC4A49">
        <w:rPr>
          <w:rStyle w:val="HideTWBExt"/>
          <w:b w:val="0"/>
        </w:rPr>
        <w:t>&lt;Article&gt;</w:t>
      </w:r>
      <w:r w:rsidRPr="00FC4A49">
        <w:t>Recital 25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1676B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1565563" w14:textId="77777777">
            <w:pPr>
              <w:keepNext/>
            </w:pPr>
          </w:p>
        </w:tc>
      </w:tr>
      <w:tr w14:paraId="25CBF91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0D5AD83" w14:textId="77777777">
            <w:pPr>
              <w:pStyle w:val="ColumnHeading"/>
              <w:keepNext/>
              <w:rPr>
                <w:lang w:val="en-GB"/>
              </w:rPr>
            </w:pPr>
            <w:r w:rsidRPr="00FC4A49">
              <w:rPr>
                <w:lang w:val="en-GB"/>
              </w:rPr>
              <w:t>Text proposed by the Commission</w:t>
            </w:r>
          </w:p>
        </w:tc>
        <w:tc>
          <w:tcPr>
            <w:tcW w:w="4876" w:type="dxa"/>
          </w:tcPr>
          <w:p w:rsidR="00343C6C" w:rsidRPr="00FC4A49" w:rsidP="005D58F9" w14:paraId="006E62AB" w14:textId="77777777">
            <w:pPr>
              <w:pStyle w:val="ColumnHeading"/>
              <w:keepNext/>
              <w:rPr>
                <w:lang w:val="en-GB"/>
              </w:rPr>
            </w:pPr>
            <w:r w:rsidRPr="00FC4A49">
              <w:rPr>
                <w:lang w:val="en-GB"/>
              </w:rPr>
              <w:t>Amendment</w:t>
            </w:r>
          </w:p>
        </w:tc>
      </w:tr>
      <w:tr w14:paraId="603892C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D1EA478" w14:textId="77777777">
            <w:pPr>
              <w:pStyle w:val="Normal6"/>
              <w:rPr>
                <w:lang w:val="en-GB"/>
              </w:rPr>
            </w:pPr>
          </w:p>
        </w:tc>
        <w:tc>
          <w:tcPr>
            <w:tcW w:w="4876" w:type="dxa"/>
          </w:tcPr>
          <w:p w:rsidR="00343C6C" w:rsidRPr="00FC4A49" w:rsidP="005D58F9" w14:paraId="3B9863C7" w14:textId="77777777">
            <w:pPr>
              <w:pStyle w:val="Normal6"/>
              <w:rPr>
                <w:szCs w:val="24"/>
                <w:lang w:val="en-GB"/>
              </w:rPr>
            </w:pPr>
            <w:r w:rsidRPr="00FC4A49">
              <w:rPr>
                <w:b/>
                <w:i/>
                <w:lang w:val="en-GB"/>
              </w:rPr>
              <w:t>(25a)</w:t>
            </w:r>
            <w:r w:rsidRPr="00FC4A49">
              <w:rPr>
                <w:b/>
                <w:i/>
                <w:lang w:val="en-GB"/>
              </w:rPr>
              <w:tab/>
              <w:t>The cities of Ceuta and Melilla, located on the African mainland and with no road or rail link with the rest of the Member State to which they belong, depend on maritime transport for their connectivity in a way comparable to islands. For reasons of consistency with Article 2(1) of Council Regulation (EEC) No 3577/92 applying the principle of freedom to provide services to maritime transport within Member States (maritime cabotage) and Article 2(6) of Regulation (EU) 2023/1805 of the European Parliament and of the Council on the use of renewable and low-carbon fuels in maritime transport (</w:t>
            </w:r>
            <w:r w:rsidRPr="00FC4A49">
              <w:rPr>
                <w:b/>
                <w:i/>
                <w:lang w:val="en-GB"/>
              </w:rPr>
              <w:t>FuelEU</w:t>
            </w:r>
            <w:r w:rsidRPr="00FC4A49">
              <w:rPr>
                <w:b/>
                <w:i/>
                <w:lang w:val="en-GB"/>
              </w:rPr>
              <w:t xml:space="preserve"> Maritime), which treat them in the same way as island ports, their ports should be considered as ports of an island for the purposes of the temporary derogation for voyages by passenger ships and </w:t>
            </w:r>
            <w:r w:rsidRPr="00FC4A49">
              <w:rPr>
                <w:b/>
                <w:i/>
                <w:lang w:val="en-GB"/>
              </w:rPr>
              <w:t>ro</w:t>
            </w:r>
            <w:r w:rsidRPr="00FC4A49">
              <w:rPr>
                <w:b/>
                <w:i/>
                <w:lang w:val="en-GB"/>
              </w:rPr>
              <w:t>-pax ships.</w:t>
            </w:r>
          </w:p>
        </w:tc>
      </w:tr>
    </w:tbl>
    <w:p w:rsidR="00343C6C" w:rsidRPr="00FC4A49" w:rsidP="00343C6C" w14:paraId="75630D51"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402CB64" w14:textId="77777777">
      <w:r w:rsidRPr="00FC4A49">
        <w:rPr>
          <w:rStyle w:val="HideTWBExt"/>
        </w:rPr>
        <w:t>&lt;/Amend&gt;</w:t>
      </w:r>
    </w:p>
    <w:p w:rsidR="00343C6C" w:rsidRPr="00804E2D" w:rsidP="00343C6C" w14:paraId="32AC9072" w14:textId="77777777">
      <w:pPr>
        <w:pStyle w:val="AMNumberTabs0"/>
        <w:keepNext/>
        <w:rPr>
          <w:lang w:val="pt-PT"/>
        </w:rPr>
      </w:pPr>
      <w:r w:rsidRPr="00804E2D">
        <w:rPr>
          <w:rStyle w:val="HideTWBExt"/>
          <w:b w:val="0"/>
          <w:lang w:val="pt-PT"/>
        </w:rPr>
        <w:t>&lt;Amend&gt;</w:t>
      </w:r>
      <w:r w:rsidRPr="00804E2D">
        <w:rPr>
          <w:lang w:val="pt-PT"/>
        </w:rPr>
        <w:t>Amendment</w:t>
      </w:r>
      <w:r w:rsidRPr="00804E2D">
        <w:rPr>
          <w:lang w:val="pt-PT"/>
        </w:rPr>
        <w:tab/>
      </w:r>
      <w:r w:rsidRPr="00804E2D">
        <w:rPr>
          <w:lang w:val="pt-PT"/>
        </w:rPr>
        <w:tab/>
      </w:r>
      <w:r w:rsidRPr="00804E2D">
        <w:rPr>
          <w:rStyle w:val="HideTWBExt"/>
          <w:b w:val="0"/>
          <w:lang w:val="pt-PT"/>
        </w:rPr>
        <w:t>&lt;NumAm&gt;</w:t>
      </w:r>
      <w:r w:rsidRPr="00804E2D">
        <w:rPr>
          <w:lang w:val="pt-PT"/>
        </w:rPr>
        <w:t>214</w:t>
      </w:r>
      <w:r w:rsidRPr="00804E2D">
        <w:rPr>
          <w:rStyle w:val="HideTWBExt"/>
          <w:b w:val="0"/>
          <w:lang w:val="pt-PT"/>
        </w:rPr>
        <w:t>&lt;/NumAm&gt;</w:t>
      </w:r>
    </w:p>
    <w:p w:rsidR="00343C6C" w:rsidRPr="00804E2D" w:rsidP="00343C6C" w14:paraId="212E45A0" w14:textId="77777777">
      <w:pPr>
        <w:pStyle w:val="NormalBold"/>
        <w:rPr>
          <w:lang w:val="pt-PT"/>
        </w:rPr>
      </w:pPr>
      <w:r w:rsidRPr="00804E2D">
        <w:rPr>
          <w:rStyle w:val="HideTWBExt"/>
          <w:b w:val="0"/>
          <w:lang w:val="pt-PT"/>
        </w:rPr>
        <w:t>&lt;RepeatBlock-By&gt;&lt;Members&gt;</w:t>
      </w:r>
      <w:r w:rsidRPr="00804E2D">
        <w:rPr>
          <w:lang w:val="pt-PT"/>
        </w:rPr>
        <w:t>Sérgio Humberto, Paulo do Nascimento Cabral, Paulo Cunha, Lídia Pereira</w:t>
      </w:r>
      <w:r w:rsidRPr="00804E2D">
        <w:rPr>
          <w:rStyle w:val="HideTWBExt"/>
          <w:b w:val="0"/>
          <w:lang w:val="pt-PT"/>
        </w:rPr>
        <w:t>&lt;/Members&gt;</w:t>
      </w:r>
    </w:p>
    <w:p w:rsidR="00343C6C" w:rsidRPr="00FC4A49" w:rsidP="00343C6C" w14:paraId="0731C74C" w14:textId="77777777">
      <w:r w:rsidRPr="00FC4A49">
        <w:rPr>
          <w:rStyle w:val="HideTWBExt"/>
        </w:rPr>
        <w:t>&lt;/RepeatBlock-By&gt;</w:t>
      </w:r>
    </w:p>
    <w:p w:rsidR="00343C6C" w:rsidRPr="00FC4A49" w:rsidP="00343C6C" w14:paraId="1BB75C9E"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468E11A" w14:textId="77777777">
      <w:pPr>
        <w:pStyle w:val="NormalBold"/>
      </w:pPr>
      <w:r w:rsidRPr="00FC4A49">
        <w:rPr>
          <w:rStyle w:val="HideTWBExt"/>
          <w:b w:val="0"/>
        </w:rPr>
        <w:t>&lt;Article&gt;</w:t>
      </w:r>
      <w:r w:rsidRPr="00FC4A49">
        <w:t>Recital 25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C2773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6909C21" w14:textId="77777777">
            <w:pPr>
              <w:keepNext/>
            </w:pPr>
          </w:p>
        </w:tc>
      </w:tr>
      <w:tr w14:paraId="44F0B11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364D2BA" w14:textId="77777777">
            <w:pPr>
              <w:pStyle w:val="ColumnHeading"/>
              <w:keepNext/>
              <w:rPr>
                <w:lang w:val="en-GB"/>
              </w:rPr>
            </w:pPr>
            <w:r w:rsidRPr="00FC4A49">
              <w:rPr>
                <w:lang w:val="en-GB"/>
              </w:rPr>
              <w:t>Text proposed by the Commission</w:t>
            </w:r>
          </w:p>
        </w:tc>
        <w:tc>
          <w:tcPr>
            <w:tcW w:w="4876" w:type="dxa"/>
          </w:tcPr>
          <w:p w:rsidR="00343C6C" w:rsidRPr="00FC4A49" w:rsidP="005D58F9" w14:paraId="4DF4D733" w14:textId="77777777">
            <w:pPr>
              <w:pStyle w:val="ColumnHeading"/>
              <w:keepNext/>
              <w:rPr>
                <w:lang w:val="en-GB"/>
              </w:rPr>
            </w:pPr>
            <w:r w:rsidRPr="00FC4A49">
              <w:rPr>
                <w:lang w:val="en-GB"/>
              </w:rPr>
              <w:t>Amendment</w:t>
            </w:r>
          </w:p>
        </w:tc>
      </w:tr>
      <w:tr w14:paraId="0CAAFAB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0C7B3D3" w14:textId="77777777">
            <w:pPr>
              <w:pStyle w:val="Normal6"/>
              <w:rPr>
                <w:lang w:val="en-GB"/>
              </w:rPr>
            </w:pPr>
          </w:p>
        </w:tc>
        <w:tc>
          <w:tcPr>
            <w:tcW w:w="4876" w:type="dxa"/>
          </w:tcPr>
          <w:p w:rsidR="00343C6C" w:rsidRPr="00FC4A49" w:rsidP="005D58F9" w14:paraId="684A7D04" w14:textId="77777777">
            <w:pPr>
              <w:pStyle w:val="Normal6"/>
              <w:rPr>
                <w:szCs w:val="24"/>
                <w:lang w:val="en-GB"/>
              </w:rPr>
            </w:pPr>
            <w:r w:rsidRPr="00FC4A49">
              <w:rPr>
                <w:b/>
                <w:i/>
                <w:lang w:val="en-GB"/>
              </w:rPr>
              <w:t>(25a)</w:t>
            </w:r>
            <w:r w:rsidRPr="00FC4A49">
              <w:rPr>
                <w:b/>
                <w:i/>
                <w:lang w:val="en-GB"/>
              </w:rPr>
              <w:tab/>
              <w:t xml:space="preserve">The derogations applicable to </w:t>
            </w:r>
            <w:r w:rsidRPr="00FC4A49">
              <w:rPr>
                <w:b/>
                <w:i/>
                <w:lang w:val="en-GB"/>
              </w:rPr>
              <w:t>travel and transport involving the outermost regions must reflect the permanent nature of the drawbacks they face, as far-flung, territorially fragmented island regions which are structurally dependent on maritime and air transport, as recognised in Article 349 of the TFEU. No time limit should apply to the derogation from the obligation to surrender allowances for these essential connections, and any future review must be strictly dependent on prior verification of whether the means of transport, fuels and clean infrastructure are effective, technically and economically viable and suitable to the specific characteristics of transport in the outermost regions.</w:t>
            </w:r>
          </w:p>
        </w:tc>
      </w:tr>
    </w:tbl>
    <w:p w:rsidR="00343C6C" w:rsidRPr="00FC4A49" w:rsidP="00343C6C" w14:paraId="1661066A"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{PT}</w:t>
      </w:r>
      <w:r w:rsidRPr="00FC4A49">
        <w:rPr>
          <w:lang w:val="en-GB"/>
        </w:rPr>
        <w:t>pt</w:t>
      </w:r>
      <w:r w:rsidRPr="00FC4A49">
        <w:rPr>
          <w:rStyle w:val="HideTWBExt"/>
          <w:lang w:val="en-GB"/>
        </w:rPr>
        <w:t>&lt;/Original&gt;</w:t>
      </w:r>
    </w:p>
    <w:p w:rsidR="00343C6C" w:rsidRPr="00FC4A49" w:rsidP="00343C6C" w14:paraId="233FD25F" w14:textId="77777777">
      <w:r w:rsidRPr="00FC4A49">
        <w:rPr>
          <w:rStyle w:val="HideTWBExt"/>
        </w:rPr>
        <w:t>&lt;/Amend&gt;</w:t>
      </w:r>
    </w:p>
    <w:p w:rsidR="00343C6C" w:rsidRPr="00804E2D" w:rsidP="00343C6C" w14:paraId="577322A4" w14:textId="77777777">
      <w:pPr>
        <w:pStyle w:val="AMNumberTabs0"/>
        <w:keepNext/>
        <w:rPr>
          <w:lang w:val="pt-PT"/>
        </w:rPr>
      </w:pPr>
      <w:r w:rsidRPr="00804E2D">
        <w:rPr>
          <w:rStyle w:val="HideTWBExt"/>
          <w:b w:val="0"/>
          <w:lang w:val="pt-PT"/>
        </w:rPr>
        <w:t>&lt;Amend&gt;</w:t>
      </w:r>
      <w:r w:rsidRPr="00804E2D">
        <w:rPr>
          <w:lang w:val="pt-PT"/>
        </w:rPr>
        <w:t>Amendment</w:t>
      </w:r>
      <w:r w:rsidRPr="00804E2D">
        <w:rPr>
          <w:lang w:val="pt-PT"/>
        </w:rPr>
        <w:tab/>
      </w:r>
      <w:r w:rsidRPr="00804E2D">
        <w:rPr>
          <w:lang w:val="pt-PT"/>
        </w:rPr>
        <w:tab/>
      </w:r>
      <w:r w:rsidRPr="00804E2D">
        <w:rPr>
          <w:rStyle w:val="HideTWBExt"/>
          <w:b w:val="0"/>
          <w:lang w:val="pt-PT"/>
        </w:rPr>
        <w:t>&lt;NumAm&gt;</w:t>
      </w:r>
      <w:r w:rsidRPr="00804E2D">
        <w:rPr>
          <w:lang w:val="pt-PT"/>
        </w:rPr>
        <w:t>215</w:t>
      </w:r>
      <w:r w:rsidRPr="00804E2D">
        <w:rPr>
          <w:rStyle w:val="HideTWBExt"/>
          <w:b w:val="0"/>
          <w:lang w:val="pt-PT"/>
        </w:rPr>
        <w:t>&lt;/NumAm&gt;</w:t>
      </w:r>
    </w:p>
    <w:p w:rsidR="00343C6C" w:rsidRPr="00804E2D" w:rsidP="00343C6C" w14:paraId="7704CFE2" w14:textId="77777777">
      <w:pPr>
        <w:pStyle w:val="NormalBold"/>
        <w:rPr>
          <w:lang w:val="pt-PT"/>
        </w:rPr>
      </w:pPr>
      <w:r w:rsidRPr="00804E2D">
        <w:rPr>
          <w:rStyle w:val="HideTWBExt"/>
          <w:b w:val="0"/>
          <w:lang w:val="pt-PT"/>
        </w:rPr>
        <w:t>&lt;RepeatBlock-By&gt;&lt;Members&gt;</w:t>
      </w:r>
      <w:r w:rsidRPr="00804E2D">
        <w:rPr>
          <w:lang w:val="pt-PT"/>
        </w:rPr>
        <w:t>Sérgio Humberto, Paulo Cunha, Paulo do Nascimento Cabral, Lídia Pereira</w:t>
      </w:r>
      <w:r w:rsidRPr="00804E2D">
        <w:rPr>
          <w:rStyle w:val="HideTWBExt"/>
          <w:b w:val="0"/>
          <w:lang w:val="pt-PT"/>
        </w:rPr>
        <w:t>&lt;/Members&gt;</w:t>
      </w:r>
    </w:p>
    <w:p w:rsidR="00343C6C" w:rsidRPr="00FC4A49" w:rsidP="00343C6C" w14:paraId="0EA7F6EF" w14:textId="77777777">
      <w:r w:rsidRPr="00FC4A49">
        <w:rPr>
          <w:rStyle w:val="HideTWBExt"/>
        </w:rPr>
        <w:t>&lt;/RepeatBlock-By&gt;</w:t>
      </w:r>
    </w:p>
    <w:p w:rsidR="00343C6C" w:rsidRPr="00FC4A49" w:rsidP="00343C6C" w14:paraId="5CB8DC9B"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804E2D" w:rsidP="00343C6C" w14:paraId="3AF3FF79" w14:textId="77777777">
      <w:pPr>
        <w:pStyle w:val="NormalBold"/>
        <w:rPr>
          <w:lang w:val="fr-BE"/>
        </w:rPr>
      </w:pPr>
      <w:r w:rsidRPr="00804E2D">
        <w:rPr>
          <w:rStyle w:val="HideTWBExt"/>
          <w:b w:val="0"/>
          <w:lang w:val="fr-BE"/>
        </w:rPr>
        <w:t>&lt;Article&gt;</w:t>
      </w:r>
      <w:r w:rsidRPr="00804E2D">
        <w:rPr>
          <w:lang w:val="fr-BE"/>
        </w:rPr>
        <w:t>Recital</w:t>
      </w:r>
      <w:r w:rsidRPr="00804E2D">
        <w:rPr>
          <w:lang w:val="fr-BE"/>
        </w:rPr>
        <w:t xml:space="preserve"> 25 b (new)</w:t>
      </w:r>
      <w:r w:rsidRPr="00804E2D">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3D64FFB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804E2D" w:rsidP="005D58F9" w14:paraId="3D9CA4A4" w14:textId="77777777">
            <w:pPr>
              <w:keepNext/>
              <w:rPr>
                <w:lang w:val="fr-BE"/>
              </w:rPr>
            </w:pPr>
          </w:p>
        </w:tc>
      </w:tr>
      <w:tr w14:paraId="5597A60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6B21A84" w14:textId="77777777">
            <w:pPr>
              <w:pStyle w:val="ColumnHeading"/>
              <w:keepNext/>
              <w:rPr>
                <w:lang w:val="en-GB"/>
              </w:rPr>
            </w:pPr>
            <w:r w:rsidRPr="00FC4A49">
              <w:rPr>
                <w:lang w:val="en-GB"/>
              </w:rPr>
              <w:t>Text proposed by the Commission</w:t>
            </w:r>
          </w:p>
        </w:tc>
        <w:tc>
          <w:tcPr>
            <w:tcW w:w="4876" w:type="dxa"/>
          </w:tcPr>
          <w:p w:rsidR="00343C6C" w:rsidRPr="00FC4A49" w:rsidP="005D58F9" w14:paraId="59B02566" w14:textId="77777777">
            <w:pPr>
              <w:pStyle w:val="ColumnHeading"/>
              <w:keepNext/>
              <w:rPr>
                <w:lang w:val="en-GB"/>
              </w:rPr>
            </w:pPr>
            <w:r w:rsidRPr="00FC4A49">
              <w:rPr>
                <w:lang w:val="en-GB"/>
              </w:rPr>
              <w:t>Amendment</w:t>
            </w:r>
          </w:p>
        </w:tc>
      </w:tr>
      <w:tr w14:paraId="2D90D82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5C92A91" w14:textId="77777777">
            <w:pPr>
              <w:pStyle w:val="Normal6"/>
              <w:rPr>
                <w:lang w:val="en-GB"/>
              </w:rPr>
            </w:pPr>
          </w:p>
        </w:tc>
        <w:tc>
          <w:tcPr>
            <w:tcW w:w="4876" w:type="dxa"/>
          </w:tcPr>
          <w:p w:rsidR="00343C6C" w:rsidRPr="00FC4A49" w:rsidP="005D58F9" w14:paraId="0172D638" w14:textId="77777777">
            <w:pPr>
              <w:pStyle w:val="Normal6"/>
              <w:rPr>
                <w:szCs w:val="24"/>
                <w:lang w:val="en-GB"/>
              </w:rPr>
            </w:pPr>
            <w:r w:rsidRPr="00FC4A49">
              <w:rPr>
                <w:b/>
                <w:i/>
                <w:lang w:val="en-GB"/>
              </w:rPr>
              <w:t>(25b)</w:t>
            </w:r>
            <w:r w:rsidRPr="00FC4A49">
              <w:rPr>
                <w:b/>
                <w:i/>
                <w:lang w:val="en-GB"/>
              </w:rPr>
              <w:tab/>
              <w:t>Revenue from the allocation or sale of allowances for emissions from activities carried out in the outermost regions must be used for the benefit of those outermost regions and reinvested within the territories of the regions that generated them, and must be allocated to investments in decarbonisation, energy efficiency, renewable energy, electrification and the modernisation of port and transport infrastructure, as well as to other measures aimed at reducing the costs of the climate and energy transition arising from the structural constraints recognised in Article 349 of the TFEU.</w:t>
            </w:r>
          </w:p>
        </w:tc>
      </w:tr>
    </w:tbl>
    <w:p w:rsidR="00343C6C" w:rsidRPr="00FC4A49" w:rsidP="00343C6C" w14:paraId="28C0C6F4"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{PT}</w:t>
      </w:r>
      <w:r w:rsidRPr="00FC4A49">
        <w:rPr>
          <w:lang w:val="en-GB"/>
        </w:rPr>
        <w:t>pt</w:t>
      </w:r>
      <w:r w:rsidRPr="00FC4A49">
        <w:rPr>
          <w:rStyle w:val="HideTWBExt"/>
          <w:lang w:val="en-GB"/>
        </w:rPr>
        <w:t>&lt;/Original&gt;</w:t>
      </w:r>
    </w:p>
    <w:p w:rsidR="00343C6C" w:rsidRPr="00FC4A49" w:rsidP="00343C6C" w14:paraId="069D56DF" w14:textId="77777777">
      <w:r w:rsidRPr="00FC4A49">
        <w:rPr>
          <w:rStyle w:val="HideTWBExt"/>
        </w:rPr>
        <w:t>&lt;/Amend&gt;</w:t>
      </w:r>
    </w:p>
    <w:p w:rsidR="00343C6C" w:rsidRPr="00FC4A49" w:rsidP="00343C6C" w14:paraId="5C60C983"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216</w:t>
      </w:r>
      <w:r w:rsidRPr="00FC4A49">
        <w:rPr>
          <w:rStyle w:val="HideTWBExt"/>
          <w:b w:val="0"/>
          <w:lang w:val="en-GB"/>
        </w:rPr>
        <w:t>&lt;/NumAm&gt;</w:t>
      </w:r>
    </w:p>
    <w:p w:rsidR="00343C6C" w:rsidRPr="00FC4A49" w:rsidP="00343C6C" w14:paraId="081F8B99" w14:textId="77777777">
      <w:pPr>
        <w:pStyle w:val="NormalBold"/>
      </w:pPr>
      <w:r w:rsidRPr="00FC4A49">
        <w:rPr>
          <w:rStyle w:val="HideTWBExt"/>
          <w:b w:val="0"/>
        </w:rPr>
        <w:t>&lt;RepeatBlock-By&gt;&lt;Members&gt;</w:t>
      </w:r>
      <w:r w:rsidRPr="00FC4A49">
        <w:t>Ondřej Knotek, Jana Nagyová, Antonín Staněk, Roman Haider, Viktória Ferenc</w:t>
      </w:r>
      <w:r w:rsidRPr="00FC4A49">
        <w:rPr>
          <w:rStyle w:val="HideTWBExt"/>
          <w:b w:val="0"/>
        </w:rPr>
        <w:t>&lt;/Members&gt;</w:t>
      </w:r>
    </w:p>
    <w:p w:rsidR="00343C6C" w:rsidRPr="00FC4A49" w:rsidP="00343C6C" w14:paraId="3D3B1A5D" w14:textId="77777777">
      <w:r w:rsidRPr="00FC4A49">
        <w:rPr>
          <w:rStyle w:val="HideTWBExt"/>
        </w:rPr>
        <w:t>&lt;/RepeatBlock-By&gt;</w:t>
      </w:r>
    </w:p>
    <w:p w:rsidR="00343C6C" w:rsidRPr="00FC4A49" w:rsidP="00343C6C" w14:paraId="1F6F3AF4"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9355BF7" w14:textId="77777777">
      <w:pPr>
        <w:pStyle w:val="NormalBold"/>
      </w:pPr>
      <w:r w:rsidRPr="00FC4A49">
        <w:rPr>
          <w:rStyle w:val="HideTWBExt"/>
          <w:b w:val="0"/>
        </w:rPr>
        <w:t>&lt;Article&gt;</w:t>
      </w:r>
      <w:r w:rsidRPr="00FC4A49">
        <w:t>Recital 26</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1F93E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F15C47B" w14:textId="77777777">
            <w:pPr>
              <w:keepNext/>
            </w:pPr>
          </w:p>
        </w:tc>
      </w:tr>
      <w:tr w14:paraId="4487197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379CA01" w14:textId="77777777">
            <w:pPr>
              <w:pStyle w:val="ColumnHeading"/>
              <w:keepNext/>
              <w:rPr>
                <w:lang w:val="en-GB"/>
              </w:rPr>
            </w:pPr>
            <w:r w:rsidRPr="00FC4A49">
              <w:rPr>
                <w:lang w:val="en-GB"/>
              </w:rPr>
              <w:t>Text proposed by the Commission</w:t>
            </w:r>
          </w:p>
        </w:tc>
        <w:tc>
          <w:tcPr>
            <w:tcW w:w="4876" w:type="dxa"/>
          </w:tcPr>
          <w:p w:rsidR="00343C6C" w:rsidRPr="00FC4A49" w:rsidP="005D58F9" w14:paraId="42474DF9" w14:textId="77777777">
            <w:pPr>
              <w:pStyle w:val="ColumnHeading"/>
              <w:keepNext/>
              <w:rPr>
                <w:lang w:val="en-GB"/>
              </w:rPr>
            </w:pPr>
            <w:r w:rsidRPr="00FC4A49">
              <w:rPr>
                <w:lang w:val="en-GB"/>
              </w:rPr>
              <w:t>Amendment</w:t>
            </w:r>
          </w:p>
        </w:tc>
      </w:tr>
      <w:tr w14:paraId="37FB418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DE95D3A" w14:textId="77777777">
            <w:pPr>
              <w:pStyle w:val="Normal6"/>
              <w:rPr>
                <w:lang w:val="en-GB"/>
              </w:rPr>
            </w:pPr>
            <w:r w:rsidRPr="00FC4A49">
              <w:rPr>
                <w:b/>
                <w:i/>
                <w:lang w:val="en-GB"/>
              </w:rPr>
              <w:t>(26)</w:t>
            </w:r>
            <w:r w:rsidRPr="00FC4A49">
              <w:rPr>
                <w:b/>
                <w:i/>
                <w:lang w:val="en-GB"/>
              </w:rPr>
              <w:tab/>
              <w:t>In order to support global climate action and facilitate the pricing of greenhouse gas emissions in third countries, support should be provided to third countries in respect of emissions that are not already subject to surrender obligations under Directive 2003/87/EC. The Commission should be empowered to adopt delegated acts to amend, where relevant, the geographical scope laid down in Article 3ga(1) of Directive 2003/87/EC for maritime emissions released during voyages between the Union and the third country to which support is provided. In order to supplement Directive 2003/87/EC, the Commission should also be empowered to adopt delegated acts to lay down rules on the operation of that support to third countries. This would also facilitate the implementation of the ETS linking agreement being prepared with the United Kingdom.</w:t>
            </w:r>
          </w:p>
        </w:tc>
        <w:tc>
          <w:tcPr>
            <w:tcW w:w="4876" w:type="dxa"/>
          </w:tcPr>
          <w:p w:rsidR="00343C6C" w:rsidRPr="00FC4A49" w:rsidP="005D58F9" w14:paraId="4CAA2FDE" w14:textId="77777777">
            <w:pPr>
              <w:pStyle w:val="Normal6"/>
              <w:rPr>
                <w:szCs w:val="24"/>
                <w:lang w:val="en-GB"/>
              </w:rPr>
            </w:pPr>
            <w:r w:rsidRPr="00FC4A49">
              <w:rPr>
                <w:b/>
                <w:i/>
                <w:lang w:val="en-GB"/>
              </w:rPr>
              <w:t>deleted</w:t>
            </w:r>
          </w:p>
        </w:tc>
      </w:tr>
    </w:tbl>
    <w:p w:rsidR="00343C6C" w:rsidRPr="00FC4A49" w:rsidP="00343C6C" w14:paraId="3D0D7E6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9B7359F" w14:textId="77777777">
      <w:r w:rsidRPr="00FC4A49">
        <w:rPr>
          <w:rStyle w:val="HideTWBExt"/>
        </w:rPr>
        <w:t>&lt;/Amend&gt;</w:t>
      </w:r>
    </w:p>
    <w:p w:rsidR="00343C6C" w:rsidRPr="00FC4A49" w:rsidP="00343C6C" w14:paraId="1D63AB7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217</w:t>
      </w:r>
      <w:r w:rsidRPr="00FC4A49">
        <w:rPr>
          <w:rStyle w:val="HideTWBExt"/>
          <w:b w:val="0"/>
          <w:lang w:val="en-GB"/>
        </w:rPr>
        <w:t>&lt;/NumAm&gt;</w:t>
      </w:r>
    </w:p>
    <w:p w:rsidR="00343C6C" w:rsidRPr="00FC4A49" w:rsidP="00343C6C" w14:paraId="13B66F2B"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58D38429" w14:textId="77777777">
      <w:r w:rsidRPr="00FC4A49">
        <w:rPr>
          <w:rStyle w:val="HideTWBExt"/>
        </w:rPr>
        <w:t>&lt;/RepeatBlock-By&gt;</w:t>
      </w:r>
    </w:p>
    <w:p w:rsidR="00343C6C" w:rsidRPr="00FC4A49" w:rsidP="00343C6C" w14:paraId="4581F3EF"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577E5E7" w14:textId="77777777">
      <w:pPr>
        <w:pStyle w:val="NormalBold"/>
      </w:pPr>
      <w:r w:rsidRPr="00FC4A49">
        <w:rPr>
          <w:rStyle w:val="HideTWBExt"/>
          <w:b w:val="0"/>
        </w:rPr>
        <w:t>&lt;Article&gt;</w:t>
      </w:r>
      <w:r w:rsidRPr="00FC4A49">
        <w:t>Recital 27</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12DC84"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3BB8CBD" w14:textId="77777777">
            <w:pPr>
              <w:keepNext/>
            </w:pPr>
          </w:p>
        </w:tc>
      </w:tr>
      <w:tr w14:paraId="27B47F1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7A29416" w14:textId="77777777">
            <w:pPr>
              <w:pStyle w:val="ColumnHeading"/>
              <w:keepNext/>
              <w:rPr>
                <w:lang w:val="en-GB"/>
              </w:rPr>
            </w:pPr>
            <w:r w:rsidRPr="00FC4A49">
              <w:rPr>
                <w:lang w:val="en-GB"/>
              </w:rPr>
              <w:t>Text proposed by the Commission</w:t>
            </w:r>
          </w:p>
        </w:tc>
        <w:tc>
          <w:tcPr>
            <w:tcW w:w="4876" w:type="dxa"/>
          </w:tcPr>
          <w:p w:rsidR="00343C6C" w:rsidRPr="00FC4A49" w:rsidP="005D58F9" w14:paraId="6317EB8E" w14:textId="77777777">
            <w:pPr>
              <w:pStyle w:val="ColumnHeading"/>
              <w:keepNext/>
              <w:rPr>
                <w:lang w:val="en-GB"/>
              </w:rPr>
            </w:pPr>
            <w:r w:rsidRPr="00FC4A49">
              <w:rPr>
                <w:lang w:val="en-GB"/>
              </w:rPr>
              <w:t>Amendment</w:t>
            </w:r>
          </w:p>
        </w:tc>
      </w:tr>
      <w:tr w14:paraId="5B82421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27BE999" w14:textId="77777777">
            <w:pPr>
              <w:pStyle w:val="Normal6"/>
              <w:rPr>
                <w:lang w:val="en-GB"/>
              </w:rPr>
            </w:pPr>
            <w:r w:rsidRPr="00FC4A49">
              <w:rPr>
                <w:b/>
                <w:i/>
                <w:lang w:val="en-GB"/>
              </w:rPr>
              <w:t>(27)</w:t>
            </w:r>
            <w:r w:rsidRPr="00FC4A49">
              <w:rPr>
                <w:b/>
                <w:i/>
                <w:lang w:val="en-GB"/>
              </w:rPr>
              <w:tab/>
              <w:t xml:space="preserve">With a view to addressing unclear implementation situations and diverging Member States’ practice, as well as </w:t>
            </w:r>
            <w:r w:rsidRPr="00FC4A49">
              <w:rPr>
                <w:b/>
                <w:i/>
                <w:lang w:val="en-GB"/>
              </w:rPr>
              <w:t>providing means to address continuous non-compliance with Directive 2003/87/EC, it is necessary to clarify existing rules as regards the granting, suspension and withdrawing of greenhouse gas emissions permits by competent authorities, and further develop them to enhance harmonisation. In order to ensure harmonised conditions for the implementation of Article 6 of Directive 2003/87/EC, as regards the granting, suspension and withdrawing of greenhouse gas emissions permits by the competent authorities, the Commission should be empowered to adopt implementing acts. Such powers should be exercised in accordance with Regulation (EU) No 182/2011.</w:t>
            </w:r>
          </w:p>
        </w:tc>
        <w:tc>
          <w:tcPr>
            <w:tcW w:w="4876" w:type="dxa"/>
          </w:tcPr>
          <w:p w:rsidR="00343C6C" w:rsidRPr="00FC4A49" w:rsidP="005D58F9" w14:paraId="76BD696C" w14:textId="77777777">
            <w:pPr>
              <w:pStyle w:val="Normal6"/>
              <w:rPr>
                <w:szCs w:val="24"/>
                <w:lang w:val="en-GB"/>
              </w:rPr>
            </w:pPr>
            <w:r w:rsidRPr="00FC4A49">
              <w:rPr>
                <w:b/>
                <w:i/>
                <w:lang w:val="en-GB"/>
              </w:rPr>
              <w:t>deleted</w:t>
            </w:r>
          </w:p>
        </w:tc>
      </w:tr>
    </w:tbl>
    <w:p w:rsidR="00343C6C" w:rsidRPr="00FC4A49" w:rsidP="00343C6C" w14:paraId="2F2DDE3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0DB1F158" w14:textId="77777777">
      <w:r w:rsidRPr="00FC4A49">
        <w:rPr>
          <w:rStyle w:val="HideTWBExt"/>
        </w:rPr>
        <w:t>&lt;/Amend&gt;</w:t>
      </w:r>
    </w:p>
    <w:p w:rsidR="00343C6C" w:rsidRPr="00FC4A49" w:rsidP="00343C6C" w14:paraId="49A3F54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218</w:t>
      </w:r>
      <w:r w:rsidRPr="00FC4A49">
        <w:rPr>
          <w:rStyle w:val="HideTWBExt"/>
          <w:b w:val="0"/>
          <w:lang w:val="en-GB"/>
        </w:rPr>
        <w:t>&lt;/NumAm&gt;</w:t>
      </w:r>
    </w:p>
    <w:p w:rsidR="00343C6C" w:rsidRPr="00FC4A49" w:rsidP="00343C6C" w14:paraId="3204820D"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71FDF27A" w14:textId="77777777">
      <w:r w:rsidRPr="00FC4A49">
        <w:rPr>
          <w:rStyle w:val="HideTWBExt"/>
        </w:rPr>
        <w:t>&lt;/RepeatBlock-By&gt;</w:t>
      </w:r>
    </w:p>
    <w:p w:rsidR="00343C6C" w:rsidRPr="00FC4A49" w:rsidP="00343C6C" w14:paraId="364C36A5"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4D92964" w14:textId="77777777">
      <w:pPr>
        <w:pStyle w:val="NormalBold"/>
      </w:pPr>
      <w:r w:rsidRPr="00FC4A49">
        <w:rPr>
          <w:rStyle w:val="HideTWBExt"/>
          <w:b w:val="0"/>
        </w:rPr>
        <w:t>&lt;Article&gt;</w:t>
      </w:r>
      <w:r w:rsidRPr="00FC4A49">
        <w:t>Recital 28</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86F72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A15A5D0" w14:textId="77777777">
            <w:pPr>
              <w:keepNext/>
            </w:pPr>
          </w:p>
        </w:tc>
      </w:tr>
      <w:tr w14:paraId="6C30A5A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3C45DCC" w14:textId="77777777">
            <w:pPr>
              <w:pStyle w:val="ColumnHeading"/>
              <w:keepNext/>
              <w:rPr>
                <w:lang w:val="en-GB"/>
              </w:rPr>
            </w:pPr>
            <w:r w:rsidRPr="00FC4A49">
              <w:rPr>
                <w:lang w:val="en-GB"/>
              </w:rPr>
              <w:t>Text proposed by the Commission</w:t>
            </w:r>
          </w:p>
        </w:tc>
        <w:tc>
          <w:tcPr>
            <w:tcW w:w="4876" w:type="dxa"/>
          </w:tcPr>
          <w:p w:rsidR="00343C6C" w:rsidRPr="00FC4A49" w:rsidP="005D58F9" w14:paraId="0F4F31A8" w14:textId="77777777">
            <w:pPr>
              <w:pStyle w:val="ColumnHeading"/>
              <w:keepNext/>
              <w:rPr>
                <w:lang w:val="en-GB"/>
              </w:rPr>
            </w:pPr>
            <w:r w:rsidRPr="00FC4A49">
              <w:rPr>
                <w:lang w:val="en-GB"/>
              </w:rPr>
              <w:t>Amendment</w:t>
            </w:r>
          </w:p>
        </w:tc>
      </w:tr>
      <w:tr w14:paraId="3A8A29B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14F537B" w14:textId="77777777">
            <w:pPr>
              <w:pStyle w:val="Normal6"/>
              <w:rPr>
                <w:lang w:val="en-GB"/>
              </w:rPr>
            </w:pPr>
            <w:r w:rsidRPr="00FC4A49">
              <w:rPr>
                <w:b/>
                <w:i/>
                <w:lang w:val="en-GB"/>
              </w:rPr>
              <w:t>(28)</w:t>
            </w:r>
            <w:r w:rsidRPr="00FC4A49">
              <w:rPr>
                <w:b/>
                <w:i/>
                <w:lang w:val="en-GB"/>
              </w:rPr>
              <w:tab/>
            </w:r>
            <w:r w:rsidRPr="00FC4A49">
              <w:rPr>
                <w:b/>
                <w:bCs/>
                <w:i/>
                <w:iCs/>
                <w:lang w:val="en-GB"/>
              </w:rPr>
              <w:t>Directive (EU) 2023/959 of the European Parliament and of the Council</w:t>
            </w:r>
            <w:r w:rsidRPr="00FC4A49">
              <w:rPr>
                <w:b/>
                <w:bCs/>
                <w:i/>
                <w:iCs/>
                <w:vertAlign w:val="superscript"/>
                <w:lang w:val="en-GB"/>
              </w:rPr>
              <w:t>17</w:t>
            </w:r>
            <w:r w:rsidRPr="00FC4A49">
              <w:rPr>
                <w:b/>
                <w:bCs/>
                <w:i/>
                <w:iCs/>
                <w:lang w:val="en-GB"/>
              </w:rPr>
              <w:t xml:space="preserve"> which amended Directive 2003/87/EC by extending the activity in Annex I to Directive 2003/87/EC on transport by pipeline of greenhouse gases for the purpose of storage, to all means of transport.</w:t>
            </w:r>
            <w:r w:rsidRPr="00FC4A49">
              <w:rPr>
                <w:b/>
                <w:i/>
                <w:lang w:val="en-GB"/>
              </w:rPr>
              <w:t xml:space="preserve"> The development of this activity has demonstrated the complexity in appointing the administrating authority for cases of cross-border transport, making it necessary to clarify which Member State should grant permits to the operator of the CO</w:t>
            </w:r>
            <w:r w:rsidRPr="00FC4A49">
              <w:rPr>
                <w:b/>
                <w:i/>
                <w:vertAlign w:val="subscript"/>
                <w:lang w:val="en-GB"/>
              </w:rPr>
              <w:t>2</w:t>
            </w:r>
            <w:r w:rsidRPr="00FC4A49">
              <w:rPr>
                <w:b/>
                <w:i/>
                <w:lang w:val="en-GB"/>
              </w:rPr>
              <w:t xml:space="preserve"> transport infrastructure. To privilege clarity and thus speed up permitting, a clear rule, applicable in all cases, should be established, whereby the competent </w:t>
            </w:r>
            <w:r w:rsidRPr="00FC4A49">
              <w:rPr>
                <w:b/>
                <w:i/>
                <w:lang w:val="en-GB"/>
              </w:rPr>
              <w:t>authority should be the one of the Member State where the CO</w:t>
            </w:r>
            <w:r w:rsidRPr="00FC4A49">
              <w:rPr>
                <w:b/>
                <w:i/>
                <w:vertAlign w:val="subscript"/>
                <w:lang w:val="en-GB"/>
              </w:rPr>
              <w:t>2</w:t>
            </w:r>
            <w:r w:rsidRPr="00FC4A49">
              <w:rPr>
                <w:b/>
                <w:i/>
                <w:lang w:val="en-GB"/>
              </w:rPr>
              <w:t xml:space="preserve"> is collected, which will be where it is captured. </w:t>
            </w:r>
            <w:r w:rsidRPr="00FC4A49">
              <w:rPr>
                <w:b/>
                <w:bCs/>
                <w:i/>
                <w:iCs/>
                <w:lang w:val="en-GB"/>
              </w:rPr>
              <w:t>The competent authority should be responsible for that CO</w:t>
            </w:r>
            <w:r w:rsidRPr="00FC4A49">
              <w:rPr>
                <w:b/>
                <w:bCs/>
                <w:i/>
                <w:iCs/>
                <w:vertAlign w:val="subscript"/>
                <w:lang w:val="en-GB"/>
              </w:rPr>
              <w:t>2</w:t>
            </w:r>
            <w:r w:rsidRPr="00FC4A49">
              <w:rPr>
                <w:b/>
                <w:bCs/>
                <w:i/>
                <w:iCs/>
                <w:lang w:val="en-GB"/>
              </w:rPr>
              <w:t xml:space="preserve"> transport until the CO</w:t>
            </w:r>
            <w:r w:rsidRPr="00FC4A49">
              <w:rPr>
                <w:b/>
                <w:bCs/>
                <w:i/>
                <w:iCs/>
                <w:vertAlign w:val="subscript"/>
                <w:lang w:val="en-GB"/>
              </w:rPr>
              <w:t>2</w:t>
            </w:r>
            <w:r w:rsidRPr="00FC4A49">
              <w:rPr>
                <w:b/>
                <w:bCs/>
                <w:i/>
                <w:iCs/>
                <w:lang w:val="en-GB"/>
              </w:rPr>
              <w:t xml:space="preserve"> is collected by an operator in another Member State.</w:t>
            </w:r>
            <w:r w:rsidRPr="00FC4A49">
              <w:rPr>
                <w:b/>
                <w:i/>
                <w:lang w:val="en-GB"/>
              </w:rPr>
              <w:t xml:space="preserve"> Member States where the CO</w:t>
            </w:r>
            <w:r w:rsidRPr="00FC4A49">
              <w:rPr>
                <w:b/>
                <w:i/>
                <w:vertAlign w:val="subscript"/>
                <w:lang w:val="en-GB"/>
              </w:rPr>
              <w:t>2</w:t>
            </w:r>
            <w:r w:rsidRPr="00FC4A49">
              <w:rPr>
                <w:b/>
                <w:i/>
                <w:lang w:val="en-GB"/>
              </w:rPr>
              <w:t xml:space="preserve"> only transits should not be involved in the permitting of the CO</w:t>
            </w:r>
            <w:r w:rsidRPr="00FC4A49">
              <w:rPr>
                <w:b/>
                <w:i/>
                <w:vertAlign w:val="subscript"/>
                <w:lang w:val="en-GB"/>
              </w:rPr>
              <w:t>2</w:t>
            </w:r>
            <w:r w:rsidRPr="00FC4A49">
              <w:rPr>
                <w:b/>
                <w:i/>
                <w:lang w:val="en-GB"/>
              </w:rPr>
              <w:t xml:space="preserve"> transport activity.</w:t>
            </w:r>
          </w:p>
        </w:tc>
        <w:tc>
          <w:tcPr>
            <w:tcW w:w="4876" w:type="dxa"/>
          </w:tcPr>
          <w:p w:rsidR="00343C6C" w:rsidRPr="00FC4A49" w:rsidP="005D58F9" w14:paraId="7B42537F" w14:textId="77777777">
            <w:pPr>
              <w:pStyle w:val="Normal6"/>
              <w:rPr>
                <w:szCs w:val="24"/>
                <w:lang w:val="en-GB"/>
              </w:rPr>
            </w:pPr>
            <w:r w:rsidRPr="00FC4A49">
              <w:rPr>
                <w:b/>
                <w:i/>
                <w:lang w:val="en-GB"/>
              </w:rPr>
              <w:t>deleted</w:t>
            </w:r>
          </w:p>
        </w:tc>
      </w:tr>
      <w:tr w14:paraId="1135A11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16F57FA" w14:textId="77777777">
            <w:pPr>
              <w:pStyle w:val="Normal6"/>
              <w:rPr>
                <w:lang w:val="en-GB"/>
              </w:rPr>
            </w:pPr>
            <w:r w:rsidRPr="00FC4A49">
              <w:rPr>
                <w:b/>
                <w:i/>
                <w:lang w:val="en-GB"/>
              </w:rPr>
              <w:t>__________________</w:t>
            </w:r>
          </w:p>
        </w:tc>
        <w:tc>
          <w:tcPr>
            <w:tcW w:w="4876" w:type="dxa"/>
          </w:tcPr>
          <w:p w:rsidR="00343C6C" w:rsidRPr="00FC4A49" w:rsidP="005D58F9" w14:paraId="078EED63" w14:textId="77777777">
            <w:pPr>
              <w:pStyle w:val="Normal6"/>
              <w:rPr>
                <w:szCs w:val="24"/>
                <w:lang w:val="en-GB"/>
              </w:rPr>
            </w:pPr>
          </w:p>
        </w:tc>
      </w:tr>
      <w:tr w14:paraId="06E70C2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171DD0D" w14:textId="77777777">
            <w:pPr>
              <w:pStyle w:val="Normal6"/>
              <w:rPr>
                <w:lang w:val="en-GB"/>
              </w:rPr>
            </w:pPr>
            <w:r w:rsidRPr="00FC4A49">
              <w:rPr>
                <w:b/>
                <w:bCs/>
                <w:i/>
                <w:iCs/>
                <w:vertAlign w:val="superscript"/>
                <w:lang w:val="en-GB"/>
              </w:rPr>
              <w:t>17</w:t>
            </w:r>
            <w:r w:rsidRPr="00FC4A49">
              <w:rPr>
                <w:b/>
                <w:bCs/>
                <w:i/>
                <w:iCs/>
                <w:lang w:val="en-GB"/>
              </w:rPr>
              <w:t xml:space="preserve"> Directive (EU) 2023/959 of the European Parliament and of the Council of 10 May 2023 amending Directive 2003/87/EC establishing a system for greenhouse gas emission allowance trading within the Union and Decision (EU) 2015/1814 concerning the establishment and operation of a market stability reserve for the Union greenhouse gas emission trading system (OJ L 130, 16.5.2023, ELI:</w:t>
            </w:r>
            <w:r w:rsidRPr="00FC4A49">
              <w:rPr>
                <w:b/>
                <w:i/>
                <w:lang w:val="en-GB"/>
              </w:rPr>
              <w:t xml:space="preserve"> http://data.europa.eu/eli/dir/2023/959/oj).</w:t>
            </w:r>
          </w:p>
        </w:tc>
        <w:tc>
          <w:tcPr>
            <w:tcW w:w="4876" w:type="dxa"/>
          </w:tcPr>
          <w:p w:rsidR="00343C6C" w:rsidRPr="00FC4A49" w:rsidP="005D58F9" w14:paraId="183A1291" w14:textId="77777777">
            <w:pPr>
              <w:pStyle w:val="Normal6"/>
              <w:rPr>
                <w:szCs w:val="24"/>
                <w:lang w:val="en-GB"/>
              </w:rPr>
            </w:pPr>
          </w:p>
        </w:tc>
      </w:tr>
    </w:tbl>
    <w:p w:rsidR="00343C6C" w:rsidRPr="00FC4A49" w:rsidP="00343C6C" w14:paraId="68CA3F4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31EB9F4E" w14:textId="77777777">
      <w:r w:rsidRPr="00FC4A49">
        <w:rPr>
          <w:rStyle w:val="HideTWBExt"/>
        </w:rPr>
        <w:t>&lt;/Amend&gt;</w:t>
      </w:r>
    </w:p>
    <w:p w:rsidR="00343C6C" w:rsidRPr="00804E2D" w:rsidP="00343C6C" w14:paraId="53C215DF" w14:textId="77777777">
      <w:pPr>
        <w:pStyle w:val="AMNumberTabs0"/>
        <w:keepNext/>
        <w:rPr>
          <w:lang w:val="it-IT"/>
        </w:rPr>
      </w:pPr>
      <w:r w:rsidRPr="00804E2D">
        <w:rPr>
          <w:rStyle w:val="HideTWBExt"/>
          <w:b w:val="0"/>
          <w:lang w:val="it-IT"/>
        </w:rPr>
        <w:t>&lt;Amend&gt;</w:t>
      </w:r>
      <w:r w:rsidRPr="00804E2D">
        <w:rPr>
          <w:lang w:val="it-IT"/>
        </w:rPr>
        <w:t>Amendment</w:t>
      </w:r>
      <w:r w:rsidRPr="00804E2D">
        <w:rPr>
          <w:lang w:val="it-IT"/>
        </w:rPr>
        <w:tab/>
      </w:r>
      <w:r w:rsidRPr="00804E2D">
        <w:rPr>
          <w:lang w:val="it-IT"/>
        </w:rPr>
        <w:tab/>
      </w:r>
      <w:r w:rsidRPr="00804E2D">
        <w:rPr>
          <w:rStyle w:val="HideTWBExt"/>
          <w:b w:val="0"/>
          <w:lang w:val="it-IT"/>
        </w:rPr>
        <w:t>&lt;NumAm&gt;</w:t>
      </w:r>
      <w:r w:rsidRPr="00804E2D">
        <w:rPr>
          <w:lang w:val="it-IT"/>
        </w:rPr>
        <w:t>219</w:t>
      </w:r>
      <w:r w:rsidRPr="00804E2D">
        <w:rPr>
          <w:rStyle w:val="HideTWBExt"/>
          <w:b w:val="0"/>
          <w:lang w:val="it-IT"/>
        </w:rPr>
        <w:t>&lt;/NumAm&gt;</w:t>
      </w:r>
    </w:p>
    <w:p w:rsidR="00343C6C" w:rsidRPr="00804E2D" w:rsidP="00343C6C" w14:paraId="57CDFECD" w14:textId="77777777">
      <w:pPr>
        <w:pStyle w:val="NormalBold"/>
        <w:rPr>
          <w:lang w:val="it-IT"/>
        </w:rPr>
      </w:pPr>
      <w:r w:rsidRPr="00804E2D">
        <w:rPr>
          <w:rStyle w:val="HideTWBExt"/>
          <w:b w:val="0"/>
          <w:lang w:val="it-IT"/>
        </w:rPr>
        <w:t>&lt;RepeatBlock-By&gt;&lt;Members&gt;</w:t>
      </w:r>
      <w:r w:rsidRPr="00804E2D">
        <w:rPr>
          <w:lang w:val="it-IT"/>
        </w:rPr>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804E2D">
        <w:rPr>
          <w:rStyle w:val="HideTWBExt"/>
          <w:b w:val="0"/>
          <w:lang w:val="it-IT"/>
        </w:rPr>
        <w:t>&lt;/Members&gt;</w:t>
      </w:r>
    </w:p>
    <w:p w:rsidR="00343C6C" w:rsidRPr="00FC4A49" w:rsidP="00343C6C" w14:paraId="14B4E2CE" w14:textId="77777777">
      <w:r w:rsidRPr="00FC4A49">
        <w:rPr>
          <w:rStyle w:val="HideTWBExt"/>
        </w:rPr>
        <w:t>&lt;/RepeatBlock-By&gt;</w:t>
      </w:r>
    </w:p>
    <w:p w:rsidR="00343C6C" w:rsidRPr="00FC4A49" w:rsidP="00343C6C" w14:paraId="7A6DB4A0"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DB75C61" w14:textId="77777777">
      <w:pPr>
        <w:pStyle w:val="NormalBold"/>
      </w:pPr>
      <w:r w:rsidRPr="00FC4A49">
        <w:rPr>
          <w:rStyle w:val="HideTWBExt"/>
          <w:b w:val="0"/>
        </w:rPr>
        <w:t>&lt;Article&gt;</w:t>
      </w:r>
      <w:r w:rsidRPr="00FC4A49">
        <w:t>Recital 28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F9BF8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E5FD1A0" w14:textId="77777777">
            <w:pPr>
              <w:keepNext/>
            </w:pPr>
          </w:p>
        </w:tc>
      </w:tr>
      <w:tr w14:paraId="66BA049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435F7DC" w14:textId="77777777">
            <w:pPr>
              <w:pStyle w:val="ColumnHeading"/>
              <w:keepNext/>
              <w:rPr>
                <w:lang w:val="en-GB"/>
              </w:rPr>
            </w:pPr>
            <w:r w:rsidRPr="00FC4A49">
              <w:rPr>
                <w:lang w:val="en-GB"/>
              </w:rPr>
              <w:t>Text proposed by the Commission</w:t>
            </w:r>
          </w:p>
        </w:tc>
        <w:tc>
          <w:tcPr>
            <w:tcW w:w="4876" w:type="dxa"/>
          </w:tcPr>
          <w:p w:rsidR="00343C6C" w:rsidRPr="00FC4A49" w:rsidP="005D58F9" w14:paraId="15728DE3" w14:textId="77777777">
            <w:pPr>
              <w:pStyle w:val="ColumnHeading"/>
              <w:keepNext/>
              <w:rPr>
                <w:lang w:val="en-GB"/>
              </w:rPr>
            </w:pPr>
            <w:r w:rsidRPr="00FC4A49">
              <w:rPr>
                <w:lang w:val="en-GB"/>
              </w:rPr>
              <w:t>Amendment</w:t>
            </w:r>
          </w:p>
        </w:tc>
      </w:tr>
      <w:tr w14:paraId="5EC84D6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94E3D58" w14:textId="77777777">
            <w:pPr>
              <w:pStyle w:val="Normal6"/>
              <w:rPr>
                <w:lang w:val="en-GB"/>
              </w:rPr>
            </w:pPr>
          </w:p>
        </w:tc>
        <w:tc>
          <w:tcPr>
            <w:tcW w:w="4876" w:type="dxa"/>
          </w:tcPr>
          <w:p w:rsidR="00343C6C" w:rsidRPr="00FC4A49" w:rsidP="005D58F9" w14:paraId="19940674" w14:textId="77777777">
            <w:pPr>
              <w:pStyle w:val="Normal6"/>
              <w:rPr>
                <w:szCs w:val="24"/>
                <w:lang w:val="en-GB"/>
              </w:rPr>
            </w:pPr>
            <w:r w:rsidRPr="00FC4A49">
              <w:rPr>
                <w:b/>
                <w:i/>
                <w:lang w:val="en-GB"/>
              </w:rPr>
              <w:t>(28a)</w:t>
            </w:r>
            <w:r w:rsidRPr="00FC4A49">
              <w:rPr>
                <w:b/>
                <w:i/>
                <w:lang w:val="en-GB"/>
              </w:rPr>
              <w:tab/>
              <w:t xml:space="preserve">In March 2026, Regulation (EU) 2021/1119 was amended to establish a link between the binding Union climate target for 2040 and the enabling framework necessary for its attainment. That link should be further recognised in this Directive through the inclusion of the </w:t>
            </w:r>
            <w:r w:rsidRPr="00FC4A49">
              <w:rPr>
                <w:b/>
                <w:i/>
                <w:lang w:val="en-GB"/>
              </w:rPr>
              <w:t>enabling conditions necessary for the climate-neutral transformation of Union industry. 'Enabling conditions’ means the physical and economic prerequisites and the framework conditions required to achieve that transformation. In the industrial sector, enabling conditions shall be deemed to exist, in particular, where the following are in place:</w:t>
            </w:r>
          </w:p>
        </w:tc>
      </w:tr>
      <w:tr w14:paraId="7831083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54F6521" w14:textId="77777777">
            <w:pPr>
              <w:pStyle w:val="Normal6"/>
              <w:rPr>
                <w:lang w:val="en-GB"/>
              </w:rPr>
            </w:pPr>
          </w:p>
        </w:tc>
        <w:tc>
          <w:tcPr>
            <w:tcW w:w="4876" w:type="dxa"/>
          </w:tcPr>
          <w:p w:rsidR="00343C6C" w:rsidRPr="00FC4A49" w:rsidP="005D58F9" w14:paraId="11E7799C" w14:textId="77777777">
            <w:pPr>
              <w:pStyle w:val="Normal6"/>
              <w:rPr>
                <w:szCs w:val="24"/>
                <w:lang w:val="en-GB"/>
              </w:rPr>
            </w:pPr>
            <w:r w:rsidRPr="00FC4A49">
              <w:rPr>
                <w:b/>
                <w:i/>
                <w:lang w:val="en-GB"/>
              </w:rPr>
              <w:t>a)the availability of commercially viable business cases and demand for lower carbon products enabling investments in industrial decarbonisation;</w:t>
            </w:r>
          </w:p>
        </w:tc>
      </w:tr>
      <w:tr w14:paraId="290C16A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C164A08" w14:textId="77777777">
            <w:pPr>
              <w:pStyle w:val="Normal6"/>
              <w:rPr>
                <w:lang w:val="en-GB"/>
              </w:rPr>
            </w:pPr>
          </w:p>
        </w:tc>
        <w:tc>
          <w:tcPr>
            <w:tcW w:w="4876" w:type="dxa"/>
          </w:tcPr>
          <w:p w:rsidR="00343C6C" w:rsidRPr="00FC4A49" w:rsidP="005D58F9" w14:paraId="4E22D32C" w14:textId="77777777">
            <w:pPr>
              <w:pStyle w:val="Normal6"/>
              <w:rPr>
                <w:szCs w:val="24"/>
                <w:lang w:val="en-GB"/>
              </w:rPr>
            </w:pPr>
            <w:r w:rsidRPr="00FC4A49">
              <w:rPr>
                <w:b/>
                <w:i/>
                <w:lang w:val="en-GB"/>
              </w:rPr>
              <w:t>b)the sufficient availability of low-carbon and renewable electricity, hydrogen and other decarbonised energy carriers at internationally competitive prices in every Member State;</w:t>
            </w:r>
          </w:p>
        </w:tc>
      </w:tr>
      <w:tr w14:paraId="111279D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FCDCC13" w14:textId="77777777">
            <w:pPr>
              <w:pStyle w:val="Normal6"/>
              <w:rPr>
                <w:lang w:val="en-GB"/>
              </w:rPr>
            </w:pPr>
          </w:p>
        </w:tc>
        <w:tc>
          <w:tcPr>
            <w:tcW w:w="4876" w:type="dxa"/>
          </w:tcPr>
          <w:p w:rsidR="00343C6C" w:rsidRPr="00FC4A49" w:rsidP="005D58F9" w14:paraId="251AD2B7" w14:textId="77777777">
            <w:pPr>
              <w:pStyle w:val="Normal6"/>
              <w:rPr>
                <w:szCs w:val="24"/>
                <w:lang w:val="en-GB"/>
              </w:rPr>
            </w:pPr>
            <w:r w:rsidRPr="00FC4A49">
              <w:rPr>
                <w:b/>
                <w:i/>
                <w:lang w:val="en-GB"/>
              </w:rPr>
              <w:t>c) the timely availability and deployment of the necessary electricity, hydrogen and CO₂ transport and storage infrastructure, including transmission and distribution grids, assessed by reference to the permitted and operational capacity effectively available to installations in each region of the Union;</w:t>
            </w:r>
          </w:p>
        </w:tc>
      </w:tr>
      <w:tr w14:paraId="1A72206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CD91243" w14:textId="77777777">
            <w:pPr>
              <w:pStyle w:val="Normal6"/>
              <w:rPr>
                <w:lang w:val="en-GB"/>
              </w:rPr>
            </w:pPr>
          </w:p>
        </w:tc>
        <w:tc>
          <w:tcPr>
            <w:tcW w:w="4876" w:type="dxa"/>
          </w:tcPr>
          <w:p w:rsidR="00343C6C" w:rsidRPr="00FC4A49" w:rsidP="005D58F9" w14:paraId="7E9E500E" w14:textId="77777777">
            <w:pPr>
              <w:pStyle w:val="Normal6"/>
              <w:rPr>
                <w:szCs w:val="24"/>
                <w:lang w:val="en-GB"/>
              </w:rPr>
            </w:pPr>
            <w:r w:rsidRPr="00FC4A49">
              <w:rPr>
                <w:b/>
                <w:i/>
                <w:lang w:val="en-GB"/>
              </w:rPr>
              <w:t>d) the commercial maturity, scalability, availability and affordability of the technologies and services necessary for industrial decarbonisation;</w:t>
            </w:r>
          </w:p>
        </w:tc>
      </w:tr>
      <w:tr w14:paraId="022E91E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750BCF2" w14:textId="77777777">
            <w:pPr>
              <w:pStyle w:val="Normal6"/>
              <w:rPr>
                <w:lang w:val="en-GB"/>
              </w:rPr>
            </w:pPr>
          </w:p>
        </w:tc>
        <w:tc>
          <w:tcPr>
            <w:tcW w:w="4876" w:type="dxa"/>
          </w:tcPr>
          <w:p w:rsidR="00343C6C" w:rsidRPr="00FC4A49" w:rsidP="005D58F9" w14:paraId="5F6D60FC" w14:textId="77777777">
            <w:pPr>
              <w:pStyle w:val="Normal6"/>
              <w:rPr>
                <w:szCs w:val="24"/>
                <w:lang w:val="en-GB"/>
              </w:rPr>
            </w:pPr>
            <w:r w:rsidRPr="00FC4A49">
              <w:rPr>
                <w:b/>
                <w:i/>
                <w:lang w:val="en-GB"/>
              </w:rPr>
              <w:t>e) the existence of effective and well-functioning measures preventing carbon leakage and safeguarding the international competitiveness of Union industry.</w:t>
            </w:r>
          </w:p>
        </w:tc>
      </w:tr>
    </w:tbl>
    <w:p w:rsidR="00343C6C" w:rsidRPr="00FC4A49" w:rsidP="00343C6C" w14:paraId="4FA0AD33"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2216CA6"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3751F518" w14:textId="77777777">
      <w:pPr>
        <w:pStyle w:val="Normal12Italic"/>
        <w:rPr>
          <w:noProof w:val="0"/>
          <w:lang w:val="en-GB"/>
        </w:rPr>
      </w:pPr>
      <w:r w:rsidRPr="00FC4A49">
        <w:rPr>
          <w:noProof w:val="0"/>
          <w:lang w:val="en-GB"/>
        </w:rPr>
        <w:t xml:space="preserve">In March 2026, the European Climate Law, established by Regulation (EU) 2021/1119, was amended to introduce a link between the binding 2040 climate target and the enabling framework required to achieve it. This link should be further recognised in the ETS Directive through an explicit reference to the enabling conditions necessary for the industrial climate transition. While these conditions may also be addressed through Commission-led industrial alliances and sectoral dialogues, defining them in the ETS Directive and monitoring progress </w:t>
      </w:r>
      <w:r w:rsidRPr="00FC4A49">
        <w:rPr>
          <w:noProof w:val="0"/>
          <w:lang w:val="en-GB"/>
        </w:rPr>
        <w:t>against them would more directly support industry’s effective capacity to progress in the transition. Industry climate transition can only be implemented widely, if required enabling conditions are in place. If these conditions are not met, the application of the directive cannot be continued as previously defined but needs further adaptation. The presence of enabling conditions ensures, that the ETS price signal triggers transformation investments instead of activity reduction.</w:t>
      </w:r>
    </w:p>
    <w:p w:rsidR="00343C6C" w:rsidRPr="00FC4A49" w:rsidP="00343C6C" w14:paraId="5E347CEC" w14:textId="77777777">
      <w:r w:rsidRPr="00FC4A49">
        <w:rPr>
          <w:rStyle w:val="HideTWBExt"/>
        </w:rPr>
        <w:t>&lt;/Amend&gt;</w:t>
      </w:r>
    </w:p>
    <w:p w:rsidR="00343C6C" w:rsidRPr="00FC4A49" w:rsidP="00343C6C" w14:paraId="7976D0B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220</w:t>
      </w:r>
      <w:r w:rsidRPr="00FC4A49">
        <w:rPr>
          <w:rStyle w:val="HideTWBExt"/>
          <w:b w:val="0"/>
          <w:lang w:val="en-GB"/>
        </w:rPr>
        <w:t>&lt;/NumAm&gt;</w:t>
      </w:r>
    </w:p>
    <w:p w:rsidR="00343C6C" w:rsidRPr="00FC4A49" w:rsidP="00343C6C" w14:paraId="5E32A39F" w14:textId="77777777">
      <w:pPr>
        <w:pStyle w:val="NormalBold"/>
      </w:pPr>
      <w:r w:rsidRPr="00FC4A49">
        <w:rPr>
          <w:rStyle w:val="HideTWBExt"/>
          <w:b w:val="0"/>
        </w:rPr>
        <w:t>&lt;RepeatBlock-By&gt;&lt;Members&gt;</w:t>
      </w:r>
      <w:r w:rsidRPr="00FC4A49">
        <w:t>Li Andersson, Jonas Sjöstedt, Per Clausen</w:t>
      </w:r>
      <w:r w:rsidRPr="00FC4A49">
        <w:rPr>
          <w:rStyle w:val="HideTWBExt"/>
          <w:b w:val="0"/>
        </w:rPr>
        <w:t>&lt;/Members&gt;</w:t>
      </w:r>
    </w:p>
    <w:p w:rsidR="00343C6C" w:rsidRPr="00FC4A49" w:rsidP="00343C6C" w14:paraId="57BBF72F" w14:textId="77777777">
      <w:r w:rsidRPr="00FC4A49">
        <w:rPr>
          <w:rStyle w:val="HideTWBExt"/>
        </w:rPr>
        <w:t>&lt;/RepeatBlock-By&gt;</w:t>
      </w:r>
    </w:p>
    <w:p w:rsidR="00343C6C" w:rsidRPr="00FC4A49" w:rsidP="00343C6C" w14:paraId="6106998B"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53D50AC" w14:textId="77777777">
      <w:pPr>
        <w:pStyle w:val="NormalBold"/>
      </w:pPr>
      <w:r w:rsidRPr="00FC4A49">
        <w:rPr>
          <w:rStyle w:val="HideTWBExt"/>
          <w:b w:val="0"/>
        </w:rPr>
        <w:t>&lt;Article&gt;</w:t>
      </w:r>
      <w:r w:rsidRPr="00FC4A49">
        <w:t>Recital 29</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C489F0"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C4CB4E5" w14:textId="77777777">
            <w:pPr>
              <w:keepNext/>
            </w:pPr>
          </w:p>
        </w:tc>
      </w:tr>
      <w:tr w14:paraId="3614F8F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FEC8060" w14:textId="77777777">
            <w:pPr>
              <w:pStyle w:val="ColumnHeading"/>
              <w:keepNext/>
              <w:rPr>
                <w:lang w:val="en-GB"/>
              </w:rPr>
            </w:pPr>
            <w:r w:rsidRPr="00FC4A49">
              <w:rPr>
                <w:lang w:val="en-GB"/>
              </w:rPr>
              <w:t>Text proposed by the Commission</w:t>
            </w:r>
          </w:p>
        </w:tc>
        <w:tc>
          <w:tcPr>
            <w:tcW w:w="4876" w:type="dxa"/>
          </w:tcPr>
          <w:p w:rsidR="00343C6C" w:rsidRPr="00FC4A49" w:rsidP="005D58F9" w14:paraId="1F05A198" w14:textId="77777777">
            <w:pPr>
              <w:pStyle w:val="ColumnHeading"/>
              <w:keepNext/>
              <w:rPr>
                <w:lang w:val="en-GB"/>
              </w:rPr>
            </w:pPr>
            <w:r w:rsidRPr="00FC4A49">
              <w:rPr>
                <w:lang w:val="en-GB"/>
              </w:rPr>
              <w:t>Amendment</w:t>
            </w:r>
          </w:p>
        </w:tc>
      </w:tr>
      <w:tr w14:paraId="7DE0758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DA01723" w14:textId="77777777">
            <w:pPr>
              <w:pStyle w:val="Normal6"/>
              <w:rPr>
                <w:lang w:val="en-GB"/>
              </w:rPr>
            </w:pPr>
            <w:r w:rsidRPr="00FC4A49">
              <w:rPr>
                <w:b/>
                <w:i/>
                <w:lang w:val="en-GB"/>
              </w:rPr>
              <w:t>(29)</w:t>
            </w:r>
            <w:r w:rsidRPr="00FC4A49">
              <w:rPr>
                <w:b/>
                <w:i/>
                <w:lang w:val="en-GB"/>
              </w:rPr>
              <w:tab/>
              <w:t>Achieving the Union’s emission reduction target of -90% by 2040 as compared to 1990 levels requires adjusting the rate of reduction in the emissions of the sectors covered by the EU ETS from 2031. The linear reduction factor provided for in Article 9 of Directive 2003/87/EC should therefore be adjusted.</w:t>
            </w:r>
          </w:p>
        </w:tc>
        <w:tc>
          <w:tcPr>
            <w:tcW w:w="4876" w:type="dxa"/>
          </w:tcPr>
          <w:p w:rsidR="00343C6C" w:rsidRPr="00FC4A49" w:rsidP="005D58F9" w14:paraId="61A479C5" w14:textId="77777777">
            <w:pPr>
              <w:pStyle w:val="Normal6"/>
              <w:rPr>
                <w:szCs w:val="24"/>
                <w:lang w:val="en-GB"/>
              </w:rPr>
            </w:pPr>
            <w:r w:rsidRPr="00FC4A49">
              <w:rPr>
                <w:b/>
                <w:i/>
                <w:lang w:val="en-GB"/>
              </w:rPr>
              <w:t>deleted</w:t>
            </w:r>
          </w:p>
        </w:tc>
      </w:tr>
    </w:tbl>
    <w:p w:rsidR="00343C6C" w:rsidRPr="00FC4A49" w:rsidP="00343C6C" w14:paraId="2709724B"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0726E34" w14:textId="77777777">
      <w:r w:rsidRPr="00FC4A49">
        <w:rPr>
          <w:rStyle w:val="HideTWBExt"/>
        </w:rPr>
        <w:t>&lt;/Amend&gt;</w:t>
      </w:r>
    </w:p>
    <w:p w:rsidR="00343C6C" w:rsidRPr="00FC4A49" w:rsidP="00343C6C" w14:paraId="06F9D4A3"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221</w:t>
      </w:r>
      <w:r w:rsidRPr="00FC4A49">
        <w:rPr>
          <w:rStyle w:val="HideTWBExt"/>
          <w:b w:val="0"/>
          <w:lang w:val="en-GB"/>
        </w:rPr>
        <w:t>&lt;/NumAm&gt;</w:t>
      </w:r>
    </w:p>
    <w:p w:rsidR="00343C6C" w:rsidRPr="00FC4A49" w:rsidP="00343C6C" w14:paraId="395F182E" w14:textId="77777777">
      <w:pPr>
        <w:pStyle w:val="NormalBold"/>
      </w:pPr>
      <w:r w:rsidRPr="00FC4A49">
        <w:rPr>
          <w:rStyle w:val="HideTWBExt"/>
          <w:b w:val="0"/>
        </w:rPr>
        <w:t>&lt;RepeatBlock-By&gt;&lt;Members&gt;</w:t>
      </w:r>
      <w:r w:rsidRPr="00FC4A49">
        <w:t xml:space="preserve">Jacek </w:t>
      </w:r>
      <w:r w:rsidRPr="00FC4A49">
        <w:t>Ozdoba</w:t>
      </w:r>
      <w:r w:rsidRPr="00FC4A49">
        <w:rPr>
          <w:rStyle w:val="HideTWBExt"/>
          <w:b w:val="0"/>
        </w:rPr>
        <w:t>&lt;/Members&gt;</w:t>
      </w:r>
    </w:p>
    <w:p w:rsidR="00343C6C" w:rsidRPr="00FC4A49" w:rsidP="00343C6C" w14:paraId="102F6193" w14:textId="77777777">
      <w:r w:rsidRPr="00FC4A49">
        <w:rPr>
          <w:rStyle w:val="HideTWBExt"/>
        </w:rPr>
        <w:t>&lt;/RepeatBlock-By&gt;</w:t>
      </w:r>
    </w:p>
    <w:p w:rsidR="00343C6C" w:rsidRPr="00FC4A49" w:rsidP="00343C6C" w14:paraId="04BEF51C"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CCDE932" w14:textId="77777777">
      <w:pPr>
        <w:pStyle w:val="NormalBold"/>
      </w:pPr>
      <w:r w:rsidRPr="00FC4A49">
        <w:rPr>
          <w:rStyle w:val="HideTWBExt"/>
          <w:b w:val="0"/>
        </w:rPr>
        <w:t>&lt;Article&gt;</w:t>
      </w:r>
      <w:r w:rsidRPr="00FC4A49">
        <w:t>Recital 29</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FB437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7277FB94" w14:textId="77777777">
            <w:pPr>
              <w:keepNext/>
            </w:pPr>
          </w:p>
        </w:tc>
      </w:tr>
      <w:tr w14:paraId="040E914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55913CF" w14:textId="77777777">
            <w:pPr>
              <w:pStyle w:val="ColumnHeading"/>
              <w:keepNext/>
              <w:rPr>
                <w:lang w:val="en-GB"/>
              </w:rPr>
            </w:pPr>
            <w:r w:rsidRPr="00FC4A49">
              <w:rPr>
                <w:lang w:val="en-GB"/>
              </w:rPr>
              <w:t>Text proposed by the Commission</w:t>
            </w:r>
          </w:p>
        </w:tc>
        <w:tc>
          <w:tcPr>
            <w:tcW w:w="4876" w:type="dxa"/>
          </w:tcPr>
          <w:p w:rsidR="00343C6C" w:rsidRPr="00FC4A49" w:rsidP="005D58F9" w14:paraId="2559E0B7" w14:textId="77777777">
            <w:pPr>
              <w:pStyle w:val="ColumnHeading"/>
              <w:keepNext/>
              <w:rPr>
                <w:lang w:val="en-GB"/>
              </w:rPr>
            </w:pPr>
            <w:r w:rsidRPr="00FC4A49">
              <w:rPr>
                <w:lang w:val="en-GB"/>
              </w:rPr>
              <w:t>Amendment</w:t>
            </w:r>
          </w:p>
        </w:tc>
      </w:tr>
      <w:tr w14:paraId="2B38823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DE7ADCD" w14:textId="77777777">
            <w:pPr>
              <w:pStyle w:val="Normal6"/>
              <w:rPr>
                <w:lang w:val="en-GB"/>
              </w:rPr>
            </w:pPr>
            <w:r w:rsidRPr="00FC4A49">
              <w:rPr>
                <w:b/>
                <w:i/>
                <w:lang w:val="en-GB"/>
              </w:rPr>
              <w:t>(29)</w:t>
            </w:r>
            <w:r w:rsidRPr="00FC4A49">
              <w:rPr>
                <w:b/>
                <w:i/>
                <w:lang w:val="en-GB"/>
              </w:rPr>
              <w:tab/>
              <w:t>Achieving the Union’s emission reduction target of -90% by 2040 as compared to 1990 levels requires adjusting the rate of reduction in the emissions of the sectors covered by the EU ETS from 2031. The linear reduction factor provided for in Article 9 of Directive 2003/87/EC should therefore be adjusted.</w:t>
            </w:r>
          </w:p>
        </w:tc>
        <w:tc>
          <w:tcPr>
            <w:tcW w:w="4876" w:type="dxa"/>
          </w:tcPr>
          <w:p w:rsidR="00343C6C" w:rsidRPr="00FC4A49" w:rsidP="005D58F9" w14:paraId="7C0371FA" w14:textId="77777777">
            <w:pPr>
              <w:pStyle w:val="Normal6"/>
              <w:rPr>
                <w:szCs w:val="24"/>
                <w:lang w:val="en-GB"/>
              </w:rPr>
            </w:pPr>
            <w:r w:rsidRPr="00FC4A49">
              <w:rPr>
                <w:b/>
                <w:i/>
                <w:lang w:val="en-GB"/>
              </w:rPr>
              <w:t>deleted</w:t>
            </w:r>
          </w:p>
        </w:tc>
      </w:tr>
    </w:tbl>
    <w:p w:rsidR="00343C6C" w:rsidRPr="00FC4A49" w:rsidP="00343C6C" w14:paraId="31E8AF0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{PL}</w:t>
      </w:r>
      <w:r w:rsidRPr="00FC4A49">
        <w:rPr>
          <w:lang w:val="en-GB"/>
        </w:rPr>
        <w:t>pl</w:t>
      </w:r>
      <w:r w:rsidRPr="00FC4A49">
        <w:rPr>
          <w:rStyle w:val="HideTWBExt"/>
          <w:lang w:val="en-GB"/>
        </w:rPr>
        <w:t>&lt;/Original&gt;</w:t>
      </w:r>
    </w:p>
    <w:p w:rsidR="00343C6C" w:rsidRPr="00FC4A49" w:rsidP="00343C6C" w14:paraId="468F9614" w14:textId="77777777">
      <w:r w:rsidRPr="00FC4A49">
        <w:rPr>
          <w:rStyle w:val="HideTWBExt"/>
        </w:rPr>
        <w:t>&lt;/Amend&gt;</w:t>
      </w:r>
    </w:p>
    <w:p w:rsidR="00343C6C" w:rsidRPr="00FC4A49" w:rsidP="00343C6C" w14:paraId="7BDB9572"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222</w:t>
      </w:r>
      <w:r w:rsidRPr="00FC4A49">
        <w:rPr>
          <w:rStyle w:val="HideTWBExt"/>
          <w:b w:val="0"/>
          <w:lang w:val="en-GB"/>
        </w:rPr>
        <w:t>&lt;/NumAm&gt;</w:t>
      </w:r>
    </w:p>
    <w:p w:rsidR="00343C6C" w:rsidRPr="00FC4A49" w:rsidP="00343C6C" w14:paraId="32013904" w14:textId="77777777">
      <w:pPr>
        <w:pStyle w:val="NormalBold"/>
      </w:pPr>
      <w:r w:rsidRPr="00FC4A49">
        <w:rPr>
          <w:rStyle w:val="HideTWBExt"/>
          <w:b w:val="0"/>
        </w:rPr>
        <w:t>&lt;RepeatBlock-By&gt;&lt;Members&gt;</w:t>
      </w:r>
      <w:r w:rsidRPr="00FC4A49">
        <w:t>Mohammed Chahim</w:t>
      </w:r>
      <w:r w:rsidRPr="00FC4A49">
        <w:rPr>
          <w:rStyle w:val="HideTWBExt"/>
          <w:b w:val="0"/>
        </w:rPr>
        <w:t>&lt;/Members&gt;</w:t>
      </w:r>
    </w:p>
    <w:p w:rsidR="00343C6C" w:rsidRPr="00FC4A49" w:rsidP="00343C6C" w14:paraId="73F51901" w14:textId="77777777">
      <w:r w:rsidRPr="00FC4A49">
        <w:rPr>
          <w:rStyle w:val="HideTWBExt"/>
        </w:rPr>
        <w:t>&lt;/RepeatBlock-By&gt;</w:t>
      </w:r>
    </w:p>
    <w:p w:rsidR="00343C6C" w:rsidRPr="00FC4A49" w:rsidP="00343C6C" w14:paraId="1CCD314E"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6E92D38" w14:textId="77777777">
      <w:pPr>
        <w:pStyle w:val="NormalBold"/>
      </w:pPr>
      <w:r w:rsidRPr="00FC4A49">
        <w:rPr>
          <w:rStyle w:val="HideTWBExt"/>
          <w:b w:val="0"/>
        </w:rPr>
        <w:t>&lt;Article&gt;</w:t>
      </w:r>
      <w:r w:rsidRPr="00FC4A49">
        <w:t>Recital 29</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F1956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A787371" w14:textId="77777777">
            <w:pPr>
              <w:keepNext/>
            </w:pPr>
          </w:p>
        </w:tc>
      </w:tr>
      <w:tr w14:paraId="6D4A5A0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3FEA5EF" w14:textId="77777777">
            <w:pPr>
              <w:pStyle w:val="ColumnHeading"/>
              <w:keepNext/>
              <w:rPr>
                <w:lang w:val="en-GB"/>
              </w:rPr>
            </w:pPr>
            <w:r w:rsidRPr="00FC4A49">
              <w:rPr>
                <w:lang w:val="en-GB"/>
              </w:rPr>
              <w:t>Text proposed by the Commission</w:t>
            </w:r>
          </w:p>
        </w:tc>
        <w:tc>
          <w:tcPr>
            <w:tcW w:w="4876" w:type="dxa"/>
          </w:tcPr>
          <w:p w:rsidR="00343C6C" w:rsidRPr="00FC4A49" w:rsidP="005D58F9" w14:paraId="5B3076CC" w14:textId="77777777">
            <w:pPr>
              <w:pStyle w:val="ColumnHeading"/>
              <w:keepNext/>
              <w:rPr>
                <w:lang w:val="en-GB"/>
              </w:rPr>
            </w:pPr>
            <w:r w:rsidRPr="00FC4A49">
              <w:rPr>
                <w:lang w:val="en-GB"/>
              </w:rPr>
              <w:t>Amendment</w:t>
            </w:r>
          </w:p>
        </w:tc>
      </w:tr>
      <w:tr w14:paraId="1EC9C0D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86DC525" w14:textId="77777777">
            <w:pPr>
              <w:pStyle w:val="Normal6"/>
              <w:rPr>
                <w:lang w:val="en-GB"/>
              </w:rPr>
            </w:pPr>
            <w:r w:rsidRPr="00FC4A49">
              <w:rPr>
                <w:lang w:val="en-GB"/>
              </w:rPr>
              <w:t>(29)</w:t>
            </w:r>
            <w:r w:rsidRPr="00FC4A49">
              <w:rPr>
                <w:lang w:val="en-GB"/>
              </w:rPr>
              <w:tab/>
              <w:t xml:space="preserve">Achieving the Union’s emission reduction target of -90% by 2040 as compared to 1990 levels requires adjusting the rate of reduction in the emissions of the sectors covered by the EU ETS from </w:t>
            </w:r>
            <w:r w:rsidRPr="00FC4A49">
              <w:rPr>
                <w:b/>
                <w:i/>
                <w:lang w:val="en-GB"/>
              </w:rPr>
              <w:t>2031</w:t>
            </w:r>
            <w:r w:rsidRPr="00FC4A49">
              <w:rPr>
                <w:lang w:val="en-GB"/>
              </w:rPr>
              <w:t>. The linear reduction factor provided for in Article 9 of Directive 2003/87/EC should therefore be adjusted.</w:t>
            </w:r>
          </w:p>
        </w:tc>
        <w:tc>
          <w:tcPr>
            <w:tcW w:w="4876" w:type="dxa"/>
          </w:tcPr>
          <w:p w:rsidR="00343C6C" w:rsidRPr="00FC4A49" w:rsidP="005D58F9" w14:paraId="0630F23D" w14:textId="77777777">
            <w:pPr>
              <w:pStyle w:val="Normal6"/>
              <w:rPr>
                <w:szCs w:val="24"/>
                <w:lang w:val="en-GB"/>
              </w:rPr>
            </w:pPr>
            <w:r w:rsidRPr="00FC4A49">
              <w:rPr>
                <w:lang w:val="en-GB"/>
              </w:rPr>
              <w:t>(29)</w:t>
            </w:r>
            <w:r w:rsidRPr="00FC4A49">
              <w:rPr>
                <w:lang w:val="en-GB"/>
              </w:rPr>
              <w:tab/>
              <w:t xml:space="preserve">Achieving the Union's emission reduction target of -90% by 2040 as compared to 1990 levels requires adjusting the rate of reduction in the emissions of the sectors covered by the EU ETS from </w:t>
            </w:r>
            <w:r w:rsidRPr="00FC4A49">
              <w:rPr>
                <w:b/>
                <w:i/>
                <w:lang w:val="en-GB"/>
              </w:rPr>
              <w:t>2036. Moreover, operators have taken final investment decisions in low-carbon production with investment horizons of ten to twenty years, relying on the linear factor of 4.4%. Lowering that factor for the period from 2031 to 2035 would alter the basis on which those decisions were taken and would place operators that have invested in decarbonisation at a disadvantage compared with those that have not</w:t>
            </w:r>
            <w:r w:rsidRPr="00FC4A49">
              <w:rPr>
                <w:lang w:val="en-GB"/>
              </w:rPr>
              <w:t xml:space="preserve">. The linear reduction factor provided for in Article 9 of Directive 2003/87/EC should therefore be adjusted </w:t>
            </w:r>
            <w:r w:rsidRPr="00FC4A49">
              <w:rPr>
                <w:b/>
                <w:i/>
                <w:lang w:val="en-GB"/>
              </w:rPr>
              <w:t>as from 2036</w:t>
            </w:r>
            <w:r w:rsidRPr="00FC4A49">
              <w:rPr>
                <w:lang w:val="en-GB"/>
              </w:rPr>
              <w:t>.</w:t>
            </w:r>
          </w:p>
        </w:tc>
      </w:tr>
    </w:tbl>
    <w:p w:rsidR="00343C6C" w:rsidRPr="00FC4A49" w:rsidP="00343C6C" w14:paraId="3CF6BD4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0C9600E" w14:textId="77777777">
      <w:r w:rsidRPr="00FC4A49">
        <w:rPr>
          <w:rStyle w:val="HideTWBExt"/>
        </w:rPr>
        <w:t>&lt;/Amend&gt;</w:t>
      </w:r>
    </w:p>
    <w:p w:rsidR="00343C6C" w:rsidRPr="00FC4A49" w:rsidP="00343C6C" w14:paraId="161942DE"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223</w:t>
      </w:r>
      <w:r w:rsidRPr="00FC4A49">
        <w:rPr>
          <w:rStyle w:val="HideTWBExt"/>
          <w:b w:val="0"/>
          <w:lang w:val="en-GB"/>
        </w:rPr>
        <w:t>&lt;/NumAm&gt;</w:t>
      </w:r>
    </w:p>
    <w:p w:rsidR="00343C6C" w:rsidRPr="00FC4A49" w:rsidP="00343C6C" w14:paraId="6226EFE0" w14:textId="77777777">
      <w:pPr>
        <w:pStyle w:val="NormalBold"/>
      </w:pPr>
      <w:r w:rsidRPr="00FC4A49">
        <w:rPr>
          <w:rStyle w:val="HideTWBExt"/>
          <w:b w:val="0"/>
        </w:rPr>
        <w:t>&lt;RepeatBlock-By&gt;&lt;Members&gt;</w:t>
      </w:r>
      <w:r w:rsidRPr="00FC4A49">
        <w:t>Alexandr Vondra</w:t>
      </w:r>
      <w:r w:rsidRPr="00FC4A49">
        <w:rPr>
          <w:rStyle w:val="HideTWBExt"/>
          <w:b w:val="0"/>
        </w:rPr>
        <w:t>&lt;/Members&gt;</w:t>
      </w:r>
    </w:p>
    <w:p w:rsidR="00343C6C" w:rsidRPr="00FC4A49" w:rsidP="00343C6C" w14:paraId="0ACD4B2E" w14:textId="77777777">
      <w:r w:rsidRPr="00FC4A49">
        <w:rPr>
          <w:rStyle w:val="HideTWBExt"/>
        </w:rPr>
        <w:t>&lt;AuNomDe&gt;</w:t>
      </w:r>
      <w:r w:rsidRPr="00FC4A49">
        <w:rPr>
          <w:rStyle w:val="HideTWBInt"/>
        </w:rPr>
        <w:t>{ECR}</w:t>
      </w:r>
      <w:r w:rsidRPr="00FC4A49">
        <w:t>on behalf of the ECR Group</w:t>
      </w:r>
      <w:r w:rsidRPr="00FC4A49">
        <w:rPr>
          <w:rStyle w:val="HideTWBExt"/>
        </w:rPr>
        <w:t>&lt;/AuNomDe&gt;</w:t>
      </w:r>
    </w:p>
    <w:p w:rsidR="00343C6C" w:rsidRPr="00FC4A49" w:rsidP="00343C6C" w14:paraId="00C9DF48" w14:textId="77777777">
      <w:pPr>
        <w:pStyle w:val="NormalBold"/>
      </w:pPr>
      <w:r w:rsidRPr="00FC4A49">
        <w:rPr>
          <w:rStyle w:val="HideTWBExt"/>
          <w:b w:val="0"/>
        </w:rPr>
        <w:t>&lt;Members&gt;</w:t>
      </w:r>
      <w:r w:rsidRPr="00FC4A49">
        <w:t xml:space="preserve">Ondřej Krutílek, Anna Zalewska, Aurelijus </w:t>
      </w:r>
      <w:r w:rsidRPr="00FC4A49">
        <w:t>Veryga</w:t>
      </w:r>
      <w:r w:rsidRPr="00FC4A49">
        <w:t xml:space="preserve">, Laurence Trochu, Adrian-George </w:t>
      </w:r>
      <w:r w:rsidRPr="00FC4A49">
        <w:t>Axinia</w:t>
      </w:r>
      <w:r w:rsidRPr="00FC4A49">
        <w:rPr>
          <w:rStyle w:val="HideTWBExt"/>
          <w:b w:val="0"/>
        </w:rPr>
        <w:t>&lt;/Members&gt;</w:t>
      </w:r>
    </w:p>
    <w:p w:rsidR="00343C6C" w:rsidRPr="00FC4A49" w:rsidP="00343C6C" w14:paraId="5B879024" w14:textId="77777777">
      <w:r w:rsidRPr="00FC4A49">
        <w:rPr>
          <w:rStyle w:val="HideTWBExt"/>
        </w:rPr>
        <w:t>&lt;/RepeatBlock-By&gt;</w:t>
      </w:r>
    </w:p>
    <w:p w:rsidR="00343C6C" w:rsidRPr="00FC4A49" w:rsidP="00343C6C" w14:paraId="7AB19DC0"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AFDD0E7" w14:textId="77777777">
      <w:pPr>
        <w:pStyle w:val="NormalBold"/>
      </w:pPr>
      <w:r w:rsidRPr="00FC4A49">
        <w:rPr>
          <w:rStyle w:val="HideTWBExt"/>
          <w:b w:val="0"/>
        </w:rPr>
        <w:t>&lt;Article&gt;</w:t>
      </w:r>
      <w:r w:rsidRPr="00FC4A49">
        <w:t>Recital 29</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1BCF7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643F506" w14:textId="77777777">
            <w:pPr>
              <w:keepNext/>
            </w:pPr>
          </w:p>
        </w:tc>
      </w:tr>
      <w:tr w14:paraId="6D2B5FD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DF37588" w14:textId="77777777">
            <w:pPr>
              <w:pStyle w:val="ColumnHeading"/>
              <w:keepNext/>
              <w:rPr>
                <w:lang w:val="en-GB"/>
              </w:rPr>
            </w:pPr>
            <w:r w:rsidRPr="00FC4A49">
              <w:rPr>
                <w:lang w:val="en-GB"/>
              </w:rPr>
              <w:t>Text proposed by the Commission</w:t>
            </w:r>
          </w:p>
        </w:tc>
        <w:tc>
          <w:tcPr>
            <w:tcW w:w="4876" w:type="dxa"/>
          </w:tcPr>
          <w:p w:rsidR="00343C6C" w:rsidRPr="00FC4A49" w:rsidP="005D58F9" w14:paraId="1FF09FB3" w14:textId="77777777">
            <w:pPr>
              <w:pStyle w:val="ColumnHeading"/>
              <w:keepNext/>
              <w:rPr>
                <w:lang w:val="en-GB"/>
              </w:rPr>
            </w:pPr>
            <w:r w:rsidRPr="00FC4A49">
              <w:rPr>
                <w:lang w:val="en-GB"/>
              </w:rPr>
              <w:t>Amendment</w:t>
            </w:r>
          </w:p>
        </w:tc>
      </w:tr>
      <w:tr w14:paraId="419ACF8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40844FF" w14:textId="77777777">
            <w:pPr>
              <w:pStyle w:val="Normal6"/>
              <w:rPr>
                <w:lang w:val="en-GB"/>
              </w:rPr>
            </w:pPr>
            <w:r w:rsidRPr="00FC4A49">
              <w:rPr>
                <w:lang w:val="en-GB"/>
              </w:rPr>
              <w:t>(29)</w:t>
            </w:r>
            <w:r w:rsidRPr="00FC4A49">
              <w:rPr>
                <w:lang w:val="en-GB"/>
              </w:rPr>
              <w:tab/>
              <w:t xml:space="preserve">Achieving the Union’s emission reduction target of -90% by 2040 as </w:t>
            </w:r>
            <w:r w:rsidRPr="00FC4A49">
              <w:rPr>
                <w:lang w:val="en-GB"/>
              </w:rPr>
              <w:t>compared to 1990 levels requires adjusting the rate of reduction in the emissions of the sectors covered by the EU ETS from 2031. The linear reduction factor provided for in Article 9 of Directive 2003/87/EC should therefore be adjusted.</w:t>
            </w:r>
          </w:p>
        </w:tc>
        <w:tc>
          <w:tcPr>
            <w:tcW w:w="4876" w:type="dxa"/>
          </w:tcPr>
          <w:p w:rsidR="00343C6C" w:rsidRPr="00FC4A49" w:rsidP="005D58F9" w14:paraId="3C4BC394" w14:textId="77777777">
            <w:pPr>
              <w:pStyle w:val="Normal6"/>
              <w:rPr>
                <w:szCs w:val="24"/>
                <w:lang w:val="en-GB"/>
              </w:rPr>
            </w:pPr>
            <w:r w:rsidRPr="00FC4A49">
              <w:rPr>
                <w:lang w:val="en-GB"/>
              </w:rPr>
              <w:t>(29)</w:t>
            </w:r>
            <w:r w:rsidRPr="00FC4A49">
              <w:rPr>
                <w:lang w:val="en-GB"/>
              </w:rPr>
              <w:tab/>
              <w:t xml:space="preserve">Achieving the Union’s emission reduction target of -90% by 2040 </w:t>
            </w:r>
            <w:r w:rsidRPr="00FC4A49">
              <w:rPr>
                <w:b/>
                <w:i/>
                <w:lang w:val="en-GB"/>
              </w:rPr>
              <w:t>including 5% of international credits</w:t>
            </w:r>
            <w:r w:rsidRPr="00FC4A49">
              <w:rPr>
                <w:lang w:val="en-GB"/>
              </w:rPr>
              <w:t xml:space="preserve"> as compared to 1990 levels requires adjusting the rate of reduction in the emissions of the sectors covered by the EU ETS from 2031 </w:t>
            </w:r>
            <w:r w:rsidRPr="00FC4A49">
              <w:rPr>
                <w:b/>
                <w:i/>
                <w:lang w:val="en-GB"/>
              </w:rPr>
              <w:t>while respecting the energy mix of Member States</w:t>
            </w:r>
            <w:r w:rsidRPr="00FC4A49">
              <w:rPr>
                <w:lang w:val="en-GB"/>
              </w:rPr>
              <w:t xml:space="preserve">. The linear reduction factor provided for in Article 9 of Directive 2003/87/EC should therefore be adjusted </w:t>
            </w:r>
            <w:r w:rsidRPr="00FC4A49">
              <w:rPr>
                <w:b/>
                <w:i/>
                <w:lang w:val="en-GB"/>
              </w:rPr>
              <w:t xml:space="preserve">in a pragmatic manner that reflects the availability, accessibility and affordability, in </w:t>
            </w:r>
            <w:r w:rsidRPr="00FC4A49">
              <w:rPr>
                <w:b/>
                <w:i/>
                <w:lang w:val="en-GB"/>
              </w:rPr>
              <w:t>particlular</w:t>
            </w:r>
            <w:r w:rsidRPr="00FC4A49">
              <w:rPr>
                <w:b/>
                <w:i/>
                <w:lang w:val="en-GB"/>
              </w:rPr>
              <w:t xml:space="preserve"> for hard-to-abate industrial sectors, of the low-carbon and renewable technologies needed to achieve further emission reductions</w:t>
            </w:r>
            <w:r w:rsidRPr="00FC4A49">
              <w:rPr>
                <w:lang w:val="en-GB"/>
              </w:rPr>
              <w:t>.</w:t>
            </w:r>
          </w:p>
        </w:tc>
      </w:tr>
    </w:tbl>
    <w:p w:rsidR="00343C6C" w:rsidRPr="00FC4A49" w:rsidP="00343C6C" w14:paraId="6B18EBF9"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6219F8D" w14:textId="77777777">
      <w:r w:rsidRPr="00FC4A49">
        <w:rPr>
          <w:rStyle w:val="HideTWBExt"/>
        </w:rPr>
        <w:t>&lt;/Amend&gt;</w:t>
      </w:r>
    </w:p>
    <w:p w:rsidR="00343C6C" w:rsidRPr="00FC4A49" w:rsidP="00343C6C" w14:paraId="25D42959"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224</w:t>
      </w:r>
      <w:r w:rsidRPr="00FC4A49">
        <w:rPr>
          <w:rStyle w:val="HideTWBExt"/>
          <w:b w:val="0"/>
          <w:lang w:val="en-GB"/>
        </w:rPr>
        <w:t>&lt;/NumAm&gt;</w:t>
      </w:r>
    </w:p>
    <w:p w:rsidR="00343C6C" w:rsidRPr="00FC4A49" w:rsidP="00343C6C" w14:paraId="5742FD1E" w14:textId="77777777">
      <w:pPr>
        <w:pStyle w:val="NormalBold"/>
      </w:pPr>
      <w:r w:rsidRPr="00FC4A49">
        <w:rPr>
          <w:rStyle w:val="HideTWBExt"/>
          <w:b w:val="0"/>
        </w:rPr>
        <w:t>&lt;RepeatBlock-By&gt;&lt;Members&gt;</w:t>
      </w:r>
      <w:r w:rsidRPr="00FC4A49">
        <w:t>Ivan David, Volker Schnurrbusch</w:t>
      </w:r>
      <w:r w:rsidRPr="00FC4A49">
        <w:rPr>
          <w:rStyle w:val="HideTWBExt"/>
          <w:b w:val="0"/>
        </w:rPr>
        <w:t>&lt;/Members&gt;</w:t>
      </w:r>
    </w:p>
    <w:p w:rsidR="00343C6C" w:rsidRPr="00FC4A49" w:rsidP="00343C6C" w14:paraId="3FF5542C" w14:textId="77777777">
      <w:r w:rsidRPr="00FC4A49">
        <w:rPr>
          <w:rStyle w:val="HideTWBExt"/>
        </w:rPr>
        <w:t>&lt;/RepeatBlock-By&gt;</w:t>
      </w:r>
    </w:p>
    <w:p w:rsidR="00343C6C" w:rsidRPr="00FC4A49" w:rsidP="00343C6C" w14:paraId="41AAE185"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39A745F" w14:textId="77777777">
      <w:pPr>
        <w:pStyle w:val="NormalBold"/>
      </w:pPr>
      <w:r w:rsidRPr="00FC4A49">
        <w:rPr>
          <w:rStyle w:val="HideTWBExt"/>
          <w:b w:val="0"/>
        </w:rPr>
        <w:t>&lt;Article&gt;</w:t>
      </w:r>
      <w:r w:rsidRPr="00FC4A49">
        <w:t>Recital 29</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B0F9C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76F3E2C" w14:textId="77777777">
            <w:pPr>
              <w:keepNext/>
            </w:pPr>
          </w:p>
        </w:tc>
      </w:tr>
      <w:tr w14:paraId="0CE8101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D6AE7F6" w14:textId="77777777">
            <w:pPr>
              <w:pStyle w:val="ColumnHeading"/>
              <w:keepNext/>
              <w:rPr>
                <w:lang w:val="en-GB"/>
              </w:rPr>
            </w:pPr>
            <w:r w:rsidRPr="00FC4A49">
              <w:rPr>
                <w:lang w:val="en-GB"/>
              </w:rPr>
              <w:t>Text proposed by the Commission</w:t>
            </w:r>
          </w:p>
        </w:tc>
        <w:tc>
          <w:tcPr>
            <w:tcW w:w="4876" w:type="dxa"/>
          </w:tcPr>
          <w:p w:rsidR="00343C6C" w:rsidRPr="00FC4A49" w:rsidP="005D58F9" w14:paraId="3951A9B3" w14:textId="77777777">
            <w:pPr>
              <w:pStyle w:val="ColumnHeading"/>
              <w:keepNext/>
              <w:rPr>
                <w:lang w:val="en-GB"/>
              </w:rPr>
            </w:pPr>
            <w:r w:rsidRPr="00FC4A49">
              <w:rPr>
                <w:lang w:val="en-GB"/>
              </w:rPr>
              <w:t>Amendment</w:t>
            </w:r>
          </w:p>
        </w:tc>
      </w:tr>
      <w:tr w14:paraId="377D801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DBD466D" w14:textId="77777777">
            <w:pPr>
              <w:pStyle w:val="Normal6"/>
              <w:rPr>
                <w:lang w:val="en-GB"/>
              </w:rPr>
            </w:pPr>
            <w:r w:rsidRPr="00FC4A49">
              <w:rPr>
                <w:lang w:val="en-GB"/>
              </w:rPr>
              <w:t>(29)</w:t>
            </w:r>
            <w:r w:rsidRPr="00FC4A49">
              <w:rPr>
                <w:lang w:val="en-GB"/>
              </w:rPr>
              <w:tab/>
              <w:t>Achieving the Union’s emission reduction target of -90% by 2040 as compared to 1990 levels requires adjusting the rate of reduction in the emissions of the sectors covered by the EU ETS from 2031. The linear reduction factor provided for in Article 9 of Directive 2003/87/EC should therefore be adjusted.</w:t>
            </w:r>
          </w:p>
        </w:tc>
        <w:tc>
          <w:tcPr>
            <w:tcW w:w="4876" w:type="dxa"/>
          </w:tcPr>
          <w:p w:rsidR="00343C6C" w:rsidRPr="00FC4A49" w:rsidP="005D58F9" w14:paraId="21438CCE" w14:textId="77777777">
            <w:pPr>
              <w:pStyle w:val="Normal6"/>
              <w:rPr>
                <w:szCs w:val="24"/>
                <w:lang w:val="en-GB"/>
              </w:rPr>
            </w:pPr>
            <w:r w:rsidRPr="00FC4A49">
              <w:rPr>
                <w:lang w:val="en-GB"/>
              </w:rPr>
              <w:t>(29)</w:t>
            </w:r>
            <w:r w:rsidRPr="00FC4A49">
              <w:rPr>
                <w:lang w:val="en-GB"/>
              </w:rPr>
              <w:tab/>
              <w:t xml:space="preserve">Achieving the Union’s emission reduction target of -90% by 2040 as compared to 1990 levels requires adjusting the rate of reduction in the emissions of the sectors covered by the EU ETS from 2031. The linear reduction factor provided for in Article 9 of Directive 2003/87/EC should therefore be adjusted </w:t>
            </w:r>
            <w:r w:rsidRPr="00FC4A49">
              <w:rPr>
                <w:b/>
                <w:i/>
                <w:lang w:val="en-GB"/>
              </w:rPr>
              <w:t>in a way that takes account of the availability, accessibility and affordability of low-carbon and renewable technologies – which are essential to achieving further emission reductions – for energy-intensive industries</w:t>
            </w:r>
            <w:r w:rsidRPr="00FC4A49">
              <w:rPr>
                <w:lang w:val="en-GB"/>
              </w:rPr>
              <w:t>.</w:t>
            </w:r>
          </w:p>
        </w:tc>
      </w:tr>
    </w:tbl>
    <w:p w:rsidR="00343C6C" w:rsidRPr="00FC4A49" w:rsidP="00343C6C" w14:paraId="64A70615"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{CS}</w:t>
      </w:r>
      <w:r w:rsidRPr="00FC4A49">
        <w:rPr>
          <w:lang w:val="en-GB"/>
        </w:rPr>
        <w:t>cs</w:t>
      </w:r>
      <w:r w:rsidRPr="00FC4A49">
        <w:rPr>
          <w:rStyle w:val="HideTWBExt"/>
          <w:lang w:val="en-GB"/>
        </w:rPr>
        <w:t>&lt;/Original&gt;</w:t>
      </w:r>
    </w:p>
    <w:p w:rsidR="00343C6C" w:rsidRPr="00FC4A49" w:rsidP="00343C6C" w14:paraId="76A141C5" w14:textId="77777777">
      <w:pPr>
        <w:pStyle w:val="JustificationTitle"/>
        <w:rPr>
          <w:noProof w:val="0"/>
          <w:lang w:val="en-GB"/>
        </w:rPr>
      </w:pPr>
      <w:r w:rsidRPr="00FC4A49">
        <w:rPr>
          <w:rStyle w:val="HideTWBExt"/>
          <w:i w:val="0"/>
          <w:lang w:val="en-GB"/>
        </w:rPr>
        <w:t>&lt;TitreJust&gt;</w:t>
      </w:r>
      <w:r w:rsidRPr="00FC4A49">
        <w:rPr>
          <w:lang w:val="en-GB"/>
        </w:rPr>
        <w:t>Justification</w:t>
      </w:r>
      <w:r w:rsidRPr="00FC4A49">
        <w:rPr>
          <w:rStyle w:val="HideTWBExt"/>
          <w:i w:val="0"/>
          <w:lang w:val="en-GB"/>
        </w:rPr>
        <w:t>&lt;/TitreJust&gt;</w:t>
      </w:r>
    </w:p>
    <w:p w:rsidR="00343C6C" w:rsidRPr="00FC4A49" w:rsidP="00343C6C" w14:paraId="23652338" w14:textId="77777777">
      <w:pPr>
        <w:pStyle w:val="Normal12Italic"/>
        <w:rPr>
          <w:noProof w:val="0"/>
          <w:lang w:val="en-GB"/>
        </w:rPr>
      </w:pPr>
      <w:r w:rsidRPr="00FC4A49">
        <w:rPr>
          <w:lang w:val="en-GB"/>
        </w:rPr>
        <w:t xml:space="preserve">Progress in decarbonisation has been achieved mainly through the transition away from coal towards gas and biomass; however, further decarbonisation will need to take place under conditions that operators of installations cannot fully control. At the same time, </w:t>
      </w:r>
      <w:r w:rsidRPr="00FC4A49">
        <w:rPr>
          <w:lang w:val="en-GB"/>
        </w:rPr>
        <w:t>decarbonisation cannot be promoted at the expense of self-sufficiency in key areas, such as critical chemicals, agriculture, defence and the manufacturing of components for technologies essential to the energy transition.</w:t>
      </w:r>
    </w:p>
    <w:p w:rsidR="00343C6C" w:rsidRPr="00FC4A49" w:rsidP="00343C6C" w14:paraId="7A04F089" w14:textId="77777777">
      <w:r w:rsidRPr="00FC4A49">
        <w:rPr>
          <w:rStyle w:val="HideTWBExt"/>
        </w:rPr>
        <w:t>&lt;/Amend&gt;</w:t>
      </w:r>
    </w:p>
    <w:p w:rsidR="00343C6C" w:rsidRPr="00FC4A49" w:rsidP="00343C6C" w14:paraId="73D4075F"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225</w:t>
      </w:r>
      <w:r w:rsidRPr="00FC4A49">
        <w:rPr>
          <w:rStyle w:val="HideTWBExt"/>
          <w:b w:val="0"/>
          <w:lang w:val="en-GB"/>
        </w:rPr>
        <w:t>&lt;/NumAm&gt;</w:t>
      </w:r>
    </w:p>
    <w:p w:rsidR="00343C6C" w:rsidRPr="00FC4A49" w:rsidP="00343C6C" w14:paraId="282BC877" w14:textId="77777777">
      <w:pPr>
        <w:pStyle w:val="NormalBold"/>
      </w:pPr>
      <w:r w:rsidRPr="00FC4A49">
        <w:rPr>
          <w:rStyle w:val="HideTWBExt"/>
          <w:b w:val="0"/>
        </w:rPr>
        <w:t>&lt;RepeatBlock-By&gt;&lt;Members&gt;</w:t>
      </w:r>
      <w:r w:rsidRPr="00FC4A49">
        <w:t>Ondřej Knotek, Jana Nagyová, Antonín Staněk, Viktória Ferenc</w:t>
      </w:r>
      <w:r w:rsidRPr="00FC4A49">
        <w:rPr>
          <w:rStyle w:val="HideTWBExt"/>
          <w:b w:val="0"/>
        </w:rPr>
        <w:t>&lt;/Members&gt;</w:t>
      </w:r>
    </w:p>
    <w:p w:rsidR="00343C6C" w:rsidRPr="00FC4A49" w:rsidP="00343C6C" w14:paraId="32B647EF" w14:textId="77777777">
      <w:r w:rsidRPr="00FC4A49">
        <w:rPr>
          <w:rStyle w:val="HideTWBExt"/>
        </w:rPr>
        <w:t>&lt;/RepeatBlock-By&gt;</w:t>
      </w:r>
    </w:p>
    <w:p w:rsidR="00343C6C" w:rsidRPr="00FC4A49" w:rsidP="00343C6C" w14:paraId="15F27956"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225A619" w14:textId="77777777">
      <w:pPr>
        <w:pStyle w:val="NormalBold"/>
      </w:pPr>
      <w:r w:rsidRPr="00FC4A49">
        <w:rPr>
          <w:rStyle w:val="HideTWBExt"/>
          <w:b w:val="0"/>
        </w:rPr>
        <w:t>&lt;Article&gt;</w:t>
      </w:r>
      <w:r w:rsidRPr="00FC4A49">
        <w:t>Recital 29</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8FB1D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961B5FE" w14:textId="77777777">
            <w:pPr>
              <w:keepNext/>
            </w:pPr>
          </w:p>
        </w:tc>
      </w:tr>
      <w:tr w14:paraId="78656D6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7A6FD91" w14:textId="77777777">
            <w:pPr>
              <w:pStyle w:val="ColumnHeading"/>
              <w:keepNext/>
              <w:rPr>
                <w:lang w:val="en-GB"/>
              </w:rPr>
            </w:pPr>
            <w:r w:rsidRPr="00FC4A49">
              <w:rPr>
                <w:lang w:val="en-GB"/>
              </w:rPr>
              <w:t>Text proposed by the Commission</w:t>
            </w:r>
          </w:p>
        </w:tc>
        <w:tc>
          <w:tcPr>
            <w:tcW w:w="4876" w:type="dxa"/>
          </w:tcPr>
          <w:p w:rsidR="00343C6C" w:rsidRPr="00FC4A49" w:rsidP="005D58F9" w14:paraId="3C5A89CE" w14:textId="77777777">
            <w:pPr>
              <w:pStyle w:val="ColumnHeading"/>
              <w:keepNext/>
              <w:rPr>
                <w:lang w:val="en-GB"/>
              </w:rPr>
            </w:pPr>
            <w:r w:rsidRPr="00FC4A49">
              <w:rPr>
                <w:lang w:val="en-GB"/>
              </w:rPr>
              <w:t>Amendment</w:t>
            </w:r>
          </w:p>
        </w:tc>
      </w:tr>
      <w:tr w14:paraId="6041BBD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6236395" w14:textId="77777777">
            <w:pPr>
              <w:pStyle w:val="Normal6"/>
              <w:rPr>
                <w:lang w:val="en-GB"/>
              </w:rPr>
            </w:pPr>
            <w:r w:rsidRPr="00FC4A49">
              <w:rPr>
                <w:lang w:val="en-GB"/>
              </w:rPr>
              <w:t>(29)</w:t>
            </w:r>
            <w:r w:rsidRPr="00FC4A49">
              <w:rPr>
                <w:lang w:val="en-GB"/>
              </w:rPr>
              <w:tab/>
            </w:r>
            <w:r w:rsidRPr="00FC4A49">
              <w:rPr>
                <w:b/>
                <w:i/>
                <w:lang w:val="en-GB"/>
              </w:rPr>
              <w:t>Achieving the Union’s emission reduction target of -90% by 2040 as compared to 1990 levels requires adjusting the rate of reduction in the emissions of the sectors covered by the EU ETS from 2031.</w:t>
            </w:r>
            <w:r w:rsidRPr="00FC4A49">
              <w:rPr>
                <w:lang w:val="en-GB"/>
              </w:rPr>
              <w:t xml:space="preserve"> The linear reduction factor provided for in Article 9 of Directive 2003/87/EC should </w:t>
            </w:r>
            <w:r w:rsidRPr="00FC4A49">
              <w:rPr>
                <w:b/>
                <w:i/>
                <w:lang w:val="en-GB"/>
              </w:rPr>
              <w:t>therefore</w:t>
            </w:r>
            <w:r w:rsidRPr="00FC4A49">
              <w:rPr>
                <w:lang w:val="en-GB"/>
              </w:rPr>
              <w:t xml:space="preserve"> be adjusted.</w:t>
            </w:r>
          </w:p>
        </w:tc>
        <w:tc>
          <w:tcPr>
            <w:tcW w:w="4876" w:type="dxa"/>
          </w:tcPr>
          <w:p w:rsidR="00343C6C" w:rsidRPr="00FC4A49" w:rsidP="005D58F9" w14:paraId="76B03081" w14:textId="77777777">
            <w:pPr>
              <w:pStyle w:val="Normal6"/>
              <w:rPr>
                <w:szCs w:val="24"/>
                <w:lang w:val="en-GB"/>
              </w:rPr>
            </w:pPr>
            <w:r w:rsidRPr="00FC4A49">
              <w:rPr>
                <w:lang w:val="en-GB"/>
              </w:rPr>
              <w:t>(29)</w:t>
            </w:r>
            <w:r w:rsidRPr="00FC4A49">
              <w:rPr>
                <w:lang w:val="en-GB"/>
              </w:rPr>
              <w:tab/>
              <w:t xml:space="preserve">The linear reduction factor provided for in Article 9 of Directive 2003/87/EC should be adjusted </w:t>
            </w:r>
            <w:r w:rsidRPr="00FC4A49">
              <w:rPr>
                <w:b/>
                <w:i/>
                <w:lang w:val="en-GB"/>
              </w:rPr>
              <w:t>in the interests of citizens and industry and in a manner that reflects the availability, accessibility and affordability for energy intensive industrial sectors, of the low-carbon and renewable technologies needed to achieve further emission reductions</w:t>
            </w:r>
            <w:r w:rsidRPr="00FC4A49">
              <w:rPr>
                <w:lang w:val="en-GB"/>
              </w:rPr>
              <w:t>.</w:t>
            </w:r>
          </w:p>
        </w:tc>
      </w:tr>
    </w:tbl>
    <w:p w:rsidR="00343C6C" w:rsidRPr="00FC4A49" w:rsidP="00343C6C" w14:paraId="54D05EC1"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8CFF3AB"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3CC3D3FE" w14:textId="77777777">
      <w:pPr>
        <w:pStyle w:val="Normal12Italic"/>
        <w:rPr>
          <w:noProof w:val="0"/>
          <w:lang w:val="en-GB"/>
        </w:rPr>
      </w:pPr>
      <w:r w:rsidRPr="00FC4A49">
        <w:rPr>
          <w:noProof w:val="0"/>
          <w:lang w:val="en-GB"/>
        </w:rPr>
        <w:t xml:space="preserve">Progress in decarbonisation has been achieved primarily by moving away from coal and transitioning to gas and biomass; a possible further decarbonisation must proceed under conditions that are not entirely within the control of plant operators. At the same time, decarbonisation cannot be pursued at the expense of self-sufficiency in key areas, such as critical chemicals, </w:t>
      </w:r>
      <w:r w:rsidRPr="00FC4A49">
        <w:rPr>
          <w:noProof w:val="0"/>
          <w:lang w:val="en-GB"/>
        </w:rPr>
        <w:t>defense</w:t>
      </w:r>
      <w:r w:rsidRPr="00FC4A49">
        <w:rPr>
          <w:noProof w:val="0"/>
          <w:lang w:val="en-GB"/>
        </w:rPr>
        <w:t>, or the manufacture of components for transition technologies.</w:t>
      </w:r>
    </w:p>
    <w:p w:rsidR="00343C6C" w:rsidRPr="00FC4A49" w:rsidP="00343C6C" w14:paraId="3FA88E31" w14:textId="77777777">
      <w:r w:rsidRPr="00FC4A49">
        <w:rPr>
          <w:rStyle w:val="HideTWBExt"/>
        </w:rPr>
        <w:t>&lt;/Amend&gt;</w:t>
      </w:r>
    </w:p>
    <w:p w:rsidR="00343C6C" w:rsidRPr="00FC4A49" w:rsidP="00343C6C" w14:paraId="136AF001"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226</w:t>
      </w:r>
      <w:r w:rsidRPr="00FC4A49">
        <w:rPr>
          <w:rStyle w:val="HideTWBExt"/>
          <w:b w:val="0"/>
          <w:lang w:val="en-GB"/>
        </w:rPr>
        <w:t>&lt;/NumAm&gt;</w:t>
      </w:r>
    </w:p>
    <w:p w:rsidR="00343C6C" w:rsidRPr="00FC4A49" w:rsidP="00343C6C" w14:paraId="08860DE4"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19CF87CC" w14:textId="77777777">
      <w:r w:rsidRPr="00FC4A49">
        <w:rPr>
          <w:rStyle w:val="HideTWBExt"/>
        </w:rPr>
        <w:t>&lt;/RepeatBlock-By&gt;</w:t>
      </w:r>
    </w:p>
    <w:p w:rsidR="00343C6C" w:rsidRPr="00FC4A49" w:rsidP="00343C6C" w14:paraId="499957C7"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AC94FC0" w14:textId="77777777">
      <w:pPr>
        <w:pStyle w:val="NormalBold"/>
      </w:pPr>
      <w:r w:rsidRPr="00FC4A49">
        <w:rPr>
          <w:rStyle w:val="HideTWBExt"/>
          <w:b w:val="0"/>
        </w:rPr>
        <w:t>&lt;Article&gt;</w:t>
      </w:r>
      <w:r w:rsidRPr="00FC4A49">
        <w:t>Recital 29</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6111F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8054627" w14:textId="77777777">
            <w:pPr>
              <w:keepNext/>
            </w:pPr>
          </w:p>
        </w:tc>
      </w:tr>
      <w:tr w14:paraId="7AFBD5B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FFC3695" w14:textId="77777777">
            <w:pPr>
              <w:pStyle w:val="ColumnHeading"/>
              <w:keepNext/>
              <w:rPr>
                <w:lang w:val="en-GB"/>
              </w:rPr>
            </w:pPr>
            <w:r w:rsidRPr="00FC4A49">
              <w:rPr>
                <w:lang w:val="en-GB"/>
              </w:rPr>
              <w:t>Text proposed by the Commission</w:t>
            </w:r>
          </w:p>
        </w:tc>
        <w:tc>
          <w:tcPr>
            <w:tcW w:w="4876" w:type="dxa"/>
          </w:tcPr>
          <w:p w:rsidR="00343C6C" w:rsidRPr="00FC4A49" w:rsidP="005D58F9" w14:paraId="19C6CEE5" w14:textId="77777777">
            <w:pPr>
              <w:pStyle w:val="ColumnHeading"/>
              <w:keepNext/>
              <w:rPr>
                <w:lang w:val="en-GB"/>
              </w:rPr>
            </w:pPr>
            <w:r w:rsidRPr="00FC4A49">
              <w:rPr>
                <w:lang w:val="en-GB"/>
              </w:rPr>
              <w:t>Amendment</w:t>
            </w:r>
          </w:p>
        </w:tc>
      </w:tr>
      <w:tr w14:paraId="65326B8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A42EC55" w14:textId="77777777">
            <w:pPr>
              <w:pStyle w:val="Normal6"/>
              <w:rPr>
                <w:lang w:val="en-GB"/>
              </w:rPr>
            </w:pPr>
            <w:r w:rsidRPr="00FC4A49">
              <w:rPr>
                <w:lang w:val="en-GB"/>
              </w:rPr>
              <w:t>(29)</w:t>
            </w:r>
            <w:r w:rsidRPr="00FC4A49">
              <w:rPr>
                <w:lang w:val="en-GB"/>
              </w:rPr>
              <w:tab/>
              <w:t xml:space="preserve">Achieving the Union’s emission reduction target of -90% by 2040 as compared to 1990 levels </w:t>
            </w:r>
            <w:r w:rsidRPr="00FC4A49">
              <w:rPr>
                <w:b/>
                <w:i/>
                <w:lang w:val="en-GB"/>
              </w:rPr>
              <w:t>requires</w:t>
            </w:r>
            <w:r w:rsidRPr="00FC4A49">
              <w:rPr>
                <w:lang w:val="en-GB"/>
              </w:rPr>
              <w:t xml:space="preserve"> adjusting the rate of reduction in the emissions of the </w:t>
            </w:r>
            <w:r w:rsidRPr="00FC4A49">
              <w:rPr>
                <w:lang w:val="en-GB"/>
              </w:rPr>
              <w:t xml:space="preserve">sectors covered by the EU ETS from </w:t>
            </w:r>
            <w:r w:rsidRPr="00FC4A49">
              <w:rPr>
                <w:b/>
                <w:i/>
                <w:lang w:val="en-GB"/>
              </w:rPr>
              <w:t>2031. The linear reduction factor provided for in Article 9 of Directive 2003/87/EC should therefore be adjusted</w:t>
            </w:r>
            <w:r w:rsidRPr="00FC4A49">
              <w:rPr>
                <w:lang w:val="en-GB"/>
              </w:rPr>
              <w:t>.</w:t>
            </w:r>
          </w:p>
        </w:tc>
        <w:tc>
          <w:tcPr>
            <w:tcW w:w="4876" w:type="dxa"/>
          </w:tcPr>
          <w:p w:rsidR="00343C6C" w:rsidRPr="00FC4A49" w:rsidP="005D58F9" w14:paraId="64712F5A" w14:textId="77777777">
            <w:pPr>
              <w:pStyle w:val="Normal6"/>
              <w:rPr>
                <w:szCs w:val="24"/>
                <w:lang w:val="en-GB"/>
              </w:rPr>
            </w:pPr>
            <w:r w:rsidRPr="00FC4A49">
              <w:rPr>
                <w:lang w:val="en-GB"/>
              </w:rPr>
              <w:t>(29)</w:t>
            </w:r>
            <w:r w:rsidRPr="00FC4A49">
              <w:rPr>
                <w:lang w:val="en-GB"/>
              </w:rPr>
              <w:tab/>
              <w:t xml:space="preserve">Achieving the Union’s emission reduction target of -90% by 2040 as compared to 1990 levels </w:t>
            </w:r>
            <w:r w:rsidRPr="00FC4A49">
              <w:rPr>
                <w:b/>
                <w:i/>
                <w:lang w:val="en-GB"/>
              </w:rPr>
              <w:t xml:space="preserve">while preserving the business case for frontrunner </w:t>
            </w:r>
            <w:r w:rsidRPr="00FC4A49">
              <w:rPr>
                <w:b/>
                <w:i/>
                <w:lang w:val="en-GB"/>
              </w:rPr>
              <w:t>businesses and the integrity of the ETS, allows for</w:t>
            </w:r>
            <w:r w:rsidRPr="00FC4A49">
              <w:rPr>
                <w:lang w:val="en-GB"/>
              </w:rPr>
              <w:t xml:space="preserve"> adjusting the rate of reduction in the emissions of the sectors covered by the EU ETS from </w:t>
            </w:r>
            <w:r w:rsidRPr="00FC4A49">
              <w:rPr>
                <w:b/>
                <w:i/>
                <w:lang w:val="en-GB"/>
              </w:rPr>
              <w:t>2036 at the earliest</w:t>
            </w:r>
            <w:r w:rsidRPr="00FC4A49">
              <w:rPr>
                <w:lang w:val="en-GB"/>
              </w:rPr>
              <w:t>.</w:t>
            </w:r>
          </w:p>
        </w:tc>
      </w:tr>
    </w:tbl>
    <w:p w:rsidR="00343C6C" w:rsidRPr="00FC4A49" w:rsidP="00343C6C" w14:paraId="5A551AF3"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0DF7B97E" w14:textId="77777777">
      <w:r w:rsidRPr="00FC4A49">
        <w:rPr>
          <w:rStyle w:val="HideTWBExt"/>
        </w:rPr>
        <w:t>&lt;/Amend&gt;</w:t>
      </w:r>
    </w:p>
    <w:p w:rsidR="00343C6C" w:rsidRPr="00FC4A49" w:rsidP="00343C6C" w14:paraId="5DFB1B12"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227</w:t>
      </w:r>
      <w:r w:rsidRPr="00FC4A49">
        <w:rPr>
          <w:rStyle w:val="HideTWBExt"/>
          <w:b w:val="0"/>
          <w:lang w:val="en-GB"/>
        </w:rPr>
        <w:t>&lt;/NumAm&gt;</w:t>
      </w:r>
    </w:p>
    <w:p w:rsidR="00343C6C" w:rsidRPr="00FC4A49" w:rsidP="00343C6C" w14:paraId="054A7828" w14:textId="77777777">
      <w:pPr>
        <w:pStyle w:val="NormalBold"/>
      </w:pPr>
      <w:r w:rsidRPr="00FC4A49">
        <w:rPr>
          <w:rStyle w:val="HideTWBExt"/>
          <w:b w:val="0"/>
        </w:rPr>
        <w:t>&lt;RepeatBlock-By&gt;&lt;Members&gt;</w:t>
      </w:r>
      <w:r w:rsidRPr="00FC4A49">
        <w:t xml:space="preserve">Heléne </w:t>
      </w:r>
      <w:r w:rsidRPr="00FC4A49">
        <w:t>Fritzon</w:t>
      </w:r>
      <w:r w:rsidRPr="00FC4A49">
        <w:rPr>
          <w:rStyle w:val="HideTWBExt"/>
          <w:b w:val="0"/>
        </w:rPr>
        <w:t>&lt;/Members&gt;</w:t>
      </w:r>
    </w:p>
    <w:p w:rsidR="00343C6C" w:rsidRPr="00FC4A49" w:rsidP="00343C6C" w14:paraId="14F03840" w14:textId="77777777">
      <w:r w:rsidRPr="00FC4A49">
        <w:rPr>
          <w:rStyle w:val="HideTWBExt"/>
        </w:rPr>
        <w:t>&lt;/RepeatBlock-By&gt;</w:t>
      </w:r>
    </w:p>
    <w:p w:rsidR="00343C6C" w:rsidRPr="00FC4A49" w:rsidP="00343C6C" w14:paraId="5EAABF0C"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7701A5B" w14:textId="77777777">
      <w:pPr>
        <w:pStyle w:val="NormalBold"/>
      </w:pPr>
      <w:r w:rsidRPr="00FC4A49">
        <w:rPr>
          <w:rStyle w:val="HideTWBExt"/>
          <w:b w:val="0"/>
        </w:rPr>
        <w:t>&lt;Article&gt;</w:t>
      </w:r>
      <w:r w:rsidRPr="00FC4A49">
        <w:t>Recital 29</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A025E1"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2AFFD96" w14:textId="77777777">
            <w:pPr>
              <w:keepNext/>
            </w:pPr>
          </w:p>
        </w:tc>
      </w:tr>
      <w:tr w14:paraId="116C3F2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EDA0007" w14:textId="77777777">
            <w:pPr>
              <w:pStyle w:val="ColumnHeading"/>
              <w:keepNext/>
              <w:rPr>
                <w:lang w:val="en-GB"/>
              </w:rPr>
            </w:pPr>
            <w:r w:rsidRPr="00FC4A49">
              <w:rPr>
                <w:lang w:val="en-GB"/>
              </w:rPr>
              <w:t>Text proposed by the Commission</w:t>
            </w:r>
          </w:p>
        </w:tc>
        <w:tc>
          <w:tcPr>
            <w:tcW w:w="4876" w:type="dxa"/>
          </w:tcPr>
          <w:p w:rsidR="00343C6C" w:rsidRPr="00FC4A49" w:rsidP="005D58F9" w14:paraId="0C4014D7" w14:textId="77777777">
            <w:pPr>
              <w:pStyle w:val="ColumnHeading"/>
              <w:keepNext/>
              <w:rPr>
                <w:lang w:val="en-GB"/>
              </w:rPr>
            </w:pPr>
            <w:r w:rsidRPr="00FC4A49">
              <w:rPr>
                <w:lang w:val="en-GB"/>
              </w:rPr>
              <w:t>Amendment</w:t>
            </w:r>
          </w:p>
        </w:tc>
      </w:tr>
      <w:tr w14:paraId="1446BBB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0C01DE8" w14:textId="77777777">
            <w:pPr>
              <w:pStyle w:val="Normal6"/>
              <w:rPr>
                <w:lang w:val="en-GB"/>
              </w:rPr>
            </w:pPr>
            <w:r w:rsidRPr="00FC4A49">
              <w:rPr>
                <w:lang w:val="en-GB"/>
              </w:rPr>
              <w:t>(29)</w:t>
            </w:r>
            <w:r w:rsidRPr="00FC4A49">
              <w:rPr>
                <w:lang w:val="en-GB"/>
              </w:rPr>
              <w:tab/>
              <w:t xml:space="preserve">Achieving the Union’s emission reduction target of -90% by 2040 as compared to 1990 levels requires adjusting the rate of reduction in the emissions of the sectors covered by the EU ETS from </w:t>
            </w:r>
            <w:r w:rsidRPr="00FC4A49">
              <w:rPr>
                <w:b/>
                <w:i/>
                <w:lang w:val="en-GB"/>
              </w:rPr>
              <w:t>2031</w:t>
            </w:r>
            <w:r w:rsidRPr="00FC4A49">
              <w:rPr>
                <w:lang w:val="en-GB"/>
              </w:rPr>
              <w:t>. The linear reduction factor provided for in Article 9 of Directive 2003/87/EC should therefore be adjusted.</w:t>
            </w:r>
          </w:p>
        </w:tc>
        <w:tc>
          <w:tcPr>
            <w:tcW w:w="4876" w:type="dxa"/>
          </w:tcPr>
          <w:p w:rsidR="00343C6C" w:rsidRPr="00FC4A49" w:rsidP="005D58F9" w14:paraId="6547F31E" w14:textId="77777777">
            <w:pPr>
              <w:pStyle w:val="Normal6"/>
              <w:rPr>
                <w:szCs w:val="24"/>
                <w:lang w:val="en-GB"/>
              </w:rPr>
            </w:pPr>
            <w:r w:rsidRPr="00FC4A49">
              <w:rPr>
                <w:lang w:val="en-GB"/>
              </w:rPr>
              <w:t>(29)</w:t>
            </w:r>
            <w:r w:rsidRPr="00FC4A49">
              <w:rPr>
                <w:lang w:val="en-GB"/>
              </w:rPr>
              <w:tab/>
              <w:t xml:space="preserve">Achieving the Union’s emission reduction target of -90% by 2040 as compared to 1990 levels requires adjusting the rate of reduction in the emissions of the sectors covered by the EU ETS from </w:t>
            </w:r>
            <w:r w:rsidRPr="00FC4A49">
              <w:rPr>
                <w:b/>
                <w:i/>
                <w:lang w:val="en-GB"/>
              </w:rPr>
              <w:t>2036</w:t>
            </w:r>
            <w:r w:rsidRPr="00FC4A49">
              <w:rPr>
                <w:lang w:val="en-GB"/>
              </w:rPr>
              <w:t>. The linear reduction factor provided for in Article 9 of Directive 2003/87/EC should therefore be adjusted.</w:t>
            </w:r>
          </w:p>
        </w:tc>
      </w:tr>
    </w:tbl>
    <w:p w:rsidR="00343C6C" w:rsidRPr="00FC4A49" w:rsidP="00343C6C" w14:paraId="789B228E"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28996B2" w14:textId="77777777">
      <w:r w:rsidRPr="00FC4A49">
        <w:rPr>
          <w:rStyle w:val="HideTWBExt"/>
        </w:rPr>
        <w:t>&lt;/Amend&gt;</w:t>
      </w:r>
    </w:p>
    <w:p w:rsidR="00343C6C" w:rsidRPr="00FC4A49" w:rsidP="00343C6C" w14:paraId="4A039B67"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228</w:t>
      </w:r>
      <w:r w:rsidRPr="00FC4A49">
        <w:rPr>
          <w:rStyle w:val="HideTWBExt"/>
          <w:b w:val="0"/>
          <w:lang w:val="en-GB"/>
        </w:rPr>
        <w:t>&lt;/NumAm&gt;</w:t>
      </w:r>
    </w:p>
    <w:p w:rsidR="00343C6C" w:rsidRPr="00FC4A49" w:rsidP="00343C6C" w14:paraId="076D8C59" w14:textId="77777777">
      <w:pPr>
        <w:pStyle w:val="NormalBold"/>
      </w:pPr>
      <w:r w:rsidRPr="00FC4A49">
        <w:rPr>
          <w:rStyle w:val="HideTWBExt"/>
          <w:b w:val="0"/>
        </w:rPr>
        <w:t>&lt;RepeatBlock-By&gt;&lt;Members&gt;</w:t>
      </w:r>
      <w:r w:rsidRPr="00FC4A49">
        <w:t>Mohammed Chahim</w:t>
      </w:r>
      <w:r w:rsidRPr="00FC4A49">
        <w:rPr>
          <w:rStyle w:val="HideTWBExt"/>
          <w:b w:val="0"/>
        </w:rPr>
        <w:t>&lt;/Members&gt;</w:t>
      </w:r>
    </w:p>
    <w:p w:rsidR="00343C6C" w:rsidRPr="00FC4A49" w:rsidP="00343C6C" w14:paraId="10ADE237" w14:textId="77777777">
      <w:r w:rsidRPr="00FC4A49">
        <w:rPr>
          <w:rStyle w:val="HideTWBExt"/>
        </w:rPr>
        <w:t>&lt;/RepeatBlock-By&gt;</w:t>
      </w:r>
    </w:p>
    <w:p w:rsidR="00343C6C" w:rsidRPr="00FC4A49" w:rsidP="00343C6C" w14:paraId="79CC0E13"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444F4A7" w14:textId="77777777">
      <w:pPr>
        <w:pStyle w:val="NormalBold"/>
      </w:pPr>
      <w:r w:rsidRPr="00FC4A49">
        <w:rPr>
          <w:rStyle w:val="HideTWBExt"/>
          <w:b w:val="0"/>
        </w:rPr>
        <w:t>&lt;Article&gt;</w:t>
      </w:r>
      <w:r w:rsidRPr="00FC4A49">
        <w:t>Recital 30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FDB3D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46A66FD" w14:textId="77777777">
            <w:pPr>
              <w:keepNext/>
            </w:pPr>
          </w:p>
        </w:tc>
      </w:tr>
      <w:tr w14:paraId="644F5EF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FE99806" w14:textId="77777777">
            <w:pPr>
              <w:pStyle w:val="ColumnHeading"/>
              <w:keepNext/>
              <w:rPr>
                <w:lang w:val="en-GB"/>
              </w:rPr>
            </w:pPr>
            <w:r w:rsidRPr="00FC4A49">
              <w:rPr>
                <w:lang w:val="en-GB"/>
              </w:rPr>
              <w:t>Text proposed by the Commission</w:t>
            </w:r>
          </w:p>
        </w:tc>
        <w:tc>
          <w:tcPr>
            <w:tcW w:w="4876" w:type="dxa"/>
          </w:tcPr>
          <w:p w:rsidR="00343C6C" w:rsidRPr="00FC4A49" w:rsidP="005D58F9" w14:paraId="5F79F240" w14:textId="77777777">
            <w:pPr>
              <w:pStyle w:val="ColumnHeading"/>
              <w:keepNext/>
              <w:rPr>
                <w:lang w:val="en-GB"/>
              </w:rPr>
            </w:pPr>
            <w:r w:rsidRPr="00FC4A49">
              <w:rPr>
                <w:lang w:val="en-GB"/>
              </w:rPr>
              <w:t>Amendment</w:t>
            </w:r>
          </w:p>
        </w:tc>
      </w:tr>
      <w:tr w14:paraId="13D6527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3FA5C67" w14:textId="77777777">
            <w:pPr>
              <w:pStyle w:val="Normal6"/>
              <w:rPr>
                <w:lang w:val="en-GB"/>
              </w:rPr>
            </w:pPr>
            <w:r w:rsidRPr="00FC4A49">
              <w:rPr>
                <w:b/>
                <w:i/>
                <w:lang w:val="en-GB"/>
              </w:rPr>
              <w:t>(30)</w:t>
            </w:r>
            <w:r w:rsidRPr="00FC4A49">
              <w:rPr>
                <w:b/>
                <w:i/>
                <w:lang w:val="en-GB"/>
              </w:rPr>
              <w:tab/>
              <w:t xml:space="preserve">The rate of reduction should also take account of the provisions of the European Climate Law regarding the use of high-quality international credits as adequate contribution towards the EU 2040 climate target, starting in 2036. International credits should be integrated in the future climate legislation using high-quality and integrity credits. The use of credits should support both the EU and third countries in achieving GHG </w:t>
            </w:r>
            <w:r w:rsidRPr="00FC4A49">
              <w:rPr>
                <w:b/>
                <w:i/>
                <w:lang w:val="en-GB"/>
              </w:rPr>
              <w:t xml:space="preserve">reductions compatible with the Paris Agreement. High credit integrity must be ensured and where appropriate the rules developed under Article 6.4 of the Paris Agreement may be complemented.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2035 and of -85% from 2036 to 2040. This should be reflected through a lower linear reduction factor of the EU ETS from 2036, and allowances should be put aside for the purchase of the amount of international credits that correspond to the reduction of the ambition in the EU ETS. The Commission should report to the European Parliament and to the Council on the development of a high-quality and high-integrity international credit market, </w:t>
            </w:r>
            <w:r w:rsidRPr="00FC4A49">
              <w:rPr>
                <w:b/>
                <w:i/>
                <w:lang w:val="en-GB"/>
              </w:rPr>
              <w:t>taking into account</w:t>
            </w:r>
            <w:r w:rsidRPr="00FC4A49">
              <w:rPr>
                <w:b/>
                <w:i/>
                <w:lang w:val="en-GB"/>
              </w:rPr>
              <w:t xml:space="preserve"> the criteria set out in Regulation 2021/1119/EU, and the contribution of these credits to the climate ambition of the activities listed in Annex. Subject to this report, the linear reduction factor from 2036 should revert to a trajectory for ETS sectors aligned with an EU domestic reduction of 90% by 2040 in the event that high-quality and high-integrity, cost-effective international credits are not available.</w:t>
            </w:r>
          </w:p>
        </w:tc>
        <w:tc>
          <w:tcPr>
            <w:tcW w:w="4876" w:type="dxa"/>
          </w:tcPr>
          <w:p w:rsidR="00343C6C" w:rsidRPr="00FC4A49" w:rsidP="005D58F9" w14:paraId="46B7CA3D" w14:textId="77777777">
            <w:pPr>
              <w:pStyle w:val="Normal6"/>
              <w:rPr>
                <w:szCs w:val="24"/>
                <w:lang w:val="en-GB"/>
              </w:rPr>
            </w:pPr>
            <w:r w:rsidRPr="00FC4A49">
              <w:rPr>
                <w:b/>
                <w:i/>
                <w:lang w:val="en-GB"/>
              </w:rPr>
              <w:t>deleted</w:t>
            </w:r>
          </w:p>
        </w:tc>
      </w:tr>
    </w:tbl>
    <w:p w:rsidR="00343C6C" w:rsidRPr="00FC4A49" w:rsidP="00343C6C" w14:paraId="20256915"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63D0EAA" w14:textId="77777777">
      <w:r w:rsidRPr="00FC4A49">
        <w:rPr>
          <w:rStyle w:val="HideTWBExt"/>
        </w:rPr>
        <w:t>&lt;/Amend&gt;</w:t>
      </w:r>
    </w:p>
    <w:p w:rsidR="00343C6C" w:rsidRPr="00FC4A49" w:rsidP="00343C6C" w14:paraId="54CE6C08"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229</w:t>
      </w:r>
      <w:r w:rsidRPr="00FC4A49">
        <w:rPr>
          <w:rStyle w:val="HideTWBExt"/>
          <w:b w:val="0"/>
          <w:lang w:val="en-GB"/>
        </w:rPr>
        <w:t>&lt;/NumAm&gt;</w:t>
      </w:r>
    </w:p>
    <w:p w:rsidR="00343C6C" w:rsidRPr="00FC4A49" w:rsidP="00343C6C" w14:paraId="0E136406" w14:textId="77777777">
      <w:pPr>
        <w:pStyle w:val="NormalBold"/>
      </w:pPr>
      <w:r w:rsidRPr="00FC4A49">
        <w:rPr>
          <w:rStyle w:val="HideTWBExt"/>
          <w:b w:val="0"/>
        </w:rPr>
        <w:t>&lt;RepeatBlock-By&gt;&lt;Members&gt;</w:t>
      </w:r>
      <w:r w:rsidRPr="00FC4A49">
        <w:t xml:space="preserve">Heléne </w:t>
      </w:r>
      <w:r w:rsidRPr="00FC4A49">
        <w:t>Fritzon</w:t>
      </w:r>
      <w:r w:rsidRPr="00FC4A49">
        <w:rPr>
          <w:rStyle w:val="HideTWBExt"/>
          <w:b w:val="0"/>
        </w:rPr>
        <w:t>&lt;/Members&gt;</w:t>
      </w:r>
    </w:p>
    <w:p w:rsidR="00343C6C" w:rsidRPr="00FC4A49" w:rsidP="00343C6C" w14:paraId="18F0E9FD" w14:textId="77777777">
      <w:r w:rsidRPr="00FC4A49">
        <w:rPr>
          <w:rStyle w:val="HideTWBExt"/>
        </w:rPr>
        <w:t>&lt;/RepeatBlock-By&gt;</w:t>
      </w:r>
    </w:p>
    <w:p w:rsidR="00343C6C" w:rsidRPr="00FC4A49" w:rsidP="00343C6C" w14:paraId="6D4D3E0A"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751E923" w14:textId="77777777">
      <w:pPr>
        <w:pStyle w:val="NormalBold"/>
      </w:pPr>
      <w:r w:rsidRPr="00FC4A49">
        <w:rPr>
          <w:rStyle w:val="HideTWBExt"/>
          <w:b w:val="0"/>
        </w:rPr>
        <w:t>&lt;Article&gt;</w:t>
      </w:r>
      <w:r w:rsidRPr="00FC4A49">
        <w:t>Recital 30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DBB3C5"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C69C5F3" w14:textId="77777777">
            <w:pPr>
              <w:keepNext/>
            </w:pPr>
          </w:p>
        </w:tc>
      </w:tr>
      <w:tr w14:paraId="1D0D4AD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78C8B1F" w14:textId="77777777">
            <w:pPr>
              <w:pStyle w:val="ColumnHeading"/>
              <w:keepNext/>
              <w:rPr>
                <w:lang w:val="en-GB"/>
              </w:rPr>
            </w:pPr>
            <w:r w:rsidRPr="00FC4A49">
              <w:rPr>
                <w:lang w:val="en-GB"/>
              </w:rPr>
              <w:t>Text proposed by the Commission</w:t>
            </w:r>
          </w:p>
        </w:tc>
        <w:tc>
          <w:tcPr>
            <w:tcW w:w="4876" w:type="dxa"/>
          </w:tcPr>
          <w:p w:rsidR="00343C6C" w:rsidRPr="00FC4A49" w:rsidP="005D58F9" w14:paraId="25C1F629" w14:textId="77777777">
            <w:pPr>
              <w:pStyle w:val="ColumnHeading"/>
              <w:keepNext/>
              <w:rPr>
                <w:lang w:val="en-GB"/>
              </w:rPr>
            </w:pPr>
            <w:r w:rsidRPr="00FC4A49">
              <w:rPr>
                <w:lang w:val="en-GB"/>
              </w:rPr>
              <w:t>Amendment</w:t>
            </w:r>
          </w:p>
        </w:tc>
      </w:tr>
      <w:tr w14:paraId="02980AD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1FC68E1" w14:textId="77777777">
            <w:pPr>
              <w:pStyle w:val="Normal6"/>
              <w:rPr>
                <w:lang w:val="en-GB"/>
              </w:rPr>
            </w:pPr>
            <w:r w:rsidRPr="00FC4A49">
              <w:rPr>
                <w:b/>
                <w:i/>
                <w:lang w:val="en-GB"/>
              </w:rPr>
              <w:t>(30)</w:t>
            </w:r>
            <w:r w:rsidRPr="00FC4A49">
              <w:rPr>
                <w:b/>
                <w:i/>
                <w:lang w:val="en-GB"/>
              </w:rPr>
              <w:tab/>
              <w:t xml:space="preserve">The rate of reduction should also take account of the provisions of the European Climate Law regarding the use of high-quality international credits as adequate contribution towards the EU 2040 climate target, starting in 2036. International credits should be integrated in the future climate legislation using high-quality and integrity credits. The use of credits should support both the EU and third countries in achieving GHG reductions compatible with the Paris Agreement. High credit integrity must be ensured and where appropriate the rules developed under Article 6.4 of the Paris Agreement may be complemented.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2035 and of -85% from 2036 to 2040. This should be reflected through a lower linear reduction factor of the EU ETS from 2036, and allowances should be put aside for the purchase of the amount of international credits that correspond to the reduction of the ambition in the EU ETS. The Commission should report to the European Parliament and to the Council on the development of a high-quality and high-integrity international credit market, </w:t>
            </w:r>
            <w:r w:rsidRPr="00FC4A49">
              <w:rPr>
                <w:b/>
                <w:i/>
                <w:lang w:val="en-GB"/>
              </w:rPr>
              <w:t>taking into account</w:t>
            </w:r>
            <w:r w:rsidRPr="00FC4A49">
              <w:rPr>
                <w:b/>
                <w:i/>
                <w:lang w:val="en-GB"/>
              </w:rPr>
              <w:t xml:space="preserve"> the criteria set out in Regulation 2021/1119/EU, and the contribution of these credits to the climate ambition of the activities listed in Annex. </w:t>
            </w:r>
            <w:r w:rsidRPr="00FC4A49">
              <w:rPr>
                <w:b/>
                <w:i/>
                <w:lang w:val="en-GB"/>
              </w:rPr>
              <w:t>Subject to this report, the linear reduction factor from 2036 should revert to a trajectory for ETS sectors aligned with an EU domestic reduction of 90% by 2040 in the event that high-quality and high-integrity, cost-effective international credits are not available.</w:t>
            </w:r>
          </w:p>
        </w:tc>
        <w:tc>
          <w:tcPr>
            <w:tcW w:w="4876" w:type="dxa"/>
          </w:tcPr>
          <w:p w:rsidR="00343C6C" w:rsidRPr="00FC4A49" w:rsidP="005D58F9" w14:paraId="6B504C9D" w14:textId="77777777">
            <w:pPr>
              <w:pStyle w:val="Normal6"/>
              <w:rPr>
                <w:szCs w:val="24"/>
                <w:lang w:val="en-GB"/>
              </w:rPr>
            </w:pPr>
            <w:r w:rsidRPr="00FC4A49">
              <w:rPr>
                <w:b/>
                <w:i/>
                <w:lang w:val="en-GB"/>
              </w:rPr>
              <w:t>deleted</w:t>
            </w:r>
          </w:p>
        </w:tc>
      </w:tr>
    </w:tbl>
    <w:p w:rsidR="00343C6C" w:rsidRPr="00FC4A49" w:rsidP="00343C6C" w14:paraId="1DE3971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F274849" w14:textId="77777777">
      <w:r w:rsidRPr="00FC4A49">
        <w:rPr>
          <w:rStyle w:val="HideTWBExt"/>
        </w:rPr>
        <w:t>&lt;/Amend&gt;</w:t>
      </w:r>
    </w:p>
    <w:p w:rsidR="00343C6C" w:rsidRPr="00FC4A49" w:rsidP="00343C6C" w14:paraId="526DF7D5"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230</w:t>
      </w:r>
      <w:r w:rsidRPr="00FC4A49">
        <w:rPr>
          <w:rStyle w:val="HideTWBExt"/>
          <w:b w:val="0"/>
          <w:lang w:val="en-GB"/>
        </w:rPr>
        <w:t>&lt;/NumAm&gt;</w:t>
      </w:r>
    </w:p>
    <w:p w:rsidR="00343C6C" w:rsidRPr="00FC4A49" w:rsidP="00343C6C" w14:paraId="5FC97880" w14:textId="77777777">
      <w:pPr>
        <w:pStyle w:val="NormalBold"/>
      </w:pPr>
      <w:r w:rsidRPr="00FC4A49">
        <w:rPr>
          <w:rStyle w:val="HideTWBExt"/>
          <w:b w:val="0"/>
        </w:rPr>
        <w:t>&lt;RepeatBlock-By&gt;&lt;Members&gt;</w:t>
      </w:r>
      <w:r w:rsidRPr="00FC4A49">
        <w:t>Emma Wiesner, Sigrid Friis, Gerben-Jan Gerbrandy, Anna Stürgkh, Katri Kulmuni</w:t>
      </w:r>
      <w:r w:rsidRPr="00FC4A49">
        <w:rPr>
          <w:rStyle w:val="HideTWBExt"/>
          <w:b w:val="0"/>
        </w:rPr>
        <w:t>&lt;/Members&gt;</w:t>
      </w:r>
    </w:p>
    <w:p w:rsidR="00343C6C" w:rsidRPr="00FC4A49" w:rsidP="00343C6C" w14:paraId="4F20A356" w14:textId="77777777">
      <w:r w:rsidRPr="00FC4A49">
        <w:rPr>
          <w:rStyle w:val="HideTWBExt"/>
        </w:rPr>
        <w:t>&lt;/RepeatBlock-By&gt;</w:t>
      </w:r>
    </w:p>
    <w:p w:rsidR="00343C6C" w:rsidRPr="00FC4A49" w:rsidP="00343C6C" w14:paraId="3226F61B"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BBC37D0" w14:textId="77777777">
      <w:pPr>
        <w:pStyle w:val="NormalBold"/>
      </w:pPr>
      <w:r w:rsidRPr="00FC4A49">
        <w:rPr>
          <w:rStyle w:val="HideTWBExt"/>
          <w:b w:val="0"/>
        </w:rPr>
        <w:t>&lt;Article&gt;</w:t>
      </w:r>
      <w:r w:rsidRPr="00FC4A49">
        <w:t>Recital 30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FBDD7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EB5DD6A" w14:textId="77777777">
            <w:pPr>
              <w:keepNext/>
            </w:pPr>
          </w:p>
        </w:tc>
      </w:tr>
      <w:tr w14:paraId="3E0B328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66CBDCD" w14:textId="77777777">
            <w:pPr>
              <w:pStyle w:val="ColumnHeading"/>
              <w:keepNext/>
              <w:rPr>
                <w:lang w:val="en-GB"/>
              </w:rPr>
            </w:pPr>
            <w:r w:rsidRPr="00FC4A49">
              <w:rPr>
                <w:lang w:val="en-GB"/>
              </w:rPr>
              <w:t>Text proposed by the Commission</w:t>
            </w:r>
          </w:p>
        </w:tc>
        <w:tc>
          <w:tcPr>
            <w:tcW w:w="4876" w:type="dxa"/>
          </w:tcPr>
          <w:p w:rsidR="00343C6C" w:rsidRPr="00FC4A49" w:rsidP="005D58F9" w14:paraId="44BA66EC" w14:textId="77777777">
            <w:pPr>
              <w:pStyle w:val="ColumnHeading"/>
              <w:keepNext/>
              <w:rPr>
                <w:lang w:val="en-GB"/>
              </w:rPr>
            </w:pPr>
            <w:r w:rsidRPr="00FC4A49">
              <w:rPr>
                <w:lang w:val="en-GB"/>
              </w:rPr>
              <w:t>Amendment</w:t>
            </w:r>
          </w:p>
        </w:tc>
      </w:tr>
      <w:tr w14:paraId="5131DBF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E9ECAEC" w14:textId="77777777">
            <w:pPr>
              <w:pStyle w:val="Normal6"/>
              <w:rPr>
                <w:lang w:val="en-GB"/>
              </w:rPr>
            </w:pPr>
            <w:r w:rsidRPr="00FC4A49">
              <w:rPr>
                <w:b/>
                <w:i/>
                <w:lang w:val="en-GB"/>
              </w:rPr>
              <w:t>(30)</w:t>
            </w:r>
            <w:r w:rsidRPr="00FC4A49">
              <w:rPr>
                <w:b/>
                <w:i/>
                <w:lang w:val="en-GB"/>
              </w:rPr>
              <w:tab/>
              <w:t xml:space="preserve">The rate of reduction should also take account of the provisions of the European Climate Law regarding the use of high-quality international credits as adequate contribution towards the EU 2040 climate target, starting in 2036. International credits should be integrated in the future climate legislation using high-quality and integrity credits. The use of credits should support both the EU and third countries in achieving GHG reductions compatible with the Paris Agreement. High credit integrity must be ensured and where appropriate the rules developed under Article 6.4 of the Paris Agreement may be complemented.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2035 and of -85% </w:t>
            </w:r>
            <w:r w:rsidRPr="00FC4A49">
              <w:rPr>
                <w:b/>
                <w:i/>
                <w:lang w:val="en-GB"/>
              </w:rPr>
              <w:t xml:space="preserve">from 2036 to 2040. This should be reflected through a lower linear reduction factor of the EU ETS from 2036, and allowances should be put aside for the purchase of the amount of international credits that correspond to the reduction of the ambition in the EU ETS. The Commission should report to the European Parliament and to the Council on the development of a high-quality and high-integrity international credit market, </w:t>
            </w:r>
            <w:r w:rsidRPr="00FC4A49">
              <w:rPr>
                <w:b/>
                <w:i/>
                <w:lang w:val="en-GB"/>
              </w:rPr>
              <w:t>taking into account</w:t>
            </w:r>
            <w:r w:rsidRPr="00FC4A49">
              <w:rPr>
                <w:b/>
                <w:i/>
                <w:lang w:val="en-GB"/>
              </w:rPr>
              <w:t xml:space="preserve"> the criteria set out in Regulation 2021/1119/EU, and the contribution of these credits to the climate ambition of the activities listed in Annex. Subject to this report, the linear reduction factor from 2036 should revert to a trajectory for ETS sectors aligned with an EU domestic reduction of 90% by 2040 in the event that high-quality and high-integrity, cost-effective international credits are not available.</w:t>
            </w:r>
          </w:p>
        </w:tc>
        <w:tc>
          <w:tcPr>
            <w:tcW w:w="4876" w:type="dxa"/>
          </w:tcPr>
          <w:p w:rsidR="00343C6C" w:rsidRPr="00FC4A49" w:rsidP="005D58F9" w14:paraId="3CDBA410" w14:textId="77777777">
            <w:pPr>
              <w:pStyle w:val="Normal6"/>
              <w:rPr>
                <w:szCs w:val="24"/>
                <w:lang w:val="en-GB"/>
              </w:rPr>
            </w:pPr>
            <w:r w:rsidRPr="00FC4A49">
              <w:rPr>
                <w:b/>
                <w:i/>
                <w:lang w:val="en-GB"/>
              </w:rPr>
              <w:t>deleted</w:t>
            </w:r>
          </w:p>
        </w:tc>
      </w:tr>
    </w:tbl>
    <w:p w:rsidR="00343C6C" w:rsidRPr="00FC4A49" w:rsidP="00343C6C" w14:paraId="00D090FD"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C56EFDB" w14:textId="77777777">
      <w:r w:rsidRPr="00FC4A49">
        <w:rPr>
          <w:rStyle w:val="HideTWBExt"/>
        </w:rPr>
        <w:t>&lt;/Amend&gt;</w:t>
      </w:r>
    </w:p>
    <w:p w:rsidR="00343C6C" w:rsidRPr="00FC4A49" w:rsidP="00343C6C" w14:paraId="02A6629D"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231</w:t>
      </w:r>
      <w:r w:rsidRPr="00FC4A49">
        <w:rPr>
          <w:rStyle w:val="HideTWBExt"/>
          <w:b w:val="0"/>
          <w:lang w:val="en-GB"/>
        </w:rPr>
        <w:t>&lt;/NumAm&gt;</w:t>
      </w:r>
    </w:p>
    <w:p w:rsidR="00343C6C" w:rsidRPr="00FC4A49" w:rsidP="00343C6C" w14:paraId="4421CE97"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5FFF617B" w14:textId="77777777">
      <w:r w:rsidRPr="00FC4A49">
        <w:rPr>
          <w:rStyle w:val="HideTWBExt"/>
        </w:rPr>
        <w:t>&lt;/RepeatBlock-By&gt;</w:t>
      </w:r>
    </w:p>
    <w:p w:rsidR="00343C6C" w:rsidRPr="00FC4A49" w:rsidP="00343C6C" w14:paraId="634B885E"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3BB726F" w14:textId="77777777">
      <w:pPr>
        <w:pStyle w:val="NormalBold"/>
      </w:pPr>
      <w:r w:rsidRPr="00FC4A49">
        <w:rPr>
          <w:rStyle w:val="HideTWBExt"/>
          <w:b w:val="0"/>
        </w:rPr>
        <w:t>&lt;Article&gt;</w:t>
      </w:r>
      <w:r w:rsidRPr="00FC4A49">
        <w:t>Recital 30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BD6EE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92208EF" w14:textId="77777777">
            <w:pPr>
              <w:keepNext/>
            </w:pPr>
          </w:p>
        </w:tc>
      </w:tr>
      <w:tr w14:paraId="2662783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355331F" w14:textId="77777777">
            <w:pPr>
              <w:pStyle w:val="ColumnHeading"/>
              <w:keepNext/>
              <w:rPr>
                <w:lang w:val="en-GB"/>
              </w:rPr>
            </w:pPr>
            <w:r w:rsidRPr="00FC4A49">
              <w:rPr>
                <w:lang w:val="en-GB"/>
              </w:rPr>
              <w:t>Text proposed by the Commission</w:t>
            </w:r>
          </w:p>
        </w:tc>
        <w:tc>
          <w:tcPr>
            <w:tcW w:w="4876" w:type="dxa"/>
          </w:tcPr>
          <w:p w:rsidR="00343C6C" w:rsidRPr="00FC4A49" w:rsidP="005D58F9" w14:paraId="4696E881" w14:textId="77777777">
            <w:pPr>
              <w:pStyle w:val="ColumnHeading"/>
              <w:keepNext/>
              <w:rPr>
                <w:lang w:val="en-GB"/>
              </w:rPr>
            </w:pPr>
            <w:r w:rsidRPr="00FC4A49">
              <w:rPr>
                <w:lang w:val="en-GB"/>
              </w:rPr>
              <w:t>Amendment</w:t>
            </w:r>
          </w:p>
        </w:tc>
      </w:tr>
      <w:tr w14:paraId="0B28712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AAA267A" w14:textId="77777777">
            <w:pPr>
              <w:pStyle w:val="Normal6"/>
              <w:rPr>
                <w:lang w:val="en-GB"/>
              </w:rPr>
            </w:pPr>
            <w:r w:rsidRPr="00FC4A49">
              <w:rPr>
                <w:b/>
                <w:i/>
                <w:lang w:val="en-GB"/>
              </w:rPr>
              <w:t>(30)</w:t>
            </w:r>
            <w:r w:rsidRPr="00FC4A49">
              <w:rPr>
                <w:b/>
                <w:i/>
                <w:lang w:val="en-GB"/>
              </w:rPr>
              <w:tab/>
              <w:t xml:space="preserve">The rate of reduction should also take account of the provisions of the European Climate Law regarding the use of high-quality international credits as adequate contribution towards the EU 2040 climate target, starting in 2036. International credits should be integrated in the future climate legislation using high-quality and integrity credits. The use of credits should support both the EU and third countries in achieving GHG reductions compatible with the Paris Agreement. High credit integrity must be ensured and where appropriate the rules </w:t>
            </w:r>
            <w:r w:rsidRPr="00FC4A49">
              <w:rPr>
                <w:b/>
                <w:i/>
                <w:lang w:val="en-GB"/>
              </w:rPr>
              <w:t xml:space="preserve">developed under Article 6.4 of the Paris Agreement may be complemented.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2035 and of -85% from 2036 to 2040. This should be reflected through a lower linear reduction factor of the EU ETS from 2036, and allowances should be put aside for the purchase of the amount of international credits that correspond to the reduction of the ambition in the EU ETS. The Commission should report to the European Parliament and to the Council on the development of a high-quality and high-integrity international credit market, </w:t>
            </w:r>
            <w:r w:rsidRPr="00FC4A49">
              <w:rPr>
                <w:b/>
                <w:i/>
                <w:lang w:val="en-GB"/>
              </w:rPr>
              <w:t>taking into account</w:t>
            </w:r>
            <w:r w:rsidRPr="00FC4A49">
              <w:rPr>
                <w:b/>
                <w:i/>
                <w:lang w:val="en-GB"/>
              </w:rPr>
              <w:t xml:space="preserve"> the criteria set out in Regulation 2021/1119/EU, and the contribution of these credits to the climate ambition of the activities listed in Annex. Subject to this report, the linear reduction factor from 2036 should revert to a trajectory for ETS sectors aligned with an EU domestic reduction of 90% by 2040 in the event that high-quality and high-integrity, cost-effective international credits are not available.</w:t>
            </w:r>
          </w:p>
        </w:tc>
        <w:tc>
          <w:tcPr>
            <w:tcW w:w="4876" w:type="dxa"/>
          </w:tcPr>
          <w:p w:rsidR="00343C6C" w:rsidRPr="00FC4A49" w:rsidP="005D58F9" w14:paraId="5C92EA04" w14:textId="77777777">
            <w:pPr>
              <w:pStyle w:val="Normal6"/>
              <w:rPr>
                <w:szCs w:val="24"/>
                <w:lang w:val="en-GB"/>
              </w:rPr>
            </w:pPr>
            <w:r w:rsidRPr="00FC4A49">
              <w:rPr>
                <w:b/>
                <w:i/>
                <w:lang w:val="en-GB"/>
              </w:rPr>
              <w:t>deleted</w:t>
            </w:r>
          </w:p>
        </w:tc>
      </w:tr>
    </w:tbl>
    <w:p w:rsidR="00343C6C" w:rsidRPr="00FC4A49" w:rsidP="00343C6C" w14:paraId="298A770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00543C6" w14:textId="77777777">
      <w:r w:rsidRPr="00FC4A49">
        <w:rPr>
          <w:rStyle w:val="HideTWBExt"/>
        </w:rPr>
        <w:t>&lt;/Amend&gt;</w:t>
      </w:r>
    </w:p>
    <w:p w:rsidR="00343C6C" w:rsidRPr="00FC4A49" w:rsidP="00343C6C" w14:paraId="3A448E29"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232</w:t>
      </w:r>
      <w:r w:rsidRPr="00FC4A49">
        <w:rPr>
          <w:rStyle w:val="HideTWBExt"/>
          <w:b w:val="0"/>
          <w:lang w:val="en-GB"/>
        </w:rPr>
        <w:t>&lt;/NumAm&gt;</w:t>
      </w:r>
    </w:p>
    <w:p w:rsidR="00343C6C" w:rsidRPr="00FC4A49" w:rsidP="00343C6C" w14:paraId="730E7EB4" w14:textId="77777777">
      <w:pPr>
        <w:pStyle w:val="NormalBold"/>
      </w:pPr>
      <w:r w:rsidRPr="00FC4A49">
        <w:rPr>
          <w:rStyle w:val="HideTWBExt"/>
          <w:b w:val="0"/>
        </w:rPr>
        <w:t>&lt;RepeatBlock-By&gt;&lt;Members&gt;</w:t>
      </w:r>
      <w:r w:rsidRPr="00FC4A49">
        <w:t xml:space="preserve">Niels Flemming Hansen, Ingeborg Ter Laak, Lídia Pereira, Manuela Ripa, Luděk Niedermayer, Liesbet Sommen, Pascal </w:t>
      </w:r>
      <w:r w:rsidRPr="00FC4A49">
        <w:t>Arimont</w:t>
      </w:r>
      <w:r w:rsidRPr="00FC4A49">
        <w:rPr>
          <w:rStyle w:val="HideTWBExt"/>
          <w:b w:val="0"/>
        </w:rPr>
        <w:t>&lt;/Members&gt;</w:t>
      </w:r>
    </w:p>
    <w:p w:rsidR="00343C6C" w:rsidRPr="00FC4A49" w:rsidP="00343C6C" w14:paraId="0E1FA7FE" w14:textId="77777777">
      <w:r w:rsidRPr="00FC4A49">
        <w:rPr>
          <w:rStyle w:val="HideTWBExt"/>
        </w:rPr>
        <w:t>&lt;/RepeatBlock-By&gt;</w:t>
      </w:r>
    </w:p>
    <w:p w:rsidR="00343C6C" w:rsidRPr="00FC4A49" w:rsidP="00343C6C" w14:paraId="6F7C84A0"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6F8E7A9" w14:textId="77777777">
      <w:pPr>
        <w:pStyle w:val="NormalBold"/>
      </w:pPr>
      <w:r w:rsidRPr="00FC4A49">
        <w:rPr>
          <w:rStyle w:val="HideTWBExt"/>
          <w:b w:val="0"/>
        </w:rPr>
        <w:t>&lt;Article&gt;</w:t>
      </w:r>
      <w:r w:rsidRPr="00FC4A49">
        <w:t>Recital 30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72A04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5DC09D8" w14:textId="77777777">
            <w:pPr>
              <w:keepNext/>
            </w:pPr>
          </w:p>
        </w:tc>
      </w:tr>
      <w:tr w14:paraId="23A2B4D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97C74FA" w14:textId="77777777">
            <w:pPr>
              <w:pStyle w:val="ColumnHeading"/>
              <w:keepNext/>
              <w:rPr>
                <w:lang w:val="en-GB"/>
              </w:rPr>
            </w:pPr>
            <w:r w:rsidRPr="00FC4A49">
              <w:rPr>
                <w:lang w:val="en-GB"/>
              </w:rPr>
              <w:t>Text proposed by the Commission</w:t>
            </w:r>
          </w:p>
        </w:tc>
        <w:tc>
          <w:tcPr>
            <w:tcW w:w="4876" w:type="dxa"/>
          </w:tcPr>
          <w:p w:rsidR="00343C6C" w:rsidRPr="00FC4A49" w:rsidP="005D58F9" w14:paraId="16A06DD8" w14:textId="77777777">
            <w:pPr>
              <w:pStyle w:val="ColumnHeading"/>
              <w:keepNext/>
              <w:rPr>
                <w:lang w:val="en-GB"/>
              </w:rPr>
            </w:pPr>
            <w:r w:rsidRPr="00FC4A49">
              <w:rPr>
                <w:lang w:val="en-GB"/>
              </w:rPr>
              <w:t>Amendment</w:t>
            </w:r>
          </w:p>
        </w:tc>
      </w:tr>
      <w:tr w14:paraId="0EB6FD1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4004684" w14:textId="77777777">
            <w:pPr>
              <w:pStyle w:val="Normal6"/>
              <w:rPr>
                <w:lang w:val="en-GB"/>
              </w:rPr>
            </w:pPr>
            <w:r w:rsidRPr="00FC4A49">
              <w:rPr>
                <w:lang w:val="en-GB"/>
              </w:rPr>
              <w:t>(30)</w:t>
            </w:r>
            <w:r w:rsidRPr="00FC4A49">
              <w:rPr>
                <w:lang w:val="en-GB"/>
              </w:rPr>
              <w:tab/>
              <w:t xml:space="preserve">The rate of reduction should also take account of the provisions of the European Climate Law regarding the use of high-quality international credits as adequate contribution towards the EU 2040 climate target, starting in 2036. International credits should be integrated in the future climate legislation using high-quality and integrity credits. The use of credits should support both the EU and third countries in achieving GHG reductions compatible with the Paris Agreement. High credit integrity must be ensured and where appropriate the rules developed under Article 6.4 of the Paris Agreement may be </w:t>
            </w:r>
            <w:r w:rsidRPr="00FC4A49">
              <w:rPr>
                <w:b/>
                <w:i/>
                <w:lang w:val="en-GB"/>
              </w:rPr>
              <w:t>complemented</w:t>
            </w:r>
            <w:r w:rsidRPr="00FC4A49">
              <w:rPr>
                <w:lang w:val="en-GB"/>
              </w:rPr>
              <w:t xml:space="preserve">.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w:t>
            </w:r>
            <w:r w:rsidRPr="00FC4A49">
              <w:rPr>
                <w:b/>
                <w:i/>
                <w:lang w:val="en-GB"/>
              </w:rPr>
              <w:t>reduce</w:t>
            </w:r>
            <w:r w:rsidRPr="00FC4A49">
              <w:rPr>
                <w:lang w:val="en-GB"/>
              </w:rPr>
              <w:t xml:space="preserve"> the overall </w:t>
            </w:r>
            <w:r w:rsidRPr="00FC4A49">
              <w:rPr>
                <w:b/>
                <w:i/>
                <w:lang w:val="en-GB"/>
              </w:rPr>
              <w:t>need for</w:t>
            </w:r>
            <w:r w:rsidRPr="00FC4A49">
              <w:rPr>
                <w:lang w:val="en-GB"/>
              </w:rPr>
              <w:t xml:space="preserve"> domestic action by up to 5 percentage points, the target emissions reductions for the EU ETS should be in line with </w:t>
            </w:r>
            <w:r w:rsidRPr="00FC4A49">
              <w:rPr>
                <w:b/>
                <w:i/>
                <w:lang w:val="en-GB"/>
              </w:rPr>
              <w:t>an</w:t>
            </w:r>
            <w:r w:rsidRPr="00FC4A49">
              <w:rPr>
                <w:lang w:val="en-GB"/>
              </w:rPr>
              <w:t xml:space="preserve"> overall EU-wide domestic ambition of -90% until </w:t>
            </w:r>
            <w:r w:rsidRPr="00FC4A49">
              <w:rPr>
                <w:b/>
                <w:i/>
                <w:lang w:val="en-GB"/>
              </w:rPr>
              <w:t>2035 and of -85% from 2036 to 2040</w:t>
            </w:r>
            <w:r w:rsidRPr="00FC4A49">
              <w:rPr>
                <w:lang w:val="en-GB"/>
              </w:rPr>
              <w:t xml:space="preserve">. This should be reflected through a </w:t>
            </w:r>
            <w:r w:rsidRPr="00FC4A49">
              <w:rPr>
                <w:b/>
                <w:i/>
                <w:lang w:val="en-GB"/>
              </w:rPr>
              <w:t>lower</w:t>
            </w:r>
            <w:r w:rsidRPr="00FC4A49">
              <w:rPr>
                <w:lang w:val="en-GB"/>
              </w:rPr>
              <w:t xml:space="preserve"> linear reduction factor of the EU ETS from 2036, and allowances should be put aside for the purchase of the amount of international credits that correspond to the </w:t>
            </w:r>
            <w:r w:rsidRPr="00FC4A49">
              <w:rPr>
                <w:b/>
                <w:i/>
                <w:lang w:val="en-GB"/>
              </w:rPr>
              <w:t>reduction</w:t>
            </w:r>
            <w:r w:rsidRPr="00FC4A49">
              <w:rPr>
                <w:lang w:val="en-GB"/>
              </w:rPr>
              <w:t xml:space="preserve"> of the ambition in the EU ETS. The Commission should report to the European Parliament and to the Council on the development of a high-quality and high-integrity international credit market, </w:t>
            </w:r>
            <w:r w:rsidRPr="00FC4A49">
              <w:rPr>
                <w:lang w:val="en-GB"/>
              </w:rPr>
              <w:t>taking into account</w:t>
            </w:r>
            <w:r w:rsidRPr="00FC4A49">
              <w:rPr>
                <w:lang w:val="en-GB"/>
              </w:rPr>
              <w:t xml:space="preserve"> the criteria set out in Regulation 2021/1119/EU, and the contribution of these credits to the climate ambition of the activities listed in Annex. Subject to this report, </w:t>
            </w:r>
            <w:r w:rsidRPr="00FC4A49">
              <w:rPr>
                <w:b/>
                <w:i/>
                <w:lang w:val="en-GB"/>
              </w:rPr>
              <w:t xml:space="preserve">the linear reduction factor from 2036 should revert to a trajectory for ETS sectors aligned with an </w:t>
            </w:r>
            <w:r w:rsidRPr="00FC4A49">
              <w:rPr>
                <w:b/>
                <w:i/>
                <w:lang w:val="en-GB"/>
              </w:rPr>
              <w:t>EU domestic reduction of 90% by 2040</w:t>
            </w:r>
            <w:r w:rsidRPr="00FC4A49">
              <w:rPr>
                <w:lang w:val="en-GB"/>
              </w:rPr>
              <w:t xml:space="preserve"> in the event that high-quality and high-integrity, cost-effective international credits are </w:t>
            </w:r>
            <w:r w:rsidRPr="00FC4A49">
              <w:rPr>
                <w:b/>
                <w:i/>
                <w:lang w:val="en-GB"/>
              </w:rPr>
              <w:t>not</w:t>
            </w:r>
            <w:r w:rsidRPr="00FC4A49">
              <w:rPr>
                <w:lang w:val="en-GB"/>
              </w:rPr>
              <w:t xml:space="preserve"> available.</w:t>
            </w:r>
          </w:p>
        </w:tc>
        <w:tc>
          <w:tcPr>
            <w:tcW w:w="4876" w:type="dxa"/>
          </w:tcPr>
          <w:p w:rsidR="00343C6C" w:rsidRPr="00FC4A49" w:rsidP="005D58F9" w14:paraId="099E0874" w14:textId="77777777">
            <w:pPr>
              <w:pStyle w:val="Normal6"/>
              <w:rPr>
                <w:szCs w:val="24"/>
                <w:lang w:val="en-GB"/>
              </w:rPr>
            </w:pPr>
            <w:r w:rsidRPr="00FC4A49">
              <w:rPr>
                <w:lang w:val="en-GB"/>
              </w:rPr>
              <w:t>(30)</w:t>
            </w:r>
            <w:r w:rsidRPr="00FC4A49">
              <w:rPr>
                <w:lang w:val="en-GB"/>
              </w:rPr>
              <w:tab/>
              <w:t xml:space="preserve">The rate of reduction should also take account of the provisions of the European Climate Law regarding the </w:t>
            </w:r>
            <w:r w:rsidRPr="00FC4A49">
              <w:rPr>
                <w:b/>
                <w:i/>
                <w:lang w:val="en-GB"/>
              </w:rPr>
              <w:t>potential</w:t>
            </w:r>
            <w:r w:rsidRPr="00FC4A49">
              <w:rPr>
                <w:lang w:val="en-GB"/>
              </w:rPr>
              <w:t xml:space="preserve"> use of high-quality international credits as adequate contribution towards the EU 2040 climate target, starting in 2036. International credits should be integrated in the future climate legislation using high-quality and integrity credits</w:t>
            </w:r>
            <w:r w:rsidRPr="00FC4A49">
              <w:rPr>
                <w:b/>
                <w:i/>
                <w:lang w:val="en-GB"/>
              </w:rPr>
              <w:t>, if they can be judged to contribute to achieve to the EU’s strategic objectives and those needed investments. The EU carbon price investment signal must be strongly safeguarded to protect ‘first-mover' investments and future EU investments</w:t>
            </w:r>
            <w:r w:rsidRPr="00FC4A49">
              <w:rPr>
                <w:lang w:val="en-GB"/>
              </w:rPr>
              <w:t xml:space="preserve">. The use of credits should support both the EU and third countries in achieving GHG reductions compatible with the Paris Agreement. High credit integrity must be ensured and where appropriate the rules developed under Article 6.4 of the Paris Agreement may be </w:t>
            </w:r>
            <w:r w:rsidRPr="00FC4A49">
              <w:rPr>
                <w:b/>
                <w:i/>
                <w:lang w:val="en-GB"/>
              </w:rPr>
              <w:t>applied</w:t>
            </w:r>
            <w:r w:rsidRPr="00FC4A49">
              <w:rPr>
                <w:lang w:val="en-GB"/>
              </w:rPr>
              <w:t xml:space="preserve">. The specific role and deployment of international credits will be based on an impact assessment and subject to the development of Union law setting robust and high integrity criteria and other safeguards </w:t>
            </w:r>
            <w:r w:rsidRPr="00FC4A49">
              <w:rPr>
                <w:b/>
                <w:i/>
                <w:lang w:val="en-GB"/>
              </w:rPr>
              <w:t>with the EU’s own strategic objectives in close consideration</w:t>
            </w:r>
            <w:r w:rsidRPr="00FC4A49">
              <w:rPr>
                <w:lang w:val="en-GB"/>
              </w:rPr>
              <w:t xml:space="preserve">. In view of the establishment of a facility for the </w:t>
            </w:r>
            <w:r w:rsidRPr="00FC4A49">
              <w:rPr>
                <w:b/>
                <w:i/>
                <w:lang w:val="en-GB"/>
              </w:rPr>
              <w:t>potential</w:t>
            </w:r>
            <w:r w:rsidRPr="00FC4A49">
              <w:rPr>
                <w:lang w:val="en-GB"/>
              </w:rPr>
              <w:t xml:space="preserve"> purchase of international credits to </w:t>
            </w:r>
            <w:r w:rsidRPr="00FC4A49">
              <w:rPr>
                <w:b/>
                <w:i/>
                <w:lang w:val="en-GB"/>
              </w:rPr>
              <w:t>adjust, taking the EU’s own strategic objectives into consideration,</w:t>
            </w:r>
            <w:r w:rsidRPr="00FC4A49">
              <w:rPr>
                <w:lang w:val="en-GB"/>
              </w:rPr>
              <w:t xml:space="preserve"> the overall </w:t>
            </w:r>
            <w:r w:rsidRPr="00FC4A49">
              <w:rPr>
                <w:b/>
                <w:i/>
                <w:lang w:val="en-GB"/>
              </w:rPr>
              <w:t>contribution to EU’s</w:t>
            </w:r>
            <w:r w:rsidRPr="00FC4A49">
              <w:rPr>
                <w:lang w:val="en-GB"/>
              </w:rPr>
              <w:t xml:space="preserve"> domestic action by </w:t>
            </w:r>
            <w:r w:rsidRPr="00FC4A49">
              <w:rPr>
                <w:b/>
                <w:i/>
                <w:lang w:val="en-GB"/>
              </w:rPr>
              <w:t>potentially</w:t>
            </w:r>
            <w:r w:rsidRPr="00FC4A49">
              <w:rPr>
                <w:lang w:val="en-GB"/>
              </w:rPr>
              <w:t xml:space="preserve"> up to 5 percentage points, the target emissions reductions for the EU ETS should be in line with </w:t>
            </w:r>
            <w:r w:rsidRPr="00FC4A49">
              <w:rPr>
                <w:b/>
                <w:i/>
                <w:lang w:val="en-GB"/>
              </w:rPr>
              <w:t>the Union's</w:t>
            </w:r>
            <w:r w:rsidRPr="00FC4A49">
              <w:rPr>
                <w:lang w:val="en-GB"/>
              </w:rPr>
              <w:t xml:space="preserve"> overall EU-wide domestic ambition of </w:t>
            </w:r>
            <w:r w:rsidRPr="00FC4A49">
              <w:rPr>
                <w:b/>
                <w:i/>
                <w:lang w:val="en-GB"/>
              </w:rPr>
              <w:t>up to</w:t>
            </w:r>
            <w:r w:rsidRPr="00FC4A49">
              <w:rPr>
                <w:lang w:val="en-GB"/>
              </w:rPr>
              <w:t xml:space="preserve"> -90% until </w:t>
            </w:r>
            <w:r w:rsidRPr="00FC4A49">
              <w:rPr>
                <w:b/>
                <w:i/>
                <w:lang w:val="en-GB"/>
              </w:rPr>
              <w:t>2040 with a careful assessment of possibilities and strategic interests in the 2036-2040 period</w:t>
            </w:r>
            <w:r w:rsidRPr="00FC4A49">
              <w:rPr>
                <w:lang w:val="en-GB"/>
              </w:rPr>
              <w:t xml:space="preserve">. This should be reflected through a </w:t>
            </w:r>
            <w:r w:rsidRPr="00FC4A49">
              <w:rPr>
                <w:b/>
                <w:i/>
                <w:lang w:val="en-GB"/>
              </w:rPr>
              <w:t>review of progress and circumstances well before 2035. If needed, the</w:t>
            </w:r>
            <w:r w:rsidRPr="00FC4A49">
              <w:rPr>
                <w:lang w:val="en-GB"/>
              </w:rPr>
              <w:t xml:space="preserve"> linear </w:t>
            </w:r>
            <w:r w:rsidRPr="00FC4A49">
              <w:rPr>
                <w:b/>
                <w:i/>
                <w:lang w:val="en-GB"/>
              </w:rPr>
              <w:t>2.7 %</w:t>
            </w:r>
            <w:r w:rsidRPr="00FC4A49">
              <w:rPr>
                <w:lang w:val="en-GB"/>
              </w:rPr>
              <w:t xml:space="preserve"> reduction factor of the EU ETS from 2036, </w:t>
            </w:r>
            <w:r w:rsidRPr="00FC4A49">
              <w:rPr>
                <w:b/>
                <w:i/>
                <w:lang w:val="en-GB"/>
              </w:rPr>
              <w:t>could be adjusted after further assessments</w:t>
            </w:r>
            <w:r w:rsidRPr="00FC4A49">
              <w:rPr>
                <w:lang w:val="en-GB"/>
              </w:rPr>
              <w:t xml:space="preserve"> and allowances </w:t>
            </w:r>
            <w:r w:rsidRPr="00FC4A49">
              <w:rPr>
                <w:lang w:val="en-GB"/>
              </w:rPr>
              <w:t xml:space="preserve">should be put aside </w:t>
            </w:r>
            <w:r w:rsidRPr="00FC4A49">
              <w:rPr>
                <w:b/>
                <w:i/>
                <w:lang w:val="en-GB"/>
              </w:rPr>
              <w:t>as a potential reserve</w:t>
            </w:r>
            <w:r w:rsidRPr="00FC4A49">
              <w:rPr>
                <w:lang w:val="en-GB"/>
              </w:rPr>
              <w:t xml:space="preserve"> for the purchase of the amount of international credits that correspond to the </w:t>
            </w:r>
            <w:r w:rsidRPr="00FC4A49">
              <w:rPr>
                <w:b/>
                <w:i/>
                <w:lang w:val="en-GB"/>
              </w:rPr>
              <w:t>needed adjustment</w:t>
            </w:r>
            <w:r w:rsidRPr="00FC4A49">
              <w:rPr>
                <w:lang w:val="en-GB"/>
              </w:rPr>
              <w:t xml:space="preserve"> of the ambition in the EU ETS. The Commission should report </w:t>
            </w:r>
            <w:r w:rsidRPr="00FC4A49">
              <w:rPr>
                <w:b/>
                <w:i/>
                <w:lang w:val="en-GB"/>
              </w:rPr>
              <w:t>by 31 January 2030</w:t>
            </w:r>
            <w:r w:rsidRPr="00FC4A49">
              <w:rPr>
                <w:lang w:val="en-GB"/>
              </w:rPr>
              <w:t xml:space="preserve"> to the European Parliament and to the Council on the development of a high-quality and high-integrity international credit market, </w:t>
            </w:r>
            <w:r w:rsidRPr="00FC4A49">
              <w:rPr>
                <w:lang w:val="en-GB"/>
              </w:rPr>
              <w:t>taking into account</w:t>
            </w:r>
            <w:r w:rsidRPr="00FC4A49">
              <w:rPr>
                <w:lang w:val="en-GB"/>
              </w:rPr>
              <w:t xml:space="preserve"> the criteria set out in Regulation 2021/1119/EU, and the contribution of these credits to the climate ambition of the activities listed in Annex. Subject to this report, in the event that high-quality and high-integrity, cost-effective international credits are available</w:t>
            </w:r>
            <w:r w:rsidRPr="00FC4A49">
              <w:rPr>
                <w:b/>
                <w:i/>
                <w:lang w:val="en-GB"/>
              </w:rPr>
              <w:t>, the Commission may present a legislative proposal to revert the linear reduction factor from 2036 to a trajectory for ETS sectors aligned with an EU domestic reduction of between 85-90% by 2040, depending on the availability of international credits and progress on the EU’s strategic objectives</w:t>
            </w:r>
            <w:r w:rsidRPr="00FC4A49">
              <w:rPr>
                <w:lang w:val="en-GB"/>
              </w:rPr>
              <w:t>.</w:t>
            </w:r>
          </w:p>
        </w:tc>
      </w:tr>
    </w:tbl>
    <w:p w:rsidR="00343C6C" w:rsidRPr="00FC4A49" w:rsidP="00343C6C" w14:paraId="1D1848FA"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7B46EB2"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70076E44" w14:textId="77777777">
      <w:pPr>
        <w:pStyle w:val="Normal12Italic"/>
        <w:rPr>
          <w:noProof w:val="0"/>
          <w:lang w:val="en-GB"/>
        </w:rPr>
      </w:pPr>
      <w:r w:rsidRPr="00FC4A49">
        <w:rPr>
          <w:noProof w:val="0"/>
          <w:lang w:val="en-GB"/>
        </w:rPr>
        <w:t>The proposed 1.7% LRF from 2026-2040 is based on an upfront use of international credits and based on an EU domestic ambition on 85% upfront reduced by use of the full potentially available volume of international credits. This is creating unpredictability and disturbing needed investment planning already in the short run, while also harming ‘first-mover' initiatives. The proposed changes aim to describe an opposite way forward, with the suggested 2.7% fallback LRF as default only to be adjusted after a future review of accessibility of international credits, and overview of EU’s progress on strategic objectives. In the event that use of international credits becomes relevant and accessible, the impact on concrete EU-projects can be clarified on a more known background and thus allow for specific targeted measures, without losing speed and needed actions in the meantime. The consequential adjustment of article 9 to allow a 2.7%</w:t>
      </w:r>
    </w:p>
    <w:p w:rsidR="00343C6C" w:rsidRPr="00FC4A49" w:rsidP="00343C6C" w14:paraId="681E0B1B" w14:textId="77777777">
      <w:r w:rsidRPr="00FC4A49">
        <w:rPr>
          <w:rStyle w:val="HideTWBExt"/>
        </w:rPr>
        <w:t>&lt;/Amend&gt;</w:t>
      </w:r>
    </w:p>
    <w:p w:rsidR="00343C6C" w:rsidRPr="00FC4A49" w:rsidP="00343C6C" w14:paraId="32562F4A"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233</w:t>
      </w:r>
      <w:r w:rsidRPr="00FC4A49">
        <w:rPr>
          <w:rStyle w:val="HideTWBExt"/>
          <w:b w:val="0"/>
          <w:lang w:val="en-GB"/>
        </w:rPr>
        <w:t>&lt;/NumAm&gt;</w:t>
      </w:r>
    </w:p>
    <w:p w:rsidR="00343C6C" w:rsidRPr="00FC4A49" w:rsidP="00343C6C" w14:paraId="2F60F20A" w14:textId="77777777">
      <w:pPr>
        <w:pStyle w:val="NormalBold"/>
      </w:pPr>
      <w:r w:rsidRPr="00FC4A49">
        <w:rPr>
          <w:rStyle w:val="HideTWBExt"/>
          <w:b w:val="0"/>
        </w:rPr>
        <w:t>&lt;RepeatBlock-By&gt;&lt;Members&gt;</w:t>
      </w:r>
      <w:r w:rsidRPr="00FC4A49">
        <w:t>Alexandr Vondra</w:t>
      </w:r>
      <w:r w:rsidRPr="00FC4A49">
        <w:rPr>
          <w:rStyle w:val="HideTWBExt"/>
          <w:b w:val="0"/>
        </w:rPr>
        <w:t>&lt;/Members&gt;</w:t>
      </w:r>
    </w:p>
    <w:p w:rsidR="00343C6C" w:rsidRPr="00FC4A49" w:rsidP="00343C6C" w14:paraId="35324067" w14:textId="77777777">
      <w:r w:rsidRPr="00FC4A49">
        <w:rPr>
          <w:rStyle w:val="HideTWBExt"/>
        </w:rPr>
        <w:t>&lt;AuNomDe&gt;</w:t>
      </w:r>
      <w:r w:rsidRPr="00FC4A49">
        <w:rPr>
          <w:rStyle w:val="HideTWBInt"/>
        </w:rPr>
        <w:t>{ECR}</w:t>
      </w:r>
      <w:r w:rsidRPr="00FC4A49">
        <w:t>on behalf of the ECR Group</w:t>
      </w:r>
      <w:r w:rsidRPr="00FC4A49">
        <w:rPr>
          <w:rStyle w:val="HideTWBExt"/>
        </w:rPr>
        <w:t>&lt;/AuNomDe&gt;</w:t>
      </w:r>
    </w:p>
    <w:p w:rsidR="00343C6C" w:rsidRPr="00FC4A49" w:rsidP="00343C6C" w14:paraId="63DD6FEE" w14:textId="77777777">
      <w:pPr>
        <w:pStyle w:val="NormalBold"/>
      </w:pPr>
      <w:r w:rsidRPr="00FC4A49">
        <w:rPr>
          <w:rStyle w:val="HideTWBExt"/>
          <w:b w:val="0"/>
        </w:rPr>
        <w:t>&lt;Members&gt;</w:t>
      </w:r>
      <w:r w:rsidRPr="00FC4A49">
        <w:t xml:space="preserve">Ondřej Krutílek, Anna Zalewska, Aurelijus </w:t>
      </w:r>
      <w:r w:rsidRPr="00FC4A49">
        <w:t>Veryga</w:t>
      </w:r>
      <w:r w:rsidRPr="00FC4A49">
        <w:t xml:space="preserve">, Laurence Trochu, Adrian-George </w:t>
      </w:r>
      <w:r w:rsidRPr="00FC4A49">
        <w:t>Axinia</w:t>
      </w:r>
      <w:r w:rsidRPr="00FC4A49">
        <w:rPr>
          <w:rStyle w:val="HideTWBExt"/>
          <w:b w:val="0"/>
        </w:rPr>
        <w:t>&lt;/Members&gt;</w:t>
      </w:r>
    </w:p>
    <w:p w:rsidR="00343C6C" w:rsidRPr="00FC4A49" w:rsidP="00343C6C" w14:paraId="411BE65C" w14:textId="77777777">
      <w:r w:rsidRPr="00FC4A49">
        <w:rPr>
          <w:rStyle w:val="HideTWBExt"/>
        </w:rPr>
        <w:t>&lt;/RepeatBlock-By&gt;</w:t>
      </w:r>
    </w:p>
    <w:p w:rsidR="00343C6C" w:rsidRPr="00FC4A49" w:rsidP="00343C6C" w14:paraId="66613CA6"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B60955B" w14:textId="77777777">
      <w:pPr>
        <w:pStyle w:val="NormalBold"/>
      </w:pPr>
      <w:r w:rsidRPr="00FC4A49">
        <w:rPr>
          <w:rStyle w:val="HideTWBExt"/>
          <w:b w:val="0"/>
        </w:rPr>
        <w:t>&lt;Article&gt;</w:t>
      </w:r>
      <w:r w:rsidRPr="00FC4A49">
        <w:t>Recital 30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1828BA"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34E90DD" w14:textId="77777777">
            <w:pPr>
              <w:keepNext/>
            </w:pPr>
          </w:p>
        </w:tc>
      </w:tr>
      <w:tr w14:paraId="36EAD79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1DF5B7C" w14:textId="77777777">
            <w:pPr>
              <w:pStyle w:val="ColumnHeading"/>
              <w:keepNext/>
              <w:rPr>
                <w:lang w:val="en-GB"/>
              </w:rPr>
            </w:pPr>
            <w:r w:rsidRPr="00FC4A49">
              <w:rPr>
                <w:lang w:val="en-GB"/>
              </w:rPr>
              <w:t>Text proposed by the Commission</w:t>
            </w:r>
          </w:p>
        </w:tc>
        <w:tc>
          <w:tcPr>
            <w:tcW w:w="4876" w:type="dxa"/>
          </w:tcPr>
          <w:p w:rsidR="00343C6C" w:rsidRPr="00FC4A49" w:rsidP="005D58F9" w14:paraId="00C594D1" w14:textId="77777777">
            <w:pPr>
              <w:pStyle w:val="ColumnHeading"/>
              <w:keepNext/>
              <w:rPr>
                <w:lang w:val="en-GB"/>
              </w:rPr>
            </w:pPr>
            <w:r w:rsidRPr="00FC4A49">
              <w:rPr>
                <w:lang w:val="en-GB"/>
              </w:rPr>
              <w:t>Amendment</w:t>
            </w:r>
          </w:p>
        </w:tc>
      </w:tr>
      <w:tr w14:paraId="1B0FA52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A5C8DA5" w14:textId="77777777">
            <w:pPr>
              <w:pStyle w:val="Normal6"/>
              <w:rPr>
                <w:lang w:val="en-GB"/>
              </w:rPr>
            </w:pPr>
            <w:r w:rsidRPr="00FC4A49">
              <w:rPr>
                <w:lang w:val="en-GB"/>
              </w:rPr>
              <w:t>(30)</w:t>
            </w:r>
            <w:r w:rsidRPr="00FC4A49">
              <w:rPr>
                <w:lang w:val="en-GB"/>
              </w:rPr>
              <w:tab/>
              <w:t xml:space="preserve">The rate of reduction should also take account of the provisions of the European Climate Law regarding the use of high-quality international credits as </w:t>
            </w:r>
            <w:r w:rsidRPr="00FC4A49">
              <w:rPr>
                <w:b/>
                <w:i/>
                <w:lang w:val="en-GB"/>
              </w:rPr>
              <w:t>adequate</w:t>
            </w:r>
            <w:r w:rsidRPr="00FC4A49">
              <w:rPr>
                <w:lang w:val="en-GB"/>
              </w:rPr>
              <w:t xml:space="preserve"> contribution towards the EU 2040 climate target</w:t>
            </w:r>
            <w:r w:rsidRPr="00FC4A49">
              <w:rPr>
                <w:b/>
                <w:i/>
                <w:lang w:val="en-GB"/>
              </w:rPr>
              <w:t>, starting in 2036</w:t>
            </w:r>
            <w:r w:rsidRPr="00FC4A49">
              <w:rPr>
                <w:lang w:val="en-GB"/>
              </w:rPr>
              <w:t>. International credits should be integrated in the future climate legislation using high-quality and integrity credits</w:t>
            </w:r>
            <w:r w:rsidRPr="00FC4A49">
              <w:rPr>
                <w:b/>
                <w:i/>
                <w:lang w:val="en-GB"/>
              </w:rPr>
              <w:t>. The use of credits should support both the EU and third countries in achieving GHG reductions compatible with the Paris Agreement. High credit integrity must be ensured and where appropriate the rules developed under Article 6.4 of the Paris Agreement may be complemented.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w:t>
            </w:r>
            <w:r w:rsidRPr="00FC4A49">
              <w:rPr>
                <w:lang w:val="en-GB"/>
              </w:rPr>
              <w:t xml:space="preserve"> the target emissions reductions for the EU ETS should be in line with an overall EU-wide domestic ambition of -</w:t>
            </w:r>
            <w:r w:rsidRPr="00FC4A49">
              <w:rPr>
                <w:b/>
                <w:i/>
                <w:lang w:val="en-GB"/>
              </w:rPr>
              <w:t>90% until 2035 and of -85% from 2036 to</w:t>
            </w:r>
            <w:r w:rsidRPr="00FC4A49">
              <w:rPr>
                <w:lang w:val="en-GB"/>
              </w:rPr>
              <w:t xml:space="preserve"> 2040. This should be reflected through a lower linear reduction factor of the EU ETS from 2036, and allowances should be put aside for the purchase of the amount of international credits that correspond to the reduction of the ambition in the EU ETS. The Commission should report to the European Parliament and to the Council on the development of a high-quality and high-integrity international credit market, </w:t>
            </w:r>
            <w:r w:rsidRPr="00FC4A49">
              <w:rPr>
                <w:lang w:val="en-GB"/>
              </w:rPr>
              <w:t>taking into account</w:t>
            </w:r>
            <w:r w:rsidRPr="00FC4A49">
              <w:rPr>
                <w:lang w:val="en-GB"/>
              </w:rPr>
              <w:t xml:space="preserve"> the criteria set out in Regulation 2021/1119/EU, and the contribution of these credits to the climate ambition of the activities listed in Annex. </w:t>
            </w:r>
            <w:r w:rsidRPr="00FC4A49">
              <w:rPr>
                <w:b/>
                <w:i/>
                <w:lang w:val="en-GB"/>
              </w:rPr>
              <w:t>Subject to this report, the linear reduction factor from 2036 should revert to a trajectory for ETS sectors aligned with an EU domestic reduction of 90% by 2040 in the event that high-quality and high-integrity, cost-effective international credits are not available.</w:t>
            </w:r>
          </w:p>
        </w:tc>
        <w:tc>
          <w:tcPr>
            <w:tcW w:w="4876" w:type="dxa"/>
          </w:tcPr>
          <w:p w:rsidR="00343C6C" w:rsidRPr="00FC4A49" w:rsidP="005D58F9" w14:paraId="7BB2F28A" w14:textId="77777777">
            <w:pPr>
              <w:pStyle w:val="Normal6"/>
              <w:rPr>
                <w:szCs w:val="24"/>
                <w:lang w:val="en-GB"/>
              </w:rPr>
            </w:pPr>
            <w:r w:rsidRPr="00FC4A49">
              <w:rPr>
                <w:lang w:val="en-GB"/>
              </w:rPr>
              <w:t>(30)</w:t>
            </w:r>
            <w:r w:rsidRPr="00FC4A49">
              <w:rPr>
                <w:lang w:val="en-GB"/>
              </w:rPr>
              <w:tab/>
              <w:t xml:space="preserve">The rate of reduction should also take account of the provisions of the European Climate Law regarding the use of high-quality international credits </w:t>
            </w:r>
            <w:r w:rsidRPr="00FC4A49">
              <w:rPr>
                <w:b/>
                <w:i/>
                <w:lang w:val="en-GB"/>
              </w:rPr>
              <w:t>in accordance with the rules developed under Article 6.4 of the Paris Agreement</w:t>
            </w:r>
            <w:r w:rsidRPr="00FC4A49">
              <w:rPr>
                <w:lang w:val="en-GB"/>
              </w:rPr>
              <w:t xml:space="preserve"> as contribution towards the EU 2040 climate target. International credits </w:t>
            </w:r>
            <w:r w:rsidRPr="00FC4A49">
              <w:rPr>
                <w:b/>
                <w:i/>
                <w:lang w:val="en-GB"/>
              </w:rPr>
              <w:t>at a rate of 5%</w:t>
            </w:r>
            <w:r w:rsidRPr="00FC4A49">
              <w:rPr>
                <w:lang w:val="en-GB"/>
              </w:rPr>
              <w:t xml:space="preserve"> should be integrated in the future climate legislation using high-quality and integrity credits </w:t>
            </w:r>
            <w:r w:rsidRPr="00FC4A49">
              <w:rPr>
                <w:b/>
                <w:i/>
                <w:lang w:val="en-GB"/>
              </w:rPr>
              <w:t>starting in 2036;</w:t>
            </w:r>
            <w:r w:rsidRPr="00FC4A49">
              <w:rPr>
                <w:lang w:val="en-GB"/>
              </w:rPr>
              <w:t xml:space="preserve"> the target emissions reductions for the EU ETS should be in line with an overall EU-wide domestic ambition of -</w:t>
            </w:r>
            <w:r w:rsidRPr="00FC4A49">
              <w:rPr>
                <w:b/>
                <w:i/>
                <w:lang w:val="en-GB"/>
              </w:rPr>
              <w:t>85% by</w:t>
            </w:r>
            <w:r w:rsidRPr="00FC4A49">
              <w:rPr>
                <w:lang w:val="en-GB"/>
              </w:rPr>
              <w:t xml:space="preserve"> 2040. This should be reflected through a lower linear reduction factor of the EU ETS from 2036, and allowances should be put aside for the purchase of the amount of international credits that correspond to the reduction of the ambition in the EU ETS. The Commission should report to the European Parliament and to the Council on the development of a high-quality and high-integrity international credit market, </w:t>
            </w:r>
            <w:r w:rsidRPr="00FC4A49">
              <w:rPr>
                <w:lang w:val="en-GB"/>
              </w:rPr>
              <w:t>taking into account</w:t>
            </w:r>
            <w:r w:rsidRPr="00FC4A49">
              <w:rPr>
                <w:lang w:val="en-GB"/>
              </w:rPr>
              <w:t xml:space="preserve"> the criteria set out in Regulation 2021/1119/EU, and the contribution of these credits to the climate ambition of the activities listed in Annex.</w:t>
            </w:r>
          </w:p>
        </w:tc>
      </w:tr>
    </w:tbl>
    <w:p w:rsidR="00343C6C" w:rsidRPr="00FC4A49" w:rsidP="00343C6C" w14:paraId="423F76F3"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7C32172" w14:textId="77777777">
      <w:r w:rsidRPr="00FC4A49">
        <w:rPr>
          <w:rStyle w:val="HideTWBExt"/>
        </w:rPr>
        <w:t>&lt;/Amend&gt;</w:t>
      </w:r>
    </w:p>
    <w:p w:rsidR="00343C6C" w:rsidRPr="00FC4A49" w:rsidP="00343C6C" w14:paraId="48F96AD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234</w:t>
      </w:r>
      <w:r w:rsidRPr="00FC4A49">
        <w:rPr>
          <w:rStyle w:val="HideTWBExt"/>
          <w:b w:val="0"/>
          <w:lang w:val="en-GB"/>
        </w:rPr>
        <w:t>&lt;/NumAm&gt;</w:t>
      </w:r>
    </w:p>
    <w:p w:rsidR="00343C6C" w:rsidRPr="00FC4A49" w:rsidP="00343C6C" w14:paraId="238399D6" w14:textId="77777777">
      <w:pPr>
        <w:pStyle w:val="NormalBold"/>
      </w:pPr>
      <w:r w:rsidRPr="00FC4A49">
        <w:rPr>
          <w:rStyle w:val="HideTWBExt"/>
          <w:b w:val="0"/>
        </w:rPr>
        <w:t>&lt;RepeatBlock-By&gt;&lt;Members&gt;</w:t>
      </w:r>
      <w:r w:rsidRPr="00FC4A49">
        <w:t xml:space="preserve">Pascal </w:t>
      </w:r>
      <w:r w:rsidRPr="00FC4A49">
        <w:t>Canfin</w:t>
      </w:r>
      <w:r w:rsidRPr="00FC4A49">
        <w:rPr>
          <w:rStyle w:val="HideTWBExt"/>
          <w:b w:val="0"/>
        </w:rPr>
        <w:t>&lt;/Members&gt;</w:t>
      </w:r>
    </w:p>
    <w:p w:rsidR="00343C6C" w:rsidRPr="00FC4A49" w:rsidP="00343C6C" w14:paraId="0AB16C47" w14:textId="77777777">
      <w:r w:rsidRPr="00FC4A49">
        <w:rPr>
          <w:rStyle w:val="HideTWBExt"/>
        </w:rPr>
        <w:t>&lt;/RepeatBlock-By&gt;</w:t>
      </w:r>
    </w:p>
    <w:p w:rsidR="00343C6C" w:rsidRPr="00FC4A49" w:rsidP="00343C6C" w14:paraId="5393A8D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2C16A7E" w14:textId="77777777">
      <w:pPr>
        <w:pStyle w:val="NormalBold"/>
      </w:pPr>
      <w:r w:rsidRPr="00FC4A49">
        <w:rPr>
          <w:rStyle w:val="HideTWBExt"/>
          <w:b w:val="0"/>
        </w:rPr>
        <w:t>&lt;Article&gt;</w:t>
      </w:r>
      <w:r w:rsidRPr="00FC4A49">
        <w:t>Recital 30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D63E59"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311F3F90" w14:textId="77777777">
            <w:pPr>
              <w:keepNext/>
            </w:pPr>
          </w:p>
        </w:tc>
      </w:tr>
      <w:tr w14:paraId="3315A67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422974D" w14:textId="77777777">
            <w:pPr>
              <w:pStyle w:val="ColumnHeading"/>
              <w:keepNext/>
              <w:rPr>
                <w:lang w:val="en-GB"/>
              </w:rPr>
            </w:pPr>
            <w:r w:rsidRPr="00FC4A49">
              <w:rPr>
                <w:lang w:val="en-GB"/>
              </w:rPr>
              <w:t>Text proposed by the Commission</w:t>
            </w:r>
          </w:p>
        </w:tc>
        <w:tc>
          <w:tcPr>
            <w:tcW w:w="4876" w:type="dxa"/>
          </w:tcPr>
          <w:p w:rsidR="00343C6C" w:rsidRPr="00FC4A49" w:rsidP="005D58F9" w14:paraId="2E133CF1" w14:textId="77777777">
            <w:pPr>
              <w:pStyle w:val="ColumnHeading"/>
              <w:keepNext/>
              <w:rPr>
                <w:lang w:val="en-GB"/>
              </w:rPr>
            </w:pPr>
            <w:r w:rsidRPr="00FC4A49">
              <w:rPr>
                <w:lang w:val="en-GB"/>
              </w:rPr>
              <w:t>Amendment</w:t>
            </w:r>
          </w:p>
        </w:tc>
      </w:tr>
      <w:tr w14:paraId="189B3E4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0A016EB" w14:textId="77777777">
            <w:pPr>
              <w:pStyle w:val="Normal6"/>
              <w:rPr>
                <w:lang w:val="en-GB"/>
              </w:rPr>
            </w:pPr>
            <w:r w:rsidRPr="00FC4A49">
              <w:rPr>
                <w:lang w:val="en-GB"/>
              </w:rPr>
              <w:t>(30)</w:t>
            </w:r>
            <w:r w:rsidRPr="00FC4A49">
              <w:rPr>
                <w:lang w:val="en-GB"/>
              </w:rPr>
              <w:tab/>
              <w:t xml:space="preserve">The rate of reduction should also take account of the provisions of the European Climate Law regarding the use of high-quality international credits as adequate contribution towards the EU 2040 climate target, starting in 2036. International credits should be integrated in the future climate legislation using high-quality and integrity credits. The use of credits should support both the EU and third countries in achieving GHG reductions compatible with the Paris Agreement. High credit integrity must be ensured and where appropriate the rules developed under Article 6.4 of the Paris Agreement may be complemented.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2035 and of -85% from 2036 to </w:t>
            </w:r>
            <w:r w:rsidRPr="00FC4A49">
              <w:rPr>
                <w:lang w:val="en-GB"/>
              </w:rPr>
              <w:t xml:space="preserve">2040. This should be reflected through a lower linear reduction factor of the EU ETS from 2036, and allowances should be put aside for </w:t>
            </w:r>
            <w:r w:rsidRPr="00FC4A49">
              <w:rPr>
                <w:b/>
                <w:i/>
                <w:lang w:val="en-GB"/>
              </w:rPr>
              <w:t>the purchase of the</w:t>
            </w:r>
            <w:r w:rsidRPr="00FC4A49">
              <w:rPr>
                <w:lang w:val="en-GB"/>
              </w:rPr>
              <w:t xml:space="preserve"> amount </w:t>
            </w:r>
            <w:r w:rsidRPr="00FC4A49">
              <w:rPr>
                <w:b/>
                <w:i/>
                <w:lang w:val="en-GB"/>
              </w:rPr>
              <w:t>of international credits that correspond</w:t>
            </w:r>
            <w:r w:rsidRPr="00FC4A49">
              <w:rPr>
                <w:lang w:val="en-GB"/>
              </w:rPr>
              <w:t xml:space="preserve"> to the reduction of the ambition in the EU ETS. The Commission should report to the European Parliament and to the Council on the development of a high-quality and high-integrity international credit market, </w:t>
            </w:r>
            <w:r w:rsidRPr="00FC4A49">
              <w:rPr>
                <w:lang w:val="en-GB"/>
              </w:rPr>
              <w:t>taking into account</w:t>
            </w:r>
            <w:r w:rsidRPr="00FC4A49">
              <w:rPr>
                <w:lang w:val="en-GB"/>
              </w:rPr>
              <w:t xml:space="preserve"> the criteria set out in Regulation 2021/1119/EU, and the contribution of these credits to the climate ambition of the activities listed in Annex. Subject to this report, the linear reduction factor from 2036 should revert to a trajectory for ETS sectors aligned with an EU domestic reduction of 90% by 2040 in the event that high-quality and high-integrity, cost-effective international credits are not available.</w:t>
            </w:r>
          </w:p>
        </w:tc>
        <w:tc>
          <w:tcPr>
            <w:tcW w:w="4876" w:type="dxa"/>
          </w:tcPr>
          <w:p w:rsidR="00343C6C" w:rsidRPr="00FC4A49" w:rsidP="005D58F9" w14:paraId="789C2097" w14:textId="77777777">
            <w:pPr>
              <w:pStyle w:val="Normal6"/>
              <w:rPr>
                <w:szCs w:val="24"/>
                <w:lang w:val="en-GB"/>
              </w:rPr>
            </w:pPr>
            <w:r w:rsidRPr="00FC4A49">
              <w:rPr>
                <w:lang w:val="en-GB"/>
              </w:rPr>
              <w:t>(30)</w:t>
            </w:r>
            <w:r w:rsidRPr="00FC4A49">
              <w:rPr>
                <w:lang w:val="en-GB"/>
              </w:rPr>
              <w:tab/>
              <w:t xml:space="preserve">The rate of reduction should also take account of the provisions of the European Climate Law regarding the use of high-quality international credits as adequate contribution towards the EU 2040 climate target, starting in 2036. International credits should be integrated in the future climate legislation using high-quality and integrity credits. The use of credits should support both the EU and third countries in achieving GHG reductions compatible with the Paris Agreement. High credit integrity must be ensured and where appropriate the rules developed under Article 6.4 of the Paris Agreement may be complemented.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2035 and of -85% from 2036 to </w:t>
            </w:r>
            <w:r w:rsidRPr="00FC4A49">
              <w:rPr>
                <w:lang w:val="en-GB"/>
              </w:rPr>
              <w:t xml:space="preserve">2040. This should be reflected through a lower linear reduction factor of the EU ETS from 2036, and allowances should be put aside for </w:t>
            </w:r>
            <w:r w:rsidRPr="00FC4A49">
              <w:rPr>
                <w:b/>
                <w:i/>
                <w:lang w:val="en-GB"/>
              </w:rPr>
              <w:t>an</w:t>
            </w:r>
            <w:r w:rsidRPr="00FC4A49">
              <w:rPr>
                <w:lang w:val="en-GB"/>
              </w:rPr>
              <w:t xml:space="preserve"> amount </w:t>
            </w:r>
            <w:r w:rsidRPr="00FC4A49">
              <w:rPr>
                <w:b/>
                <w:i/>
                <w:lang w:val="en-GB"/>
              </w:rPr>
              <w:t>that corresponds</w:t>
            </w:r>
            <w:r w:rsidRPr="00FC4A49">
              <w:rPr>
                <w:lang w:val="en-GB"/>
              </w:rPr>
              <w:t xml:space="preserve"> to the reduction of the ambition in the EU ETS</w:t>
            </w:r>
            <w:r w:rsidRPr="00FC4A49">
              <w:rPr>
                <w:b/>
                <w:i/>
                <w:lang w:val="en-GB"/>
              </w:rPr>
              <w:t>. In order to maximise the climate impact of the purchases referred to in Article 9b, the Commission should purchase high-quality international credits with a lower bound that should, in addition to the quality criteria set out in Regulation (EU) 2021/1119, reduce the risk of financing activities that would have taken place without the Union's support. In addition, the purchase of credits should be done in a way so that the revenues deployed deliver greater overall greenhouse gas emission reductions than equivalent domestic action, with the additional reductions contributing to global mitigation</w:t>
            </w:r>
            <w:r w:rsidRPr="00FC4A49">
              <w:rPr>
                <w:lang w:val="en-GB"/>
              </w:rPr>
              <w:t xml:space="preserve">. The Commission should report to the European Parliament and to the Council on the development of a high-quality and high-integrity international credit market, </w:t>
            </w:r>
            <w:r w:rsidRPr="00FC4A49">
              <w:rPr>
                <w:lang w:val="en-GB"/>
              </w:rPr>
              <w:t>taking into account</w:t>
            </w:r>
            <w:r w:rsidRPr="00FC4A49">
              <w:rPr>
                <w:lang w:val="en-GB"/>
              </w:rPr>
              <w:t xml:space="preserve"> the criteria set out in Regulation 2021/1119/EU, and the contribution of these credits to the climate ambition of the activities listed in Annex. Subject to this report, the linear reduction factor from 2036 should revert to a trajectory for ETS sectors aligned with an EU domestic reduction of 90% by 2040 in the event that high-quality and high-integrity, cost-effective international credits are not available.</w:t>
            </w:r>
          </w:p>
        </w:tc>
      </w:tr>
    </w:tbl>
    <w:p w:rsidR="00343C6C" w:rsidRPr="00FC4A49" w:rsidP="00343C6C" w14:paraId="16B1530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BCC2671" w14:textId="77777777">
      <w:r w:rsidRPr="00FC4A49">
        <w:rPr>
          <w:rStyle w:val="HideTWBExt"/>
        </w:rPr>
        <w:t>&lt;/Amend&gt;</w:t>
      </w:r>
    </w:p>
    <w:p w:rsidR="00343C6C" w:rsidRPr="00FC4A49" w:rsidP="00343C6C" w14:paraId="45D6DE4A"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235</w:t>
      </w:r>
      <w:r w:rsidRPr="00FC4A49">
        <w:rPr>
          <w:rStyle w:val="HideTWBExt"/>
          <w:b w:val="0"/>
          <w:lang w:val="en-GB"/>
        </w:rPr>
        <w:t>&lt;/NumAm&gt;</w:t>
      </w:r>
    </w:p>
    <w:p w:rsidR="00343C6C" w:rsidRPr="00FC4A49" w:rsidP="00343C6C" w14:paraId="5F1AA69B" w14:textId="77777777">
      <w:pPr>
        <w:pStyle w:val="NormalBold"/>
      </w:pPr>
      <w:r w:rsidRPr="00FC4A49">
        <w:rPr>
          <w:rStyle w:val="HideTWBExt"/>
          <w:b w:val="0"/>
        </w:rPr>
        <w:t>&lt;RepeatBlock-By&gt;&lt;Members&gt;</w:t>
      </w:r>
      <w:r w:rsidRPr="00FC4A49">
        <w:t>Danuše Nerudová</w:t>
      </w:r>
      <w:r w:rsidRPr="00FC4A49">
        <w:rPr>
          <w:rStyle w:val="HideTWBExt"/>
          <w:b w:val="0"/>
        </w:rPr>
        <w:t>&lt;/Members&gt;</w:t>
      </w:r>
    </w:p>
    <w:p w:rsidR="00343C6C" w:rsidRPr="00FC4A49" w:rsidP="00343C6C" w14:paraId="1C766D77" w14:textId="77777777">
      <w:r w:rsidRPr="00FC4A49">
        <w:rPr>
          <w:rStyle w:val="HideTWBExt"/>
        </w:rPr>
        <w:t>&lt;/RepeatBlock-By&gt;</w:t>
      </w:r>
    </w:p>
    <w:p w:rsidR="00343C6C" w:rsidRPr="00FC4A49" w:rsidP="00343C6C" w14:paraId="065229F4"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9202034" w14:textId="77777777">
      <w:pPr>
        <w:pStyle w:val="NormalBold"/>
      </w:pPr>
      <w:r w:rsidRPr="00FC4A49">
        <w:rPr>
          <w:rStyle w:val="HideTWBExt"/>
          <w:b w:val="0"/>
        </w:rPr>
        <w:t>&lt;Article&gt;</w:t>
      </w:r>
      <w:r w:rsidRPr="00FC4A49">
        <w:t>Recital 30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16C270"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08024F7" w14:textId="77777777">
            <w:pPr>
              <w:keepNext/>
            </w:pPr>
          </w:p>
        </w:tc>
      </w:tr>
      <w:tr w14:paraId="28E6C02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72E310F" w14:textId="77777777">
            <w:pPr>
              <w:pStyle w:val="ColumnHeading"/>
              <w:keepNext/>
              <w:rPr>
                <w:lang w:val="en-GB"/>
              </w:rPr>
            </w:pPr>
            <w:r w:rsidRPr="00FC4A49">
              <w:rPr>
                <w:lang w:val="en-GB"/>
              </w:rPr>
              <w:t>Text proposed by the Commission</w:t>
            </w:r>
          </w:p>
        </w:tc>
        <w:tc>
          <w:tcPr>
            <w:tcW w:w="4876" w:type="dxa"/>
          </w:tcPr>
          <w:p w:rsidR="00343C6C" w:rsidRPr="00FC4A49" w:rsidP="005D58F9" w14:paraId="021CE0BF" w14:textId="77777777">
            <w:pPr>
              <w:pStyle w:val="ColumnHeading"/>
              <w:keepNext/>
              <w:rPr>
                <w:lang w:val="en-GB"/>
              </w:rPr>
            </w:pPr>
            <w:r w:rsidRPr="00FC4A49">
              <w:rPr>
                <w:lang w:val="en-GB"/>
              </w:rPr>
              <w:t>Amendment</w:t>
            </w:r>
          </w:p>
        </w:tc>
      </w:tr>
      <w:tr w14:paraId="71C84E1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7656312" w14:textId="77777777">
            <w:pPr>
              <w:pStyle w:val="Normal6"/>
              <w:rPr>
                <w:lang w:val="en-GB"/>
              </w:rPr>
            </w:pPr>
            <w:r w:rsidRPr="00FC4A49">
              <w:rPr>
                <w:lang w:val="en-GB"/>
              </w:rPr>
              <w:t>(30)</w:t>
            </w:r>
            <w:r w:rsidRPr="00FC4A49">
              <w:rPr>
                <w:lang w:val="en-GB"/>
              </w:rPr>
              <w:tab/>
              <w:t xml:space="preserve">The rate of reduction should also take account of the provisions of the European Climate Law regarding the use of high-quality international credits as adequate contribution towards the EU 2040 climate target, starting in 2036. International credits should be integrated in the future climate legislation using high-quality and integrity credits. The use of credits should support both the EU and third countries in achieving GHG reductions compatible with the Paris Agreement. High credit integrity must be ensured and where appropriate the rules developed under Article 6.4 of the Paris Agreement may be complemented.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2035 and of -85% from 2036 to 2040. This should be reflected through a lower linear reduction factor of the EU ETS from 2036, and allowances should be put aside for the purchase of the amount of international credits that correspond to the reduction of the ambition in the EU ETS. The Commission should report to the European Parliament and to the Council on the development of a high-quality and high-integrity international credit market, </w:t>
            </w:r>
            <w:r w:rsidRPr="00FC4A49">
              <w:rPr>
                <w:lang w:val="en-GB"/>
              </w:rPr>
              <w:t>taking into account</w:t>
            </w:r>
            <w:r w:rsidRPr="00FC4A49">
              <w:rPr>
                <w:lang w:val="en-GB"/>
              </w:rPr>
              <w:t xml:space="preserve"> the criteria set out in Regulation 2021/1119/EU, and the contribution of these credits to the climate ambition of the activities listed in Annex. </w:t>
            </w:r>
            <w:r w:rsidRPr="00FC4A49">
              <w:rPr>
                <w:b/>
                <w:i/>
                <w:lang w:val="en-GB"/>
              </w:rPr>
              <w:t xml:space="preserve">Subject to this report, the linear reduction factor from 2036 should revert to a trajectory for ETS sectors aligned with an </w:t>
            </w:r>
            <w:r w:rsidRPr="00FC4A49">
              <w:rPr>
                <w:b/>
                <w:i/>
                <w:lang w:val="en-GB"/>
              </w:rPr>
              <w:t>EU domestic reduction of 90% by 2040 in the event that high-quality and high-integrity, cost-effective international credits are not available.</w:t>
            </w:r>
          </w:p>
        </w:tc>
        <w:tc>
          <w:tcPr>
            <w:tcW w:w="4876" w:type="dxa"/>
          </w:tcPr>
          <w:p w:rsidR="00343C6C" w:rsidRPr="00FC4A49" w:rsidP="005D58F9" w14:paraId="4796730B" w14:textId="77777777">
            <w:pPr>
              <w:pStyle w:val="Normal6"/>
              <w:rPr>
                <w:szCs w:val="24"/>
                <w:lang w:val="en-GB"/>
              </w:rPr>
            </w:pPr>
            <w:r w:rsidRPr="00FC4A49">
              <w:rPr>
                <w:lang w:val="en-GB"/>
              </w:rPr>
              <w:t>(30)</w:t>
            </w:r>
            <w:r w:rsidRPr="00FC4A49">
              <w:rPr>
                <w:lang w:val="en-GB"/>
              </w:rPr>
              <w:tab/>
              <w:t xml:space="preserve">The rate of reduction should also take account of the provisions of the European Climate Law regarding the use of high-quality international credits as adequate contribution towards the EU 2040 climate target, starting in 2036. International credits should be integrated in the future climate legislation using high-quality and integrity credits. The use of credits should support both the EU and third countries in achieving GHG reductions compatible with the Paris Agreement. High credit integrity must be ensured and where appropriate the rules developed under Article 6.4 of the Paris Agreement may be complemented.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2035 and of -85% from 2036 to 2040. This should be reflected through a lower linear reduction factor of the EU ETS from 2036, and allowances should be put aside for the purchase of the amount of international credits that correspond to the reduction of the ambition in the EU ETS. The Commission should report to the European Parliament and to the Council on the development of a high-quality and high-integrity international credit market, </w:t>
            </w:r>
            <w:r w:rsidRPr="00FC4A49">
              <w:rPr>
                <w:lang w:val="en-GB"/>
              </w:rPr>
              <w:t>taking into account</w:t>
            </w:r>
            <w:r w:rsidRPr="00FC4A49">
              <w:rPr>
                <w:lang w:val="en-GB"/>
              </w:rPr>
              <w:t xml:space="preserve"> the criteria set out in Regulation 2021/1119/EU, and the contribution of these credits to the climate ambition of the activities listed in Annex.</w:t>
            </w:r>
          </w:p>
        </w:tc>
      </w:tr>
    </w:tbl>
    <w:p w:rsidR="00343C6C" w:rsidRPr="00FC4A49" w:rsidP="00343C6C" w14:paraId="2C6924D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8B8485E" w14:textId="77777777">
      <w:r w:rsidRPr="00FC4A49">
        <w:rPr>
          <w:rStyle w:val="HideTWBExt"/>
        </w:rPr>
        <w:t>&lt;/Amend&gt;</w:t>
      </w:r>
    </w:p>
    <w:p w:rsidR="00343C6C" w:rsidRPr="00FC4A49" w:rsidP="00343C6C" w14:paraId="02B9DC4A"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236</w:t>
      </w:r>
      <w:r w:rsidRPr="00FC4A49">
        <w:rPr>
          <w:rStyle w:val="HideTWBExt"/>
          <w:b w:val="0"/>
          <w:lang w:val="en-GB"/>
        </w:rPr>
        <w:t>&lt;/NumAm&gt;</w:t>
      </w:r>
    </w:p>
    <w:p w:rsidR="00343C6C" w:rsidRPr="00FC4A49" w:rsidP="00343C6C" w14:paraId="2F44C68B" w14:textId="77777777">
      <w:pPr>
        <w:pStyle w:val="NormalBold"/>
      </w:pPr>
      <w:r w:rsidRPr="00FC4A49">
        <w:rPr>
          <w:rStyle w:val="HideTWBExt"/>
          <w:b w:val="0"/>
        </w:rPr>
        <w:t>&lt;RepeatBlock-By&gt;&lt;Members&gt;</w:t>
      </w:r>
      <w:r w:rsidRPr="00FC4A49">
        <w:t>Li Andersson, Jonas Sjöstedt, Per Clausen</w:t>
      </w:r>
      <w:r w:rsidRPr="00FC4A49">
        <w:rPr>
          <w:rStyle w:val="HideTWBExt"/>
          <w:b w:val="0"/>
        </w:rPr>
        <w:t>&lt;/Members&gt;</w:t>
      </w:r>
    </w:p>
    <w:p w:rsidR="00343C6C" w:rsidRPr="00FC4A49" w:rsidP="00343C6C" w14:paraId="7C819D29" w14:textId="77777777">
      <w:r w:rsidRPr="00FC4A49">
        <w:rPr>
          <w:rStyle w:val="HideTWBExt"/>
        </w:rPr>
        <w:t>&lt;/RepeatBlock-By&gt;</w:t>
      </w:r>
    </w:p>
    <w:p w:rsidR="00343C6C" w:rsidRPr="00FC4A49" w:rsidP="00343C6C" w14:paraId="1377167F"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AA6CF7D" w14:textId="77777777">
      <w:pPr>
        <w:pStyle w:val="NormalBold"/>
      </w:pPr>
      <w:r w:rsidRPr="00FC4A49">
        <w:rPr>
          <w:rStyle w:val="HideTWBExt"/>
          <w:b w:val="0"/>
        </w:rPr>
        <w:t>&lt;Article&gt;</w:t>
      </w:r>
      <w:r w:rsidRPr="00FC4A49">
        <w:t>Recital 30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38FA37"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C72E7F2" w14:textId="77777777">
            <w:pPr>
              <w:keepNext/>
            </w:pPr>
          </w:p>
        </w:tc>
      </w:tr>
      <w:tr w14:paraId="545F681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7E3FEDF" w14:textId="77777777">
            <w:pPr>
              <w:pStyle w:val="ColumnHeading"/>
              <w:keepNext/>
              <w:rPr>
                <w:lang w:val="en-GB"/>
              </w:rPr>
            </w:pPr>
            <w:r w:rsidRPr="00FC4A49">
              <w:rPr>
                <w:lang w:val="en-GB"/>
              </w:rPr>
              <w:t>Text proposed by the Commission</w:t>
            </w:r>
          </w:p>
        </w:tc>
        <w:tc>
          <w:tcPr>
            <w:tcW w:w="4876" w:type="dxa"/>
          </w:tcPr>
          <w:p w:rsidR="00343C6C" w:rsidRPr="00FC4A49" w:rsidP="005D58F9" w14:paraId="00B5AAA0" w14:textId="77777777">
            <w:pPr>
              <w:pStyle w:val="ColumnHeading"/>
              <w:keepNext/>
              <w:rPr>
                <w:lang w:val="en-GB"/>
              </w:rPr>
            </w:pPr>
            <w:r w:rsidRPr="00FC4A49">
              <w:rPr>
                <w:lang w:val="en-GB"/>
              </w:rPr>
              <w:t>Amendment</w:t>
            </w:r>
          </w:p>
        </w:tc>
      </w:tr>
      <w:tr w14:paraId="771131B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B29C58C" w14:textId="77777777">
            <w:pPr>
              <w:pStyle w:val="Normal6"/>
              <w:rPr>
                <w:lang w:val="en-GB"/>
              </w:rPr>
            </w:pPr>
            <w:r w:rsidRPr="00FC4A49">
              <w:rPr>
                <w:lang w:val="en-GB"/>
              </w:rPr>
              <w:t>(30)</w:t>
            </w:r>
            <w:r w:rsidRPr="00FC4A49">
              <w:rPr>
                <w:lang w:val="en-GB"/>
              </w:rPr>
              <w:tab/>
              <w:t xml:space="preserve">The rate of reduction should also take account of the provisions of the European Climate Law regarding the use of high-quality international credits as adequate contribution towards the EU 2040 climate target, starting in 2036. International credits should be integrated in the future climate legislation using high-quality and integrity credits. The use of credits should support both the EU and third countries in achieving GHG reductions compatible with the Paris Agreement. High credit integrity must be ensured and where appropriate the rules developed under Article 6.4 of the Paris Agreement may be complemented.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w:t>
            </w:r>
            <w:r w:rsidRPr="00FC4A49">
              <w:rPr>
                <w:b/>
                <w:i/>
                <w:lang w:val="en-GB"/>
              </w:rPr>
              <w:t xml:space="preserve">2035 and of -85% from 2036 to 2040. This should be reflected through a lower linear reduction factor of the EU ETS from 2036, and allowances should be </w:t>
            </w:r>
            <w:r w:rsidRPr="00FC4A49">
              <w:rPr>
                <w:b/>
                <w:i/>
                <w:lang w:val="en-GB"/>
              </w:rPr>
              <w:t>put aside for the purchase of the amount of international credits that correspond to the reduction of the ambition in the EU ETS</w:t>
            </w:r>
            <w:r w:rsidRPr="00FC4A49">
              <w:rPr>
                <w:lang w:val="en-GB"/>
              </w:rPr>
              <w:t xml:space="preserve">. The Commission should report to the European Parliament and to the Council on the development of a high-quality and high-integrity international credit market, </w:t>
            </w:r>
            <w:r w:rsidRPr="00FC4A49">
              <w:rPr>
                <w:lang w:val="en-GB"/>
              </w:rPr>
              <w:t>taking into account</w:t>
            </w:r>
            <w:r w:rsidRPr="00FC4A49">
              <w:rPr>
                <w:lang w:val="en-GB"/>
              </w:rPr>
              <w:t xml:space="preserve"> the criteria set out in Regulation 2021/1119/EU, and the contribution of these credits to the climate ambition of the activities listed in Annex. Subject to this report, the linear reduction factor from 2036 should revert to a trajectory for ETS sectors aligned with an EU domestic reduction of 90% by 2040 in the event that high-quality and high-integrity, cost-effective international credits are not available.</w:t>
            </w:r>
          </w:p>
        </w:tc>
        <w:tc>
          <w:tcPr>
            <w:tcW w:w="4876" w:type="dxa"/>
          </w:tcPr>
          <w:p w:rsidR="00343C6C" w:rsidRPr="00FC4A49" w:rsidP="005D58F9" w14:paraId="3C8C8D30" w14:textId="77777777">
            <w:pPr>
              <w:pStyle w:val="Normal6"/>
              <w:rPr>
                <w:szCs w:val="24"/>
                <w:lang w:val="en-GB"/>
              </w:rPr>
            </w:pPr>
            <w:r w:rsidRPr="00FC4A49">
              <w:rPr>
                <w:lang w:val="en-GB"/>
              </w:rPr>
              <w:t>(30)</w:t>
            </w:r>
            <w:r w:rsidRPr="00FC4A49">
              <w:rPr>
                <w:lang w:val="en-GB"/>
              </w:rPr>
              <w:tab/>
              <w:t xml:space="preserve">The rate of reduction should also take account of the provisions of the European Climate Law regarding the </w:t>
            </w:r>
            <w:r w:rsidRPr="00FC4A49">
              <w:rPr>
                <w:b/>
                <w:i/>
                <w:lang w:val="en-GB"/>
              </w:rPr>
              <w:t>potential</w:t>
            </w:r>
            <w:r w:rsidRPr="00FC4A49">
              <w:rPr>
                <w:lang w:val="en-GB"/>
              </w:rPr>
              <w:t xml:space="preserve"> use of high-quality international credits as adequate contribution towards the EU 2040 climate target, starting in 2036. International credits should be integrated in the future climate legislation using </w:t>
            </w:r>
            <w:r w:rsidRPr="00FC4A49">
              <w:rPr>
                <w:b/>
                <w:i/>
                <w:lang w:val="en-GB"/>
              </w:rPr>
              <w:t>only</w:t>
            </w:r>
            <w:r w:rsidRPr="00FC4A49">
              <w:rPr>
                <w:lang w:val="en-GB"/>
              </w:rPr>
              <w:t xml:space="preserve"> high-quality and integrity credits. The use of credits should support both the EU and third countries in achieving GHG reductions compatible with the Paris Agreement. High credit integrity must be ensured and where appropriate the rules developed under Article 6.4 of the Paris Agreement may be complemented.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w:t>
            </w:r>
            <w:r w:rsidRPr="00FC4A49">
              <w:rPr>
                <w:b/>
                <w:i/>
                <w:lang w:val="en-GB"/>
              </w:rPr>
              <w:t>2040</w:t>
            </w:r>
            <w:r w:rsidRPr="00FC4A49">
              <w:rPr>
                <w:lang w:val="en-GB"/>
              </w:rPr>
              <w:t xml:space="preserve">. The Commission should report to the European Parliament and to the Council on the development of a high-quality and high-integrity international </w:t>
            </w:r>
            <w:r w:rsidRPr="00FC4A49">
              <w:rPr>
                <w:lang w:val="en-GB"/>
              </w:rPr>
              <w:t xml:space="preserve">credit market, </w:t>
            </w:r>
            <w:r w:rsidRPr="00FC4A49">
              <w:rPr>
                <w:lang w:val="en-GB"/>
              </w:rPr>
              <w:t>taking into account</w:t>
            </w:r>
            <w:r w:rsidRPr="00FC4A49">
              <w:rPr>
                <w:lang w:val="en-GB"/>
              </w:rPr>
              <w:t xml:space="preserve"> the criteria set out in Regulation 2021/1119/EU, and the contribution of these credits to the climate ambition of the activities listed in Annex. Subject to this report, the linear reduction factor from 2036 should revert to a trajectory for ETS sectors aligned with an EU domestic reduction of 90% by 2040 in the event that high-quality and high-integrity, cost-effective international credits are not available.</w:t>
            </w:r>
          </w:p>
        </w:tc>
      </w:tr>
    </w:tbl>
    <w:p w:rsidR="00343C6C" w:rsidRPr="00FC4A49" w:rsidP="00343C6C" w14:paraId="69AC4989"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18DFEE3" w14:textId="77777777">
      <w:r w:rsidRPr="00FC4A49">
        <w:rPr>
          <w:rStyle w:val="HideTWBExt"/>
        </w:rPr>
        <w:t>&lt;/Amend&gt;</w:t>
      </w:r>
    </w:p>
    <w:p w:rsidR="00343C6C" w:rsidRPr="00FC4A49" w:rsidP="00343C6C" w14:paraId="1C73ACE8"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237</w:t>
      </w:r>
      <w:r w:rsidRPr="00FC4A49">
        <w:rPr>
          <w:rStyle w:val="HideTWBExt"/>
          <w:b w:val="0"/>
          <w:lang w:val="en-GB"/>
        </w:rPr>
        <w:t>&lt;/NumAm&gt;</w:t>
      </w:r>
    </w:p>
    <w:p w:rsidR="00343C6C" w:rsidRPr="00FC4A49" w:rsidP="00343C6C" w14:paraId="1CBD0A9D" w14:textId="77777777">
      <w:pPr>
        <w:pStyle w:val="NormalBold"/>
      </w:pPr>
      <w:r w:rsidRPr="00FC4A49">
        <w:rPr>
          <w:rStyle w:val="HideTWBExt"/>
          <w:b w:val="0"/>
        </w:rPr>
        <w:t>&lt;RepeatBlock-By&gt;&lt;Members&gt;</w:t>
      </w:r>
      <w:r w:rsidRPr="00FC4A49">
        <w:t xml:space="preserve">Jens Gieseke, Ralf Seekatz, Sophia Kircher, Norbert Herhammer, Gheorghe Falcă, Andrea Wechsler, Borja Giménez </w:t>
      </w:r>
      <w:r w:rsidRPr="00FC4A49">
        <w:t>Larraz</w:t>
      </w:r>
      <w:r w:rsidRPr="00FC4A49">
        <w:t>, Isabelle Le Callennec</w:t>
      </w:r>
      <w:r w:rsidRPr="00FC4A49">
        <w:rPr>
          <w:rStyle w:val="HideTWBExt"/>
          <w:b w:val="0"/>
        </w:rPr>
        <w:t>&lt;/Members&gt;</w:t>
      </w:r>
    </w:p>
    <w:p w:rsidR="00343C6C" w:rsidRPr="00FC4A49" w:rsidP="00343C6C" w14:paraId="1B4CE3B5" w14:textId="77777777">
      <w:r w:rsidRPr="00FC4A49">
        <w:rPr>
          <w:rStyle w:val="HideTWBExt"/>
        </w:rPr>
        <w:t>&lt;/RepeatBlock-By&gt;</w:t>
      </w:r>
    </w:p>
    <w:p w:rsidR="00343C6C" w:rsidRPr="00FC4A49" w:rsidP="00343C6C" w14:paraId="6FC852D8"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31F1C3B" w14:textId="77777777">
      <w:pPr>
        <w:pStyle w:val="NormalBold"/>
      </w:pPr>
      <w:r w:rsidRPr="00FC4A49">
        <w:rPr>
          <w:rStyle w:val="HideTWBExt"/>
          <w:b w:val="0"/>
        </w:rPr>
        <w:t>&lt;Article&gt;</w:t>
      </w:r>
      <w:r w:rsidRPr="00FC4A49">
        <w:t>Recital 30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00AE04"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B8AF5B4" w14:textId="77777777">
            <w:pPr>
              <w:keepNext/>
            </w:pPr>
          </w:p>
        </w:tc>
      </w:tr>
      <w:tr w14:paraId="3B98B15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E20AF10" w14:textId="77777777">
            <w:pPr>
              <w:pStyle w:val="ColumnHeading"/>
              <w:keepNext/>
              <w:rPr>
                <w:lang w:val="en-GB"/>
              </w:rPr>
            </w:pPr>
            <w:r w:rsidRPr="00FC4A49">
              <w:rPr>
                <w:lang w:val="en-GB"/>
              </w:rPr>
              <w:t>Text proposed by the Commission</w:t>
            </w:r>
          </w:p>
        </w:tc>
        <w:tc>
          <w:tcPr>
            <w:tcW w:w="4876" w:type="dxa"/>
          </w:tcPr>
          <w:p w:rsidR="00343C6C" w:rsidRPr="00FC4A49" w:rsidP="005D58F9" w14:paraId="56E8C9F5" w14:textId="77777777">
            <w:pPr>
              <w:pStyle w:val="ColumnHeading"/>
              <w:keepNext/>
              <w:rPr>
                <w:lang w:val="en-GB"/>
              </w:rPr>
            </w:pPr>
            <w:r w:rsidRPr="00FC4A49">
              <w:rPr>
                <w:lang w:val="en-GB"/>
              </w:rPr>
              <w:t>Amendment</w:t>
            </w:r>
          </w:p>
        </w:tc>
      </w:tr>
      <w:tr w14:paraId="10A7E33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BD841AD" w14:textId="77777777">
            <w:pPr>
              <w:pStyle w:val="Normal6"/>
              <w:rPr>
                <w:lang w:val="en-GB"/>
              </w:rPr>
            </w:pPr>
            <w:r w:rsidRPr="00FC4A49">
              <w:rPr>
                <w:lang w:val="en-GB"/>
              </w:rPr>
              <w:t>(30)</w:t>
            </w:r>
            <w:r w:rsidRPr="00FC4A49">
              <w:rPr>
                <w:lang w:val="en-GB"/>
              </w:rPr>
              <w:tab/>
              <w:t xml:space="preserve">The rate of reduction should also take account of the provisions of the European Climate Law regarding the use of high-quality international credits as adequate contribution towards the EU 2040 climate target, starting in 2036. International credits should be integrated in the future climate legislation using high-quality and integrity credits. The use of credits should support both the EU and third countries in achieving GHG reductions compatible with the Paris Agreement. High credit integrity must be ensured </w:t>
            </w:r>
            <w:r w:rsidRPr="00FC4A49">
              <w:rPr>
                <w:b/>
                <w:i/>
                <w:lang w:val="en-GB"/>
              </w:rPr>
              <w:t>and where appropriate</w:t>
            </w:r>
            <w:r w:rsidRPr="00FC4A49">
              <w:rPr>
                <w:lang w:val="en-GB"/>
              </w:rPr>
              <w:t xml:space="preserve"> the rules developed under Article 6.4 of the Paris Agreement </w:t>
            </w:r>
            <w:r w:rsidRPr="00FC4A49">
              <w:rPr>
                <w:b/>
                <w:i/>
                <w:lang w:val="en-GB"/>
              </w:rPr>
              <w:t>may be complemented</w:t>
            </w:r>
            <w:r w:rsidRPr="00FC4A49">
              <w:rPr>
                <w:lang w:val="en-GB"/>
              </w:rPr>
              <w:t xml:space="preserve">. The specific role and deployment of </w:t>
            </w:r>
            <w:r w:rsidRPr="00FC4A49">
              <w:rPr>
                <w:lang w:val="en-GB"/>
              </w:rPr>
              <w:t xml:space="preserve">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2035 and of -85% from 2036 to 2040. This should be reflected through a lower linear reduction factor of the EU ETS from 2036, and allowances should be put aside for the purchase of the amount of international credits that correspond to the reduction of the ambition in the EU ETS. The Commission should report to the European Parliament and to the Council on the development of a high-quality and high-integrity international credit market, </w:t>
            </w:r>
            <w:r w:rsidRPr="00FC4A49">
              <w:rPr>
                <w:lang w:val="en-GB"/>
              </w:rPr>
              <w:t>taking into account</w:t>
            </w:r>
            <w:r w:rsidRPr="00FC4A49">
              <w:rPr>
                <w:lang w:val="en-GB"/>
              </w:rPr>
              <w:t xml:space="preserve"> the criteria set out in Regulation 2021/1119/EU, and the contribution of these credits to the climate ambition of the activities listed in Annex. Subject to this report, the linear reduction factor from 2036 should revert to a trajectory for ETS sectors aligned with an EU domestic reduction of 90% by 2040 in the event that high-quality and high-integrity, cost-effective international credits are not available.</w:t>
            </w:r>
          </w:p>
        </w:tc>
        <w:tc>
          <w:tcPr>
            <w:tcW w:w="4876" w:type="dxa"/>
          </w:tcPr>
          <w:p w:rsidR="00343C6C" w:rsidRPr="00FC4A49" w:rsidP="005D58F9" w14:paraId="625C7957" w14:textId="77777777">
            <w:pPr>
              <w:pStyle w:val="Normal6"/>
              <w:rPr>
                <w:szCs w:val="24"/>
                <w:lang w:val="en-GB"/>
              </w:rPr>
            </w:pPr>
            <w:r w:rsidRPr="00FC4A49">
              <w:rPr>
                <w:lang w:val="en-GB"/>
              </w:rPr>
              <w:t>(30)</w:t>
            </w:r>
            <w:r w:rsidRPr="00FC4A49">
              <w:rPr>
                <w:lang w:val="en-GB"/>
              </w:rPr>
              <w:tab/>
              <w:t xml:space="preserve">The rate of reduction should also take account of the provisions of the European Climate Law regarding the use of high-quality international credits as adequate contribution towards the EU 2040 climate target, starting in 2036. International credits should be integrated in the future climate legislation using high-quality and integrity credits. The use of credits should support both the EU and third countries in achieving GHG reductions compatible with the Paris Agreement. High credit integrity must be ensured </w:t>
            </w:r>
            <w:r w:rsidRPr="00FC4A49">
              <w:rPr>
                <w:b/>
                <w:i/>
                <w:lang w:val="en-GB"/>
              </w:rPr>
              <w:t>as well as alignment with</w:t>
            </w:r>
            <w:r w:rsidRPr="00FC4A49">
              <w:rPr>
                <w:lang w:val="en-GB"/>
              </w:rPr>
              <w:t xml:space="preserve"> the rules developed under Article 6.4 of the Paris Agreement </w:t>
            </w:r>
            <w:r w:rsidRPr="00FC4A49">
              <w:rPr>
                <w:b/>
                <w:i/>
                <w:lang w:val="en-GB"/>
              </w:rPr>
              <w:t xml:space="preserve">and under sectoral international carbon pricing mechanisms </w:t>
            </w:r>
            <w:r w:rsidRPr="00FC4A49">
              <w:rPr>
                <w:b/>
                <w:i/>
                <w:lang w:val="en-GB"/>
              </w:rPr>
              <w:t>such as the ICAO’s CORSIA</w:t>
            </w:r>
            <w:r w:rsidRPr="00FC4A49">
              <w:rPr>
                <w:lang w:val="en-GB"/>
              </w:rPr>
              <w:t xml:space="preserve">.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2035 and of -85% from 2036 to 2040. This should be reflected through a lower linear reduction factor of the EU ETS from 2036, and allowances should be put aside for the purchase of the amount of international credits that correspond to the reduction of the ambition in the EU ETS. The Commission should report to the European Parliament and to the Council on the development of a high-quality and high-integrity international credit market, </w:t>
            </w:r>
            <w:r w:rsidRPr="00FC4A49">
              <w:rPr>
                <w:lang w:val="en-GB"/>
              </w:rPr>
              <w:t>taking into account</w:t>
            </w:r>
            <w:r w:rsidRPr="00FC4A49">
              <w:rPr>
                <w:lang w:val="en-GB"/>
              </w:rPr>
              <w:t xml:space="preserve"> the criteria set out in Regulation 2021/1119/EU, and the contribution of these credits to the climate ambition of the activities listed in Annex. Subject to this report, the linear reduction factor from 2036 should revert to a trajectory for ETS sectors aligned with an EU domestic reduction of 90% by 2040 in the event that high-quality and high-integrity, cost-effective international credits are not available.</w:t>
            </w:r>
          </w:p>
        </w:tc>
      </w:tr>
    </w:tbl>
    <w:p w:rsidR="00343C6C" w:rsidRPr="00FC4A49" w:rsidP="00343C6C" w14:paraId="13C54C77"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31338A4" w14:textId="77777777">
      <w:r w:rsidRPr="00FC4A49">
        <w:rPr>
          <w:rStyle w:val="HideTWBExt"/>
        </w:rPr>
        <w:t>&lt;/Amend&gt;</w:t>
      </w:r>
    </w:p>
    <w:p w:rsidR="00343C6C" w:rsidRPr="00FC4A49" w:rsidP="00343C6C" w14:paraId="57E39F2F"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238</w:t>
      </w:r>
      <w:r w:rsidRPr="00FC4A49">
        <w:rPr>
          <w:rStyle w:val="HideTWBExt"/>
          <w:b w:val="0"/>
          <w:lang w:val="en-GB"/>
        </w:rPr>
        <w:t>&lt;/NumAm&gt;</w:t>
      </w:r>
    </w:p>
    <w:p w:rsidR="00343C6C" w:rsidRPr="00FC4A49" w:rsidP="00343C6C" w14:paraId="525EA776" w14:textId="77777777">
      <w:pPr>
        <w:pStyle w:val="NormalBold"/>
      </w:pPr>
      <w:r w:rsidRPr="00FC4A49">
        <w:rPr>
          <w:rStyle w:val="HideTWBExt"/>
          <w:b w:val="0"/>
        </w:rPr>
        <w:t>&lt;RepeatBlock-By&gt;&lt;Members&gt;</w:t>
      </w:r>
      <w:r w:rsidRPr="00FC4A49">
        <w:t>Ana Vasconcelos</w:t>
      </w:r>
      <w:r w:rsidRPr="00FC4A49">
        <w:rPr>
          <w:rStyle w:val="HideTWBExt"/>
          <w:b w:val="0"/>
        </w:rPr>
        <w:t>&lt;/Members&gt;</w:t>
      </w:r>
    </w:p>
    <w:p w:rsidR="00343C6C" w:rsidRPr="00FC4A49" w:rsidP="00343C6C" w14:paraId="144B4E75" w14:textId="77777777">
      <w:r w:rsidRPr="00FC4A49">
        <w:rPr>
          <w:rStyle w:val="HideTWBExt"/>
        </w:rPr>
        <w:t>&lt;/RepeatBlock-By&gt;</w:t>
      </w:r>
    </w:p>
    <w:p w:rsidR="00343C6C" w:rsidRPr="00FC4A49" w:rsidP="00343C6C" w14:paraId="280DAA42"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F4971F5" w14:textId="77777777">
      <w:pPr>
        <w:pStyle w:val="NormalBold"/>
      </w:pPr>
      <w:r w:rsidRPr="00FC4A49">
        <w:rPr>
          <w:rStyle w:val="HideTWBExt"/>
          <w:b w:val="0"/>
        </w:rPr>
        <w:t>&lt;Article&gt;</w:t>
      </w:r>
      <w:r w:rsidRPr="00FC4A49">
        <w:t>Recital 30</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F3AF3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FA57E86" w14:textId="77777777">
            <w:pPr>
              <w:keepNext/>
            </w:pPr>
          </w:p>
        </w:tc>
      </w:tr>
      <w:tr w14:paraId="3D6F4BB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1950D2B" w14:textId="77777777">
            <w:pPr>
              <w:pStyle w:val="ColumnHeading"/>
              <w:keepNext/>
              <w:rPr>
                <w:lang w:val="en-GB"/>
              </w:rPr>
            </w:pPr>
            <w:r w:rsidRPr="00FC4A49">
              <w:rPr>
                <w:lang w:val="en-GB"/>
              </w:rPr>
              <w:t>Text proposed by the Commission</w:t>
            </w:r>
          </w:p>
        </w:tc>
        <w:tc>
          <w:tcPr>
            <w:tcW w:w="4876" w:type="dxa"/>
          </w:tcPr>
          <w:p w:rsidR="00343C6C" w:rsidRPr="00FC4A49" w:rsidP="005D58F9" w14:paraId="7E271C22" w14:textId="77777777">
            <w:pPr>
              <w:pStyle w:val="ColumnHeading"/>
              <w:keepNext/>
              <w:rPr>
                <w:lang w:val="en-GB"/>
              </w:rPr>
            </w:pPr>
            <w:r w:rsidRPr="00FC4A49">
              <w:rPr>
                <w:lang w:val="en-GB"/>
              </w:rPr>
              <w:t>Amendment</w:t>
            </w:r>
          </w:p>
        </w:tc>
      </w:tr>
      <w:tr w14:paraId="4AD6FFE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1B9C0EA" w14:textId="77777777">
            <w:pPr>
              <w:pStyle w:val="Normal6"/>
              <w:rPr>
                <w:lang w:val="en-GB"/>
              </w:rPr>
            </w:pPr>
            <w:r w:rsidRPr="00FC4A49">
              <w:rPr>
                <w:lang w:val="en-GB"/>
              </w:rPr>
              <w:t>(30)</w:t>
            </w:r>
            <w:r w:rsidRPr="00FC4A49">
              <w:rPr>
                <w:lang w:val="en-GB"/>
              </w:rPr>
              <w:tab/>
              <w:t xml:space="preserve">The rate of reduction should also </w:t>
            </w:r>
            <w:r w:rsidRPr="00FC4A49">
              <w:rPr>
                <w:lang w:val="en-GB"/>
              </w:rPr>
              <w:t xml:space="preserve">take account of the provisions of the European Climate Law regarding the use of high-quality international credits as adequate contribution towards the EU 2040 climate target, starting in 2036. International credits should be integrated in the future climate legislation using high-quality and integrity credits. The use of credits should support both the EU and third countries in achieving GHG reductions compatible with the Paris Agreement. High credit integrity must be ensured and where appropriate the rules developed under Article 6.4 of the Paris Agreement </w:t>
            </w:r>
            <w:r w:rsidRPr="00FC4A49">
              <w:rPr>
                <w:b/>
                <w:i/>
                <w:lang w:val="en-GB"/>
              </w:rPr>
              <w:t>may be complemented</w:t>
            </w:r>
            <w:r w:rsidRPr="00FC4A49">
              <w:rPr>
                <w:lang w:val="en-GB"/>
              </w:rPr>
              <w:t xml:space="preserve">.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2035 and of -85% from 2036 to 2040. This should be reflected through a lower linear reduction factor of the EU ETS from 2036, and allowances should be put aside for the purchase of the amount of international credits that correspond to the reduction of the ambition in the EU ETS. The Commission should report to the European Parliament and to the Council on the development of a high-quality and high-integrity international credit market, </w:t>
            </w:r>
            <w:r w:rsidRPr="00FC4A49">
              <w:rPr>
                <w:lang w:val="en-GB"/>
              </w:rPr>
              <w:t>taking into account</w:t>
            </w:r>
            <w:r w:rsidRPr="00FC4A49">
              <w:rPr>
                <w:lang w:val="en-GB"/>
              </w:rPr>
              <w:t xml:space="preserve"> the criteria set out in Regulation 2021/1119/EU, and the contribution of these credits to the climate ambition of the activities listed in Annex. Subject to this report, the linear reduction factor from 2036 should revert to a trajectory for ETS sectors aligned with an EU domestic reduction of 90% by 2040 in the event that high-quality and high-integrity, cost-effective international </w:t>
            </w:r>
            <w:r w:rsidRPr="00FC4A49">
              <w:rPr>
                <w:lang w:val="en-GB"/>
              </w:rPr>
              <w:t>credits are not available.</w:t>
            </w:r>
          </w:p>
        </w:tc>
        <w:tc>
          <w:tcPr>
            <w:tcW w:w="4876" w:type="dxa"/>
          </w:tcPr>
          <w:p w:rsidR="00343C6C" w:rsidRPr="00FC4A49" w:rsidP="005D58F9" w14:paraId="7E2ACBBD" w14:textId="77777777">
            <w:pPr>
              <w:pStyle w:val="Normal6"/>
              <w:rPr>
                <w:szCs w:val="24"/>
                <w:lang w:val="en-GB"/>
              </w:rPr>
            </w:pPr>
            <w:r w:rsidRPr="00FC4A49">
              <w:rPr>
                <w:lang w:val="en-GB"/>
              </w:rPr>
              <w:t>(30)</w:t>
            </w:r>
            <w:r w:rsidRPr="00FC4A49">
              <w:rPr>
                <w:lang w:val="en-GB"/>
              </w:rPr>
              <w:tab/>
              <w:t xml:space="preserve">The rate of reduction should also </w:t>
            </w:r>
            <w:r w:rsidRPr="00FC4A49">
              <w:rPr>
                <w:lang w:val="en-GB"/>
              </w:rPr>
              <w:t xml:space="preserve">take account of the provisions of the European Climate Law regarding the use of high-quality international credits as adequate contribution towards the EU 2040 climate target, starting in 2036. International credits should be integrated in the future climate legislation using high-quality and integrity credits. The use of credits should support both the EU and third countries in achieving GHG reductions compatible with the Paris Agreement. High credit integrity must be ensured and where appropriate the rules developed under Article 6.4 of the Paris Agreement </w:t>
            </w:r>
            <w:r w:rsidRPr="00FC4A49">
              <w:rPr>
                <w:b/>
                <w:i/>
                <w:lang w:val="en-GB"/>
              </w:rPr>
              <w:t>should be applied</w:t>
            </w:r>
            <w:r w:rsidRPr="00FC4A49">
              <w:rPr>
                <w:lang w:val="en-GB"/>
              </w:rPr>
              <w:t xml:space="preserve">.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2035 and of -85% from 2036 to 2040. This should be reflected through a lower linear reduction factor of the EU ETS from 2036, and allowances should be put aside for the purchase of the amount of international credits that correspond to the reduction of the ambition in the EU ETS. The Commission should report </w:t>
            </w:r>
            <w:r w:rsidRPr="00FC4A49">
              <w:rPr>
                <w:b/>
                <w:i/>
                <w:lang w:val="en-GB"/>
              </w:rPr>
              <w:t>by 31 January 2030</w:t>
            </w:r>
            <w:r w:rsidRPr="00FC4A49">
              <w:rPr>
                <w:lang w:val="en-GB"/>
              </w:rPr>
              <w:t xml:space="preserve"> to the European Parliament and to the Council on the development of a high-quality and high-integrity international credit market, </w:t>
            </w:r>
            <w:r w:rsidRPr="00FC4A49">
              <w:rPr>
                <w:lang w:val="en-GB"/>
              </w:rPr>
              <w:t>taking into account</w:t>
            </w:r>
            <w:r w:rsidRPr="00FC4A49">
              <w:rPr>
                <w:lang w:val="en-GB"/>
              </w:rPr>
              <w:t xml:space="preserve"> the criteria set out in Regulation 2021/1119/EU, and the contribution of these credits to the climate ambition of the activities listed in Annex. Subject to this report, the linear reduction factor from 2036 should revert to a trajectory for ETS sectors aligned with an EU domestic reduction of 90% by 2040 in the event that high-quality and high-integrity, cost-effective international credits are not </w:t>
            </w:r>
            <w:r w:rsidRPr="00FC4A49">
              <w:rPr>
                <w:lang w:val="en-GB"/>
              </w:rPr>
              <w:t>available.</w:t>
            </w:r>
          </w:p>
        </w:tc>
      </w:tr>
    </w:tbl>
    <w:p w:rsidR="00343C6C" w:rsidRPr="00FC4A49" w:rsidP="00343C6C" w14:paraId="35233C1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3C45682" w14:textId="77777777">
      <w:r w:rsidRPr="00FC4A49">
        <w:rPr>
          <w:rStyle w:val="HideTWBExt"/>
        </w:rPr>
        <w:t>&lt;/Amend&gt;</w:t>
      </w:r>
    </w:p>
    <w:p w:rsidR="00343C6C" w:rsidRPr="00FC4A49" w:rsidP="00343C6C" w14:paraId="1D1CDC91"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239</w:t>
      </w:r>
      <w:r w:rsidRPr="00FC4A49">
        <w:rPr>
          <w:rStyle w:val="HideTWBExt"/>
          <w:b w:val="0"/>
          <w:lang w:val="en-GB"/>
        </w:rPr>
        <w:t>&lt;/NumAm&gt;</w:t>
      </w:r>
    </w:p>
    <w:p w:rsidR="00343C6C" w:rsidRPr="00FC4A49" w:rsidP="00343C6C" w14:paraId="774665FD" w14:textId="77777777">
      <w:pPr>
        <w:pStyle w:val="NormalBold"/>
      </w:pPr>
      <w:r w:rsidRPr="00FC4A49">
        <w:rPr>
          <w:rStyle w:val="HideTWBExt"/>
          <w:b w:val="0"/>
        </w:rPr>
        <w:t>&lt;RepeatBlock-By&gt;&lt;Members&gt;</w:t>
      </w:r>
      <w:r w:rsidRPr="00FC4A49">
        <w:t>Radan Kanev</w:t>
      </w:r>
      <w:r w:rsidRPr="00FC4A49">
        <w:rPr>
          <w:rStyle w:val="HideTWBExt"/>
          <w:b w:val="0"/>
        </w:rPr>
        <w:t>&lt;/Members&gt;</w:t>
      </w:r>
    </w:p>
    <w:p w:rsidR="00343C6C" w:rsidRPr="00FC4A49" w:rsidP="00343C6C" w14:paraId="62C38768" w14:textId="77777777">
      <w:r w:rsidRPr="00FC4A49">
        <w:rPr>
          <w:rStyle w:val="HideTWBExt"/>
        </w:rPr>
        <w:t>&lt;/RepeatBlock-By&gt;</w:t>
      </w:r>
    </w:p>
    <w:p w:rsidR="00343C6C" w:rsidRPr="00FC4A49" w:rsidP="00343C6C" w14:paraId="022E7B3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C39F666" w14:textId="77777777">
      <w:pPr>
        <w:pStyle w:val="NormalBold"/>
      </w:pPr>
      <w:r w:rsidRPr="00FC4A49">
        <w:rPr>
          <w:rStyle w:val="HideTWBExt"/>
          <w:b w:val="0"/>
        </w:rPr>
        <w:t>&lt;Article&gt;</w:t>
      </w:r>
      <w:r w:rsidRPr="00FC4A49">
        <w:t>Recital 30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517154"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6AE85D7" w14:textId="77777777">
            <w:pPr>
              <w:keepNext/>
            </w:pPr>
          </w:p>
        </w:tc>
      </w:tr>
      <w:tr w14:paraId="5BC3614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F7596C1" w14:textId="77777777">
            <w:pPr>
              <w:pStyle w:val="ColumnHeading"/>
              <w:keepNext/>
              <w:rPr>
                <w:lang w:val="en-GB"/>
              </w:rPr>
            </w:pPr>
            <w:r w:rsidRPr="00FC4A49">
              <w:rPr>
                <w:lang w:val="en-GB"/>
              </w:rPr>
              <w:t>Text proposed by the Commission</w:t>
            </w:r>
          </w:p>
        </w:tc>
        <w:tc>
          <w:tcPr>
            <w:tcW w:w="4876" w:type="dxa"/>
          </w:tcPr>
          <w:p w:rsidR="00343C6C" w:rsidRPr="00FC4A49" w:rsidP="005D58F9" w14:paraId="3D2551E4" w14:textId="77777777">
            <w:pPr>
              <w:pStyle w:val="ColumnHeading"/>
              <w:keepNext/>
              <w:rPr>
                <w:lang w:val="en-GB"/>
              </w:rPr>
            </w:pPr>
            <w:r w:rsidRPr="00FC4A49">
              <w:rPr>
                <w:lang w:val="en-GB"/>
              </w:rPr>
              <w:t>Amendment</w:t>
            </w:r>
          </w:p>
        </w:tc>
      </w:tr>
      <w:tr w14:paraId="33746FA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176FB1D" w14:textId="77777777">
            <w:pPr>
              <w:pStyle w:val="Normal6"/>
              <w:rPr>
                <w:lang w:val="en-GB"/>
              </w:rPr>
            </w:pPr>
          </w:p>
        </w:tc>
        <w:tc>
          <w:tcPr>
            <w:tcW w:w="4876" w:type="dxa"/>
          </w:tcPr>
          <w:p w:rsidR="00343C6C" w:rsidRPr="00FC4A49" w:rsidP="005D58F9" w14:paraId="7C8C7514" w14:textId="77777777">
            <w:pPr>
              <w:pStyle w:val="Normal6"/>
              <w:rPr>
                <w:szCs w:val="24"/>
                <w:lang w:val="en-GB"/>
              </w:rPr>
            </w:pPr>
            <w:r w:rsidRPr="00FC4A49">
              <w:rPr>
                <w:b/>
                <w:i/>
                <w:lang w:val="en-GB"/>
              </w:rPr>
              <w:t>(30a)</w:t>
            </w:r>
            <w:r w:rsidRPr="00FC4A49">
              <w:rPr>
                <w:b/>
                <w:i/>
                <w:lang w:val="en-GB"/>
              </w:rPr>
              <w:tab/>
              <w:t>In addition to the facility for the purchase of international credits, a limited possibility should be provided for operators in sectors and subsectors exposed to a risk of carbon leakage to use qualifying international credits directly for compliance. In order to preserve the Union’s domestic emission reduction effort and the integrity of the EU ETS, each international credit used for that purpose should be matched by the cancellation of one allowance that would otherwise be auctioned. Such direct use should also contribute to promoting the Union’s technological leadership as expressed in Regulation (EU) 2021/1119 and the international deployment of net-zero technologies. Qualifying credits should therefore originate from high-quality and high-integrity projects in partner countries which deploy net-zero technologies referred to in Article 4 of Regulation (EU) 2024/1735 (NZIA) and contribute to the Union’s technological leadership. A pilot phase from 2031 to 2035 should support the development of that market before compliance use begins in 2036.</w:t>
            </w:r>
          </w:p>
        </w:tc>
      </w:tr>
    </w:tbl>
    <w:p w:rsidR="00343C6C" w:rsidRPr="00FC4A49" w:rsidP="00343C6C" w14:paraId="14ED6A50"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3143B74" w14:textId="77777777">
      <w:r w:rsidRPr="00FC4A49">
        <w:rPr>
          <w:rStyle w:val="HideTWBExt"/>
        </w:rPr>
        <w:t>&lt;/Amend&gt;</w:t>
      </w:r>
    </w:p>
    <w:p w:rsidR="00343C6C" w:rsidRPr="00FC4A49" w:rsidP="00343C6C" w14:paraId="1A7EF294"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240</w:t>
      </w:r>
      <w:r w:rsidRPr="00FC4A49">
        <w:rPr>
          <w:rStyle w:val="HideTWBExt"/>
          <w:b w:val="0"/>
          <w:lang w:val="en-GB"/>
        </w:rPr>
        <w:t>&lt;/NumAm&gt;</w:t>
      </w:r>
    </w:p>
    <w:p w:rsidR="00343C6C" w:rsidRPr="00FC4A49" w:rsidP="00343C6C" w14:paraId="132CCCAB"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38B478BD" w14:textId="77777777">
      <w:r w:rsidRPr="00FC4A49">
        <w:rPr>
          <w:rStyle w:val="HideTWBExt"/>
        </w:rPr>
        <w:t>&lt;/RepeatBlock-By&gt;</w:t>
      </w:r>
    </w:p>
    <w:p w:rsidR="00343C6C" w:rsidRPr="00FC4A49" w:rsidP="00343C6C" w14:paraId="7E88C27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F9997A9" w14:textId="77777777">
      <w:pPr>
        <w:pStyle w:val="NormalBold"/>
      </w:pPr>
      <w:r w:rsidRPr="00FC4A49">
        <w:rPr>
          <w:rStyle w:val="HideTWBExt"/>
          <w:b w:val="0"/>
        </w:rPr>
        <w:t>&lt;Article&gt;</w:t>
      </w:r>
      <w:r w:rsidRPr="00FC4A49">
        <w:t>Recital 31</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D37C7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25C2A67" w14:textId="77777777">
            <w:pPr>
              <w:keepNext/>
            </w:pPr>
          </w:p>
        </w:tc>
      </w:tr>
      <w:tr w14:paraId="48C6CBF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05BEE21" w14:textId="77777777">
            <w:pPr>
              <w:pStyle w:val="ColumnHeading"/>
              <w:keepNext/>
              <w:rPr>
                <w:lang w:val="en-GB"/>
              </w:rPr>
            </w:pPr>
            <w:r w:rsidRPr="00FC4A49">
              <w:rPr>
                <w:lang w:val="en-GB"/>
              </w:rPr>
              <w:t>Text proposed by the Commission</w:t>
            </w:r>
          </w:p>
        </w:tc>
        <w:tc>
          <w:tcPr>
            <w:tcW w:w="4876" w:type="dxa"/>
          </w:tcPr>
          <w:p w:rsidR="00343C6C" w:rsidRPr="00FC4A49" w:rsidP="005D58F9" w14:paraId="61CB213B" w14:textId="77777777">
            <w:pPr>
              <w:pStyle w:val="ColumnHeading"/>
              <w:keepNext/>
              <w:rPr>
                <w:lang w:val="en-GB"/>
              </w:rPr>
            </w:pPr>
            <w:r w:rsidRPr="00FC4A49">
              <w:rPr>
                <w:lang w:val="en-GB"/>
              </w:rPr>
              <w:t>Amendment</w:t>
            </w:r>
          </w:p>
        </w:tc>
      </w:tr>
      <w:tr w14:paraId="34C2CE4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D8AE047" w14:textId="77777777">
            <w:pPr>
              <w:pStyle w:val="Normal6"/>
              <w:rPr>
                <w:lang w:val="en-GB"/>
              </w:rPr>
            </w:pPr>
            <w:r w:rsidRPr="00FC4A49">
              <w:rPr>
                <w:lang w:val="en-GB"/>
              </w:rPr>
              <w:t>(31)</w:t>
            </w:r>
            <w:r w:rsidRPr="00FC4A49">
              <w:rPr>
                <w:lang w:val="en-GB"/>
              </w:rPr>
              <w:tab/>
              <w:t xml:space="preserve">Carbon </w:t>
            </w:r>
            <w:r w:rsidRPr="00FC4A49">
              <w:rPr>
                <w:b/>
                <w:i/>
                <w:lang w:val="en-GB"/>
              </w:rPr>
              <w:t>removals are introduced as a flexibility in the European Climate Law to allow the EU to reach its 2040 climate target in a more cost-efficient way, as some emissions will be more cost-efficient to offset through removals than to abate them. In particular, they can contribute</w:t>
            </w:r>
            <w:r w:rsidRPr="00FC4A49">
              <w:rPr>
                <w:lang w:val="en-GB"/>
              </w:rPr>
              <w:t xml:space="preserve"> to compensate </w:t>
            </w:r>
            <w:r w:rsidRPr="00FC4A49">
              <w:rPr>
                <w:b/>
                <w:i/>
                <w:lang w:val="en-GB"/>
              </w:rPr>
              <w:t>remaining</w:t>
            </w:r>
            <w:r w:rsidRPr="00FC4A49">
              <w:rPr>
                <w:lang w:val="en-GB"/>
              </w:rPr>
              <w:t xml:space="preserve"> hard-to-abate GHG in sectors covered by the EU ETS. In that context, the EU ETS should contribute to their uptake and financing</w:t>
            </w:r>
            <w:r w:rsidRPr="00FC4A49">
              <w:rPr>
                <w:b/>
                <w:i/>
                <w:lang w:val="en-GB"/>
              </w:rPr>
              <w:t>,</w:t>
            </w:r>
            <w:r w:rsidRPr="00FC4A49">
              <w:rPr>
                <w:lang w:val="en-GB"/>
              </w:rPr>
              <w:t xml:space="preserve"> including </w:t>
            </w:r>
            <w:r w:rsidRPr="00FC4A49">
              <w:rPr>
                <w:b/>
                <w:i/>
                <w:lang w:val="en-GB"/>
              </w:rPr>
              <w:t>because they can be generated by activities already covered by the EU ETS. Foregoing the flexibility provided by permanent carbon removals would be at the cost of the EU’s competitiveness and the environment in the medium to long term. Together with other adjustments to the system, such as to the total emissions cap and the Market Stability Reserve (MSR), the integration of permanent carbon removals can contribute to cost containment and improving liquidity in the EU ETS as its cap shrinks. The integration of permanent carbon removals can also provide an avenue to incentivise the development and deployment of nascent negative emissions</w:t>
            </w:r>
            <w:r w:rsidRPr="00FC4A49">
              <w:rPr>
                <w:lang w:val="en-GB"/>
              </w:rPr>
              <w:t xml:space="preserve"> technologies. Beyond 2040, alternative or complementary mechanisms to generate permanent removals may need to be developed to reach net-zero in 2050 and net-negative emissions thereafter. </w:t>
            </w:r>
            <w:r w:rsidRPr="00FC4A49">
              <w:rPr>
                <w:b/>
                <w:i/>
                <w:lang w:val="en-GB"/>
              </w:rPr>
              <w:t xml:space="preserve">All adjustments to the cap set out in Article 9 should </w:t>
            </w:r>
            <w:r w:rsidRPr="00FC4A49">
              <w:rPr>
                <w:b/>
                <w:i/>
                <w:lang w:val="en-GB"/>
              </w:rPr>
              <w:t>take into account</w:t>
            </w:r>
            <w:r w:rsidRPr="00FC4A49">
              <w:rPr>
                <w:b/>
                <w:i/>
                <w:lang w:val="en-GB"/>
              </w:rPr>
              <w:t xml:space="preserve"> the emissions of the EEA and the European Free Trade Association (EFTA), as well as regarding the integration of domestic permanent carbon removals.</w:t>
            </w:r>
          </w:p>
        </w:tc>
        <w:tc>
          <w:tcPr>
            <w:tcW w:w="4876" w:type="dxa"/>
          </w:tcPr>
          <w:p w:rsidR="00343C6C" w:rsidRPr="00FC4A49" w:rsidP="005D58F9" w14:paraId="23CAC3B5" w14:textId="77777777">
            <w:pPr>
              <w:pStyle w:val="Normal6"/>
              <w:rPr>
                <w:szCs w:val="24"/>
                <w:lang w:val="en-GB"/>
              </w:rPr>
            </w:pPr>
            <w:r w:rsidRPr="00FC4A49">
              <w:rPr>
                <w:lang w:val="en-GB"/>
              </w:rPr>
              <w:t>(31)</w:t>
            </w:r>
            <w:r w:rsidRPr="00FC4A49">
              <w:rPr>
                <w:lang w:val="en-GB"/>
              </w:rPr>
              <w:tab/>
            </w:r>
            <w:r w:rsidRPr="00FC4A49">
              <w:rPr>
                <w:b/>
                <w:i/>
                <w:lang w:val="en-GB"/>
              </w:rPr>
              <w:t>Domestic permanent</w:t>
            </w:r>
            <w:r w:rsidRPr="00FC4A49">
              <w:rPr>
                <w:lang w:val="en-GB"/>
              </w:rPr>
              <w:t xml:space="preserve"> carbon </w:t>
            </w:r>
            <w:r w:rsidRPr="00FC4A49">
              <w:rPr>
                <w:b/>
                <w:i/>
                <w:lang w:val="en-GB"/>
              </w:rPr>
              <w:t>remonvals</w:t>
            </w:r>
            <w:r w:rsidRPr="00FC4A49">
              <w:rPr>
                <w:b/>
                <w:i/>
                <w:lang w:val="en-GB"/>
              </w:rPr>
              <w:t xml:space="preserve"> are necessary</w:t>
            </w:r>
            <w:r w:rsidRPr="00FC4A49">
              <w:rPr>
                <w:lang w:val="en-GB"/>
              </w:rPr>
              <w:t xml:space="preserve"> to compensate </w:t>
            </w:r>
            <w:r w:rsidRPr="00FC4A49">
              <w:rPr>
                <w:b/>
                <w:i/>
                <w:lang w:val="en-GB"/>
              </w:rPr>
              <w:t>for residual</w:t>
            </w:r>
            <w:r w:rsidRPr="00FC4A49">
              <w:rPr>
                <w:lang w:val="en-GB"/>
              </w:rPr>
              <w:t xml:space="preserve"> hard-to-abate GHG </w:t>
            </w:r>
            <w:r w:rsidRPr="00FC4A49">
              <w:rPr>
                <w:b/>
                <w:i/>
                <w:lang w:val="en-GB"/>
              </w:rPr>
              <w:t>emissions, including</w:t>
            </w:r>
            <w:r w:rsidRPr="00FC4A49">
              <w:rPr>
                <w:lang w:val="en-GB"/>
              </w:rPr>
              <w:t xml:space="preserve"> in sectors covered by the EU ETS. In that context, the EU ETS </w:t>
            </w:r>
            <w:r w:rsidRPr="00FC4A49">
              <w:rPr>
                <w:b/>
                <w:i/>
                <w:lang w:val="en-GB"/>
              </w:rPr>
              <w:t>design</w:t>
            </w:r>
            <w:r w:rsidRPr="00FC4A49">
              <w:rPr>
                <w:lang w:val="en-GB"/>
              </w:rPr>
              <w:t xml:space="preserve"> should contribute to their </w:t>
            </w:r>
            <w:r w:rsidRPr="00FC4A49">
              <w:rPr>
                <w:b/>
                <w:i/>
                <w:lang w:val="en-GB"/>
              </w:rPr>
              <w:t>early</w:t>
            </w:r>
            <w:r w:rsidRPr="00FC4A49">
              <w:rPr>
                <w:lang w:val="en-GB"/>
              </w:rPr>
              <w:t xml:space="preserve"> uptake and financing </w:t>
            </w:r>
            <w:r w:rsidRPr="00FC4A49">
              <w:rPr>
                <w:b/>
                <w:i/>
                <w:lang w:val="en-GB"/>
              </w:rPr>
              <w:t>while safeguarding against mitigation deterrence and avoiding adverse land-use-change effects.</w:t>
            </w:r>
            <w:r w:rsidRPr="00FC4A49">
              <w:rPr>
                <w:lang w:val="en-GB"/>
              </w:rPr>
              <w:t xml:space="preserve"> Including technologies </w:t>
            </w:r>
            <w:r w:rsidRPr="00FC4A49">
              <w:rPr>
                <w:b/>
                <w:i/>
                <w:lang w:val="en-GB"/>
              </w:rPr>
              <w:t>with uncertain permanence characteristics like biochar would put the integrity of the EU ETS at risk</w:t>
            </w:r>
            <w:r w:rsidRPr="00FC4A49">
              <w:rPr>
                <w:lang w:val="en-GB"/>
              </w:rPr>
              <w:t>. Beyond 2040, alternative or complementary mechanisms to generate permanent removals may need to be developed to reach net-zero in 2050 and net-negative emissions thereafter.</w:t>
            </w:r>
          </w:p>
        </w:tc>
      </w:tr>
    </w:tbl>
    <w:p w:rsidR="00343C6C" w:rsidRPr="00FC4A49" w:rsidP="00343C6C" w14:paraId="30700CE7"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5ABB99B" w14:textId="77777777">
      <w:r w:rsidRPr="00FC4A49">
        <w:rPr>
          <w:rStyle w:val="HideTWBExt"/>
        </w:rPr>
        <w:t>&lt;/Amend&gt;</w:t>
      </w:r>
    </w:p>
    <w:p w:rsidR="00343C6C" w:rsidRPr="00FC4A49" w:rsidP="00343C6C" w14:paraId="180FF73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241</w:t>
      </w:r>
      <w:r w:rsidRPr="00FC4A49">
        <w:rPr>
          <w:rStyle w:val="HideTWBExt"/>
          <w:b w:val="0"/>
          <w:lang w:val="en-GB"/>
        </w:rPr>
        <w:t>&lt;/NumAm&gt;</w:t>
      </w:r>
    </w:p>
    <w:p w:rsidR="00343C6C" w:rsidRPr="00FC4A49" w:rsidP="00343C6C" w14:paraId="378A993F" w14:textId="77777777">
      <w:pPr>
        <w:pStyle w:val="NormalBold"/>
      </w:pPr>
      <w:r w:rsidRPr="00FC4A49">
        <w:rPr>
          <w:rStyle w:val="HideTWBExt"/>
          <w:b w:val="0"/>
        </w:rPr>
        <w:t>&lt;RepeatBlock-By&gt;&lt;Members&gt;</w:t>
      </w:r>
      <w:r w:rsidRPr="00FC4A49">
        <w:t>Mohammed Chahim</w:t>
      </w:r>
      <w:r w:rsidRPr="00FC4A49">
        <w:rPr>
          <w:rStyle w:val="HideTWBExt"/>
          <w:b w:val="0"/>
        </w:rPr>
        <w:t>&lt;/Members&gt;</w:t>
      </w:r>
    </w:p>
    <w:p w:rsidR="00343C6C" w:rsidRPr="00FC4A49" w:rsidP="00343C6C" w14:paraId="5B25D130" w14:textId="77777777">
      <w:r w:rsidRPr="00FC4A49">
        <w:rPr>
          <w:rStyle w:val="HideTWBExt"/>
        </w:rPr>
        <w:t>&lt;/RepeatBlock-By&gt;</w:t>
      </w:r>
    </w:p>
    <w:p w:rsidR="00343C6C" w:rsidRPr="00FC4A49" w:rsidP="00343C6C" w14:paraId="54D70D55"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927491F" w14:textId="77777777">
      <w:pPr>
        <w:pStyle w:val="NormalBold"/>
      </w:pPr>
      <w:r w:rsidRPr="00FC4A49">
        <w:rPr>
          <w:rStyle w:val="HideTWBExt"/>
          <w:b w:val="0"/>
        </w:rPr>
        <w:t>&lt;Article&gt;</w:t>
      </w:r>
      <w:r w:rsidRPr="00FC4A49">
        <w:t>Recital 31</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A095F8"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32D22E5" w14:textId="77777777">
            <w:pPr>
              <w:keepNext/>
            </w:pPr>
          </w:p>
        </w:tc>
      </w:tr>
      <w:tr w14:paraId="4934E2A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CA5F859" w14:textId="77777777">
            <w:pPr>
              <w:pStyle w:val="ColumnHeading"/>
              <w:keepNext/>
              <w:rPr>
                <w:lang w:val="en-GB"/>
              </w:rPr>
            </w:pPr>
            <w:r w:rsidRPr="00FC4A49">
              <w:rPr>
                <w:lang w:val="en-GB"/>
              </w:rPr>
              <w:t>Text proposed by the Commission</w:t>
            </w:r>
          </w:p>
        </w:tc>
        <w:tc>
          <w:tcPr>
            <w:tcW w:w="4876" w:type="dxa"/>
          </w:tcPr>
          <w:p w:rsidR="00343C6C" w:rsidRPr="00FC4A49" w:rsidP="005D58F9" w14:paraId="06356373" w14:textId="77777777">
            <w:pPr>
              <w:pStyle w:val="ColumnHeading"/>
              <w:keepNext/>
              <w:rPr>
                <w:lang w:val="en-GB"/>
              </w:rPr>
            </w:pPr>
            <w:r w:rsidRPr="00FC4A49">
              <w:rPr>
                <w:lang w:val="en-GB"/>
              </w:rPr>
              <w:t>Amendment</w:t>
            </w:r>
          </w:p>
        </w:tc>
      </w:tr>
      <w:tr w14:paraId="4D5C792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CE8237F" w14:textId="77777777">
            <w:pPr>
              <w:pStyle w:val="Normal6"/>
              <w:rPr>
                <w:lang w:val="en-GB"/>
              </w:rPr>
            </w:pPr>
            <w:r w:rsidRPr="00FC4A49">
              <w:rPr>
                <w:lang w:val="en-GB"/>
              </w:rPr>
              <w:t>(31)</w:t>
            </w:r>
            <w:r w:rsidRPr="00FC4A49">
              <w:rPr>
                <w:lang w:val="en-GB"/>
              </w:rPr>
              <w:tab/>
              <w:t xml:space="preserve">Carbon removals are introduced as a flexibility in the European Climate Law to allow the EU to reach its 2040 climate target in a more cost-efficient way, as some emissions will be more cost-efficient to offset through removals than to abate them. In particular, they </w:t>
            </w:r>
            <w:r w:rsidRPr="00FC4A49">
              <w:rPr>
                <w:b/>
                <w:i/>
                <w:lang w:val="en-GB"/>
              </w:rPr>
              <w:t>can</w:t>
            </w:r>
            <w:r w:rsidRPr="00FC4A49">
              <w:rPr>
                <w:lang w:val="en-GB"/>
              </w:rPr>
              <w:t xml:space="preserve"> contribute to compensate remaining hard-to-abate GHG in sectors covered by the EU ETS. In that context, the EU ETS should contribute to their uptake and financing, including because they can be generated by activities already covered by the EU ETS</w:t>
            </w:r>
            <w:r w:rsidRPr="00FC4A49">
              <w:rPr>
                <w:b/>
                <w:i/>
                <w:lang w:val="en-GB"/>
              </w:rPr>
              <w:t>. Foregoing the flexibility provided by permanent carbon removals would be at the cost of the EU’s competitiveness and the environment in the medium to long term</w:t>
            </w:r>
            <w:r w:rsidRPr="00FC4A49">
              <w:rPr>
                <w:lang w:val="en-GB"/>
              </w:rPr>
              <w:t xml:space="preserve">. Together with other adjustments to the system, such as to the total emissions cap and the Market Stability Reserve (MSR), the integration of permanent carbon removals can contribute to cost containment and improving liquidity in the EU ETS as its cap shrinks. The integration of permanent carbon removals can also provide an avenue to incentivise the development and deployment of nascent negative emissions technologies. Beyond 2040, </w:t>
            </w:r>
            <w:r w:rsidRPr="00FC4A49">
              <w:rPr>
                <w:b/>
                <w:i/>
                <w:lang w:val="en-GB"/>
              </w:rPr>
              <w:t>alternative or complementary mechanisms to generate</w:t>
            </w:r>
            <w:r w:rsidRPr="00FC4A49">
              <w:rPr>
                <w:lang w:val="en-GB"/>
              </w:rPr>
              <w:t xml:space="preserve"> permanent removals may need to be </w:t>
            </w:r>
            <w:r w:rsidRPr="00FC4A49">
              <w:rPr>
                <w:b/>
                <w:i/>
                <w:lang w:val="en-GB"/>
              </w:rPr>
              <w:t>developed</w:t>
            </w:r>
            <w:r w:rsidRPr="00FC4A49">
              <w:rPr>
                <w:lang w:val="en-GB"/>
              </w:rPr>
              <w:t xml:space="preserve"> to reach net-zero in 2050 and net-negative emissions thereafter. All adjustments to the cap set out in Article 9 should </w:t>
            </w:r>
            <w:r w:rsidRPr="00FC4A49">
              <w:rPr>
                <w:lang w:val="en-GB"/>
              </w:rPr>
              <w:t>take into account</w:t>
            </w:r>
            <w:r w:rsidRPr="00FC4A49">
              <w:rPr>
                <w:lang w:val="en-GB"/>
              </w:rPr>
              <w:t xml:space="preserve"> the emissions of the EEA and the European Free Trade Association (EFTA), as well as regarding the integration of domestic permanent carbon removals.</w:t>
            </w:r>
          </w:p>
        </w:tc>
        <w:tc>
          <w:tcPr>
            <w:tcW w:w="4876" w:type="dxa"/>
          </w:tcPr>
          <w:p w:rsidR="00343C6C" w:rsidRPr="00FC4A49" w:rsidP="005D58F9" w14:paraId="40A67828" w14:textId="77777777">
            <w:pPr>
              <w:pStyle w:val="Normal6"/>
              <w:rPr>
                <w:szCs w:val="24"/>
                <w:lang w:val="en-GB"/>
              </w:rPr>
            </w:pPr>
            <w:r w:rsidRPr="00FC4A49">
              <w:rPr>
                <w:lang w:val="en-GB"/>
              </w:rPr>
              <w:t>(31)</w:t>
            </w:r>
            <w:r w:rsidRPr="00FC4A49">
              <w:rPr>
                <w:lang w:val="en-GB"/>
              </w:rPr>
              <w:tab/>
              <w:t xml:space="preserve">Carbon removals are introduced as a flexibility in the European Climate Law to allow the EU to reach its 2040 climate target in a more cost-efficient way, as some emissions will be more cost-efficient to offset through removals than to abate them. In particular, they </w:t>
            </w:r>
            <w:r w:rsidRPr="00FC4A49">
              <w:rPr>
                <w:b/>
                <w:i/>
                <w:lang w:val="en-GB"/>
              </w:rPr>
              <w:t>should</w:t>
            </w:r>
            <w:r w:rsidRPr="00FC4A49">
              <w:rPr>
                <w:lang w:val="en-GB"/>
              </w:rPr>
              <w:t xml:space="preserve"> contribute to compensate remaining hard-to-abate GHG in sectors covered by the EU ETS. In that context, the EU ETS should contribute to their uptake and financing, including because they can be generated by activities already covered by the EU ETS. Together with other adjustments to the system, such as to the total emissions cap and the Market Stability Reserve (MSR), the integration of permanent carbon removals can contribute to cost containment and improving liquidity in the EU ETS as its cap shrinks. The integration of permanent carbon removals can also provide an avenue to incentivise the development and deployment of nascent negative emissions technologies. Beyond 2040, </w:t>
            </w:r>
            <w:r w:rsidRPr="00FC4A49">
              <w:rPr>
                <w:b/>
                <w:i/>
                <w:lang w:val="en-GB"/>
              </w:rPr>
              <w:t>additional proven and verified technologies capable of generating</w:t>
            </w:r>
            <w:r w:rsidRPr="00FC4A49">
              <w:rPr>
                <w:lang w:val="en-GB"/>
              </w:rPr>
              <w:t xml:space="preserve"> permanent removals may need to be </w:t>
            </w:r>
            <w:r w:rsidRPr="00FC4A49">
              <w:rPr>
                <w:b/>
                <w:i/>
                <w:lang w:val="en-GB"/>
              </w:rPr>
              <w:t>considered</w:t>
            </w:r>
            <w:r w:rsidRPr="00FC4A49">
              <w:rPr>
                <w:lang w:val="en-GB"/>
              </w:rPr>
              <w:t xml:space="preserve"> to reach net-zero in 2050 and net-negative emissions thereafter. All adjustments to the cap set out in Article 9 should </w:t>
            </w:r>
            <w:r w:rsidRPr="00FC4A49">
              <w:rPr>
                <w:lang w:val="en-GB"/>
              </w:rPr>
              <w:t>take into account</w:t>
            </w:r>
            <w:r w:rsidRPr="00FC4A49">
              <w:rPr>
                <w:lang w:val="en-GB"/>
              </w:rPr>
              <w:t xml:space="preserve"> the emissions of the EEA and the European Free Trade Association (EFTA), as well as regarding the integration of domestic permanent carbon removals.</w:t>
            </w:r>
          </w:p>
        </w:tc>
      </w:tr>
    </w:tbl>
    <w:p w:rsidR="00343C6C" w:rsidRPr="00FC4A49" w:rsidP="00343C6C" w14:paraId="6FA00F0D"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A6E4FAB" w14:textId="77777777">
      <w:r w:rsidRPr="00FC4A49">
        <w:rPr>
          <w:rStyle w:val="HideTWBExt"/>
        </w:rPr>
        <w:t>&lt;/Amend&gt;</w:t>
      </w:r>
    </w:p>
    <w:p w:rsidR="00343C6C" w:rsidRPr="00FC4A49" w:rsidP="00343C6C" w14:paraId="2971EEE5"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242</w:t>
      </w:r>
      <w:r w:rsidRPr="00FC4A49">
        <w:rPr>
          <w:rStyle w:val="HideTWBExt"/>
          <w:b w:val="0"/>
          <w:lang w:val="en-GB"/>
        </w:rPr>
        <w:t>&lt;/NumAm&gt;</w:t>
      </w:r>
    </w:p>
    <w:p w:rsidR="00343C6C" w:rsidRPr="00FC4A49" w:rsidP="00343C6C" w14:paraId="12E6890E" w14:textId="77777777">
      <w:pPr>
        <w:pStyle w:val="NormalBold"/>
      </w:pPr>
      <w:r w:rsidRPr="00FC4A49">
        <w:rPr>
          <w:rStyle w:val="HideTWBExt"/>
          <w:b w:val="0"/>
        </w:rPr>
        <w:t>&lt;RepeatBlock-By&gt;&lt;Members&gt;</w:t>
      </w:r>
      <w:r w:rsidRPr="00FC4A49">
        <w:t>Andrea Wechsler, Norbert Herhammer, Verena Mertens, Sabine Verheyen, Marie-Sophie Christ, Eva Maydell, Christian Ehler, Angelika Niebler</w:t>
      </w:r>
      <w:r w:rsidRPr="00FC4A49">
        <w:rPr>
          <w:rStyle w:val="HideTWBExt"/>
          <w:b w:val="0"/>
        </w:rPr>
        <w:t>&lt;/Members&gt;</w:t>
      </w:r>
    </w:p>
    <w:p w:rsidR="00343C6C" w:rsidRPr="00FC4A49" w:rsidP="00343C6C" w14:paraId="3124AAF7" w14:textId="77777777">
      <w:r w:rsidRPr="00FC4A49">
        <w:rPr>
          <w:rStyle w:val="HideTWBExt"/>
        </w:rPr>
        <w:t>&lt;/RepeatBlock-By&gt;</w:t>
      </w:r>
    </w:p>
    <w:p w:rsidR="00343C6C" w:rsidRPr="00FC4A49" w:rsidP="00343C6C" w14:paraId="66BF8724"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CB05FDF" w14:textId="77777777">
      <w:pPr>
        <w:pStyle w:val="NormalBold"/>
      </w:pPr>
      <w:r w:rsidRPr="00FC4A49">
        <w:rPr>
          <w:rStyle w:val="HideTWBExt"/>
          <w:b w:val="0"/>
        </w:rPr>
        <w:t>&lt;Article&gt;</w:t>
      </w:r>
      <w:r w:rsidRPr="00FC4A49">
        <w:t>Recital 32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BD475A"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755AC826" w14:textId="77777777">
            <w:pPr>
              <w:keepNext/>
            </w:pPr>
          </w:p>
        </w:tc>
      </w:tr>
      <w:tr w14:paraId="452A5EE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66710C1" w14:textId="77777777">
            <w:pPr>
              <w:pStyle w:val="ColumnHeading"/>
              <w:keepNext/>
              <w:rPr>
                <w:lang w:val="en-GB"/>
              </w:rPr>
            </w:pPr>
            <w:r w:rsidRPr="00FC4A49">
              <w:rPr>
                <w:lang w:val="en-GB"/>
              </w:rPr>
              <w:t>Text proposed by the Commission</w:t>
            </w:r>
          </w:p>
        </w:tc>
        <w:tc>
          <w:tcPr>
            <w:tcW w:w="4876" w:type="dxa"/>
          </w:tcPr>
          <w:p w:rsidR="00343C6C" w:rsidRPr="00FC4A49" w:rsidP="005D58F9" w14:paraId="0AFA736A" w14:textId="77777777">
            <w:pPr>
              <w:pStyle w:val="ColumnHeading"/>
              <w:keepNext/>
              <w:rPr>
                <w:lang w:val="en-GB"/>
              </w:rPr>
            </w:pPr>
            <w:r w:rsidRPr="00FC4A49">
              <w:rPr>
                <w:lang w:val="en-GB"/>
              </w:rPr>
              <w:t>Amendment</w:t>
            </w:r>
          </w:p>
        </w:tc>
      </w:tr>
      <w:tr w14:paraId="121A11C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588BDDC" w14:textId="77777777">
            <w:pPr>
              <w:pStyle w:val="Normal6"/>
              <w:rPr>
                <w:lang w:val="en-GB"/>
              </w:rPr>
            </w:pPr>
            <w:r w:rsidRPr="00FC4A49">
              <w:rPr>
                <w:lang w:val="en-GB"/>
              </w:rPr>
              <w:t>(32)</w:t>
            </w:r>
            <w:r w:rsidRPr="00FC4A49">
              <w:rPr>
                <w:lang w:val="en-GB"/>
              </w:rPr>
              <w:tab/>
              <w:t>The integration in the EU ETS rests on the basic principle that the cancellation of a removal unit replaces the surrendering of an emission allowance, which represents the payment of the price for having emitted a tonne of CO</w:t>
            </w:r>
            <w:r w:rsidRPr="00FC4A49">
              <w:rPr>
                <w:vertAlign w:val="subscript"/>
                <w:lang w:val="en-GB"/>
              </w:rPr>
              <w:t>2</w:t>
            </w:r>
            <w:r w:rsidRPr="00FC4A49">
              <w:rPr>
                <w:lang w:val="en-GB"/>
              </w:rPr>
              <w:t xml:space="preserve">. As a consequence, only permanent removals can be integrated in the EU ETS. </w:t>
            </w:r>
            <w:r w:rsidRPr="00FC4A49">
              <w:rPr>
                <w:b/>
                <w:i/>
                <w:lang w:val="en-GB"/>
              </w:rPr>
              <w:t>In addition, it is preferrable to integrate only those</w:t>
            </w:r>
            <w:r w:rsidRPr="00FC4A49">
              <w:rPr>
                <w:lang w:val="en-GB"/>
              </w:rPr>
              <w:t xml:space="preserve"> removals </w:t>
            </w:r>
            <w:r w:rsidRPr="00FC4A49">
              <w:rPr>
                <w:b/>
                <w:i/>
                <w:lang w:val="en-GB"/>
              </w:rPr>
              <w:t>for which reversals are subject to monitoring and the surrendering of allowances in the EU ETS</w:t>
            </w:r>
            <w:r w:rsidRPr="00FC4A49">
              <w:rPr>
                <w:lang w:val="en-GB"/>
              </w:rPr>
              <w:t>.</w:t>
            </w:r>
          </w:p>
        </w:tc>
        <w:tc>
          <w:tcPr>
            <w:tcW w:w="4876" w:type="dxa"/>
          </w:tcPr>
          <w:p w:rsidR="00343C6C" w:rsidRPr="00FC4A49" w:rsidP="005D58F9" w14:paraId="69E85BE3" w14:textId="77777777">
            <w:pPr>
              <w:pStyle w:val="Normal6"/>
              <w:rPr>
                <w:szCs w:val="24"/>
                <w:lang w:val="en-GB"/>
              </w:rPr>
            </w:pPr>
            <w:r w:rsidRPr="00FC4A49">
              <w:rPr>
                <w:lang w:val="en-GB"/>
              </w:rPr>
              <w:t>(32)</w:t>
            </w:r>
            <w:r w:rsidRPr="00FC4A49">
              <w:rPr>
                <w:lang w:val="en-GB"/>
              </w:rPr>
              <w:tab/>
              <w:t>The integration in the EU ETS rests on the basic principle that the cancellation of a removal unit replaces the surrendering of an emission allowance, which represents the payment of the price for having emitted a tonne of CO</w:t>
            </w:r>
            <w:r w:rsidRPr="00FC4A49">
              <w:rPr>
                <w:vertAlign w:val="subscript"/>
                <w:lang w:val="en-GB"/>
              </w:rPr>
              <w:t>2</w:t>
            </w:r>
            <w:r w:rsidRPr="00FC4A49">
              <w:rPr>
                <w:lang w:val="en-GB"/>
              </w:rPr>
              <w:t xml:space="preserve">. As a consequence, only permanent removals can be integrated in the EU ETS </w:t>
            </w:r>
            <w:r w:rsidRPr="00FC4A49">
              <w:rPr>
                <w:b/>
                <w:i/>
                <w:lang w:val="en-GB"/>
              </w:rPr>
              <w:t xml:space="preserve">such as DACCS and </w:t>
            </w:r>
            <w:r w:rsidRPr="00FC4A49">
              <w:rPr>
                <w:b/>
                <w:i/>
                <w:lang w:val="en-GB"/>
              </w:rPr>
              <w:t>BioCCS</w:t>
            </w:r>
            <w:r w:rsidRPr="00FC4A49">
              <w:rPr>
                <w:lang w:val="en-GB"/>
              </w:rPr>
              <w:t xml:space="preserve">. </w:t>
            </w:r>
            <w:r w:rsidRPr="00FC4A49">
              <w:rPr>
                <w:b/>
                <w:i/>
                <w:lang w:val="en-GB"/>
              </w:rPr>
              <w:t>The Commission may also purchase a limited number of removal credits from biochar activities (BCR) which are certified as permanent carbon removal units in accordance with the methodologies for the certification of domestic permanent</w:t>
            </w:r>
            <w:r w:rsidRPr="00FC4A49">
              <w:rPr>
                <w:lang w:val="en-GB"/>
              </w:rPr>
              <w:t xml:space="preserve"> removals </w:t>
            </w:r>
            <w:r w:rsidRPr="00FC4A49">
              <w:rPr>
                <w:b/>
                <w:i/>
                <w:lang w:val="en-GB"/>
              </w:rPr>
              <w:t>established under Regulation (EU) 2024/3012 of the European Parliament and of the Council. In case additional methodologies are needed for the integration of permanent biochar removals, the Commission may adopt additional technical criteria</w:t>
            </w:r>
            <w:r w:rsidRPr="00FC4A49">
              <w:rPr>
                <w:lang w:val="en-GB"/>
              </w:rPr>
              <w:t>.</w:t>
            </w:r>
          </w:p>
        </w:tc>
      </w:tr>
    </w:tbl>
    <w:p w:rsidR="00343C6C" w:rsidRPr="00FC4A49" w:rsidP="00343C6C" w14:paraId="0D297C0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0B87E5DF"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778A60DE" w14:textId="77777777">
      <w:pPr>
        <w:pStyle w:val="Normal12Italic"/>
        <w:rPr>
          <w:noProof w:val="0"/>
          <w:lang w:val="en-GB"/>
        </w:rPr>
      </w:pPr>
      <w:r w:rsidRPr="00FC4A49">
        <w:rPr>
          <w:noProof w:val="0"/>
          <w:lang w:val="en-GB"/>
        </w:rPr>
        <w:t xml:space="preserve">The amendment clarifies that the integration of permanent carbon removals into the EU ETS should remain technology-neutral, while being limited to high-integrity removal activities that meet robust permanence and certification requirements. In addition to DACCS and </w:t>
      </w:r>
      <w:r w:rsidRPr="00FC4A49">
        <w:rPr>
          <w:noProof w:val="0"/>
          <w:lang w:val="en-GB"/>
        </w:rPr>
        <w:t>BioCCS</w:t>
      </w:r>
      <w:r w:rsidRPr="00FC4A49">
        <w:rPr>
          <w:noProof w:val="0"/>
          <w:lang w:val="en-GB"/>
        </w:rPr>
        <w:t>, biochar carbon removal can provide durable carbon storage and should therefore be eligible where it is certified as a permanent carbon removal unit under Regulation (EU) 2024/3012. Limiting its use and allowing the Commission to establish additional technical criteria where necessary safeguards environmental integrity, ensures robust monitoring and accountability, and supports the scale-up of a broader portfolio of permanent carbon removal technologies.</w:t>
      </w:r>
    </w:p>
    <w:p w:rsidR="00343C6C" w:rsidRPr="00FC4A49" w:rsidP="00343C6C" w14:paraId="12B32215" w14:textId="77777777">
      <w:r w:rsidRPr="00FC4A49">
        <w:rPr>
          <w:rStyle w:val="HideTWBExt"/>
        </w:rPr>
        <w:t>&lt;/Amend&gt;</w:t>
      </w:r>
    </w:p>
    <w:p w:rsidR="00343C6C" w:rsidRPr="00FC4A49" w:rsidP="00343C6C" w14:paraId="02B6C29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243</w:t>
      </w:r>
      <w:r w:rsidRPr="00FC4A49">
        <w:rPr>
          <w:rStyle w:val="HideTWBExt"/>
          <w:b w:val="0"/>
          <w:lang w:val="en-GB"/>
        </w:rPr>
        <w:t>&lt;/NumAm&gt;</w:t>
      </w:r>
    </w:p>
    <w:p w:rsidR="00343C6C" w:rsidRPr="00FC4A49" w:rsidP="00343C6C" w14:paraId="3852C0D1" w14:textId="77777777">
      <w:pPr>
        <w:pStyle w:val="NormalBold"/>
      </w:pPr>
      <w:r w:rsidRPr="00FC4A49">
        <w:rPr>
          <w:rStyle w:val="HideTWBExt"/>
          <w:b w:val="0"/>
        </w:rPr>
        <w:t>&lt;RepeatBlock-By&gt;&lt;Members&gt;</w:t>
      </w:r>
      <w:r w:rsidRPr="00FC4A49">
        <w:t>Ana Vasconcelos</w:t>
      </w:r>
      <w:r w:rsidRPr="00FC4A49">
        <w:rPr>
          <w:rStyle w:val="HideTWBExt"/>
          <w:b w:val="0"/>
        </w:rPr>
        <w:t>&lt;/Members&gt;</w:t>
      </w:r>
    </w:p>
    <w:p w:rsidR="00343C6C" w:rsidRPr="00FC4A49" w:rsidP="00343C6C" w14:paraId="59BBD5BD" w14:textId="77777777">
      <w:r w:rsidRPr="00FC4A49">
        <w:rPr>
          <w:rStyle w:val="HideTWBExt"/>
        </w:rPr>
        <w:t>&lt;/RepeatBlock-By&gt;</w:t>
      </w:r>
    </w:p>
    <w:p w:rsidR="00343C6C" w:rsidRPr="00FC4A49" w:rsidP="00343C6C" w14:paraId="16038CE7"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1413A35" w14:textId="77777777">
      <w:pPr>
        <w:pStyle w:val="NormalBold"/>
      </w:pPr>
      <w:r w:rsidRPr="00FC4A49">
        <w:rPr>
          <w:rStyle w:val="HideTWBExt"/>
          <w:b w:val="0"/>
        </w:rPr>
        <w:t>&lt;Article&gt;</w:t>
      </w:r>
      <w:r w:rsidRPr="00FC4A49">
        <w:t>Recital 32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E87D7B"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E62D73F" w14:textId="77777777">
            <w:pPr>
              <w:keepNext/>
            </w:pPr>
          </w:p>
        </w:tc>
      </w:tr>
      <w:tr w14:paraId="5FFDD88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222993F" w14:textId="77777777">
            <w:pPr>
              <w:pStyle w:val="ColumnHeading"/>
              <w:keepNext/>
              <w:rPr>
                <w:lang w:val="en-GB"/>
              </w:rPr>
            </w:pPr>
            <w:r w:rsidRPr="00FC4A49">
              <w:rPr>
                <w:lang w:val="en-GB"/>
              </w:rPr>
              <w:t>Text proposed by the Commission</w:t>
            </w:r>
          </w:p>
        </w:tc>
        <w:tc>
          <w:tcPr>
            <w:tcW w:w="4876" w:type="dxa"/>
          </w:tcPr>
          <w:p w:rsidR="00343C6C" w:rsidRPr="00FC4A49" w:rsidP="005D58F9" w14:paraId="445DDD41" w14:textId="77777777">
            <w:pPr>
              <w:pStyle w:val="ColumnHeading"/>
              <w:keepNext/>
              <w:rPr>
                <w:lang w:val="en-GB"/>
              </w:rPr>
            </w:pPr>
            <w:r w:rsidRPr="00FC4A49">
              <w:rPr>
                <w:lang w:val="en-GB"/>
              </w:rPr>
              <w:t>Amendment</w:t>
            </w:r>
          </w:p>
        </w:tc>
      </w:tr>
      <w:tr w14:paraId="1F80086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867E186" w14:textId="77777777">
            <w:pPr>
              <w:pStyle w:val="Normal6"/>
              <w:rPr>
                <w:lang w:val="en-GB"/>
              </w:rPr>
            </w:pPr>
            <w:r w:rsidRPr="00FC4A49">
              <w:rPr>
                <w:lang w:val="en-GB"/>
              </w:rPr>
              <w:t>(32)</w:t>
            </w:r>
            <w:r w:rsidRPr="00FC4A49">
              <w:rPr>
                <w:lang w:val="en-GB"/>
              </w:rPr>
              <w:tab/>
              <w:t>The integration in the EU ETS rests on the basic principle that the cancellation of a removal unit replaces the surrendering of an emission allowance, which represents the payment of the price for having emitted a tonne of CO</w:t>
            </w:r>
            <w:r w:rsidRPr="00FC4A49">
              <w:rPr>
                <w:vertAlign w:val="subscript"/>
                <w:lang w:val="en-GB"/>
              </w:rPr>
              <w:t>2</w:t>
            </w:r>
            <w:r w:rsidRPr="00FC4A49">
              <w:rPr>
                <w:lang w:val="en-GB"/>
              </w:rPr>
              <w:t>. As a consequence, only permanent removals can be integrated in the EU ETS. In addition, it is preferrable to integrate only those removals for which reversals are subject to monitoring and the surrendering of allowances in the EU ETS.</w:t>
            </w:r>
          </w:p>
        </w:tc>
        <w:tc>
          <w:tcPr>
            <w:tcW w:w="4876" w:type="dxa"/>
          </w:tcPr>
          <w:p w:rsidR="00343C6C" w:rsidRPr="00FC4A49" w:rsidP="005D58F9" w14:paraId="3443938B" w14:textId="77777777">
            <w:pPr>
              <w:pStyle w:val="Normal6"/>
              <w:rPr>
                <w:szCs w:val="24"/>
                <w:lang w:val="en-GB"/>
              </w:rPr>
            </w:pPr>
            <w:r w:rsidRPr="00FC4A49">
              <w:rPr>
                <w:lang w:val="en-GB"/>
              </w:rPr>
              <w:t>(32)</w:t>
            </w:r>
            <w:r w:rsidRPr="00FC4A49">
              <w:rPr>
                <w:lang w:val="en-GB"/>
              </w:rPr>
              <w:tab/>
              <w:t>The integration in the EU ETS rests on the basic principle that the cancellation of a removal unit replaces the surrendering of an emission allowance, which represents the payment of the price for having emitted a tonne of CO</w:t>
            </w:r>
            <w:r w:rsidRPr="00FC4A49">
              <w:rPr>
                <w:vertAlign w:val="subscript"/>
                <w:lang w:val="en-GB"/>
              </w:rPr>
              <w:t>2</w:t>
            </w:r>
            <w:r w:rsidRPr="00FC4A49">
              <w:rPr>
                <w:lang w:val="en-GB"/>
              </w:rPr>
              <w:t xml:space="preserve">. As a consequence, only permanent removals can be integrated in the EU ETS. In addition, it is preferrable to integrate only those removals for which reversals are subject to monitoring and the surrendering of allowances in the EU ETS. </w:t>
            </w:r>
            <w:r w:rsidRPr="00FC4A49">
              <w:rPr>
                <w:b/>
                <w:i/>
                <w:lang w:val="en-GB"/>
              </w:rPr>
              <w:t>The purchase of domestic permanent carbon removal units should be based on a clear, predictable and technology-neutral framework that supports a diverse portfolio of high-integrity carbon removal projects and provides long-term investment predictability for capture, transport and storage infrastructure.</w:t>
            </w:r>
          </w:p>
        </w:tc>
      </w:tr>
    </w:tbl>
    <w:p w:rsidR="00343C6C" w:rsidRPr="00FC4A49" w:rsidP="00343C6C" w14:paraId="0DCE0C4A"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4BA3C50" w14:textId="77777777">
      <w:r w:rsidRPr="00FC4A49">
        <w:rPr>
          <w:rStyle w:val="HideTWBExt"/>
        </w:rPr>
        <w:t>&lt;/Amend&gt;</w:t>
      </w:r>
    </w:p>
    <w:p w:rsidR="00343C6C" w:rsidRPr="00FC4A49" w:rsidP="00343C6C" w14:paraId="22801E93"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244</w:t>
      </w:r>
      <w:r w:rsidRPr="00FC4A49">
        <w:rPr>
          <w:rStyle w:val="HideTWBExt"/>
          <w:b w:val="0"/>
          <w:lang w:val="en-GB"/>
        </w:rPr>
        <w:t>&lt;/NumAm&gt;</w:t>
      </w:r>
    </w:p>
    <w:p w:rsidR="00343C6C" w:rsidRPr="00FC4A49" w:rsidP="00343C6C" w14:paraId="2821AE84" w14:textId="77777777">
      <w:pPr>
        <w:pStyle w:val="NormalBold"/>
      </w:pPr>
      <w:r w:rsidRPr="00FC4A49">
        <w:rPr>
          <w:rStyle w:val="HideTWBExt"/>
          <w:b w:val="0"/>
        </w:rPr>
        <w:t>&lt;RepeatBlock-By&gt;&lt;Members&gt;</w:t>
      </w:r>
      <w:r w:rsidRPr="00FC4A49">
        <w:t xml:space="preserve">Andreas Glück, Christine Singer, Jan-Christoph Oetjen, Jeannette </w:t>
      </w:r>
      <w:r w:rsidRPr="00FC4A49">
        <w:t>Baljeu</w:t>
      </w:r>
      <w:r w:rsidRPr="00FC4A49">
        <w:rPr>
          <w:rStyle w:val="HideTWBExt"/>
          <w:b w:val="0"/>
        </w:rPr>
        <w:t>&lt;/Members&gt;</w:t>
      </w:r>
    </w:p>
    <w:p w:rsidR="00343C6C" w:rsidRPr="00FC4A49" w:rsidP="00343C6C" w14:paraId="2F30D1E0" w14:textId="77777777">
      <w:r w:rsidRPr="00FC4A49">
        <w:rPr>
          <w:rStyle w:val="HideTWBExt"/>
        </w:rPr>
        <w:t>&lt;/RepeatBlock-By&gt;</w:t>
      </w:r>
    </w:p>
    <w:p w:rsidR="00343C6C" w:rsidRPr="00FC4A49" w:rsidP="00343C6C" w14:paraId="7EF042A2"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2392CE5" w14:textId="77777777">
      <w:pPr>
        <w:pStyle w:val="NormalBold"/>
      </w:pPr>
      <w:r w:rsidRPr="00FC4A49">
        <w:rPr>
          <w:rStyle w:val="HideTWBExt"/>
          <w:b w:val="0"/>
        </w:rPr>
        <w:t>&lt;Article&gt;</w:t>
      </w:r>
      <w:r w:rsidRPr="00FC4A49">
        <w:t>Recital 32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4A7205"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67C4AB2" w14:textId="77777777">
            <w:pPr>
              <w:keepNext/>
            </w:pPr>
          </w:p>
        </w:tc>
      </w:tr>
      <w:tr w14:paraId="1774D7E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804FE1D" w14:textId="77777777">
            <w:pPr>
              <w:pStyle w:val="ColumnHeading"/>
              <w:keepNext/>
              <w:rPr>
                <w:lang w:val="en-GB"/>
              </w:rPr>
            </w:pPr>
            <w:r w:rsidRPr="00FC4A49">
              <w:rPr>
                <w:lang w:val="en-GB"/>
              </w:rPr>
              <w:t>Text proposed by the Commission</w:t>
            </w:r>
          </w:p>
        </w:tc>
        <w:tc>
          <w:tcPr>
            <w:tcW w:w="4876" w:type="dxa"/>
          </w:tcPr>
          <w:p w:rsidR="00343C6C" w:rsidRPr="00FC4A49" w:rsidP="005D58F9" w14:paraId="62955F45" w14:textId="77777777">
            <w:pPr>
              <w:pStyle w:val="ColumnHeading"/>
              <w:keepNext/>
              <w:rPr>
                <w:lang w:val="en-GB"/>
              </w:rPr>
            </w:pPr>
            <w:r w:rsidRPr="00FC4A49">
              <w:rPr>
                <w:lang w:val="en-GB"/>
              </w:rPr>
              <w:t>Amendment</w:t>
            </w:r>
          </w:p>
        </w:tc>
      </w:tr>
      <w:tr w14:paraId="4F50608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88A5EE0" w14:textId="77777777">
            <w:pPr>
              <w:pStyle w:val="Normal6"/>
              <w:rPr>
                <w:lang w:val="en-GB"/>
              </w:rPr>
            </w:pPr>
            <w:r w:rsidRPr="00FC4A49">
              <w:rPr>
                <w:lang w:val="en-GB"/>
              </w:rPr>
              <w:t>(32)</w:t>
            </w:r>
            <w:r w:rsidRPr="00FC4A49">
              <w:rPr>
                <w:lang w:val="en-GB"/>
              </w:rPr>
              <w:tab/>
              <w:t>The integration in the EU ETS rests on the basic principle that the cancellation of a removal unit replaces the surrendering of an emission allowance, which represents the payment of the price for having emitted a tonne of CO</w:t>
            </w:r>
            <w:r w:rsidRPr="00FC4A49">
              <w:rPr>
                <w:vertAlign w:val="subscript"/>
                <w:lang w:val="en-GB"/>
              </w:rPr>
              <w:t>2</w:t>
            </w:r>
            <w:r w:rsidRPr="00FC4A49">
              <w:rPr>
                <w:lang w:val="en-GB"/>
              </w:rPr>
              <w:t xml:space="preserve">. As a consequence, only permanent removals can be integrated in the EU ETS. </w:t>
            </w:r>
            <w:r w:rsidRPr="00FC4A49">
              <w:rPr>
                <w:b/>
                <w:i/>
                <w:lang w:val="en-GB"/>
              </w:rPr>
              <w:t>In addition, it is preferrable to integrate only those</w:t>
            </w:r>
            <w:r w:rsidRPr="00FC4A49">
              <w:rPr>
                <w:lang w:val="en-GB"/>
              </w:rPr>
              <w:t xml:space="preserve"> removals </w:t>
            </w:r>
            <w:r w:rsidRPr="00FC4A49">
              <w:rPr>
                <w:b/>
                <w:i/>
                <w:lang w:val="en-GB"/>
              </w:rPr>
              <w:t xml:space="preserve">for which </w:t>
            </w:r>
            <w:r w:rsidRPr="00FC4A49">
              <w:rPr>
                <w:b/>
                <w:i/>
                <w:lang w:val="en-GB"/>
              </w:rPr>
              <w:t>reversals are subject to monitoring</w:t>
            </w:r>
            <w:r w:rsidRPr="00FC4A49">
              <w:rPr>
                <w:lang w:val="en-GB"/>
              </w:rPr>
              <w:t xml:space="preserve"> and the </w:t>
            </w:r>
            <w:r w:rsidRPr="00FC4A49">
              <w:rPr>
                <w:b/>
                <w:i/>
                <w:lang w:val="en-GB"/>
              </w:rPr>
              <w:t>surrendering of allowances in the EU ETS</w:t>
            </w:r>
            <w:r w:rsidRPr="00FC4A49">
              <w:rPr>
                <w:lang w:val="en-GB"/>
              </w:rPr>
              <w:t>.</w:t>
            </w:r>
          </w:p>
        </w:tc>
        <w:tc>
          <w:tcPr>
            <w:tcW w:w="4876" w:type="dxa"/>
          </w:tcPr>
          <w:p w:rsidR="00343C6C" w:rsidRPr="00FC4A49" w:rsidP="005D58F9" w14:paraId="6F66A18C" w14:textId="77777777">
            <w:pPr>
              <w:pStyle w:val="Normal6"/>
              <w:rPr>
                <w:szCs w:val="24"/>
                <w:lang w:val="en-GB"/>
              </w:rPr>
            </w:pPr>
            <w:r w:rsidRPr="00FC4A49">
              <w:rPr>
                <w:lang w:val="en-GB"/>
              </w:rPr>
              <w:t>(32)</w:t>
            </w:r>
            <w:r w:rsidRPr="00FC4A49">
              <w:rPr>
                <w:lang w:val="en-GB"/>
              </w:rPr>
              <w:tab/>
              <w:t>The integration in the EU ETS rests on the basic principle that the cancellation of a removal unit replaces the surrendering of an emission allowance, which represents the payment of the price for having emitted a tonne of CO</w:t>
            </w:r>
            <w:r w:rsidRPr="00FC4A49">
              <w:rPr>
                <w:vertAlign w:val="subscript"/>
                <w:lang w:val="en-GB"/>
              </w:rPr>
              <w:t>2</w:t>
            </w:r>
            <w:r w:rsidRPr="00FC4A49">
              <w:rPr>
                <w:lang w:val="en-GB"/>
              </w:rPr>
              <w:t xml:space="preserve">. As a consequence, only permanent removals can be integrated in the EU ETS. </w:t>
            </w:r>
            <w:r w:rsidRPr="00FC4A49">
              <w:rPr>
                <w:b/>
                <w:i/>
                <w:lang w:val="en-GB"/>
              </w:rPr>
              <w:t xml:space="preserve">For regulatory consistency, all technologies certified as permanent </w:t>
            </w:r>
            <w:r w:rsidRPr="00FC4A49">
              <w:rPr>
                <w:b/>
                <w:i/>
                <w:lang w:val="en-GB"/>
              </w:rPr>
              <w:t>carbon</w:t>
            </w:r>
            <w:r w:rsidRPr="00FC4A49">
              <w:rPr>
                <w:lang w:val="en-GB"/>
              </w:rPr>
              <w:t xml:space="preserve"> removals </w:t>
            </w:r>
            <w:r w:rsidRPr="00FC4A49">
              <w:rPr>
                <w:b/>
                <w:i/>
                <w:lang w:val="en-GB"/>
              </w:rPr>
              <w:t>under Regulation (EU) 2024/3012</w:t>
            </w:r>
            <w:r w:rsidRPr="00FC4A49">
              <w:rPr>
                <w:lang w:val="en-GB"/>
              </w:rPr>
              <w:t xml:space="preserve"> and the </w:t>
            </w:r>
            <w:r w:rsidRPr="00FC4A49">
              <w:rPr>
                <w:b/>
                <w:i/>
                <w:lang w:val="en-GB"/>
              </w:rPr>
              <w:t>delegated acts adopted pursuant to it should be eligible</w:t>
            </w:r>
            <w:r w:rsidRPr="00FC4A49">
              <w:rPr>
                <w:lang w:val="en-GB"/>
              </w:rPr>
              <w:t>.</w:t>
            </w:r>
          </w:p>
        </w:tc>
      </w:tr>
    </w:tbl>
    <w:p w:rsidR="00343C6C" w:rsidRPr="00FC4A49" w:rsidP="00343C6C" w14:paraId="5994382B"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63B9FA4" w14:textId="77777777">
      <w:r w:rsidRPr="00FC4A49">
        <w:rPr>
          <w:rStyle w:val="HideTWBExt"/>
        </w:rPr>
        <w:t>&lt;/Amend&gt;</w:t>
      </w:r>
    </w:p>
    <w:p w:rsidR="00343C6C" w:rsidRPr="00FC4A49" w:rsidP="00343C6C" w14:paraId="4134DF19"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245</w:t>
      </w:r>
      <w:r w:rsidRPr="00FC4A49">
        <w:rPr>
          <w:rStyle w:val="HideTWBExt"/>
          <w:b w:val="0"/>
          <w:lang w:val="en-GB"/>
        </w:rPr>
        <w:t>&lt;/NumAm&gt;</w:t>
      </w:r>
    </w:p>
    <w:p w:rsidR="00343C6C" w:rsidRPr="00FC4A49" w:rsidP="00343C6C" w14:paraId="245F982D"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025DC4E0" w14:textId="77777777">
      <w:r w:rsidRPr="00FC4A49">
        <w:rPr>
          <w:rStyle w:val="HideTWBExt"/>
        </w:rPr>
        <w:t>&lt;/RepeatBlock-By&gt;</w:t>
      </w:r>
    </w:p>
    <w:p w:rsidR="00343C6C" w:rsidRPr="00FC4A49" w:rsidP="00343C6C" w14:paraId="625686A3"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C77FD13" w14:textId="77777777">
      <w:pPr>
        <w:pStyle w:val="NormalBold"/>
      </w:pPr>
      <w:r w:rsidRPr="00FC4A49">
        <w:rPr>
          <w:rStyle w:val="HideTWBExt"/>
          <w:b w:val="0"/>
        </w:rPr>
        <w:t>&lt;Article&gt;</w:t>
      </w:r>
      <w:r w:rsidRPr="00FC4A49">
        <w:t>Recital 32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420578"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23494ED" w14:textId="77777777">
            <w:pPr>
              <w:keepNext/>
            </w:pPr>
          </w:p>
        </w:tc>
      </w:tr>
      <w:tr w14:paraId="7384583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DD87701" w14:textId="77777777">
            <w:pPr>
              <w:pStyle w:val="ColumnHeading"/>
              <w:keepNext/>
              <w:rPr>
                <w:lang w:val="en-GB"/>
              </w:rPr>
            </w:pPr>
            <w:r w:rsidRPr="00FC4A49">
              <w:rPr>
                <w:lang w:val="en-GB"/>
              </w:rPr>
              <w:t>Text proposed by the Commission</w:t>
            </w:r>
          </w:p>
        </w:tc>
        <w:tc>
          <w:tcPr>
            <w:tcW w:w="4876" w:type="dxa"/>
          </w:tcPr>
          <w:p w:rsidR="00343C6C" w:rsidRPr="00FC4A49" w:rsidP="005D58F9" w14:paraId="645A33DC" w14:textId="77777777">
            <w:pPr>
              <w:pStyle w:val="ColumnHeading"/>
              <w:keepNext/>
              <w:rPr>
                <w:lang w:val="en-GB"/>
              </w:rPr>
            </w:pPr>
            <w:r w:rsidRPr="00FC4A49">
              <w:rPr>
                <w:lang w:val="en-GB"/>
              </w:rPr>
              <w:t>Amendment</w:t>
            </w:r>
          </w:p>
        </w:tc>
      </w:tr>
      <w:tr w14:paraId="32C0FDD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739E36B" w14:textId="77777777">
            <w:pPr>
              <w:pStyle w:val="Normal6"/>
              <w:rPr>
                <w:lang w:val="en-GB"/>
              </w:rPr>
            </w:pPr>
            <w:r w:rsidRPr="00FC4A49">
              <w:rPr>
                <w:lang w:val="en-GB"/>
              </w:rPr>
              <w:t>(32)</w:t>
            </w:r>
            <w:r w:rsidRPr="00FC4A49">
              <w:rPr>
                <w:lang w:val="en-GB"/>
              </w:rPr>
              <w:tab/>
              <w:t>The integration in the EU ETS rests on the basic principle that the cancellation of a removal unit replaces the surrendering of an emission allowance, which represents the payment of the price for having emitted a tonne of CO</w:t>
            </w:r>
            <w:r w:rsidRPr="00FC4A49">
              <w:rPr>
                <w:vertAlign w:val="subscript"/>
                <w:lang w:val="en-GB"/>
              </w:rPr>
              <w:t>2</w:t>
            </w:r>
            <w:r w:rsidRPr="00FC4A49">
              <w:rPr>
                <w:lang w:val="en-GB"/>
              </w:rPr>
              <w:t>. As a consequence, only permanent removals can be integrated in the EU ETS. In addition, it is preferrable to integrate only those removals for which reversals are subject to monitoring and the surrendering of allowances in the EU ETS.</w:t>
            </w:r>
          </w:p>
        </w:tc>
        <w:tc>
          <w:tcPr>
            <w:tcW w:w="4876" w:type="dxa"/>
          </w:tcPr>
          <w:p w:rsidR="00343C6C" w:rsidRPr="00FC4A49" w:rsidP="005D58F9" w14:paraId="42D64FD2" w14:textId="77777777">
            <w:pPr>
              <w:pStyle w:val="Normal6"/>
              <w:rPr>
                <w:szCs w:val="24"/>
                <w:lang w:val="en-GB"/>
              </w:rPr>
            </w:pPr>
            <w:r w:rsidRPr="00FC4A49">
              <w:rPr>
                <w:lang w:val="en-GB"/>
              </w:rPr>
              <w:t>(32)</w:t>
            </w:r>
            <w:r w:rsidRPr="00FC4A49">
              <w:rPr>
                <w:lang w:val="en-GB"/>
              </w:rPr>
              <w:tab/>
              <w:t>The integration in the EU ETS rests on the basic principle that the cancellation of a removal unit replaces the surrendering of an emission allowance, which represents the payment of the price for having emitted a tonne of CO</w:t>
            </w:r>
            <w:r w:rsidRPr="00FC4A49">
              <w:rPr>
                <w:vertAlign w:val="subscript"/>
                <w:lang w:val="en-GB"/>
              </w:rPr>
              <w:t>2</w:t>
            </w:r>
            <w:r w:rsidRPr="00FC4A49">
              <w:rPr>
                <w:lang w:val="en-GB"/>
              </w:rPr>
              <w:t xml:space="preserve">. As a consequence, only </w:t>
            </w:r>
            <w:r w:rsidRPr="00FC4A49">
              <w:rPr>
                <w:b/>
                <w:i/>
                <w:lang w:val="en-GB"/>
              </w:rPr>
              <w:t>scientifically proven</w:t>
            </w:r>
            <w:r w:rsidRPr="00FC4A49">
              <w:rPr>
                <w:lang w:val="en-GB"/>
              </w:rPr>
              <w:t xml:space="preserve"> permanent removals can be integrated in the EU ETS. In addition, it is preferrable to integrate only those removals for which reversals are subject to monitoring and the surrendering of allowances in the EU ETS.</w:t>
            </w:r>
          </w:p>
        </w:tc>
      </w:tr>
    </w:tbl>
    <w:p w:rsidR="00343C6C" w:rsidRPr="00FC4A49" w:rsidP="00343C6C" w14:paraId="30D7C135"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601BD163" w14:textId="77777777">
      <w:r w:rsidRPr="00FC4A49">
        <w:rPr>
          <w:rStyle w:val="HideTWBExt"/>
        </w:rPr>
        <w:t>&lt;/Amend&gt;</w:t>
      </w:r>
    </w:p>
    <w:p w:rsidR="00343C6C" w:rsidRPr="00FC4A49" w:rsidP="00343C6C" w14:paraId="58275A2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246</w:t>
      </w:r>
      <w:r w:rsidRPr="00FC4A49">
        <w:rPr>
          <w:rStyle w:val="HideTWBExt"/>
          <w:b w:val="0"/>
          <w:lang w:val="en-GB"/>
        </w:rPr>
        <w:t>&lt;/NumAm&gt;</w:t>
      </w:r>
    </w:p>
    <w:p w:rsidR="00343C6C" w:rsidRPr="00FC4A49" w:rsidP="00343C6C" w14:paraId="78B950A4" w14:textId="77777777">
      <w:pPr>
        <w:pStyle w:val="NormalBold"/>
      </w:pPr>
      <w:r w:rsidRPr="00FC4A49">
        <w:rPr>
          <w:rStyle w:val="HideTWBExt"/>
          <w:b w:val="0"/>
        </w:rPr>
        <w:t>&lt;RepeatBlock-By&gt;&lt;Members&gt;</w:t>
      </w:r>
      <w:r w:rsidRPr="00FC4A49">
        <w:t>Mohammed Chahim</w:t>
      </w:r>
      <w:r w:rsidRPr="00FC4A49">
        <w:rPr>
          <w:rStyle w:val="HideTWBExt"/>
          <w:b w:val="0"/>
        </w:rPr>
        <w:t>&lt;/Members&gt;</w:t>
      </w:r>
    </w:p>
    <w:p w:rsidR="00343C6C" w:rsidRPr="00FC4A49" w:rsidP="00343C6C" w14:paraId="7857ADAB" w14:textId="77777777">
      <w:r w:rsidRPr="00FC4A49">
        <w:rPr>
          <w:rStyle w:val="HideTWBExt"/>
        </w:rPr>
        <w:t>&lt;/RepeatBlock-By&gt;</w:t>
      </w:r>
    </w:p>
    <w:p w:rsidR="00343C6C" w:rsidRPr="00FC4A49" w:rsidP="00343C6C" w14:paraId="56AE7055"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D18466A" w14:textId="77777777">
      <w:pPr>
        <w:pStyle w:val="NormalBold"/>
      </w:pPr>
      <w:r w:rsidRPr="00FC4A49">
        <w:rPr>
          <w:rStyle w:val="HideTWBExt"/>
          <w:b w:val="0"/>
        </w:rPr>
        <w:t>&lt;Article&gt;</w:t>
      </w:r>
      <w:r w:rsidRPr="00FC4A49">
        <w:t>Recital 32</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4843E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7525309" w14:textId="77777777">
            <w:pPr>
              <w:keepNext/>
            </w:pPr>
          </w:p>
        </w:tc>
      </w:tr>
      <w:tr w14:paraId="2ED4222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B62DC20" w14:textId="77777777">
            <w:pPr>
              <w:pStyle w:val="ColumnHeading"/>
              <w:keepNext/>
              <w:rPr>
                <w:lang w:val="en-GB"/>
              </w:rPr>
            </w:pPr>
            <w:r w:rsidRPr="00FC4A49">
              <w:rPr>
                <w:lang w:val="en-GB"/>
              </w:rPr>
              <w:t>Text proposed by the Commission</w:t>
            </w:r>
          </w:p>
        </w:tc>
        <w:tc>
          <w:tcPr>
            <w:tcW w:w="4876" w:type="dxa"/>
          </w:tcPr>
          <w:p w:rsidR="00343C6C" w:rsidRPr="00FC4A49" w:rsidP="005D58F9" w14:paraId="3AA38939" w14:textId="77777777">
            <w:pPr>
              <w:pStyle w:val="ColumnHeading"/>
              <w:keepNext/>
              <w:rPr>
                <w:lang w:val="en-GB"/>
              </w:rPr>
            </w:pPr>
            <w:r w:rsidRPr="00FC4A49">
              <w:rPr>
                <w:lang w:val="en-GB"/>
              </w:rPr>
              <w:t>Amendment</w:t>
            </w:r>
          </w:p>
        </w:tc>
      </w:tr>
      <w:tr w14:paraId="08A8674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B2E1E56" w14:textId="77777777">
            <w:pPr>
              <w:pStyle w:val="Normal6"/>
              <w:rPr>
                <w:lang w:val="en-GB"/>
              </w:rPr>
            </w:pPr>
            <w:r w:rsidRPr="00FC4A49">
              <w:rPr>
                <w:lang w:val="en-GB"/>
              </w:rPr>
              <w:t>(32)</w:t>
            </w:r>
            <w:r w:rsidRPr="00FC4A49">
              <w:rPr>
                <w:lang w:val="en-GB"/>
              </w:rPr>
              <w:tab/>
              <w:t>The integration in the EU ETS rests on the basic principle that the cancellation of a removal unit replaces the surrendering of an emission allowance, which represents the payment of the price for having emitted a tonne of CO</w:t>
            </w:r>
            <w:r w:rsidRPr="00FC4A49">
              <w:rPr>
                <w:vertAlign w:val="subscript"/>
                <w:lang w:val="en-GB"/>
              </w:rPr>
              <w:t>2</w:t>
            </w:r>
            <w:r w:rsidRPr="00FC4A49">
              <w:rPr>
                <w:lang w:val="en-GB"/>
              </w:rPr>
              <w:t xml:space="preserve">. As a consequence, only permanent removals can be integrated in the EU ETS. In addition, it is preferrable to </w:t>
            </w:r>
            <w:r w:rsidRPr="00FC4A49">
              <w:rPr>
                <w:lang w:val="en-GB"/>
              </w:rPr>
              <w:t>integrate only those removals for which reversals are subject to monitoring and the surrendering of allowances in the EU ETS.</w:t>
            </w:r>
          </w:p>
        </w:tc>
        <w:tc>
          <w:tcPr>
            <w:tcW w:w="4876" w:type="dxa"/>
          </w:tcPr>
          <w:p w:rsidR="00343C6C" w:rsidRPr="00FC4A49" w:rsidP="005D58F9" w14:paraId="534E949F" w14:textId="77777777">
            <w:pPr>
              <w:pStyle w:val="Normal6"/>
              <w:rPr>
                <w:szCs w:val="24"/>
                <w:lang w:val="en-GB"/>
              </w:rPr>
            </w:pPr>
            <w:r w:rsidRPr="00FC4A49">
              <w:rPr>
                <w:lang w:val="en-GB"/>
              </w:rPr>
              <w:t>(32)</w:t>
            </w:r>
            <w:r w:rsidRPr="00FC4A49">
              <w:rPr>
                <w:lang w:val="en-GB"/>
              </w:rPr>
              <w:tab/>
              <w:t>The integration in the EU ETS rests on the basic principle that the cancellation of a removal unit replaces the surrendering of an emission allowance, which represents the payment of the price for having emitted a tonne of CO</w:t>
            </w:r>
            <w:r w:rsidRPr="00FC4A49">
              <w:rPr>
                <w:vertAlign w:val="subscript"/>
                <w:lang w:val="en-GB"/>
              </w:rPr>
              <w:t>2</w:t>
            </w:r>
            <w:r w:rsidRPr="00FC4A49">
              <w:rPr>
                <w:lang w:val="en-GB"/>
              </w:rPr>
              <w:t xml:space="preserve">. As a consequence, only permanent </w:t>
            </w:r>
            <w:r w:rsidRPr="00FC4A49">
              <w:rPr>
                <w:b/>
                <w:i/>
                <w:lang w:val="en-GB"/>
              </w:rPr>
              <w:t>and verified</w:t>
            </w:r>
            <w:r w:rsidRPr="00FC4A49">
              <w:rPr>
                <w:lang w:val="en-GB"/>
              </w:rPr>
              <w:t xml:space="preserve"> removals can be integrated in the EU ETS. In addition, it is </w:t>
            </w:r>
            <w:r w:rsidRPr="00FC4A49">
              <w:rPr>
                <w:lang w:val="en-GB"/>
              </w:rPr>
              <w:t>preferrable to integrate only those removals for which reversals are subject to monitoring and the surrendering of allowances in the EU ETS.</w:t>
            </w:r>
          </w:p>
        </w:tc>
      </w:tr>
    </w:tbl>
    <w:p w:rsidR="00343C6C" w:rsidRPr="00FC4A49" w:rsidP="00343C6C" w14:paraId="3F8E4477"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FE55BE0" w14:textId="77777777">
      <w:r w:rsidRPr="00FC4A49">
        <w:rPr>
          <w:rStyle w:val="HideTWBExt"/>
        </w:rPr>
        <w:t>&lt;/Amend&gt;</w:t>
      </w:r>
    </w:p>
    <w:p w:rsidR="00343C6C" w:rsidRPr="00FC4A49" w:rsidP="00343C6C" w14:paraId="29DDFEE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247</w:t>
      </w:r>
      <w:r w:rsidRPr="00FC4A49">
        <w:rPr>
          <w:rStyle w:val="HideTWBExt"/>
          <w:b w:val="0"/>
          <w:lang w:val="en-GB"/>
        </w:rPr>
        <w:t>&lt;/NumAm&gt;</w:t>
      </w:r>
    </w:p>
    <w:p w:rsidR="00343C6C" w:rsidRPr="00FC4A49" w:rsidP="00343C6C" w14:paraId="44896705" w14:textId="77777777">
      <w:pPr>
        <w:pStyle w:val="NormalBold"/>
      </w:pPr>
      <w:r w:rsidRPr="00FC4A49">
        <w:rPr>
          <w:rStyle w:val="HideTWBExt"/>
          <w:b w:val="0"/>
        </w:rPr>
        <w:t>&lt;RepeatBlock-By&gt;&lt;Members&gt;</w:t>
      </w:r>
      <w:r w:rsidRPr="00FC4A49">
        <w:t xml:space="preserve">Heléne </w:t>
      </w:r>
      <w:r w:rsidRPr="00FC4A49">
        <w:t>Fritzon</w:t>
      </w:r>
      <w:r w:rsidRPr="00FC4A49">
        <w:rPr>
          <w:rStyle w:val="HideTWBExt"/>
          <w:b w:val="0"/>
        </w:rPr>
        <w:t>&lt;/Members&gt;</w:t>
      </w:r>
    </w:p>
    <w:p w:rsidR="00343C6C" w:rsidRPr="00FC4A49" w:rsidP="00343C6C" w14:paraId="66420900" w14:textId="77777777">
      <w:r w:rsidRPr="00FC4A49">
        <w:rPr>
          <w:rStyle w:val="HideTWBExt"/>
        </w:rPr>
        <w:t>&lt;/RepeatBlock-By&gt;</w:t>
      </w:r>
    </w:p>
    <w:p w:rsidR="00343C6C" w:rsidRPr="00FC4A49" w:rsidP="00343C6C" w14:paraId="0E602B35"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A663A71" w14:textId="77777777">
      <w:pPr>
        <w:pStyle w:val="NormalBold"/>
      </w:pPr>
      <w:r w:rsidRPr="00FC4A49">
        <w:rPr>
          <w:rStyle w:val="HideTWBExt"/>
          <w:b w:val="0"/>
        </w:rPr>
        <w:t>&lt;Article&gt;</w:t>
      </w:r>
      <w:r w:rsidRPr="00FC4A49">
        <w:t>Recital 33</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8A7F41"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EDCBEA4" w14:textId="77777777">
            <w:pPr>
              <w:keepNext/>
            </w:pPr>
          </w:p>
        </w:tc>
      </w:tr>
      <w:tr w14:paraId="5A5794B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D40CD1C" w14:textId="77777777">
            <w:pPr>
              <w:pStyle w:val="ColumnHeading"/>
              <w:keepNext/>
              <w:rPr>
                <w:lang w:val="en-GB"/>
              </w:rPr>
            </w:pPr>
            <w:r w:rsidRPr="00FC4A49">
              <w:rPr>
                <w:lang w:val="en-GB"/>
              </w:rPr>
              <w:t>Text proposed by the Commission</w:t>
            </w:r>
          </w:p>
        </w:tc>
        <w:tc>
          <w:tcPr>
            <w:tcW w:w="4876" w:type="dxa"/>
          </w:tcPr>
          <w:p w:rsidR="00343C6C" w:rsidRPr="00FC4A49" w:rsidP="005D58F9" w14:paraId="7A09859B" w14:textId="77777777">
            <w:pPr>
              <w:pStyle w:val="ColumnHeading"/>
              <w:keepNext/>
              <w:rPr>
                <w:lang w:val="en-GB"/>
              </w:rPr>
            </w:pPr>
            <w:r w:rsidRPr="00FC4A49">
              <w:rPr>
                <w:lang w:val="en-GB"/>
              </w:rPr>
              <w:t>Amendment</w:t>
            </w:r>
          </w:p>
        </w:tc>
      </w:tr>
      <w:tr w14:paraId="1211AA0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CF18281" w14:textId="77777777">
            <w:pPr>
              <w:pStyle w:val="Normal6"/>
              <w:rPr>
                <w:lang w:val="en-GB"/>
              </w:rPr>
            </w:pPr>
            <w:r w:rsidRPr="00FC4A49">
              <w:rPr>
                <w:lang w:val="en-GB"/>
              </w:rPr>
              <w:t>(33)</w:t>
            </w:r>
            <w:r w:rsidRPr="00FC4A49">
              <w:rPr>
                <w:lang w:val="en-GB"/>
              </w:rPr>
              <w:tab/>
              <w:t>The current price-difference between permanent carbon removals and allowances means that permanent removals will need to be supported in a predictable manner</w:t>
            </w:r>
            <w:r w:rsidRPr="00FC4A49">
              <w:rPr>
                <w:b/>
                <w:i/>
                <w:lang w:val="en-GB"/>
              </w:rPr>
              <w:t>, to ensure that their generation in line with the additional emission space that is created in the ETS through the issuance of allowances</w:t>
            </w:r>
            <w:r w:rsidRPr="00FC4A49">
              <w:rPr>
                <w:lang w:val="en-GB"/>
              </w:rPr>
              <w:t>. In addition, because they are novel instruments, their integration must protect the EU ETS from uncertainty and must guarantee the environmental integrity of the units that are used to compensate an emission in the EU ETS. Therefore, removals should be integrated in the EU ETS by the Commission</w:t>
            </w:r>
            <w:r w:rsidRPr="00FC4A49">
              <w:rPr>
                <w:b/>
                <w:i/>
                <w:lang w:val="en-GB"/>
              </w:rPr>
              <w:t>. To that end, the total</w:t>
            </w:r>
            <w:r w:rsidRPr="00FC4A49">
              <w:rPr>
                <w:lang w:val="en-GB"/>
              </w:rPr>
              <w:t xml:space="preserve"> quantity of allowances in </w:t>
            </w:r>
            <w:r w:rsidRPr="00FC4A49">
              <w:rPr>
                <w:b/>
                <w:i/>
                <w:lang w:val="en-GB"/>
              </w:rPr>
              <w:t xml:space="preserve">the EU ETS should be increased by a number of allowances that should be allocated to the Commission for the purchase of an equivalent amount of permanent carbon removals to offset the newly created allowances. The linear reduction factor should not apply to this quantity of allowances, at it is equivalent to the amount of removals that should be purchased. In addition to these newly created allowances, further allowances should be assigned to the Commission to generate revenues through their auctioning for the purchase of the permanent carbon removals, in view of </w:t>
            </w:r>
            <w:r w:rsidRPr="00FC4A49">
              <w:rPr>
                <w:b/>
                <w:i/>
                <w:lang w:val="en-GB"/>
              </w:rPr>
              <w:t>the expected cost differential between allowances and carbon removals</w:t>
            </w:r>
            <w:r w:rsidRPr="00FC4A49">
              <w:rPr>
                <w:lang w:val="en-GB"/>
              </w:rPr>
              <w:t>. Where fewer allowances are required for financing carbon removals than expected, the unused allowances should be integrated back in the Union-wide quantity of allowances referred to in Article 9 of Directive 2003/87/EC. The net target of the EU ETS is the equivalent of the gross emissions minus the permanent carbon removals that are subject to integration.</w:t>
            </w:r>
          </w:p>
        </w:tc>
        <w:tc>
          <w:tcPr>
            <w:tcW w:w="4876" w:type="dxa"/>
          </w:tcPr>
          <w:p w:rsidR="00343C6C" w:rsidRPr="00FC4A49" w:rsidP="005D58F9" w14:paraId="08286E07" w14:textId="77777777">
            <w:pPr>
              <w:pStyle w:val="Normal6"/>
              <w:rPr>
                <w:szCs w:val="24"/>
                <w:lang w:val="en-GB"/>
              </w:rPr>
            </w:pPr>
            <w:r w:rsidRPr="00FC4A49">
              <w:rPr>
                <w:lang w:val="en-GB"/>
              </w:rPr>
              <w:t>(33)</w:t>
            </w:r>
            <w:r w:rsidRPr="00FC4A49">
              <w:rPr>
                <w:lang w:val="en-GB"/>
              </w:rPr>
              <w:tab/>
              <w:t xml:space="preserve">The current price-difference between permanent carbon removals and allowances means that permanent removals will need to be supported in a predictable manner </w:t>
            </w:r>
            <w:r w:rsidRPr="00FC4A49">
              <w:rPr>
                <w:b/>
                <w:i/>
                <w:lang w:val="en-GB"/>
              </w:rPr>
              <w:t>encouraging the deployment of breakthrough technologies</w:t>
            </w:r>
            <w:r w:rsidRPr="00FC4A49">
              <w:rPr>
                <w:lang w:val="en-GB"/>
              </w:rPr>
              <w:t xml:space="preserve">. In addition, because they are novel instruments, their integration must protect the EU ETS from uncertainty and must guarantee the environmental integrity of the units that are used to compensate an emission in the EU ETS. Therefore, removals should be integrated in the EU ETS by the Commission </w:t>
            </w:r>
            <w:r w:rsidRPr="00FC4A49">
              <w:rPr>
                <w:b/>
                <w:i/>
                <w:lang w:val="en-GB"/>
              </w:rPr>
              <w:t>through a purchasing programme that does not risk undermining the 90 % emissions reductions target for 2040. 260 million allowances should be set aside from the Union-wide</w:t>
            </w:r>
            <w:r w:rsidRPr="00FC4A49">
              <w:rPr>
                <w:lang w:val="en-GB"/>
              </w:rPr>
              <w:t xml:space="preserve"> quantity of allowances in </w:t>
            </w:r>
            <w:r w:rsidRPr="00FC4A49">
              <w:rPr>
                <w:b/>
                <w:i/>
                <w:lang w:val="en-GB"/>
              </w:rPr>
              <w:t>order to finance the purchasing programme</w:t>
            </w:r>
            <w:r w:rsidRPr="00FC4A49">
              <w:rPr>
                <w:lang w:val="en-GB"/>
              </w:rPr>
              <w:t>. Where fewer allowances are required for financing carbon removals than expected, the unused allowances should be integrated back in the Union-wide quantity of allowances referred to in Article 9 of Directive 2003/87/EC. The net target of the EU ETS is the equivalent of the gross emissions minus the permanent carbon removals that are subject to integration.</w:t>
            </w:r>
          </w:p>
        </w:tc>
      </w:tr>
    </w:tbl>
    <w:p w:rsidR="00343C6C" w:rsidRPr="00FC4A49" w:rsidP="00343C6C" w14:paraId="4AB4C42E"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3D6F94C" w14:textId="77777777">
      <w:r w:rsidRPr="00FC4A49">
        <w:rPr>
          <w:rStyle w:val="HideTWBExt"/>
        </w:rPr>
        <w:t>&lt;/Amend&gt;</w:t>
      </w:r>
    </w:p>
    <w:p w:rsidR="00343C6C" w:rsidRPr="00FC4A49" w:rsidP="00343C6C" w14:paraId="77886F8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248</w:t>
      </w:r>
      <w:r w:rsidRPr="00FC4A49">
        <w:rPr>
          <w:rStyle w:val="HideTWBExt"/>
          <w:b w:val="0"/>
          <w:lang w:val="en-GB"/>
        </w:rPr>
        <w:t>&lt;/NumAm&gt;</w:t>
      </w:r>
    </w:p>
    <w:p w:rsidR="00343C6C" w:rsidRPr="00FC4A49" w:rsidP="00343C6C" w14:paraId="482C4AB1"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663A3374" w14:textId="77777777">
      <w:r w:rsidRPr="00FC4A49">
        <w:rPr>
          <w:rStyle w:val="HideTWBExt"/>
        </w:rPr>
        <w:t>&lt;/RepeatBlock-By&gt;</w:t>
      </w:r>
    </w:p>
    <w:p w:rsidR="00343C6C" w:rsidRPr="00FC4A49" w:rsidP="00343C6C" w14:paraId="61D4CA1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B59FC92" w14:textId="77777777">
      <w:pPr>
        <w:pStyle w:val="NormalBold"/>
      </w:pPr>
      <w:r w:rsidRPr="00FC4A49">
        <w:rPr>
          <w:rStyle w:val="HideTWBExt"/>
          <w:b w:val="0"/>
        </w:rPr>
        <w:t>&lt;Article&gt;</w:t>
      </w:r>
      <w:r w:rsidRPr="00FC4A49">
        <w:t>Recital 33</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DBE5C4"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63B3E91" w14:textId="77777777">
            <w:pPr>
              <w:keepNext/>
            </w:pPr>
          </w:p>
        </w:tc>
      </w:tr>
      <w:tr w14:paraId="1520518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40A66AB" w14:textId="77777777">
            <w:pPr>
              <w:pStyle w:val="ColumnHeading"/>
              <w:keepNext/>
              <w:rPr>
                <w:lang w:val="en-GB"/>
              </w:rPr>
            </w:pPr>
            <w:r w:rsidRPr="00FC4A49">
              <w:rPr>
                <w:lang w:val="en-GB"/>
              </w:rPr>
              <w:t>Text proposed by the Commission</w:t>
            </w:r>
          </w:p>
        </w:tc>
        <w:tc>
          <w:tcPr>
            <w:tcW w:w="4876" w:type="dxa"/>
          </w:tcPr>
          <w:p w:rsidR="00343C6C" w:rsidRPr="00FC4A49" w:rsidP="005D58F9" w14:paraId="4E119F7D" w14:textId="77777777">
            <w:pPr>
              <w:pStyle w:val="ColumnHeading"/>
              <w:keepNext/>
              <w:rPr>
                <w:lang w:val="en-GB"/>
              </w:rPr>
            </w:pPr>
            <w:r w:rsidRPr="00FC4A49">
              <w:rPr>
                <w:lang w:val="en-GB"/>
              </w:rPr>
              <w:t>Amendment</w:t>
            </w:r>
          </w:p>
        </w:tc>
      </w:tr>
      <w:tr w14:paraId="18ACC29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3E3AC90" w14:textId="77777777">
            <w:pPr>
              <w:pStyle w:val="Normal6"/>
              <w:rPr>
                <w:lang w:val="en-GB"/>
              </w:rPr>
            </w:pPr>
            <w:r w:rsidRPr="00FC4A49">
              <w:rPr>
                <w:lang w:val="en-GB"/>
              </w:rPr>
              <w:t>(33)</w:t>
            </w:r>
            <w:r w:rsidRPr="00FC4A49">
              <w:rPr>
                <w:lang w:val="en-GB"/>
              </w:rPr>
              <w:tab/>
              <w:t xml:space="preserve">The current price-difference between permanent carbon removals and allowances means that permanent removals will need to be supported in a predictable manner, to ensure that their generation in line with the additional emission space that is created in the ETS through the issuance of allowances. In addition, because they are novel instruments, their integration must protect the EU ETS from uncertainty and must guarantee the environmental integrity of the units that are used to compensate an emission in the EU ETS. Therefore, removals should be integrated in the EU ETS by the Commission. To that end, the </w:t>
            </w:r>
            <w:r w:rsidRPr="00FC4A49">
              <w:rPr>
                <w:b/>
                <w:i/>
                <w:lang w:val="en-GB"/>
              </w:rPr>
              <w:t>total</w:t>
            </w:r>
            <w:r w:rsidRPr="00FC4A49">
              <w:rPr>
                <w:lang w:val="en-GB"/>
              </w:rPr>
              <w:t xml:space="preserve"> quantity of allowances </w:t>
            </w:r>
            <w:r w:rsidRPr="00FC4A49">
              <w:rPr>
                <w:b/>
                <w:i/>
                <w:lang w:val="en-GB"/>
              </w:rPr>
              <w:t>in the EU ETS should be increased by a number of allowances that should be allocated to the Commission</w:t>
            </w:r>
            <w:r w:rsidRPr="00FC4A49">
              <w:rPr>
                <w:lang w:val="en-GB"/>
              </w:rPr>
              <w:t xml:space="preserve"> for the purchase of an equivalent amount of permanent carbon removals </w:t>
            </w:r>
            <w:r w:rsidRPr="00FC4A49">
              <w:rPr>
                <w:b/>
                <w:i/>
                <w:lang w:val="en-GB"/>
              </w:rPr>
              <w:t>to offset the newly created allowances. The linear reduction factor should not apply to this quantity of allowances, at it is</w:t>
            </w:r>
            <w:r w:rsidRPr="00FC4A49">
              <w:rPr>
                <w:lang w:val="en-GB"/>
              </w:rPr>
              <w:t xml:space="preserve"> equivalent </w:t>
            </w:r>
            <w:r w:rsidRPr="00FC4A49">
              <w:rPr>
                <w:b/>
                <w:i/>
                <w:lang w:val="en-GB"/>
              </w:rPr>
              <w:t>to the</w:t>
            </w:r>
            <w:r w:rsidRPr="00FC4A49">
              <w:rPr>
                <w:lang w:val="en-GB"/>
              </w:rPr>
              <w:t xml:space="preserve"> amount of </w:t>
            </w:r>
            <w:r w:rsidRPr="00FC4A49">
              <w:rPr>
                <w:b/>
                <w:i/>
                <w:lang w:val="en-GB"/>
              </w:rPr>
              <w:t xml:space="preserve">removals that should be </w:t>
            </w:r>
            <w:r w:rsidRPr="00FC4A49">
              <w:rPr>
                <w:b/>
                <w:i/>
                <w:lang w:val="en-GB"/>
              </w:rPr>
              <w:t>purchased. In addition to these newly created allowances, further</w:t>
            </w:r>
            <w:r w:rsidRPr="00FC4A49">
              <w:rPr>
                <w:lang w:val="en-GB"/>
              </w:rPr>
              <w:t xml:space="preserve"> allowances should be </w:t>
            </w:r>
            <w:r w:rsidRPr="00FC4A49">
              <w:rPr>
                <w:b/>
                <w:i/>
                <w:lang w:val="en-GB"/>
              </w:rPr>
              <w:t>assigned to the Commission to generate revenues through their auctioning for the purchase of the permanent carbon removals, in view of the expected cost differential between allowances and carbon removals</w:t>
            </w:r>
            <w:r w:rsidRPr="00FC4A49">
              <w:rPr>
                <w:lang w:val="en-GB"/>
              </w:rPr>
              <w:t>. Where fewer allowances are required for financing carbon removals than expected, the unused allowances should be integrated back in the Union-wide quantity of allowances referred to in Article 9 of Directive 2003/87/EC</w:t>
            </w:r>
            <w:r w:rsidRPr="00FC4A49">
              <w:rPr>
                <w:b/>
                <w:i/>
                <w:lang w:val="en-GB"/>
              </w:rPr>
              <w:t>. The net target of the EU ETS is the equivalent of the gross emissions minus the permanent carbon removals that are subject to integration</w:t>
            </w:r>
            <w:r w:rsidRPr="00FC4A49">
              <w:rPr>
                <w:lang w:val="en-GB"/>
              </w:rPr>
              <w:t>.</w:t>
            </w:r>
          </w:p>
        </w:tc>
        <w:tc>
          <w:tcPr>
            <w:tcW w:w="4876" w:type="dxa"/>
          </w:tcPr>
          <w:p w:rsidR="00343C6C" w:rsidRPr="00FC4A49" w:rsidP="005D58F9" w14:paraId="205FDCF7" w14:textId="77777777">
            <w:pPr>
              <w:pStyle w:val="Normal6"/>
              <w:rPr>
                <w:szCs w:val="24"/>
                <w:lang w:val="en-GB"/>
              </w:rPr>
            </w:pPr>
            <w:r w:rsidRPr="00FC4A49">
              <w:rPr>
                <w:lang w:val="en-GB"/>
              </w:rPr>
              <w:t>(33)</w:t>
            </w:r>
            <w:r w:rsidRPr="00FC4A49">
              <w:rPr>
                <w:lang w:val="en-GB"/>
              </w:rPr>
              <w:tab/>
              <w:t xml:space="preserve">The current price-difference between permanent carbon removals and allowances </w:t>
            </w:r>
            <w:r w:rsidRPr="00FC4A49">
              <w:rPr>
                <w:b/>
                <w:i/>
                <w:lang w:val="en-GB"/>
              </w:rPr>
              <w:t>shows that in most cases other technologies are far more cost-efficient and</w:t>
            </w:r>
            <w:r w:rsidRPr="00FC4A49">
              <w:rPr>
                <w:lang w:val="en-GB"/>
              </w:rPr>
              <w:t xml:space="preserve"> means that permanent removals will need to be supported in a predictable manner, to ensure that their generation in line with the additional emission space that is created in the ETS through the issuance of allowances. In addition, because they are novel instruments, their integration must protect the EU ETS from uncertainty and must guarantee the environmental integrity of the units that are used to compensate an emission in the EU ETS. Therefore, removals should be </w:t>
            </w:r>
            <w:r w:rsidRPr="00FC4A49">
              <w:rPr>
                <w:b/>
                <w:i/>
                <w:lang w:val="en-GB"/>
              </w:rPr>
              <w:t>indirectly</w:t>
            </w:r>
            <w:r w:rsidRPr="00FC4A49">
              <w:rPr>
                <w:lang w:val="en-GB"/>
              </w:rPr>
              <w:t xml:space="preserve"> integrated in the EU ETS </w:t>
            </w:r>
            <w:r w:rsidRPr="00FC4A49">
              <w:rPr>
                <w:b/>
                <w:i/>
                <w:lang w:val="en-GB"/>
              </w:rPr>
              <w:t>exclusively</w:t>
            </w:r>
            <w:r w:rsidRPr="00FC4A49">
              <w:rPr>
                <w:lang w:val="en-GB"/>
              </w:rPr>
              <w:t xml:space="preserve"> by the Commission. To that end, the </w:t>
            </w:r>
            <w:r w:rsidRPr="00FC4A49">
              <w:rPr>
                <w:b/>
                <w:i/>
                <w:lang w:val="en-GB"/>
              </w:rPr>
              <w:t>Commission should auction 80 million allowances from the Union-wide</w:t>
            </w:r>
            <w:r w:rsidRPr="00FC4A49">
              <w:rPr>
                <w:lang w:val="en-GB"/>
              </w:rPr>
              <w:t xml:space="preserve"> quantity of allowances </w:t>
            </w:r>
            <w:r w:rsidRPr="00FC4A49">
              <w:rPr>
                <w:b/>
                <w:i/>
                <w:lang w:val="en-GB"/>
              </w:rPr>
              <w:t>referred to in Article 9</w:t>
            </w:r>
            <w:r w:rsidRPr="00FC4A49">
              <w:rPr>
                <w:lang w:val="en-GB"/>
              </w:rPr>
              <w:t xml:space="preserve"> for the purchase of an equivalent amount of permanent carbon removals</w:t>
            </w:r>
            <w:r w:rsidRPr="00FC4A49">
              <w:rPr>
                <w:b/>
                <w:i/>
                <w:lang w:val="en-GB"/>
              </w:rPr>
              <w:t>. Following the purchase, an</w:t>
            </w:r>
            <w:r w:rsidRPr="00FC4A49">
              <w:rPr>
                <w:lang w:val="en-GB"/>
              </w:rPr>
              <w:t xml:space="preserve"> equivalent amount of </w:t>
            </w:r>
            <w:r w:rsidRPr="00FC4A49">
              <w:rPr>
                <w:b/>
                <w:i/>
                <w:lang w:val="en-GB"/>
              </w:rPr>
              <w:t>additional</w:t>
            </w:r>
            <w:r w:rsidRPr="00FC4A49">
              <w:rPr>
                <w:lang w:val="en-GB"/>
              </w:rPr>
              <w:t xml:space="preserve"> allowances should be </w:t>
            </w:r>
            <w:r w:rsidRPr="00FC4A49">
              <w:rPr>
                <w:b/>
                <w:i/>
                <w:lang w:val="en-GB"/>
              </w:rPr>
              <w:t xml:space="preserve">created in </w:t>
            </w:r>
            <w:r w:rsidRPr="00FC4A49">
              <w:rPr>
                <w:b/>
                <w:i/>
                <w:lang w:val="en-GB"/>
              </w:rPr>
              <w:t>the Market Stability Reserve</w:t>
            </w:r>
            <w:r w:rsidRPr="00FC4A49">
              <w:rPr>
                <w:lang w:val="en-GB"/>
              </w:rPr>
              <w:t xml:space="preserve">. Where fewer allowances are required for financing carbon removals than expected, the unused allowances should be integrated back in the Union-wide quantity of allowances referred to in Article 9 of Directive 2003/87/EC </w:t>
            </w:r>
            <w:r w:rsidRPr="00FC4A49">
              <w:rPr>
                <w:b/>
                <w:i/>
                <w:lang w:val="en-GB"/>
              </w:rPr>
              <w:t>and auctioned for the Industrial Electrification and Decarbonisation Bank</w:t>
            </w:r>
            <w:r w:rsidRPr="00FC4A49">
              <w:rPr>
                <w:lang w:val="en-GB"/>
              </w:rPr>
              <w:t>.</w:t>
            </w:r>
          </w:p>
        </w:tc>
      </w:tr>
    </w:tbl>
    <w:p w:rsidR="00343C6C" w:rsidRPr="00FC4A49" w:rsidP="00343C6C" w14:paraId="36B263BD"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4A922AC" w14:textId="77777777">
      <w:r w:rsidRPr="00FC4A49">
        <w:rPr>
          <w:rStyle w:val="HideTWBExt"/>
        </w:rPr>
        <w:t>&lt;/Amend&gt;</w:t>
      </w:r>
    </w:p>
    <w:p w:rsidR="00343C6C" w:rsidRPr="00FC4A49" w:rsidP="00343C6C" w14:paraId="5483BA9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249</w:t>
      </w:r>
      <w:r w:rsidRPr="00FC4A49">
        <w:rPr>
          <w:rStyle w:val="HideTWBExt"/>
          <w:b w:val="0"/>
          <w:lang w:val="en-GB"/>
        </w:rPr>
        <w:t>&lt;/NumAm&gt;</w:t>
      </w:r>
    </w:p>
    <w:p w:rsidR="00343C6C" w:rsidRPr="00FC4A49" w:rsidP="00343C6C" w14:paraId="5C9AE011" w14:textId="77777777">
      <w:pPr>
        <w:pStyle w:val="NormalBold"/>
      </w:pPr>
      <w:r w:rsidRPr="00FC4A49">
        <w:rPr>
          <w:rStyle w:val="HideTWBExt"/>
          <w:b w:val="0"/>
        </w:rPr>
        <w:t>&lt;RepeatBlock-By&gt;&lt;Members&gt;</w:t>
      </w:r>
      <w:r w:rsidRPr="00FC4A49">
        <w:t>Emma Wiesner, Yvan Verougstraete, Anna Stürgkh, Katri Kulmuni</w:t>
      </w:r>
      <w:r w:rsidRPr="00FC4A49">
        <w:rPr>
          <w:rStyle w:val="HideTWBExt"/>
          <w:b w:val="0"/>
        </w:rPr>
        <w:t>&lt;/Members&gt;</w:t>
      </w:r>
    </w:p>
    <w:p w:rsidR="00343C6C" w:rsidRPr="00FC4A49" w:rsidP="00343C6C" w14:paraId="3C92CD82" w14:textId="77777777">
      <w:r w:rsidRPr="00FC4A49">
        <w:rPr>
          <w:rStyle w:val="HideTWBExt"/>
        </w:rPr>
        <w:t>&lt;/RepeatBlock-By&gt;</w:t>
      </w:r>
    </w:p>
    <w:p w:rsidR="00343C6C" w:rsidRPr="00FC4A49" w:rsidP="00343C6C" w14:paraId="66E2CC31"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5C05715" w14:textId="77777777">
      <w:pPr>
        <w:pStyle w:val="NormalBold"/>
      </w:pPr>
      <w:r w:rsidRPr="00FC4A49">
        <w:rPr>
          <w:rStyle w:val="HideTWBExt"/>
          <w:b w:val="0"/>
        </w:rPr>
        <w:t>&lt;Article&gt;</w:t>
      </w:r>
      <w:r w:rsidRPr="00FC4A49">
        <w:t>Recital 33</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27B4D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ED98DF4" w14:textId="77777777">
            <w:pPr>
              <w:keepNext/>
            </w:pPr>
          </w:p>
        </w:tc>
      </w:tr>
      <w:tr w14:paraId="1535340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D52595B" w14:textId="77777777">
            <w:pPr>
              <w:pStyle w:val="ColumnHeading"/>
              <w:keepNext/>
              <w:rPr>
                <w:lang w:val="en-GB"/>
              </w:rPr>
            </w:pPr>
            <w:r w:rsidRPr="00FC4A49">
              <w:rPr>
                <w:lang w:val="en-GB"/>
              </w:rPr>
              <w:t>Text proposed by the Commission</w:t>
            </w:r>
          </w:p>
        </w:tc>
        <w:tc>
          <w:tcPr>
            <w:tcW w:w="4876" w:type="dxa"/>
          </w:tcPr>
          <w:p w:rsidR="00343C6C" w:rsidRPr="00FC4A49" w:rsidP="005D58F9" w14:paraId="7B3AAE14" w14:textId="77777777">
            <w:pPr>
              <w:pStyle w:val="ColumnHeading"/>
              <w:keepNext/>
              <w:rPr>
                <w:lang w:val="en-GB"/>
              </w:rPr>
            </w:pPr>
            <w:r w:rsidRPr="00FC4A49">
              <w:rPr>
                <w:lang w:val="en-GB"/>
              </w:rPr>
              <w:t>Amendment</w:t>
            </w:r>
          </w:p>
        </w:tc>
      </w:tr>
      <w:tr w14:paraId="453B131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51A70B9" w14:textId="77777777">
            <w:pPr>
              <w:pStyle w:val="Normal6"/>
              <w:rPr>
                <w:lang w:val="en-GB"/>
              </w:rPr>
            </w:pPr>
            <w:r w:rsidRPr="00FC4A49">
              <w:rPr>
                <w:lang w:val="en-GB"/>
              </w:rPr>
              <w:t>(33)</w:t>
            </w:r>
            <w:r w:rsidRPr="00FC4A49">
              <w:rPr>
                <w:lang w:val="en-GB"/>
              </w:rPr>
              <w:tab/>
              <w:t xml:space="preserve">The current price-difference between permanent carbon removals and allowances means that permanent removals will need to be supported in a predictable manner, to ensure that their generation in line with the additional emission space that is created in the ETS through the issuance of allowances. In addition, because they are novel instruments, their integration must protect the EU ETS from uncertainty and must guarantee the environmental integrity of the units that are used to compensate an emission in the EU ETS. Therefore, removals should be integrated in the EU ETS </w:t>
            </w:r>
            <w:r w:rsidRPr="00FC4A49">
              <w:rPr>
                <w:b/>
                <w:i/>
                <w:lang w:val="en-GB"/>
              </w:rPr>
              <w:t>by the Commission</w:t>
            </w:r>
            <w:r w:rsidRPr="00FC4A49">
              <w:rPr>
                <w:lang w:val="en-GB"/>
              </w:rPr>
              <w:t xml:space="preserve">. To that end, the total quantity of allowances in the EU ETS should be increased by a number of allowances that should be allocated to the Commission for the purchase of an </w:t>
            </w:r>
            <w:r w:rsidRPr="00FC4A49">
              <w:rPr>
                <w:lang w:val="en-GB"/>
              </w:rPr>
              <w:t xml:space="preserve">equivalent amount of permanent carbon removals to offset the newly created allowances. The linear reduction factor should not apply to this quantity of allowances, at it is equivalent to the amount of removals that should be purchased. In addition to these newly created allowances, further allowances should be assigned to the Commission to generate revenues through their auctioning for the purchase of the permanent carbon removals, in view of the expected cost differential between allowances and carbon removals. Where fewer allowances are required for financing carbon removals than expected, the unused allowances should be </w:t>
            </w:r>
            <w:r w:rsidRPr="00FC4A49">
              <w:rPr>
                <w:b/>
                <w:i/>
                <w:lang w:val="en-GB"/>
              </w:rPr>
              <w:t>integrated back in the Union-wide quantity of allowances referred to in Article 9 of Directive 2003/87/EC</w:t>
            </w:r>
            <w:r w:rsidRPr="00FC4A49">
              <w:rPr>
                <w:lang w:val="en-GB"/>
              </w:rPr>
              <w:t>. The net target of the EU ETS is the equivalent of the gross emissions minus the permanent carbon removals that are subject to integration.</w:t>
            </w:r>
          </w:p>
        </w:tc>
        <w:tc>
          <w:tcPr>
            <w:tcW w:w="4876" w:type="dxa"/>
          </w:tcPr>
          <w:p w:rsidR="00343C6C" w:rsidRPr="00FC4A49" w:rsidP="005D58F9" w14:paraId="5263442B" w14:textId="77777777">
            <w:pPr>
              <w:pStyle w:val="Normal6"/>
              <w:rPr>
                <w:szCs w:val="24"/>
                <w:lang w:val="en-GB"/>
              </w:rPr>
            </w:pPr>
            <w:r w:rsidRPr="00FC4A49">
              <w:rPr>
                <w:lang w:val="en-GB"/>
              </w:rPr>
              <w:t>(33)</w:t>
            </w:r>
            <w:r w:rsidRPr="00FC4A49">
              <w:rPr>
                <w:lang w:val="en-GB"/>
              </w:rPr>
              <w:tab/>
              <w:t xml:space="preserve">The current price-difference between permanent carbon removals and allowances means that permanent removals will need to be supported in a predictable manner, to ensure that their generation in line with the additional emission space that is created in the ETS through the issuance of allowances. In addition, because they are novel instruments, their integration must protect the EU ETS from uncertainty and must guarantee the environmental integrity of the units that are used to compensate an emission in the EU ETS. Therefore, removals should be integrated in the EU ETS. To that end, the total quantity of allowances in the EU ETS should be increased by a number of allowances that should be allocated to the Commission </w:t>
            </w:r>
            <w:r w:rsidRPr="00FC4A49">
              <w:rPr>
                <w:b/>
                <w:i/>
                <w:lang w:val="en-GB"/>
              </w:rPr>
              <w:t>and market operators</w:t>
            </w:r>
            <w:r w:rsidRPr="00FC4A49">
              <w:rPr>
                <w:lang w:val="en-GB"/>
              </w:rPr>
              <w:t xml:space="preserve"> for the </w:t>
            </w:r>
            <w:r w:rsidRPr="00FC4A49">
              <w:rPr>
                <w:lang w:val="en-GB"/>
              </w:rPr>
              <w:t>purchase of an equivalent amount of permanent carbon removals to offset the newly created allowances</w:t>
            </w:r>
            <w:r w:rsidRPr="00FC4A49">
              <w:rPr>
                <w:b/>
                <w:i/>
                <w:lang w:val="en-GB"/>
              </w:rPr>
              <w:t>, either via the Commission's purchasing facility or the platform for market operators for voluntary purchases</w:t>
            </w:r>
            <w:r w:rsidRPr="00FC4A49">
              <w:rPr>
                <w:lang w:val="en-GB"/>
              </w:rPr>
              <w:t xml:space="preserve">. The linear reduction factor should not apply to this quantity of allowances, at it is equivalent to the amount of removals that should be purchased. In addition to these newly created allowances, further allowances should be assigned to the Commission to generate revenues through their auctioning for the purchase of the permanent carbon removals, in view of the expected cost differential between allowances and carbon removals. Where fewer allowances are required for financing carbon removals than expected, the unused allowances should be </w:t>
            </w:r>
            <w:r w:rsidRPr="00FC4A49">
              <w:rPr>
                <w:b/>
                <w:i/>
                <w:lang w:val="en-GB"/>
              </w:rPr>
              <w:t>cancelled in order to ensure the environmental integrity of the system</w:t>
            </w:r>
            <w:r w:rsidRPr="00FC4A49">
              <w:rPr>
                <w:lang w:val="en-GB"/>
              </w:rPr>
              <w:t>. The net target of the EU ETS is the equivalent of the gross emissions minus the permanent carbon removals that are subject to integration.</w:t>
            </w:r>
          </w:p>
        </w:tc>
      </w:tr>
    </w:tbl>
    <w:p w:rsidR="00343C6C" w:rsidRPr="00FC4A49" w:rsidP="00343C6C" w14:paraId="065841A9"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02DB9DE1" w14:textId="77777777">
      <w:r w:rsidRPr="00FC4A49">
        <w:rPr>
          <w:rStyle w:val="HideTWBExt"/>
        </w:rPr>
        <w:t>&lt;/Amend&gt;</w:t>
      </w:r>
    </w:p>
    <w:p w:rsidR="00343C6C" w:rsidRPr="00FC4A49" w:rsidP="00343C6C" w14:paraId="008BA73D"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250</w:t>
      </w:r>
      <w:r w:rsidRPr="00FC4A49">
        <w:rPr>
          <w:rStyle w:val="HideTWBExt"/>
          <w:b w:val="0"/>
          <w:lang w:val="en-GB"/>
        </w:rPr>
        <w:t>&lt;/NumAm&gt;</w:t>
      </w:r>
    </w:p>
    <w:p w:rsidR="00343C6C" w:rsidRPr="00FC4A49" w:rsidP="00343C6C" w14:paraId="089B70BC" w14:textId="77777777">
      <w:pPr>
        <w:pStyle w:val="NormalBold"/>
      </w:pPr>
      <w:r w:rsidRPr="00FC4A49">
        <w:rPr>
          <w:rStyle w:val="HideTWBExt"/>
          <w:b w:val="0"/>
        </w:rPr>
        <w:t>&lt;RepeatBlock-By&gt;&lt;Members&gt;</w:t>
      </w:r>
      <w:r w:rsidRPr="00FC4A49">
        <w:t>Mohammed Chahim</w:t>
      </w:r>
      <w:r w:rsidRPr="00FC4A49">
        <w:rPr>
          <w:rStyle w:val="HideTWBExt"/>
          <w:b w:val="0"/>
        </w:rPr>
        <w:t>&lt;/Members&gt;</w:t>
      </w:r>
    </w:p>
    <w:p w:rsidR="00343C6C" w:rsidRPr="00FC4A49" w:rsidP="00343C6C" w14:paraId="4E408ECB" w14:textId="77777777">
      <w:r w:rsidRPr="00FC4A49">
        <w:rPr>
          <w:rStyle w:val="HideTWBExt"/>
        </w:rPr>
        <w:t>&lt;/RepeatBlock-By&gt;</w:t>
      </w:r>
    </w:p>
    <w:p w:rsidR="00343C6C" w:rsidRPr="00FC4A49" w:rsidP="00343C6C" w14:paraId="1DB2D8CC"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133C7FF" w14:textId="77777777">
      <w:pPr>
        <w:pStyle w:val="NormalBold"/>
      </w:pPr>
      <w:r w:rsidRPr="00FC4A49">
        <w:rPr>
          <w:rStyle w:val="HideTWBExt"/>
          <w:b w:val="0"/>
        </w:rPr>
        <w:t>&lt;Article&gt;</w:t>
      </w:r>
      <w:r w:rsidRPr="00FC4A49">
        <w:t>Recital 33</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91A487"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A8C832F" w14:textId="77777777">
            <w:pPr>
              <w:keepNext/>
            </w:pPr>
          </w:p>
        </w:tc>
      </w:tr>
      <w:tr w14:paraId="6E43451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D618B97" w14:textId="77777777">
            <w:pPr>
              <w:pStyle w:val="ColumnHeading"/>
              <w:keepNext/>
              <w:rPr>
                <w:lang w:val="en-GB"/>
              </w:rPr>
            </w:pPr>
            <w:r w:rsidRPr="00FC4A49">
              <w:rPr>
                <w:lang w:val="en-GB"/>
              </w:rPr>
              <w:t>Text proposed by the Commission</w:t>
            </w:r>
          </w:p>
        </w:tc>
        <w:tc>
          <w:tcPr>
            <w:tcW w:w="4876" w:type="dxa"/>
          </w:tcPr>
          <w:p w:rsidR="00343C6C" w:rsidRPr="00FC4A49" w:rsidP="005D58F9" w14:paraId="7234CA56" w14:textId="77777777">
            <w:pPr>
              <w:pStyle w:val="ColumnHeading"/>
              <w:keepNext/>
              <w:rPr>
                <w:lang w:val="en-GB"/>
              </w:rPr>
            </w:pPr>
            <w:r w:rsidRPr="00FC4A49">
              <w:rPr>
                <w:lang w:val="en-GB"/>
              </w:rPr>
              <w:t>Amendment</w:t>
            </w:r>
          </w:p>
        </w:tc>
      </w:tr>
      <w:tr w14:paraId="6CC6C97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5BD98E2" w14:textId="77777777">
            <w:pPr>
              <w:pStyle w:val="Normal6"/>
              <w:rPr>
                <w:lang w:val="en-GB"/>
              </w:rPr>
            </w:pPr>
            <w:r w:rsidRPr="00FC4A49">
              <w:rPr>
                <w:lang w:val="en-GB"/>
              </w:rPr>
              <w:t>(33)</w:t>
            </w:r>
            <w:r w:rsidRPr="00FC4A49">
              <w:rPr>
                <w:lang w:val="en-GB"/>
              </w:rPr>
              <w:tab/>
              <w:t xml:space="preserve">The current price-difference between permanent carbon removals and allowances means that permanent removals will need to be supported in a predictable manner, to ensure that their generation in line with the additional emission space that is created in the ETS through the issuance of allowances. In addition, because they are novel instruments, their integration must protect the EU ETS from uncertainty and must guarantee the environmental </w:t>
            </w:r>
            <w:r w:rsidRPr="00FC4A49">
              <w:rPr>
                <w:lang w:val="en-GB"/>
              </w:rPr>
              <w:t xml:space="preserve">integrity of the units that are used to compensate an emission in the EU ETS. Therefore, removals should be integrated in the EU ETS by the Commission. To that end, the total quantity of allowances in the EU ETS should be </w:t>
            </w:r>
            <w:r w:rsidRPr="00FC4A49">
              <w:rPr>
                <w:b/>
                <w:i/>
                <w:lang w:val="en-GB"/>
              </w:rPr>
              <w:t>increased by a</w:t>
            </w:r>
            <w:r w:rsidRPr="00FC4A49">
              <w:rPr>
                <w:lang w:val="en-GB"/>
              </w:rPr>
              <w:t xml:space="preserve"> number of allowances that </w:t>
            </w:r>
            <w:r w:rsidRPr="00FC4A49">
              <w:rPr>
                <w:b/>
                <w:i/>
                <w:lang w:val="en-GB"/>
              </w:rPr>
              <w:t>should be</w:t>
            </w:r>
            <w:r w:rsidRPr="00FC4A49">
              <w:rPr>
                <w:lang w:val="en-GB"/>
              </w:rPr>
              <w:t xml:space="preserve"> allocated to the Commission for the purchase of an equivalent amount of permanent carbon removals to offset the newly created allowances. The linear reduction factor should not apply to this quantity of allowances, at it is equivalent to the amount of removals that should be purchased. In </w:t>
            </w:r>
            <w:r w:rsidRPr="00FC4A49">
              <w:rPr>
                <w:b/>
                <w:i/>
                <w:lang w:val="en-GB"/>
              </w:rPr>
              <w:t>addition to these newly created allowances, further</w:t>
            </w:r>
            <w:r w:rsidRPr="00FC4A49">
              <w:rPr>
                <w:lang w:val="en-GB"/>
              </w:rPr>
              <w:t xml:space="preserve"> allowances should be </w:t>
            </w:r>
            <w:r w:rsidRPr="00FC4A49">
              <w:rPr>
                <w:b/>
                <w:i/>
                <w:lang w:val="en-GB"/>
              </w:rPr>
              <w:t>assigned to the Commission to generate revenues through their auctioning for the purchase of the permanent carbon removals, in view of the expected cost differential between allowances and carbon removals</w:t>
            </w:r>
            <w:r w:rsidRPr="00FC4A49">
              <w:rPr>
                <w:lang w:val="en-GB"/>
              </w:rPr>
              <w:t xml:space="preserve">. Where fewer allowances are required for financing carbon removals than expected, the unused allowances should be integrated back in the Union-wide quantity of allowances referred to in Article 9 of Directive 2003/87/EC. </w:t>
            </w:r>
            <w:r w:rsidRPr="00FC4A49">
              <w:rPr>
                <w:b/>
                <w:i/>
                <w:lang w:val="en-GB"/>
              </w:rPr>
              <w:t>The net target of the EU ETS is the equivalent of the gross emissions minus the permanent carbon removals that are subject to integration.</w:t>
            </w:r>
          </w:p>
        </w:tc>
        <w:tc>
          <w:tcPr>
            <w:tcW w:w="4876" w:type="dxa"/>
          </w:tcPr>
          <w:p w:rsidR="00343C6C" w:rsidRPr="00FC4A49" w:rsidP="005D58F9" w14:paraId="759EEBBE" w14:textId="77777777">
            <w:pPr>
              <w:pStyle w:val="Normal6"/>
              <w:rPr>
                <w:szCs w:val="24"/>
                <w:lang w:val="en-GB"/>
              </w:rPr>
            </w:pPr>
            <w:r w:rsidRPr="00FC4A49">
              <w:rPr>
                <w:lang w:val="en-GB"/>
              </w:rPr>
              <w:t>(33)</w:t>
            </w:r>
            <w:r w:rsidRPr="00FC4A49">
              <w:rPr>
                <w:lang w:val="en-GB"/>
              </w:rPr>
              <w:tab/>
              <w:t xml:space="preserve">The current price-difference between permanent carbon removals and allowances means that permanent removals will need to be supported in a predictable manner, to ensure that their generation in line with the additional emission space that is created in the ETS through the issuance of allowances. In addition, because they are novel instruments, their integration must protect the EU ETS from uncertainty and must guarantee the environmental </w:t>
            </w:r>
            <w:r w:rsidRPr="00FC4A49">
              <w:rPr>
                <w:lang w:val="en-GB"/>
              </w:rPr>
              <w:t xml:space="preserve">integrity of the units that are used to compensate an emission in the EU ETS. Therefore, removals should be integrated in the EU ETS by the Commission </w:t>
            </w:r>
            <w:r w:rsidRPr="00FC4A49">
              <w:rPr>
                <w:b/>
                <w:i/>
                <w:lang w:val="en-GB"/>
              </w:rPr>
              <w:t>in a controlled manner while avoiding any risk of additional emissions</w:t>
            </w:r>
            <w:r w:rsidRPr="00FC4A49">
              <w:rPr>
                <w:lang w:val="en-GB"/>
              </w:rPr>
              <w:t xml:space="preserve">. To that end, the total quantity of allowances in the EU ETS should be </w:t>
            </w:r>
            <w:r w:rsidRPr="00FC4A49">
              <w:rPr>
                <w:b/>
                <w:i/>
                <w:lang w:val="en-GB"/>
              </w:rPr>
              <w:t>unaffected by the</w:t>
            </w:r>
            <w:r w:rsidRPr="00FC4A49">
              <w:rPr>
                <w:lang w:val="en-GB"/>
              </w:rPr>
              <w:t xml:space="preserve"> number of allowances that </w:t>
            </w:r>
            <w:r w:rsidRPr="00FC4A49">
              <w:rPr>
                <w:b/>
                <w:i/>
                <w:lang w:val="en-GB"/>
              </w:rPr>
              <w:t>are</w:t>
            </w:r>
            <w:r w:rsidRPr="00FC4A49">
              <w:rPr>
                <w:lang w:val="en-GB"/>
              </w:rPr>
              <w:t xml:space="preserve"> allocated to the Commission for the purchase of an equivalent amount of permanent carbon removals to offset the newly created allowances</w:t>
            </w:r>
            <w:r w:rsidRPr="00FC4A49">
              <w:rPr>
                <w:b/>
                <w:i/>
                <w:lang w:val="en-GB"/>
              </w:rPr>
              <w:t>. This should be done in a two-phase approach, which would help derisk the market and send a strong investment signal for projects</w:t>
            </w:r>
            <w:r w:rsidRPr="00FC4A49">
              <w:rPr>
                <w:lang w:val="en-GB"/>
              </w:rPr>
              <w:t xml:space="preserve">. The linear reduction factor should not apply to this quantity of allowances, at it is equivalent to the amount of removals that should be purchased. In </w:t>
            </w:r>
            <w:r w:rsidRPr="00FC4A49">
              <w:rPr>
                <w:b/>
                <w:i/>
                <w:lang w:val="en-GB"/>
              </w:rPr>
              <w:t>case a number of extra</w:t>
            </w:r>
            <w:r w:rsidRPr="00FC4A49">
              <w:rPr>
                <w:lang w:val="en-GB"/>
              </w:rPr>
              <w:t xml:space="preserve"> allowances </w:t>
            </w:r>
            <w:r w:rsidRPr="00FC4A49">
              <w:rPr>
                <w:b/>
                <w:i/>
                <w:lang w:val="en-GB"/>
              </w:rPr>
              <w:t>initially provided were not to be compensated they</w:t>
            </w:r>
            <w:r w:rsidRPr="00FC4A49">
              <w:rPr>
                <w:lang w:val="en-GB"/>
              </w:rPr>
              <w:t xml:space="preserve"> should be </w:t>
            </w:r>
            <w:r w:rsidRPr="00FC4A49">
              <w:rPr>
                <w:b/>
                <w:i/>
                <w:lang w:val="en-GB"/>
              </w:rPr>
              <w:t>cancelled</w:t>
            </w:r>
            <w:r w:rsidRPr="00FC4A49">
              <w:rPr>
                <w:lang w:val="en-GB"/>
              </w:rPr>
              <w:t>. Where fewer allowances are required for financing carbon removals than expected, the unused allowances should be integrated back in the Union-wide quantity of allowances referred to in Article 9 of Directive 2003/87/EC.</w:t>
            </w:r>
          </w:p>
        </w:tc>
      </w:tr>
    </w:tbl>
    <w:p w:rsidR="00343C6C" w:rsidRPr="00FC4A49" w:rsidP="00343C6C" w14:paraId="212BB45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4B367C5" w14:textId="77777777">
      <w:r w:rsidRPr="00FC4A49">
        <w:rPr>
          <w:rStyle w:val="HideTWBExt"/>
        </w:rPr>
        <w:t>&lt;/Amend&gt;</w:t>
      </w:r>
    </w:p>
    <w:p w:rsidR="00343C6C" w:rsidRPr="00FC4A49" w:rsidP="00343C6C" w14:paraId="6BF76969"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251</w:t>
      </w:r>
      <w:r w:rsidRPr="00FC4A49">
        <w:rPr>
          <w:rStyle w:val="HideTWBExt"/>
          <w:b w:val="0"/>
          <w:lang w:val="en-GB"/>
        </w:rPr>
        <w:t>&lt;/NumAm&gt;</w:t>
      </w:r>
    </w:p>
    <w:p w:rsidR="00343C6C" w:rsidRPr="00FC4A49" w:rsidP="00343C6C" w14:paraId="0D93DC1B" w14:textId="77777777">
      <w:pPr>
        <w:pStyle w:val="NormalBold"/>
      </w:pPr>
      <w:r w:rsidRPr="00FC4A49">
        <w:rPr>
          <w:rStyle w:val="HideTWBExt"/>
          <w:b w:val="0"/>
        </w:rPr>
        <w:t>&lt;RepeatBlock-By&gt;&lt;Members&gt;</w:t>
      </w:r>
      <w:r w:rsidRPr="00FC4A49">
        <w:t>Andrea Wechsler, Norbert Herhammer, Verena Mertens, Sabine Verheyen, Marie-Sophie Christ, Christian Ehler, Angelika Niebler</w:t>
      </w:r>
      <w:r w:rsidRPr="00FC4A49">
        <w:rPr>
          <w:rStyle w:val="HideTWBExt"/>
          <w:b w:val="0"/>
        </w:rPr>
        <w:t>&lt;/Members&gt;</w:t>
      </w:r>
    </w:p>
    <w:p w:rsidR="00343C6C" w:rsidRPr="00FC4A49" w:rsidP="00343C6C" w14:paraId="7C6FAE21" w14:textId="77777777">
      <w:r w:rsidRPr="00FC4A49">
        <w:rPr>
          <w:rStyle w:val="HideTWBExt"/>
        </w:rPr>
        <w:t>&lt;/RepeatBlock-By&gt;</w:t>
      </w:r>
    </w:p>
    <w:p w:rsidR="00343C6C" w:rsidRPr="00FC4A49" w:rsidP="00343C6C" w14:paraId="63781C46"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1E1A60A" w14:textId="77777777">
      <w:pPr>
        <w:pStyle w:val="NormalBold"/>
      </w:pPr>
      <w:r w:rsidRPr="00FC4A49">
        <w:rPr>
          <w:rStyle w:val="HideTWBExt"/>
          <w:b w:val="0"/>
        </w:rPr>
        <w:t>&lt;Article&gt;</w:t>
      </w:r>
      <w:r w:rsidRPr="00FC4A49">
        <w:t>Recital 33</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E97C5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8AB83BC" w14:textId="77777777">
            <w:pPr>
              <w:keepNext/>
            </w:pPr>
          </w:p>
        </w:tc>
      </w:tr>
      <w:tr w14:paraId="7EC86C7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6531208" w14:textId="77777777">
            <w:pPr>
              <w:pStyle w:val="ColumnHeading"/>
              <w:keepNext/>
              <w:rPr>
                <w:lang w:val="en-GB"/>
              </w:rPr>
            </w:pPr>
            <w:r w:rsidRPr="00FC4A49">
              <w:rPr>
                <w:lang w:val="en-GB"/>
              </w:rPr>
              <w:t>Text proposed by the Commission</w:t>
            </w:r>
          </w:p>
        </w:tc>
        <w:tc>
          <w:tcPr>
            <w:tcW w:w="4876" w:type="dxa"/>
          </w:tcPr>
          <w:p w:rsidR="00343C6C" w:rsidRPr="00FC4A49" w:rsidP="005D58F9" w14:paraId="7BE7983E" w14:textId="77777777">
            <w:pPr>
              <w:pStyle w:val="ColumnHeading"/>
              <w:keepNext/>
              <w:rPr>
                <w:lang w:val="en-GB"/>
              </w:rPr>
            </w:pPr>
            <w:r w:rsidRPr="00FC4A49">
              <w:rPr>
                <w:lang w:val="en-GB"/>
              </w:rPr>
              <w:t>Amendment</w:t>
            </w:r>
          </w:p>
        </w:tc>
      </w:tr>
      <w:tr w14:paraId="768DC0A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9F631CD" w14:textId="77777777">
            <w:pPr>
              <w:pStyle w:val="Normal6"/>
              <w:rPr>
                <w:lang w:val="en-GB"/>
              </w:rPr>
            </w:pPr>
            <w:r w:rsidRPr="00FC4A49">
              <w:rPr>
                <w:lang w:val="en-GB"/>
              </w:rPr>
              <w:t>(33)</w:t>
            </w:r>
            <w:r w:rsidRPr="00FC4A49">
              <w:rPr>
                <w:lang w:val="en-GB"/>
              </w:rPr>
              <w:tab/>
              <w:t xml:space="preserve">The current price-difference between permanent carbon removals and allowances means that permanent removals will need to be supported in a predictable </w:t>
            </w:r>
            <w:r w:rsidRPr="00FC4A49">
              <w:rPr>
                <w:lang w:val="en-GB"/>
              </w:rPr>
              <w:t>manner, to ensure that their generation in line with the additional emission space that is created in the ETS through the issuance of allowances. In addition, because they are novel instruments, their integration must protect the EU ETS from uncertainty and must guarantee the environmental integrity of the units that are used to compensate an emission in the EU ETS. Therefore, removals should be integrated in the EU ETS by the Commission. To that end, the total quantity of allowances in the EU ETS should be increased by a number of allowances that should be allocated to the Commission for the purchase of an equivalent amount of permanent carbon removals to offset the newly created allowances. The linear reduction factor should not apply to this quantity of allowances, at it is equivalent to the amount of removals that should be purchased. In addition to these newly created allowances, further allowances should be assigned to the Commission to generate revenues through their auctioning for the purchase of the permanent carbon removals, in view of the expected cost differential between allowances and carbon removals. Where fewer allowances are required for financing carbon removals than expected, the unused allowances should be integrated back in the Union-wide quantity of allowances referred to in Article 9 of Directive 2003/87/EC. The net target of the EU ETS is the equivalent of the gross emissions minus the permanent carbon removals that are subject to integration.</w:t>
            </w:r>
          </w:p>
        </w:tc>
        <w:tc>
          <w:tcPr>
            <w:tcW w:w="4876" w:type="dxa"/>
          </w:tcPr>
          <w:p w:rsidR="00343C6C" w:rsidRPr="00FC4A49" w:rsidP="005D58F9" w14:paraId="24E16934" w14:textId="77777777">
            <w:pPr>
              <w:pStyle w:val="Normal6"/>
              <w:rPr>
                <w:szCs w:val="24"/>
                <w:lang w:val="en-GB"/>
              </w:rPr>
            </w:pPr>
            <w:r w:rsidRPr="00FC4A49">
              <w:rPr>
                <w:lang w:val="en-GB"/>
              </w:rPr>
              <w:t>(33)</w:t>
            </w:r>
            <w:r w:rsidRPr="00FC4A49">
              <w:rPr>
                <w:lang w:val="en-GB"/>
              </w:rPr>
              <w:tab/>
              <w:t xml:space="preserve">The current price-difference between permanent carbon removals and allowances means that permanent removals will need to be supported in a predictable </w:t>
            </w:r>
            <w:r w:rsidRPr="00FC4A49">
              <w:rPr>
                <w:lang w:val="en-GB"/>
              </w:rPr>
              <w:t xml:space="preserve">manner, to ensure that their generation in line with the additional emission space that is created in the ETS through the issuance of allowances. In addition, because they are novel instruments, their integration must protect the EU ETS from uncertainty and must guarantee the environmental integrity of the units that are used to compensate an emission in the EU ETS. Therefore, removals should be integrated in the EU ETS by the Commission. To that end, the total quantity of allowances in the EU ETS should be increased by a number of allowances that should be allocated to the Commission for the purchase of an equivalent amount of permanent carbon removals to offset the newly created allowances. The linear reduction factor should not apply to this quantity of allowances, at it is equivalent to the amount of removals that should be purchased. In addition to these newly created allowances, further allowances should be assigned to the Commission </w:t>
            </w:r>
            <w:r w:rsidRPr="00FC4A49">
              <w:rPr>
                <w:b/>
                <w:i/>
                <w:lang w:val="en-GB"/>
              </w:rPr>
              <w:t>from the Union-wide quantity of allowances</w:t>
            </w:r>
            <w:r w:rsidRPr="00FC4A49">
              <w:rPr>
                <w:lang w:val="en-GB"/>
              </w:rPr>
              <w:t xml:space="preserve"> to generate revenues through their auctioning for the purchase of the </w:t>
            </w:r>
            <w:r w:rsidRPr="00FC4A49">
              <w:rPr>
                <w:b/>
                <w:i/>
                <w:lang w:val="en-GB"/>
              </w:rPr>
              <w:t>required amount of</w:t>
            </w:r>
            <w:r w:rsidRPr="00FC4A49">
              <w:rPr>
                <w:lang w:val="en-GB"/>
              </w:rPr>
              <w:t xml:space="preserve"> permanent carbon removals, in view of the expected cost differential between allowances and carbon removals. Where fewer allowances are required for financing carbon removals than expected, the unused allowances should be integrated back in the Union-wide quantity of allowances referred to in Article 9 of Directive 2003/87/EC. The net target of the EU ETS is the equivalent of the gross emissions minus the permanent carbon removals that are subject to integration.</w:t>
            </w:r>
          </w:p>
        </w:tc>
      </w:tr>
    </w:tbl>
    <w:p w:rsidR="00343C6C" w:rsidRPr="00FC4A49" w:rsidP="00343C6C" w14:paraId="37250C41"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353F301"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669E3B96" w14:textId="77777777">
      <w:pPr>
        <w:pStyle w:val="Normal12Italic"/>
        <w:rPr>
          <w:noProof w:val="0"/>
          <w:lang w:val="en-GB"/>
        </w:rPr>
      </w:pPr>
      <w:r w:rsidRPr="00FC4A49">
        <w:rPr>
          <w:noProof w:val="0"/>
          <w:lang w:val="en-GB"/>
        </w:rPr>
        <w:t xml:space="preserve">The amendment clarifies the financing architecture for the integration of permanent carbon removals into the EU ETS. Any additional allowances used to generate revenues for the purchase of permanent removals should come from within the existing Union-wide quantity of allowances, rather than creating a further source of allowances beyond the cap. This </w:t>
      </w:r>
      <w:r w:rsidRPr="00FC4A49">
        <w:rPr>
          <w:noProof w:val="0"/>
          <w:lang w:val="en-GB"/>
        </w:rPr>
        <w:t>preserves the environmental integrity and predictability of the system, while ensuring that sufficient resources are available to bridge the expected cost gap between permanent removals and ETS allowances. It also maintains the principle that any additional emission space created through the integration of removals must be matched by an equivalent quantity of certified permanent removals.</w:t>
      </w:r>
    </w:p>
    <w:p w:rsidR="00343C6C" w:rsidRPr="00FC4A49" w:rsidP="00343C6C" w14:paraId="5F60DB9B" w14:textId="77777777">
      <w:r w:rsidRPr="00FC4A49">
        <w:rPr>
          <w:rStyle w:val="HideTWBExt"/>
        </w:rPr>
        <w:t>&lt;/Amend&gt;</w:t>
      </w:r>
    </w:p>
    <w:p w:rsidR="00343C6C" w:rsidRPr="00FC4A49" w:rsidP="00343C6C" w14:paraId="70EB83CA"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252</w:t>
      </w:r>
      <w:r w:rsidRPr="00FC4A49">
        <w:rPr>
          <w:rStyle w:val="HideTWBExt"/>
          <w:b w:val="0"/>
          <w:lang w:val="en-GB"/>
        </w:rPr>
        <w:t>&lt;/NumAm&gt;</w:t>
      </w:r>
    </w:p>
    <w:p w:rsidR="00343C6C" w:rsidRPr="00FC4A49" w:rsidP="00343C6C" w14:paraId="162BC210" w14:textId="77777777">
      <w:pPr>
        <w:pStyle w:val="NormalBold"/>
      </w:pPr>
      <w:r w:rsidRPr="00FC4A49">
        <w:rPr>
          <w:rStyle w:val="HideTWBExt"/>
          <w:b w:val="0"/>
        </w:rPr>
        <w:t>&lt;RepeatBlock-By&gt;&lt;Members&gt;</w:t>
      </w:r>
      <w:r w:rsidRPr="00FC4A49">
        <w:t xml:space="preserve">Andreas Glück, Christine Singer, Jan-Christoph Oetjen, Jeannette </w:t>
      </w:r>
      <w:r w:rsidRPr="00FC4A49">
        <w:t>Baljeu</w:t>
      </w:r>
      <w:r w:rsidRPr="00FC4A49">
        <w:rPr>
          <w:rStyle w:val="HideTWBExt"/>
          <w:b w:val="0"/>
        </w:rPr>
        <w:t>&lt;/Members&gt;</w:t>
      </w:r>
    </w:p>
    <w:p w:rsidR="00343C6C" w:rsidRPr="00FC4A49" w:rsidP="00343C6C" w14:paraId="27C0A606" w14:textId="77777777">
      <w:r w:rsidRPr="00FC4A49">
        <w:rPr>
          <w:rStyle w:val="HideTWBExt"/>
        </w:rPr>
        <w:t>&lt;/RepeatBlock-By&gt;</w:t>
      </w:r>
    </w:p>
    <w:p w:rsidR="00343C6C" w:rsidRPr="00FC4A49" w:rsidP="00343C6C" w14:paraId="24ADEF3A"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FBF3CA4" w14:textId="77777777">
      <w:pPr>
        <w:pStyle w:val="NormalBold"/>
      </w:pPr>
      <w:r w:rsidRPr="00FC4A49">
        <w:rPr>
          <w:rStyle w:val="HideTWBExt"/>
          <w:b w:val="0"/>
        </w:rPr>
        <w:t>&lt;Article&gt;</w:t>
      </w:r>
      <w:r w:rsidRPr="00FC4A49">
        <w:t>Recital 33</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21A65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6863EBD" w14:textId="77777777">
            <w:pPr>
              <w:keepNext/>
            </w:pPr>
          </w:p>
        </w:tc>
      </w:tr>
      <w:tr w14:paraId="567EF74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0F7FF20" w14:textId="77777777">
            <w:pPr>
              <w:pStyle w:val="ColumnHeading"/>
              <w:keepNext/>
              <w:rPr>
                <w:lang w:val="en-GB"/>
              </w:rPr>
            </w:pPr>
            <w:r w:rsidRPr="00FC4A49">
              <w:rPr>
                <w:lang w:val="en-GB"/>
              </w:rPr>
              <w:t>Text proposed by the Commission</w:t>
            </w:r>
          </w:p>
        </w:tc>
        <w:tc>
          <w:tcPr>
            <w:tcW w:w="4876" w:type="dxa"/>
          </w:tcPr>
          <w:p w:rsidR="00343C6C" w:rsidRPr="00FC4A49" w:rsidP="005D58F9" w14:paraId="35033116" w14:textId="77777777">
            <w:pPr>
              <w:pStyle w:val="ColumnHeading"/>
              <w:keepNext/>
              <w:rPr>
                <w:lang w:val="en-GB"/>
              </w:rPr>
            </w:pPr>
            <w:r w:rsidRPr="00FC4A49">
              <w:rPr>
                <w:lang w:val="en-GB"/>
              </w:rPr>
              <w:t>Amendment</w:t>
            </w:r>
          </w:p>
        </w:tc>
      </w:tr>
      <w:tr w14:paraId="1883DDB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FE03F6B" w14:textId="77777777">
            <w:pPr>
              <w:pStyle w:val="Normal6"/>
              <w:rPr>
                <w:lang w:val="en-GB"/>
              </w:rPr>
            </w:pPr>
            <w:r w:rsidRPr="00FC4A49">
              <w:rPr>
                <w:lang w:val="en-GB"/>
              </w:rPr>
              <w:t>(33)</w:t>
            </w:r>
            <w:r w:rsidRPr="00FC4A49">
              <w:rPr>
                <w:lang w:val="en-GB"/>
              </w:rPr>
              <w:tab/>
              <w:t xml:space="preserve">The current price-difference between permanent carbon removals and allowances means that permanent removals will need to be supported in a predictable manner, to ensure that their generation in line with the additional emission space that is created in the ETS through the issuance of allowances. In addition, because they are novel instruments, their integration must protect the EU ETS from uncertainty and must guarantee the environmental integrity of the units that are used to compensate an emission in the EU ETS. Therefore, removals should be integrated in the EU ETS </w:t>
            </w:r>
            <w:r w:rsidRPr="00FC4A49">
              <w:rPr>
                <w:b/>
                <w:i/>
                <w:lang w:val="en-GB"/>
              </w:rPr>
              <w:t>by the Commission</w:t>
            </w:r>
            <w:r w:rsidRPr="00FC4A49">
              <w:rPr>
                <w:lang w:val="en-GB"/>
              </w:rPr>
              <w:t xml:space="preserve">. To that end, the total quantity of allowances in the EU ETS should be increased by a number of allowances that should be allocated to the Commission for the purchase of an equivalent amount of permanent carbon removals to offset the newly created allowances. The linear reduction factor should not apply to this quantity of allowances, at it is equivalent to the amount of removals that should be purchased. In addition to these newly created allowances, further allowances should be assigned to the Commission to generate revenues through their auctioning for the purchase of the permanent carbon removals, in view of the expected cost differential between allowances and carbon removals. Where fewer allowances are </w:t>
            </w:r>
            <w:r w:rsidRPr="00FC4A49">
              <w:rPr>
                <w:lang w:val="en-GB"/>
              </w:rPr>
              <w:t>required for financing carbon removals than expected, the unused allowances should be integrated back in the Union-wide quantity of allowances referred to in Article 9 of Directive 2003/87/EC. The net target of the EU ETS is the equivalent of the gross emissions minus the permanent carbon removals that are subject to integration.</w:t>
            </w:r>
          </w:p>
        </w:tc>
        <w:tc>
          <w:tcPr>
            <w:tcW w:w="4876" w:type="dxa"/>
          </w:tcPr>
          <w:p w:rsidR="00343C6C" w:rsidRPr="00FC4A49" w:rsidP="005D58F9" w14:paraId="38EDDEA9" w14:textId="77777777">
            <w:pPr>
              <w:pStyle w:val="Normal6"/>
              <w:rPr>
                <w:szCs w:val="24"/>
                <w:lang w:val="en-GB"/>
              </w:rPr>
            </w:pPr>
            <w:r w:rsidRPr="00FC4A49">
              <w:rPr>
                <w:lang w:val="en-GB"/>
              </w:rPr>
              <w:t>(33)</w:t>
            </w:r>
            <w:r w:rsidRPr="00FC4A49">
              <w:rPr>
                <w:lang w:val="en-GB"/>
              </w:rPr>
              <w:tab/>
              <w:t xml:space="preserve">The current price-difference between permanent carbon removals and allowances means that permanent removals will need to be supported in a predictable manner, to ensure that their generation in line with the additional emission space that is created in the ETS through the issuance of allowances. In addition, because they are novel instruments, their integration must protect the EU ETS from uncertainty and must guarantee the environmental integrity of the units that are used to compensate an emission in the EU ETS. Therefore, removals should be integrated in the EU ETS. To that end, the total quantity of allowances in the EU ETS should be increased by a number of allowances that should be allocated to the Commission </w:t>
            </w:r>
            <w:r w:rsidRPr="00FC4A49">
              <w:rPr>
                <w:b/>
                <w:i/>
                <w:lang w:val="en-GB"/>
              </w:rPr>
              <w:t>and operators</w:t>
            </w:r>
            <w:r w:rsidRPr="00FC4A49">
              <w:rPr>
                <w:lang w:val="en-GB"/>
              </w:rPr>
              <w:t xml:space="preserve"> for the purchase of an equivalent amount of permanent carbon removals to offset the newly created allowances. The linear reduction factor should not apply to this quantity of allowances, at it is equivalent to the amount of removals that should be purchased. In addition to these newly created allowances, further allowances should be assigned to the Commission to generate revenues through their auctioning for the purchase of the permanent carbon removals, in view of the expected cost differential between allowances and carbon removals. Where fewer allowances are </w:t>
            </w:r>
            <w:r w:rsidRPr="00FC4A49">
              <w:rPr>
                <w:lang w:val="en-GB"/>
              </w:rPr>
              <w:t>required for financing carbon removals than expected, the unused allowances should be integrated back in the Union-wide quantity of allowances referred to in Article 9 of Directive 2003/87/EC. The net target of the EU ETS is the equivalent of the gross emissions minus the permanent carbon removals that are subject to integration.</w:t>
            </w:r>
          </w:p>
        </w:tc>
      </w:tr>
    </w:tbl>
    <w:p w:rsidR="00343C6C" w:rsidRPr="00FC4A49" w:rsidP="00343C6C" w14:paraId="15DDE45E"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C8E9BAC" w14:textId="77777777">
      <w:r w:rsidRPr="00FC4A49">
        <w:rPr>
          <w:rStyle w:val="HideTWBExt"/>
        </w:rPr>
        <w:t>&lt;/Amend&gt;</w:t>
      </w:r>
    </w:p>
    <w:p w:rsidR="00343C6C" w:rsidRPr="00FC4A49" w:rsidP="00343C6C" w14:paraId="0647B933"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253</w:t>
      </w:r>
      <w:r w:rsidRPr="00FC4A49">
        <w:rPr>
          <w:rStyle w:val="HideTWBExt"/>
          <w:b w:val="0"/>
          <w:lang w:val="en-GB"/>
        </w:rPr>
        <w:t>&lt;/NumAm&gt;</w:t>
      </w:r>
    </w:p>
    <w:p w:rsidR="00343C6C" w:rsidRPr="00FC4A49" w:rsidP="00343C6C" w14:paraId="08987B2D" w14:textId="77777777">
      <w:pPr>
        <w:pStyle w:val="NormalBold"/>
      </w:pPr>
      <w:r w:rsidRPr="00FC4A49">
        <w:rPr>
          <w:rStyle w:val="HideTWBExt"/>
          <w:b w:val="0"/>
        </w:rPr>
        <w:t>&lt;RepeatBlock-By&gt;&lt;Members&gt;</w:t>
      </w:r>
      <w:r w:rsidRPr="00FC4A49">
        <w:t xml:space="preserve">Michal Wiezik, Martin </w:t>
      </w:r>
      <w:r w:rsidRPr="00FC4A49">
        <w:t>Hojsík</w:t>
      </w:r>
      <w:r w:rsidRPr="00FC4A49">
        <w:rPr>
          <w:rStyle w:val="HideTWBExt"/>
          <w:b w:val="0"/>
        </w:rPr>
        <w:t>&lt;/Members&gt;</w:t>
      </w:r>
    </w:p>
    <w:p w:rsidR="00343C6C" w:rsidRPr="00FC4A49" w:rsidP="00343C6C" w14:paraId="5CBA0FD0" w14:textId="77777777">
      <w:r w:rsidRPr="00FC4A49">
        <w:rPr>
          <w:rStyle w:val="HideTWBExt"/>
        </w:rPr>
        <w:t>&lt;/RepeatBlock-By&gt;</w:t>
      </w:r>
    </w:p>
    <w:p w:rsidR="00343C6C" w:rsidRPr="00FC4A49" w:rsidP="00343C6C" w14:paraId="68FD8DAE"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231345C" w14:textId="77777777">
      <w:pPr>
        <w:pStyle w:val="NormalBold"/>
      </w:pPr>
      <w:r w:rsidRPr="00FC4A49">
        <w:rPr>
          <w:rStyle w:val="HideTWBExt"/>
          <w:b w:val="0"/>
        </w:rPr>
        <w:t>&lt;Article&gt;</w:t>
      </w:r>
      <w:r w:rsidRPr="00FC4A49">
        <w:t>Recital 34</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BF0733"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4B299B2" w14:textId="77777777">
            <w:pPr>
              <w:keepNext/>
            </w:pPr>
          </w:p>
        </w:tc>
      </w:tr>
      <w:tr w14:paraId="0AEFA62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583F896" w14:textId="77777777">
            <w:pPr>
              <w:pStyle w:val="ColumnHeading"/>
              <w:keepNext/>
              <w:rPr>
                <w:lang w:val="en-GB"/>
              </w:rPr>
            </w:pPr>
            <w:r w:rsidRPr="00FC4A49">
              <w:rPr>
                <w:lang w:val="en-GB"/>
              </w:rPr>
              <w:t>Text proposed by the Commission</w:t>
            </w:r>
          </w:p>
        </w:tc>
        <w:tc>
          <w:tcPr>
            <w:tcW w:w="4876" w:type="dxa"/>
          </w:tcPr>
          <w:p w:rsidR="00343C6C" w:rsidRPr="00FC4A49" w:rsidP="005D58F9" w14:paraId="02E449CB" w14:textId="77777777">
            <w:pPr>
              <w:pStyle w:val="ColumnHeading"/>
              <w:keepNext/>
              <w:rPr>
                <w:lang w:val="en-GB"/>
              </w:rPr>
            </w:pPr>
            <w:r w:rsidRPr="00FC4A49">
              <w:rPr>
                <w:lang w:val="en-GB"/>
              </w:rPr>
              <w:t>Amendment</w:t>
            </w:r>
          </w:p>
        </w:tc>
      </w:tr>
      <w:tr w14:paraId="25553A4F"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6C6AD05" w14:textId="77777777">
            <w:pPr>
              <w:pStyle w:val="Normal6"/>
              <w:rPr>
                <w:lang w:val="en-GB"/>
              </w:rPr>
            </w:pPr>
            <w:r w:rsidRPr="00FC4A49">
              <w:rPr>
                <w:lang w:val="en-GB"/>
              </w:rPr>
              <w:t>(34)</w:t>
            </w:r>
            <w:r w:rsidRPr="00FC4A49">
              <w:rPr>
                <w:lang w:val="en-GB"/>
              </w:rPr>
              <w:tab/>
            </w:r>
            <w:r w:rsidRPr="00FC4A49">
              <w:rPr>
                <w:b/>
                <w:i/>
                <w:lang w:val="en-GB"/>
              </w:rPr>
              <w:t>To facilitate the use of permanent carbon removals by operators, shipping companies and aircraft operators, these should be allowed to compensate their own fossil emissions with their biogenic CO</w:t>
            </w:r>
            <w:r w:rsidRPr="00FC4A49">
              <w:rPr>
                <w:b/>
                <w:i/>
                <w:vertAlign w:val="subscript"/>
                <w:lang w:val="en-GB"/>
              </w:rPr>
              <w:t>2</w:t>
            </w:r>
            <w:r w:rsidRPr="00FC4A49">
              <w:rPr>
                <w:lang w:val="en-GB"/>
              </w:rPr>
              <w:t xml:space="preserve"> </w:t>
            </w:r>
            <w:r w:rsidRPr="00FC4A49">
              <w:rPr>
                <w:b/>
                <w:i/>
                <w:lang w:val="en-GB"/>
              </w:rPr>
              <w:t>emissions captured and permanently stored, which are certified as permanent carbon removal units in accordance with the methodologies for the certification of domestic permanent biogenic emissions capture with carbon storage (</w:t>
            </w:r>
            <w:r w:rsidRPr="00FC4A49">
              <w:rPr>
                <w:b/>
                <w:i/>
                <w:lang w:val="en-GB"/>
              </w:rPr>
              <w:t>BioCCS</w:t>
            </w:r>
            <w:r w:rsidRPr="00FC4A49">
              <w:rPr>
                <w:b/>
                <w:i/>
                <w:lang w:val="en-GB"/>
              </w:rPr>
              <w:t>) removals established under Regulation (EU) 2024/3012 of the European Parliament and of the Council</w:t>
            </w:r>
            <w:r w:rsidRPr="00FC4A49">
              <w:rPr>
                <w:b/>
                <w:i/>
                <w:vertAlign w:val="superscript"/>
                <w:lang w:val="en-GB"/>
              </w:rPr>
              <w:t>18</w:t>
            </w:r>
            <w:r w:rsidRPr="00FC4A49">
              <w:rPr>
                <w:lang w:val="en-GB"/>
              </w:rPr>
              <w:t xml:space="preserve"> </w:t>
            </w:r>
            <w:r w:rsidRPr="00FC4A49">
              <w:rPr>
                <w:b/>
                <w:i/>
                <w:lang w:val="en-GB"/>
              </w:rPr>
              <w:t>. To avoid double counting, carbon removals units used for the purpose of compensating own emissions should be cancelled from the Union Registry provided for in Article 12 of Regulation (EU) 2024/3012 of the European Parliament and of the Council</w:t>
            </w:r>
            <w:r w:rsidRPr="00FC4A49">
              <w:rPr>
                <w:b/>
                <w:i/>
                <w:vertAlign w:val="superscript"/>
                <w:lang w:val="en-GB"/>
              </w:rPr>
              <w:t>19</w:t>
            </w:r>
            <w:r w:rsidRPr="00FC4A49">
              <w:rPr>
                <w:lang w:val="en-GB"/>
              </w:rPr>
              <w:t xml:space="preserve"> </w:t>
            </w:r>
            <w:r w:rsidRPr="00FC4A49">
              <w:rPr>
                <w:b/>
                <w:i/>
                <w:lang w:val="en-GB"/>
              </w:rPr>
              <w:t xml:space="preserve">. This compensation mechanism cannot entail the generation of negative emissions or the of obtaining allowances. It should lead to an adjustment of the allowances assigned for the purchase of carbon removals and to the carbon removals that </w:t>
            </w:r>
            <w:r w:rsidRPr="00FC4A49">
              <w:rPr>
                <w:b/>
                <w:i/>
                <w:lang w:val="en-GB"/>
              </w:rPr>
              <w:t>are to be purchased, to prevent the total emission space from increasing beyond the limit implied by the integration through the purchasing programme.</w:t>
            </w:r>
          </w:p>
        </w:tc>
        <w:tc>
          <w:tcPr>
            <w:tcW w:w="4876" w:type="dxa"/>
          </w:tcPr>
          <w:p w:rsidR="00343C6C" w:rsidRPr="00FC4A49" w:rsidP="005D58F9" w14:paraId="2EE86AC8" w14:textId="77777777">
            <w:pPr>
              <w:pStyle w:val="Normal6"/>
              <w:rPr>
                <w:szCs w:val="24"/>
                <w:lang w:val="en-GB"/>
              </w:rPr>
            </w:pPr>
            <w:r w:rsidRPr="00FC4A49">
              <w:rPr>
                <w:lang w:val="en-GB"/>
              </w:rPr>
              <w:t>(34)</w:t>
            </w:r>
            <w:r w:rsidRPr="00FC4A49">
              <w:rPr>
                <w:lang w:val="en-GB"/>
              </w:rPr>
              <w:tab/>
            </w:r>
            <w:r w:rsidRPr="00FC4A49">
              <w:rPr>
                <w:b/>
                <w:i/>
                <w:lang w:val="en-GB"/>
              </w:rPr>
              <w:t>deleted</w:t>
            </w:r>
          </w:p>
        </w:tc>
      </w:tr>
      <w:tr w14:paraId="12D89B2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1AABB02" w14:textId="77777777">
            <w:pPr>
              <w:pStyle w:val="Normal6"/>
              <w:rPr>
                <w:lang w:val="en-GB"/>
              </w:rPr>
            </w:pPr>
            <w:r w:rsidRPr="00FC4A49">
              <w:rPr>
                <w:lang w:val="en-GB"/>
              </w:rPr>
              <w:t>__________________</w:t>
            </w:r>
          </w:p>
        </w:tc>
        <w:tc>
          <w:tcPr>
            <w:tcW w:w="4876" w:type="dxa"/>
          </w:tcPr>
          <w:p w:rsidR="00343C6C" w:rsidRPr="00FC4A49" w:rsidP="005D58F9" w14:paraId="1DD516CE" w14:textId="77777777">
            <w:pPr>
              <w:pStyle w:val="Normal6"/>
              <w:rPr>
                <w:szCs w:val="24"/>
                <w:lang w:val="en-GB"/>
              </w:rPr>
            </w:pPr>
          </w:p>
        </w:tc>
      </w:tr>
      <w:tr w14:paraId="754FFA9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AC5EBFC" w14:textId="77777777">
            <w:pPr>
              <w:pStyle w:val="Normal6"/>
              <w:rPr>
                <w:lang w:val="en-GB"/>
              </w:rPr>
            </w:pPr>
            <w:r w:rsidRPr="00FC4A49">
              <w:rPr>
                <w:b/>
                <w:i/>
                <w:vertAlign w:val="superscript"/>
                <w:lang w:val="en-GB"/>
              </w:rPr>
              <w:t>18</w:t>
            </w:r>
            <w:r w:rsidRPr="00FC4A49">
              <w:rPr>
                <w:lang w:val="en-GB"/>
              </w:rPr>
              <w:t xml:space="preserve"> </w:t>
            </w:r>
            <w:r w:rsidRPr="00FC4A49">
              <w:rPr>
                <w:b/>
                <w:i/>
                <w:lang w:val="en-GB"/>
              </w:rPr>
              <w:t>Regulation (EU) 2024/3012 of the European Parliament and of the Council of 27 November 2024 establishing a Union certification framework for permanent carbon removals, carbon farming and carbon storage in products (OJ L, 2024/3012, ELI: http://data.europa.eu/eli/reg/2024/3012/oj).</w:t>
            </w:r>
          </w:p>
        </w:tc>
        <w:tc>
          <w:tcPr>
            <w:tcW w:w="4876" w:type="dxa"/>
          </w:tcPr>
          <w:p w:rsidR="00343C6C" w:rsidRPr="00FC4A49" w:rsidP="005D58F9" w14:paraId="35FAE5D5" w14:textId="77777777">
            <w:pPr>
              <w:pStyle w:val="Normal6"/>
              <w:rPr>
                <w:szCs w:val="24"/>
                <w:lang w:val="en-GB"/>
              </w:rPr>
            </w:pPr>
          </w:p>
        </w:tc>
      </w:tr>
      <w:tr w14:paraId="688AF67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84C4C84" w14:textId="77777777">
            <w:pPr>
              <w:pStyle w:val="Normal6"/>
              <w:rPr>
                <w:lang w:val="en-GB"/>
              </w:rPr>
            </w:pPr>
            <w:r w:rsidRPr="00FC4A49">
              <w:rPr>
                <w:b/>
                <w:i/>
                <w:vertAlign w:val="superscript"/>
                <w:lang w:val="en-GB"/>
              </w:rPr>
              <w:t>19</w:t>
            </w:r>
            <w:r w:rsidRPr="00FC4A49">
              <w:rPr>
                <w:lang w:val="en-GB"/>
              </w:rPr>
              <w:t xml:space="preserve"> </w:t>
            </w:r>
            <w:r w:rsidRPr="00FC4A49">
              <w:rPr>
                <w:b/>
                <w:i/>
                <w:lang w:val="en-GB"/>
              </w:rPr>
              <w:t>Regulation (EU) 2024/3012 of the European Parliament and of the Council of 27 November 2024 establishing a Union certification framework for permanent carbon removals, carbon farming and carbon storage in products (ELI: http://data.europa.eu/eli/reg/2024/3012/oj).</w:t>
            </w:r>
          </w:p>
        </w:tc>
        <w:tc>
          <w:tcPr>
            <w:tcW w:w="4876" w:type="dxa"/>
          </w:tcPr>
          <w:p w:rsidR="00343C6C" w:rsidRPr="00FC4A49" w:rsidP="005D58F9" w14:paraId="42203480" w14:textId="77777777">
            <w:pPr>
              <w:pStyle w:val="Normal6"/>
              <w:rPr>
                <w:szCs w:val="24"/>
                <w:lang w:val="en-GB"/>
              </w:rPr>
            </w:pPr>
          </w:p>
        </w:tc>
      </w:tr>
    </w:tbl>
    <w:p w:rsidR="00343C6C" w:rsidRPr="00FC4A49" w:rsidP="00343C6C" w14:paraId="361DA5D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A6F2F6C" w14:textId="77777777">
      <w:r w:rsidRPr="00FC4A49">
        <w:rPr>
          <w:rStyle w:val="HideTWBExt"/>
        </w:rPr>
        <w:t>&lt;/Amend&gt;</w:t>
      </w:r>
    </w:p>
    <w:p w:rsidR="00343C6C" w:rsidRPr="00FC4A49" w:rsidP="00343C6C" w14:paraId="44B45F82"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254</w:t>
      </w:r>
      <w:r w:rsidRPr="00FC4A49">
        <w:rPr>
          <w:rStyle w:val="HideTWBExt"/>
          <w:b w:val="0"/>
          <w:lang w:val="en-GB"/>
        </w:rPr>
        <w:t>&lt;/NumAm&gt;</w:t>
      </w:r>
    </w:p>
    <w:p w:rsidR="00343C6C" w:rsidRPr="00FC4A49" w:rsidP="00343C6C" w14:paraId="56C0D897" w14:textId="77777777">
      <w:pPr>
        <w:pStyle w:val="NormalBold"/>
      </w:pPr>
      <w:r w:rsidRPr="00FC4A49">
        <w:rPr>
          <w:rStyle w:val="HideTWBExt"/>
          <w:b w:val="0"/>
        </w:rPr>
        <w:t>&lt;RepeatBlock-By&gt;&lt;Members&gt;</w:t>
      </w:r>
      <w:r w:rsidRPr="00FC4A49">
        <w:t>Radan Kanev</w:t>
      </w:r>
      <w:r w:rsidRPr="00FC4A49">
        <w:rPr>
          <w:rStyle w:val="HideTWBExt"/>
          <w:b w:val="0"/>
        </w:rPr>
        <w:t>&lt;/Members&gt;</w:t>
      </w:r>
    </w:p>
    <w:p w:rsidR="00343C6C" w:rsidRPr="00FC4A49" w:rsidP="00343C6C" w14:paraId="3F41F4F1" w14:textId="77777777">
      <w:r w:rsidRPr="00FC4A49">
        <w:rPr>
          <w:rStyle w:val="HideTWBExt"/>
        </w:rPr>
        <w:t>&lt;/RepeatBlock-By&gt;</w:t>
      </w:r>
    </w:p>
    <w:p w:rsidR="00343C6C" w:rsidRPr="00FC4A49" w:rsidP="00343C6C" w14:paraId="605EA474"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9D7ED5A" w14:textId="77777777">
      <w:pPr>
        <w:pStyle w:val="NormalBold"/>
      </w:pPr>
      <w:r w:rsidRPr="00FC4A49">
        <w:rPr>
          <w:rStyle w:val="HideTWBExt"/>
          <w:b w:val="0"/>
        </w:rPr>
        <w:t>&lt;Article&gt;</w:t>
      </w:r>
      <w:r w:rsidRPr="00FC4A49">
        <w:t>Recital 34</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EA4D1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5BB96F29" w14:textId="77777777">
            <w:pPr>
              <w:keepNext/>
            </w:pPr>
          </w:p>
        </w:tc>
      </w:tr>
      <w:tr w14:paraId="0B1447C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E9C32FC" w14:textId="77777777">
            <w:pPr>
              <w:pStyle w:val="ColumnHeading"/>
              <w:keepNext/>
              <w:rPr>
                <w:lang w:val="en-GB"/>
              </w:rPr>
            </w:pPr>
            <w:r w:rsidRPr="00FC4A49">
              <w:rPr>
                <w:lang w:val="en-GB"/>
              </w:rPr>
              <w:t>Text proposed by the Commission</w:t>
            </w:r>
          </w:p>
        </w:tc>
        <w:tc>
          <w:tcPr>
            <w:tcW w:w="4876" w:type="dxa"/>
          </w:tcPr>
          <w:p w:rsidR="00343C6C" w:rsidRPr="00FC4A49" w:rsidP="005D58F9" w14:paraId="495CE043" w14:textId="77777777">
            <w:pPr>
              <w:pStyle w:val="ColumnHeading"/>
              <w:keepNext/>
              <w:rPr>
                <w:lang w:val="en-GB"/>
              </w:rPr>
            </w:pPr>
            <w:r w:rsidRPr="00FC4A49">
              <w:rPr>
                <w:lang w:val="en-GB"/>
              </w:rPr>
              <w:t>Amendment</w:t>
            </w:r>
          </w:p>
        </w:tc>
      </w:tr>
      <w:tr w14:paraId="5B0F8A3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412642D" w14:textId="77777777">
            <w:pPr>
              <w:pStyle w:val="Normal6"/>
              <w:rPr>
                <w:lang w:val="en-GB"/>
              </w:rPr>
            </w:pPr>
            <w:r w:rsidRPr="00FC4A49">
              <w:rPr>
                <w:lang w:val="en-GB"/>
              </w:rPr>
              <w:t>(34)</w:t>
            </w:r>
            <w:r w:rsidRPr="00FC4A49">
              <w:rPr>
                <w:lang w:val="en-GB"/>
              </w:rPr>
              <w:tab/>
              <w:t xml:space="preserve">To facilitate the use of permanent carbon removals by operators, shipping companies and aircraft operators, these should be allowed to compensate their own fossil emissions with </w:t>
            </w:r>
            <w:r w:rsidRPr="00FC4A49">
              <w:rPr>
                <w:b/>
                <w:i/>
                <w:lang w:val="en-GB"/>
              </w:rPr>
              <w:t>their biogenic CO</w:t>
            </w:r>
            <w:r w:rsidRPr="00FC4A49">
              <w:rPr>
                <w:b/>
                <w:i/>
                <w:vertAlign w:val="subscript"/>
                <w:lang w:val="en-GB"/>
              </w:rPr>
              <w:t>2</w:t>
            </w:r>
            <w:r w:rsidRPr="00FC4A49">
              <w:rPr>
                <w:lang w:val="en-GB"/>
              </w:rPr>
              <w:t xml:space="preserve"> </w:t>
            </w:r>
            <w:r w:rsidRPr="00FC4A49">
              <w:rPr>
                <w:b/>
                <w:i/>
                <w:lang w:val="en-GB"/>
              </w:rPr>
              <w:t>emissions captured and permanently stored, which are certified as</w:t>
            </w:r>
            <w:r w:rsidRPr="00FC4A49">
              <w:rPr>
                <w:lang w:val="en-GB"/>
              </w:rPr>
              <w:t xml:space="preserve"> permanent carbon removal units </w:t>
            </w:r>
            <w:r w:rsidRPr="00FC4A49">
              <w:rPr>
                <w:b/>
                <w:i/>
                <w:lang w:val="en-GB"/>
              </w:rPr>
              <w:t>in accordance with the methodologies for the certification of domestic permanent</w:t>
            </w:r>
            <w:r w:rsidRPr="00FC4A49">
              <w:rPr>
                <w:lang w:val="en-GB"/>
              </w:rPr>
              <w:t xml:space="preserve"> biogenic emissions capture with carbon storage (</w:t>
            </w:r>
            <w:r w:rsidRPr="00FC4A49">
              <w:rPr>
                <w:lang w:val="en-GB"/>
              </w:rPr>
              <w:t>BioCCS</w:t>
            </w:r>
            <w:r w:rsidRPr="00FC4A49">
              <w:rPr>
                <w:lang w:val="en-GB"/>
              </w:rPr>
              <w:t xml:space="preserve">) </w:t>
            </w:r>
            <w:r w:rsidRPr="00FC4A49">
              <w:rPr>
                <w:lang w:val="en-GB"/>
              </w:rPr>
              <w:t xml:space="preserve">removals </w:t>
            </w:r>
            <w:r w:rsidRPr="00FC4A49">
              <w:rPr>
                <w:b/>
                <w:i/>
                <w:lang w:val="en-GB"/>
              </w:rPr>
              <w:t>established</w:t>
            </w:r>
            <w:r w:rsidRPr="00FC4A49">
              <w:rPr>
                <w:lang w:val="en-GB"/>
              </w:rPr>
              <w:t xml:space="preserve"> under Regulation (EU) 2024/3012 of the European Parliament and of the Council</w:t>
            </w:r>
            <w:r w:rsidRPr="00FC4A49">
              <w:rPr>
                <w:vertAlign w:val="superscript"/>
                <w:lang w:val="en-GB"/>
              </w:rPr>
              <w:t>18</w:t>
            </w:r>
            <w:r w:rsidRPr="00FC4A49">
              <w:rPr>
                <w:lang w:val="en-GB"/>
              </w:rPr>
              <w:t xml:space="preserve"> . To avoid double counting, </w:t>
            </w:r>
            <w:r w:rsidRPr="00FC4A49">
              <w:rPr>
                <w:b/>
                <w:i/>
                <w:lang w:val="en-GB"/>
              </w:rPr>
              <w:t>carbon removals</w:t>
            </w:r>
            <w:r w:rsidRPr="00FC4A49">
              <w:rPr>
                <w:lang w:val="en-GB"/>
              </w:rPr>
              <w:t xml:space="preserve"> units used for the purpose of compensating own emissions should be cancelled from the Union Registry provided for in Article 12 of Regulation (EU) 2024/3012 of the European Parliament and of the Council</w:t>
            </w:r>
            <w:r w:rsidRPr="00FC4A49">
              <w:rPr>
                <w:vertAlign w:val="superscript"/>
                <w:lang w:val="en-GB"/>
              </w:rPr>
              <w:t>19</w:t>
            </w:r>
            <w:r w:rsidRPr="00FC4A49">
              <w:rPr>
                <w:lang w:val="en-GB"/>
              </w:rPr>
              <w:t xml:space="preserve"> . This compensation mechanism </w:t>
            </w:r>
            <w:r w:rsidRPr="00FC4A49">
              <w:rPr>
                <w:b/>
                <w:i/>
                <w:lang w:val="en-GB"/>
              </w:rPr>
              <w:t>cannot entail the generation of</w:t>
            </w:r>
            <w:r w:rsidRPr="00FC4A49">
              <w:rPr>
                <w:lang w:val="en-GB"/>
              </w:rPr>
              <w:t xml:space="preserve"> negative emissions </w:t>
            </w:r>
            <w:r w:rsidRPr="00FC4A49">
              <w:rPr>
                <w:b/>
                <w:i/>
                <w:lang w:val="en-GB"/>
              </w:rPr>
              <w:t>or the of obtaining</w:t>
            </w:r>
            <w:r w:rsidRPr="00FC4A49">
              <w:rPr>
                <w:lang w:val="en-GB"/>
              </w:rPr>
              <w:t xml:space="preserve"> allowances. It should lead to </w:t>
            </w:r>
            <w:r w:rsidRPr="00FC4A49">
              <w:rPr>
                <w:b/>
                <w:i/>
                <w:lang w:val="en-GB"/>
              </w:rPr>
              <w:t>an</w:t>
            </w:r>
            <w:r w:rsidRPr="00FC4A49">
              <w:rPr>
                <w:lang w:val="en-GB"/>
              </w:rPr>
              <w:t xml:space="preserve"> adjustment of the allowances assigned for the purchase of carbon removals and </w:t>
            </w:r>
            <w:r w:rsidRPr="00FC4A49">
              <w:rPr>
                <w:b/>
                <w:i/>
                <w:lang w:val="en-GB"/>
              </w:rPr>
              <w:t>to the carbon</w:t>
            </w:r>
            <w:r w:rsidRPr="00FC4A49">
              <w:rPr>
                <w:lang w:val="en-GB"/>
              </w:rPr>
              <w:t xml:space="preserve"> removals </w:t>
            </w:r>
            <w:r w:rsidRPr="00FC4A49">
              <w:rPr>
                <w:b/>
                <w:i/>
                <w:lang w:val="en-GB"/>
              </w:rPr>
              <w:t>that are</w:t>
            </w:r>
            <w:r w:rsidRPr="00FC4A49">
              <w:rPr>
                <w:lang w:val="en-GB"/>
              </w:rPr>
              <w:t xml:space="preserve"> to be purchased, to prevent the total emission space from increasing beyond the limit implied by </w:t>
            </w:r>
            <w:r w:rsidRPr="00FC4A49">
              <w:rPr>
                <w:b/>
                <w:i/>
                <w:lang w:val="en-GB"/>
              </w:rPr>
              <w:t>the</w:t>
            </w:r>
            <w:r w:rsidRPr="00FC4A49">
              <w:rPr>
                <w:lang w:val="en-GB"/>
              </w:rPr>
              <w:t xml:space="preserve"> integration through the purchasing programme.</w:t>
            </w:r>
          </w:p>
        </w:tc>
        <w:tc>
          <w:tcPr>
            <w:tcW w:w="4876" w:type="dxa"/>
          </w:tcPr>
          <w:p w:rsidR="00343C6C" w:rsidRPr="00FC4A49" w:rsidP="005D58F9" w14:paraId="7099E5BD" w14:textId="77777777">
            <w:pPr>
              <w:pStyle w:val="Normal6"/>
              <w:rPr>
                <w:szCs w:val="24"/>
                <w:lang w:val="en-GB"/>
              </w:rPr>
            </w:pPr>
            <w:r w:rsidRPr="00FC4A49">
              <w:rPr>
                <w:lang w:val="en-GB"/>
              </w:rPr>
              <w:t>(34)</w:t>
            </w:r>
            <w:r w:rsidRPr="00FC4A49">
              <w:rPr>
                <w:lang w:val="en-GB"/>
              </w:rPr>
              <w:tab/>
              <w:t xml:space="preserve">To facilitate the use of permanent carbon removals by operators, shipping companies and aircraft operators, these should be allowed to compensate their own fossil emissions with </w:t>
            </w:r>
            <w:r w:rsidRPr="00FC4A49">
              <w:rPr>
                <w:b/>
                <w:i/>
                <w:lang w:val="en-GB"/>
              </w:rPr>
              <w:t>domestic</w:t>
            </w:r>
            <w:r w:rsidRPr="00FC4A49">
              <w:rPr>
                <w:lang w:val="en-GB"/>
              </w:rPr>
              <w:t xml:space="preserve"> permanent carbon removal units </w:t>
            </w:r>
            <w:r w:rsidRPr="00FC4A49">
              <w:rPr>
                <w:b/>
                <w:i/>
                <w:lang w:val="en-GB"/>
              </w:rPr>
              <w:t>generated through</w:t>
            </w:r>
            <w:r w:rsidRPr="00FC4A49">
              <w:rPr>
                <w:lang w:val="en-GB"/>
              </w:rPr>
              <w:t xml:space="preserve"> biogenic emissions capture with carbon storage (</w:t>
            </w:r>
            <w:r w:rsidRPr="00FC4A49">
              <w:rPr>
                <w:lang w:val="en-GB"/>
              </w:rPr>
              <w:t>BioCCS</w:t>
            </w:r>
            <w:r w:rsidRPr="00FC4A49">
              <w:rPr>
                <w:lang w:val="en-GB"/>
              </w:rPr>
              <w:t>)</w:t>
            </w:r>
            <w:r w:rsidRPr="00FC4A49">
              <w:rPr>
                <w:b/>
                <w:i/>
                <w:lang w:val="en-GB"/>
              </w:rPr>
              <w:t>, direct air capture with carbon storage (DACCS), or other methods certified as permanent carbon</w:t>
            </w:r>
            <w:r w:rsidRPr="00FC4A49">
              <w:rPr>
                <w:lang w:val="en-GB"/>
              </w:rPr>
              <w:t xml:space="preserve"> removals under Regulation (EU) </w:t>
            </w:r>
            <w:r w:rsidRPr="00FC4A49">
              <w:rPr>
                <w:lang w:val="en-GB"/>
              </w:rPr>
              <w:t>2024/3012 of the European Parliament and of the Council</w:t>
            </w:r>
            <w:r w:rsidRPr="00FC4A49">
              <w:rPr>
                <w:vertAlign w:val="superscript"/>
                <w:lang w:val="en-GB"/>
              </w:rPr>
              <w:t>18</w:t>
            </w:r>
            <w:r w:rsidRPr="00FC4A49">
              <w:rPr>
                <w:b/>
                <w:i/>
                <w:lang w:val="en-GB"/>
              </w:rPr>
              <w:t>.</w:t>
            </w:r>
            <w:r w:rsidRPr="00FC4A49">
              <w:rPr>
                <w:lang w:val="en-GB"/>
              </w:rPr>
              <w:t xml:space="preserve"> </w:t>
            </w:r>
            <w:r w:rsidRPr="00FC4A49">
              <w:rPr>
                <w:b/>
                <w:i/>
                <w:lang w:val="en-GB"/>
              </w:rPr>
              <w:t>Such units may be generated by those operators or purchased from other providers. Additional methods should become eligible once a corresponding methodology for their certification as permanent carbon removals has been established under that Regulation</w:t>
            </w:r>
            <w:r w:rsidRPr="00FC4A49">
              <w:rPr>
                <w:lang w:val="en-GB"/>
              </w:rPr>
              <w:t>. To avoid double counting, units used for the purpose of compensating own emissions should be cancelled from the Union Registry provided for in Article 12 of Regulation (EU) 2024/3012 of the European Parliament and of the Council</w:t>
            </w:r>
            <w:r w:rsidRPr="00FC4A49">
              <w:rPr>
                <w:vertAlign w:val="superscript"/>
                <w:lang w:val="en-GB"/>
              </w:rPr>
              <w:t>19</w:t>
            </w:r>
            <w:r w:rsidRPr="00FC4A49">
              <w:rPr>
                <w:lang w:val="en-GB"/>
              </w:rPr>
              <w:t xml:space="preserve"> . This compensation mechanism </w:t>
            </w:r>
            <w:r w:rsidRPr="00FC4A49">
              <w:rPr>
                <w:b/>
                <w:i/>
                <w:lang w:val="en-GB"/>
              </w:rPr>
              <w:t>should not result in a</w:t>
            </w:r>
            <w:r w:rsidRPr="00FC4A49">
              <w:rPr>
                <w:lang w:val="en-GB"/>
              </w:rPr>
              <w:t xml:space="preserve"> negative emissions </w:t>
            </w:r>
            <w:r w:rsidRPr="00FC4A49">
              <w:rPr>
                <w:b/>
                <w:i/>
                <w:lang w:val="en-GB"/>
              </w:rPr>
              <w:t>balance for compliant purposes or confer an entitlement to</w:t>
            </w:r>
            <w:r w:rsidRPr="00FC4A49">
              <w:rPr>
                <w:lang w:val="en-GB"/>
              </w:rPr>
              <w:t xml:space="preserve"> allowances. It should lead to </w:t>
            </w:r>
            <w:r w:rsidRPr="00FC4A49">
              <w:rPr>
                <w:b/>
                <w:i/>
                <w:lang w:val="en-GB"/>
              </w:rPr>
              <w:t>a corresponding</w:t>
            </w:r>
            <w:r w:rsidRPr="00FC4A49">
              <w:rPr>
                <w:lang w:val="en-GB"/>
              </w:rPr>
              <w:t xml:space="preserve"> adjustment of the allowances assigned for the purchase of carbon removals and </w:t>
            </w:r>
            <w:r w:rsidRPr="00FC4A49">
              <w:rPr>
                <w:b/>
                <w:i/>
                <w:lang w:val="en-GB"/>
              </w:rPr>
              <w:t>of the quantity of</w:t>
            </w:r>
            <w:r w:rsidRPr="00FC4A49">
              <w:rPr>
                <w:lang w:val="en-GB"/>
              </w:rPr>
              <w:t xml:space="preserve"> removals to be purchased, to prevent the total emission space from increasing beyond the limit implied by integration through the purchasing programme.</w:t>
            </w:r>
          </w:p>
        </w:tc>
      </w:tr>
      <w:tr w14:paraId="5FFD184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E36DBF6" w14:textId="77777777">
            <w:pPr>
              <w:pStyle w:val="Normal6"/>
              <w:rPr>
                <w:lang w:val="en-GB"/>
              </w:rPr>
            </w:pPr>
            <w:r w:rsidRPr="00FC4A49">
              <w:rPr>
                <w:lang w:val="en-GB"/>
              </w:rPr>
              <w:t>__________________</w:t>
            </w:r>
          </w:p>
        </w:tc>
        <w:tc>
          <w:tcPr>
            <w:tcW w:w="4876" w:type="dxa"/>
          </w:tcPr>
          <w:p w:rsidR="00343C6C" w:rsidRPr="00FC4A49" w:rsidP="005D58F9" w14:paraId="19A1671A" w14:textId="77777777">
            <w:pPr>
              <w:pStyle w:val="Normal6"/>
              <w:rPr>
                <w:szCs w:val="24"/>
                <w:lang w:val="en-GB"/>
              </w:rPr>
            </w:pPr>
            <w:r w:rsidRPr="00FC4A49">
              <w:rPr>
                <w:lang w:val="en-GB"/>
              </w:rPr>
              <w:t>__________________</w:t>
            </w:r>
          </w:p>
        </w:tc>
      </w:tr>
      <w:tr w14:paraId="2DC7E65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B9A233C" w14:textId="77777777">
            <w:pPr>
              <w:pStyle w:val="Normal6"/>
              <w:rPr>
                <w:lang w:val="en-GB"/>
              </w:rPr>
            </w:pPr>
            <w:r w:rsidRPr="00FC4A49">
              <w:rPr>
                <w:vertAlign w:val="superscript"/>
                <w:lang w:val="en-GB"/>
              </w:rPr>
              <w:t>18</w:t>
            </w:r>
            <w:r w:rsidRPr="00FC4A49">
              <w:rPr>
                <w:lang w:val="en-GB"/>
              </w:rPr>
              <w:t xml:space="preserve"> Regulation (EU) 2024/3012 of the European Parliament and of the Council of 27 November 2024 establishing a Union certification framework for permanent carbon removals, carbon farming and carbon storage in products (OJ L, 2024/3012, ELI: http://data.europa.eu/eli/reg/2024/3012/oj).</w:t>
            </w:r>
          </w:p>
        </w:tc>
        <w:tc>
          <w:tcPr>
            <w:tcW w:w="4876" w:type="dxa"/>
          </w:tcPr>
          <w:p w:rsidR="00343C6C" w:rsidRPr="00FC4A49" w:rsidP="005D58F9" w14:paraId="33465F6F" w14:textId="77777777">
            <w:pPr>
              <w:pStyle w:val="Normal6"/>
              <w:rPr>
                <w:szCs w:val="24"/>
                <w:lang w:val="en-GB"/>
              </w:rPr>
            </w:pPr>
            <w:r w:rsidRPr="00FC4A49">
              <w:rPr>
                <w:vertAlign w:val="superscript"/>
                <w:lang w:val="en-GB"/>
              </w:rPr>
              <w:t>18</w:t>
            </w:r>
            <w:r w:rsidRPr="00FC4A49">
              <w:rPr>
                <w:lang w:val="en-GB"/>
              </w:rPr>
              <w:t xml:space="preserve"> Regulation (EU) 2024/3012 of the European Parliament and of the Council of 27 November 2024 establishing a Union certification framework for permanent carbon removals, carbon farming and carbon storage in products (OJ L, 2024/3012, ELI: http://data.europa.eu/eli/reg/2024/3012/oj).</w:t>
            </w:r>
          </w:p>
        </w:tc>
      </w:tr>
      <w:tr w14:paraId="7E60544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8DD4ABC" w14:textId="77777777">
            <w:pPr>
              <w:pStyle w:val="Normal6"/>
              <w:rPr>
                <w:lang w:val="en-GB"/>
              </w:rPr>
            </w:pPr>
            <w:r w:rsidRPr="00FC4A49">
              <w:rPr>
                <w:vertAlign w:val="superscript"/>
                <w:lang w:val="en-GB"/>
              </w:rPr>
              <w:t>19</w:t>
            </w:r>
            <w:r w:rsidRPr="00FC4A49">
              <w:rPr>
                <w:lang w:val="en-GB"/>
              </w:rPr>
              <w:t xml:space="preserve"> Regulation (EU) 2024/3012 of the European Parliament and of the Council of 27 November 2024 establishing a Union certification framework for permanent carbon removals, carbon farming and carbon storage in products (ELI: http://data.europa.eu/eli/reg/2024/3012/oj).</w:t>
            </w:r>
          </w:p>
        </w:tc>
        <w:tc>
          <w:tcPr>
            <w:tcW w:w="4876" w:type="dxa"/>
          </w:tcPr>
          <w:p w:rsidR="00343C6C" w:rsidRPr="00FC4A49" w:rsidP="005D58F9" w14:paraId="0C88FD0B" w14:textId="77777777">
            <w:pPr>
              <w:pStyle w:val="Normal6"/>
              <w:rPr>
                <w:szCs w:val="24"/>
                <w:lang w:val="en-GB"/>
              </w:rPr>
            </w:pPr>
            <w:r w:rsidRPr="00FC4A49">
              <w:rPr>
                <w:vertAlign w:val="superscript"/>
                <w:lang w:val="en-GB"/>
              </w:rPr>
              <w:t>19</w:t>
            </w:r>
            <w:r w:rsidRPr="00FC4A49">
              <w:rPr>
                <w:lang w:val="en-GB"/>
              </w:rPr>
              <w:t xml:space="preserve"> Regulation (EU) 2024/3012 of the European Parliament and of the Council of 27 November 2024 establishing a Union certification framework for permanent carbon removals, carbon farming and carbon storage in products (ELI: http://data.europa.eu/eli/reg/2024/3012/oj).</w:t>
            </w:r>
          </w:p>
        </w:tc>
      </w:tr>
    </w:tbl>
    <w:p w:rsidR="00343C6C" w:rsidRPr="00FC4A49" w:rsidP="00343C6C" w14:paraId="508F0ED9"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B3984DC"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08AAA03A" w14:textId="77777777">
      <w:pPr>
        <w:pStyle w:val="Normal12Italic"/>
        <w:rPr>
          <w:noProof w:val="0"/>
          <w:lang w:val="en-GB"/>
        </w:rPr>
      </w:pPr>
      <w:r w:rsidRPr="00FC4A49">
        <w:rPr>
          <w:noProof w:val="0"/>
          <w:lang w:val="en-GB"/>
        </w:rPr>
        <w:t xml:space="preserve">Makes CRCF-certified permanent removals eligible across technologies, while retaining </w:t>
      </w:r>
      <w:r w:rsidRPr="00FC4A49">
        <w:rPr>
          <w:noProof w:val="0"/>
          <w:lang w:val="en-GB"/>
        </w:rPr>
        <w:t xml:space="preserve">explicit references to </w:t>
      </w:r>
      <w:r w:rsidRPr="00FC4A49">
        <w:rPr>
          <w:noProof w:val="0"/>
          <w:lang w:val="en-GB"/>
        </w:rPr>
        <w:t>BioCCS</w:t>
      </w:r>
      <w:r w:rsidRPr="00FC4A49">
        <w:rPr>
          <w:noProof w:val="0"/>
          <w:lang w:val="en-GB"/>
        </w:rPr>
        <w:t xml:space="preserve"> and DACCS.</w:t>
      </w:r>
    </w:p>
    <w:p w:rsidR="00343C6C" w:rsidRPr="00FC4A49" w:rsidP="00343C6C" w14:paraId="14D17C4F" w14:textId="77777777">
      <w:r w:rsidRPr="00FC4A49">
        <w:rPr>
          <w:rStyle w:val="HideTWBExt"/>
        </w:rPr>
        <w:t>&lt;/Amend&gt;</w:t>
      </w:r>
    </w:p>
    <w:p w:rsidR="00343C6C" w:rsidRPr="00FC4A49" w:rsidP="00343C6C" w14:paraId="2C673335"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255</w:t>
      </w:r>
      <w:r w:rsidRPr="00FC4A49">
        <w:rPr>
          <w:rStyle w:val="HideTWBExt"/>
          <w:b w:val="0"/>
          <w:lang w:val="en-GB"/>
        </w:rPr>
        <w:t>&lt;/NumAm&gt;</w:t>
      </w:r>
    </w:p>
    <w:p w:rsidR="00343C6C" w:rsidRPr="00FC4A49" w:rsidP="00343C6C" w14:paraId="0E244DFA" w14:textId="77777777">
      <w:pPr>
        <w:pStyle w:val="NormalBold"/>
      </w:pPr>
      <w:r w:rsidRPr="00FC4A49">
        <w:rPr>
          <w:rStyle w:val="HideTWBExt"/>
          <w:b w:val="0"/>
        </w:rPr>
        <w:t>&lt;RepeatBlock-By&gt;&lt;Members&gt;</w:t>
      </w:r>
      <w:r w:rsidRPr="00FC4A49">
        <w:t>Mohammed Chahim</w:t>
      </w:r>
      <w:r w:rsidRPr="00FC4A49">
        <w:rPr>
          <w:rStyle w:val="HideTWBExt"/>
          <w:b w:val="0"/>
        </w:rPr>
        <w:t>&lt;/Members&gt;</w:t>
      </w:r>
    </w:p>
    <w:p w:rsidR="00343C6C" w:rsidRPr="00FC4A49" w:rsidP="00343C6C" w14:paraId="21D01B81" w14:textId="77777777">
      <w:r w:rsidRPr="00FC4A49">
        <w:rPr>
          <w:rStyle w:val="HideTWBExt"/>
        </w:rPr>
        <w:t>&lt;/RepeatBlock-By&gt;</w:t>
      </w:r>
    </w:p>
    <w:p w:rsidR="00343C6C" w:rsidRPr="00FC4A49" w:rsidP="00343C6C" w14:paraId="47BBF9BB"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1685AEB" w14:textId="77777777">
      <w:pPr>
        <w:pStyle w:val="NormalBold"/>
      </w:pPr>
      <w:r w:rsidRPr="00FC4A49">
        <w:rPr>
          <w:rStyle w:val="HideTWBExt"/>
          <w:b w:val="0"/>
        </w:rPr>
        <w:t>&lt;Article&gt;</w:t>
      </w:r>
      <w:r w:rsidRPr="00FC4A49">
        <w:t>Recital 34</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9D355E"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B74B6FF" w14:textId="77777777">
            <w:pPr>
              <w:keepNext/>
            </w:pPr>
          </w:p>
        </w:tc>
      </w:tr>
      <w:tr w14:paraId="1CD2906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515442B" w14:textId="77777777">
            <w:pPr>
              <w:pStyle w:val="ColumnHeading"/>
              <w:keepNext/>
              <w:rPr>
                <w:lang w:val="en-GB"/>
              </w:rPr>
            </w:pPr>
            <w:r w:rsidRPr="00FC4A49">
              <w:rPr>
                <w:lang w:val="en-GB"/>
              </w:rPr>
              <w:t>Text proposed by the Commission</w:t>
            </w:r>
          </w:p>
        </w:tc>
        <w:tc>
          <w:tcPr>
            <w:tcW w:w="4876" w:type="dxa"/>
          </w:tcPr>
          <w:p w:rsidR="00343C6C" w:rsidRPr="00FC4A49" w:rsidP="005D58F9" w14:paraId="7BE50A8C" w14:textId="77777777">
            <w:pPr>
              <w:pStyle w:val="ColumnHeading"/>
              <w:keepNext/>
              <w:rPr>
                <w:lang w:val="en-GB"/>
              </w:rPr>
            </w:pPr>
            <w:r w:rsidRPr="00FC4A49">
              <w:rPr>
                <w:lang w:val="en-GB"/>
              </w:rPr>
              <w:t>Amendment</w:t>
            </w:r>
          </w:p>
        </w:tc>
      </w:tr>
      <w:tr w14:paraId="545AAE6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4FA767D" w14:textId="77777777">
            <w:pPr>
              <w:pStyle w:val="Normal6"/>
              <w:rPr>
                <w:lang w:val="en-GB"/>
              </w:rPr>
            </w:pPr>
            <w:r w:rsidRPr="00FC4A49">
              <w:rPr>
                <w:lang w:val="en-GB"/>
              </w:rPr>
              <w:t>(34)</w:t>
            </w:r>
            <w:r w:rsidRPr="00FC4A49">
              <w:rPr>
                <w:lang w:val="en-GB"/>
              </w:rPr>
              <w:tab/>
              <w:t>To facilitate the use of permanent carbon removals by operators</w:t>
            </w:r>
            <w:r w:rsidRPr="00FC4A49">
              <w:rPr>
                <w:b/>
                <w:i/>
                <w:lang w:val="en-GB"/>
              </w:rPr>
              <w:t>, shipping companies and aircraft</w:t>
            </w:r>
            <w:r w:rsidRPr="00FC4A49">
              <w:rPr>
                <w:lang w:val="en-GB"/>
              </w:rPr>
              <w:t xml:space="preserve"> operators</w:t>
            </w:r>
            <w:r w:rsidRPr="00FC4A49">
              <w:rPr>
                <w:b/>
                <w:i/>
                <w:lang w:val="en-GB"/>
              </w:rPr>
              <w:t>, these</w:t>
            </w:r>
            <w:r w:rsidRPr="00FC4A49">
              <w:rPr>
                <w:lang w:val="en-GB"/>
              </w:rPr>
              <w:t xml:space="preserve"> should be </w:t>
            </w:r>
            <w:r w:rsidRPr="00FC4A49">
              <w:rPr>
                <w:b/>
                <w:i/>
                <w:lang w:val="en-GB"/>
              </w:rPr>
              <w:t>allowed</w:t>
            </w:r>
            <w:r w:rsidRPr="00FC4A49">
              <w:rPr>
                <w:lang w:val="en-GB"/>
              </w:rPr>
              <w:t xml:space="preserve"> to compensate their </w:t>
            </w:r>
            <w:r w:rsidRPr="00FC4A49">
              <w:rPr>
                <w:b/>
                <w:i/>
                <w:lang w:val="en-GB"/>
              </w:rPr>
              <w:t>own</w:t>
            </w:r>
            <w:r w:rsidRPr="00FC4A49">
              <w:rPr>
                <w:lang w:val="en-GB"/>
              </w:rPr>
              <w:t xml:space="preserve"> fossil emissions with </w:t>
            </w:r>
            <w:r w:rsidRPr="00FC4A49">
              <w:rPr>
                <w:b/>
                <w:i/>
                <w:lang w:val="en-GB"/>
              </w:rPr>
              <w:t>their biogenic CO</w:t>
            </w:r>
            <w:r w:rsidRPr="00FC4A49">
              <w:rPr>
                <w:b/>
                <w:i/>
                <w:vertAlign w:val="subscript"/>
                <w:lang w:val="en-GB"/>
              </w:rPr>
              <w:t>2</w:t>
            </w:r>
            <w:r w:rsidRPr="00FC4A49">
              <w:rPr>
                <w:lang w:val="en-GB"/>
              </w:rPr>
              <w:t xml:space="preserve"> </w:t>
            </w:r>
            <w:r w:rsidRPr="00FC4A49">
              <w:rPr>
                <w:b/>
                <w:i/>
                <w:lang w:val="en-GB"/>
              </w:rPr>
              <w:t>emissions</w:t>
            </w:r>
            <w:r w:rsidRPr="00FC4A49">
              <w:rPr>
                <w:lang w:val="en-GB"/>
              </w:rPr>
              <w:t xml:space="preserve"> captured and permanently stored</w:t>
            </w:r>
            <w:r w:rsidRPr="00FC4A49">
              <w:rPr>
                <w:b/>
                <w:i/>
                <w:lang w:val="en-GB"/>
              </w:rPr>
              <w:t>, which are</w:t>
            </w:r>
            <w:r w:rsidRPr="00FC4A49">
              <w:rPr>
                <w:lang w:val="en-GB"/>
              </w:rPr>
              <w:t xml:space="preserve"> certified as permanent carbon removal units in accordance with the methodologies for </w:t>
            </w:r>
            <w:r w:rsidRPr="00FC4A49">
              <w:rPr>
                <w:b/>
                <w:i/>
                <w:lang w:val="en-GB"/>
              </w:rPr>
              <w:t>the certification of domestic permanent biogenic emissions</w:t>
            </w:r>
            <w:r w:rsidRPr="00FC4A49">
              <w:rPr>
                <w:lang w:val="en-GB"/>
              </w:rPr>
              <w:t xml:space="preserve"> capture with carbon storage </w:t>
            </w:r>
            <w:r w:rsidRPr="00FC4A49">
              <w:rPr>
                <w:b/>
                <w:i/>
                <w:lang w:val="en-GB"/>
              </w:rPr>
              <w:t>(</w:t>
            </w:r>
            <w:r w:rsidRPr="00FC4A49">
              <w:rPr>
                <w:b/>
                <w:i/>
                <w:lang w:val="en-GB"/>
              </w:rPr>
              <w:t>BioCCS</w:t>
            </w:r>
            <w:r w:rsidRPr="00FC4A49">
              <w:rPr>
                <w:b/>
                <w:i/>
                <w:lang w:val="en-GB"/>
              </w:rPr>
              <w:t>) removals</w:t>
            </w:r>
            <w:r w:rsidRPr="00FC4A49">
              <w:rPr>
                <w:lang w:val="en-GB"/>
              </w:rPr>
              <w:t xml:space="preserve"> established under Regulation (EU) 2024/3012 of the European Parliament and of the Council</w:t>
            </w:r>
            <w:r w:rsidRPr="00FC4A49">
              <w:rPr>
                <w:b/>
                <w:i/>
                <w:vertAlign w:val="superscript"/>
                <w:lang w:val="en-GB"/>
              </w:rPr>
              <w:t>18</w:t>
            </w:r>
            <w:r w:rsidRPr="00FC4A49">
              <w:rPr>
                <w:lang w:val="en-GB"/>
              </w:rPr>
              <w:t xml:space="preserve"> . To avoid double counting, </w:t>
            </w:r>
            <w:r w:rsidRPr="00FC4A49">
              <w:rPr>
                <w:b/>
                <w:i/>
                <w:lang w:val="en-GB"/>
              </w:rPr>
              <w:t>carbon removals</w:t>
            </w:r>
            <w:r w:rsidRPr="00FC4A49">
              <w:rPr>
                <w:lang w:val="en-GB"/>
              </w:rPr>
              <w:t xml:space="preserve"> units used for </w:t>
            </w:r>
            <w:r w:rsidRPr="00FC4A49">
              <w:rPr>
                <w:b/>
                <w:i/>
                <w:lang w:val="en-GB"/>
              </w:rPr>
              <w:t>the purpose of compensating own emissions</w:t>
            </w:r>
            <w:r w:rsidRPr="00FC4A49">
              <w:rPr>
                <w:lang w:val="en-GB"/>
              </w:rPr>
              <w:t xml:space="preserve"> should be cancelled from the Union Registry provided for in Article 12 of Regulation (EU) 2024/3012 </w:t>
            </w:r>
            <w:r w:rsidRPr="00FC4A49">
              <w:rPr>
                <w:b/>
                <w:i/>
                <w:lang w:val="en-GB"/>
              </w:rPr>
              <w:t>of the European Parliament and of the Council</w:t>
            </w:r>
            <w:r w:rsidRPr="00FC4A49">
              <w:rPr>
                <w:b/>
                <w:i/>
                <w:vertAlign w:val="superscript"/>
                <w:lang w:val="en-GB"/>
              </w:rPr>
              <w:t>19</w:t>
            </w:r>
            <w:r w:rsidRPr="00FC4A49">
              <w:rPr>
                <w:lang w:val="en-GB"/>
              </w:rPr>
              <w:t xml:space="preserve"> </w:t>
            </w:r>
            <w:r w:rsidRPr="00FC4A49">
              <w:rPr>
                <w:b/>
                <w:i/>
                <w:lang w:val="en-GB"/>
              </w:rPr>
              <w:t>. This compensation mechanism cannot entail the generation of negative</w:t>
            </w:r>
            <w:r w:rsidRPr="00FC4A49">
              <w:rPr>
                <w:lang w:val="en-GB"/>
              </w:rPr>
              <w:t xml:space="preserve"> emissions </w:t>
            </w:r>
            <w:r w:rsidRPr="00FC4A49">
              <w:rPr>
                <w:b/>
                <w:i/>
                <w:lang w:val="en-GB"/>
              </w:rPr>
              <w:t>or the of obtaining allowances. It should lead to an adjustment of the allowances assigned for the purchase of carbon removals and to the carbon removals that are to be purchased, to prevent the total</w:t>
            </w:r>
            <w:r w:rsidRPr="00FC4A49">
              <w:rPr>
                <w:lang w:val="en-GB"/>
              </w:rPr>
              <w:t xml:space="preserve"> emission space </w:t>
            </w:r>
            <w:r w:rsidRPr="00FC4A49">
              <w:rPr>
                <w:b/>
                <w:i/>
                <w:lang w:val="en-GB"/>
              </w:rPr>
              <w:t>from increasing beyond the limit implied by the integration through the purchasing programme</w:t>
            </w:r>
            <w:r w:rsidRPr="00FC4A49">
              <w:rPr>
                <w:lang w:val="en-GB"/>
              </w:rPr>
              <w:t>.</w:t>
            </w:r>
          </w:p>
        </w:tc>
        <w:tc>
          <w:tcPr>
            <w:tcW w:w="4876" w:type="dxa"/>
          </w:tcPr>
          <w:p w:rsidR="00343C6C" w:rsidRPr="00FC4A49" w:rsidP="005D58F9" w14:paraId="27A086A8" w14:textId="77777777">
            <w:pPr>
              <w:pStyle w:val="Normal6"/>
              <w:rPr>
                <w:szCs w:val="24"/>
                <w:lang w:val="en-GB"/>
              </w:rPr>
            </w:pPr>
            <w:r w:rsidRPr="00FC4A49">
              <w:rPr>
                <w:lang w:val="en-GB"/>
              </w:rPr>
              <w:t>(34)</w:t>
            </w:r>
            <w:r w:rsidRPr="00FC4A49">
              <w:rPr>
                <w:lang w:val="en-GB"/>
              </w:rPr>
              <w:tab/>
              <w:t xml:space="preserve">To facilitate the use of permanent carbon removals by operators </w:t>
            </w:r>
            <w:r w:rsidRPr="00FC4A49">
              <w:rPr>
                <w:b/>
                <w:i/>
                <w:lang w:val="en-GB"/>
              </w:rPr>
              <w:t>and encourage the deployment of breakthrough technologies,</w:t>
            </w:r>
            <w:r w:rsidRPr="00FC4A49">
              <w:rPr>
                <w:lang w:val="en-GB"/>
              </w:rPr>
              <w:t xml:space="preserve"> operators should be </w:t>
            </w:r>
            <w:r w:rsidRPr="00FC4A49">
              <w:rPr>
                <w:b/>
                <w:i/>
                <w:lang w:val="en-GB"/>
              </w:rPr>
              <w:t>permitted</w:t>
            </w:r>
            <w:r w:rsidRPr="00FC4A49">
              <w:rPr>
                <w:lang w:val="en-GB"/>
              </w:rPr>
              <w:t xml:space="preserve"> to compensate their fossil emissions with </w:t>
            </w:r>
            <w:r w:rsidRPr="00FC4A49">
              <w:rPr>
                <w:b/>
                <w:i/>
                <w:lang w:val="en-GB"/>
              </w:rPr>
              <w:t>CO2</w:t>
            </w:r>
            <w:r w:rsidRPr="00FC4A49">
              <w:rPr>
                <w:lang w:val="en-GB"/>
              </w:rPr>
              <w:t xml:space="preserve"> captured </w:t>
            </w:r>
            <w:r w:rsidRPr="00FC4A49">
              <w:rPr>
                <w:b/>
                <w:i/>
                <w:lang w:val="en-GB"/>
              </w:rPr>
              <w:t>directly from the ambient air</w:t>
            </w:r>
            <w:r w:rsidRPr="00FC4A49">
              <w:rPr>
                <w:lang w:val="en-GB"/>
              </w:rPr>
              <w:t xml:space="preserve"> and permanently stored </w:t>
            </w:r>
            <w:r w:rsidRPr="00FC4A49">
              <w:rPr>
                <w:b/>
                <w:i/>
                <w:lang w:val="en-GB"/>
              </w:rPr>
              <w:t>(DACCS). These removals must be</w:t>
            </w:r>
            <w:r w:rsidRPr="00FC4A49">
              <w:rPr>
                <w:lang w:val="en-GB"/>
              </w:rPr>
              <w:t xml:space="preserve"> certified as permanent </w:t>
            </w:r>
            <w:r w:rsidRPr="00FC4A49">
              <w:rPr>
                <w:b/>
                <w:i/>
                <w:lang w:val="en-GB"/>
              </w:rPr>
              <w:t>atmospheric</w:t>
            </w:r>
            <w:r w:rsidRPr="00FC4A49">
              <w:rPr>
                <w:lang w:val="en-GB"/>
              </w:rPr>
              <w:t xml:space="preserve"> carbon removal units in accordance with the methodologies for </w:t>
            </w:r>
            <w:r w:rsidRPr="00FC4A49">
              <w:rPr>
                <w:b/>
                <w:i/>
                <w:lang w:val="en-GB"/>
              </w:rPr>
              <w:t>direct air</w:t>
            </w:r>
            <w:r w:rsidRPr="00FC4A49">
              <w:rPr>
                <w:lang w:val="en-GB"/>
              </w:rPr>
              <w:t xml:space="preserve"> capture with </w:t>
            </w:r>
            <w:r w:rsidRPr="00FC4A49">
              <w:rPr>
                <w:b/>
                <w:i/>
                <w:lang w:val="en-GB"/>
              </w:rPr>
              <w:t>permanent</w:t>
            </w:r>
            <w:r w:rsidRPr="00FC4A49">
              <w:rPr>
                <w:lang w:val="en-GB"/>
              </w:rPr>
              <w:t xml:space="preserve"> carbon storage established under Regulation (EU) 2024/3012 of the European Parliament and of the Council. To avoid double counting, </w:t>
            </w:r>
            <w:r w:rsidRPr="00FC4A49">
              <w:rPr>
                <w:b/>
                <w:i/>
                <w:lang w:val="en-GB"/>
              </w:rPr>
              <w:t>DACCS</w:t>
            </w:r>
            <w:r w:rsidRPr="00FC4A49">
              <w:rPr>
                <w:lang w:val="en-GB"/>
              </w:rPr>
              <w:t xml:space="preserve"> units used for </w:t>
            </w:r>
            <w:r w:rsidRPr="00FC4A49">
              <w:rPr>
                <w:b/>
                <w:i/>
                <w:lang w:val="en-GB"/>
              </w:rPr>
              <w:t>compliance</w:t>
            </w:r>
            <w:r w:rsidRPr="00FC4A49">
              <w:rPr>
                <w:lang w:val="en-GB"/>
              </w:rPr>
              <w:t xml:space="preserve"> should be </w:t>
            </w:r>
            <w:r w:rsidRPr="00FC4A49">
              <w:rPr>
                <w:b/>
                <w:i/>
                <w:lang w:val="en-GB"/>
              </w:rPr>
              <w:t>permanently</w:t>
            </w:r>
            <w:r w:rsidRPr="00FC4A49">
              <w:rPr>
                <w:lang w:val="en-GB"/>
              </w:rPr>
              <w:t xml:space="preserve"> cancelled from the Union Registry provided for in Article 12 of Regulation (EU) 2024/3012</w:t>
            </w:r>
            <w:r w:rsidRPr="00FC4A49">
              <w:rPr>
                <w:b/>
                <w:i/>
                <w:lang w:val="en-GB"/>
              </w:rPr>
              <w:t>. Because these DACCS units are integrated under the Union-wide cap set out in Article 9 of Directive 2003/87/EC, their surrender directly offsets fossil</w:t>
            </w:r>
            <w:r w:rsidRPr="00FC4A49">
              <w:rPr>
                <w:lang w:val="en-GB"/>
              </w:rPr>
              <w:t xml:space="preserve"> emissions </w:t>
            </w:r>
            <w:r w:rsidRPr="00FC4A49">
              <w:rPr>
                <w:b/>
                <w:i/>
                <w:lang w:val="en-GB"/>
              </w:rPr>
              <w:t>without increasing the overall</w:t>
            </w:r>
            <w:r w:rsidRPr="00FC4A49">
              <w:rPr>
                <w:lang w:val="en-GB"/>
              </w:rPr>
              <w:t xml:space="preserve"> emission space </w:t>
            </w:r>
            <w:r w:rsidRPr="00FC4A49">
              <w:rPr>
                <w:b/>
                <w:i/>
                <w:lang w:val="en-GB"/>
              </w:rPr>
              <w:t>of the EU ETS</w:t>
            </w:r>
            <w:r w:rsidRPr="00FC4A49">
              <w:rPr>
                <w:lang w:val="en-GB"/>
              </w:rPr>
              <w:t>.</w:t>
            </w:r>
          </w:p>
        </w:tc>
      </w:tr>
      <w:tr w14:paraId="456B0A8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5E26BCE" w14:textId="77777777">
            <w:pPr>
              <w:pStyle w:val="Normal6"/>
              <w:rPr>
                <w:lang w:val="en-GB"/>
              </w:rPr>
            </w:pPr>
            <w:r w:rsidRPr="00FC4A49">
              <w:rPr>
                <w:lang w:val="en-GB"/>
              </w:rPr>
              <w:t>__________________</w:t>
            </w:r>
          </w:p>
        </w:tc>
        <w:tc>
          <w:tcPr>
            <w:tcW w:w="4876" w:type="dxa"/>
          </w:tcPr>
          <w:p w:rsidR="00343C6C" w:rsidRPr="00FC4A49" w:rsidP="005D58F9" w14:paraId="4A4EA05E" w14:textId="77777777">
            <w:pPr>
              <w:pStyle w:val="Normal6"/>
              <w:rPr>
                <w:szCs w:val="24"/>
                <w:lang w:val="en-GB"/>
              </w:rPr>
            </w:pPr>
            <w:r w:rsidRPr="00FC4A49">
              <w:rPr>
                <w:lang w:val="en-GB"/>
              </w:rPr>
              <w:t>__________________</w:t>
            </w:r>
          </w:p>
        </w:tc>
      </w:tr>
      <w:tr w14:paraId="6E8654B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67F5806" w14:textId="77777777">
            <w:pPr>
              <w:pStyle w:val="Normal6"/>
              <w:rPr>
                <w:lang w:val="en-GB"/>
              </w:rPr>
            </w:pPr>
            <w:r w:rsidRPr="00FC4A49">
              <w:rPr>
                <w:vertAlign w:val="superscript"/>
                <w:lang w:val="en-GB"/>
              </w:rPr>
              <w:t>18</w:t>
            </w:r>
            <w:r w:rsidRPr="00FC4A49">
              <w:rPr>
                <w:lang w:val="en-GB"/>
              </w:rPr>
              <w:t xml:space="preserve"> Regulation (EU) 2024/3012 of the European Parliament and of the Council of 27 November 2024 establishing a Union certification framework for permanent </w:t>
            </w:r>
            <w:r w:rsidRPr="00FC4A49">
              <w:rPr>
                <w:lang w:val="en-GB"/>
              </w:rPr>
              <w:t>carbon removals, carbon farming and carbon storage in products (OJ L, 2024/3012, ELI: http://data.europa.eu/eli/reg/2024/3012/oj).</w:t>
            </w:r>
          </w:p>
        </w:tc>
        <w:tc>
          <w:tcPr>
            <w:tcW w:w="4876" w:type="dxa"/>
          </w:tcPr>
          <w:p w:rsidR="00343C6C" w:rsidRPr="00FC4A49" w:rsidP="005D58F9" w14:paraId="4E60B180" w14:textId="77777777">
            <w:pPr>
              <w:pStyle w:val="Normal6"/>
              <w:rPr>
                <w:szCs w:val="24"/>
                <w:lang w:val="en-GB"/>
              </w:rPr>
            </w:pPr>
            <w:r w:rsidRPr="00FC4A49">
              <w:rPr>
                <w:vertAlign w:val="superscript"/>
                <w:lang w:val="en-GB"/>
              </w:rPr>
              <w:t>18</w:t>
            </w:r>
            <w:r w:rsidRPr="00FC4A49">
              <w:rPr>
                <w:lang w:val="en-GB"/>
              </w:rPr>
              <w:t xml:space="preserve"> Regulation (EU) 2024/3012 of the European Parliament and of the Council of 27 November 2024 establishing a Union certification framework for permanent </w:t>
            </w:r>
            <w:r w:rsidRPr="00FC4A49">
              <w:rPr>
                <w:lang w:val="en-GB"/>
              </w:rPr>
              <w:t>carbon removals, carbon farming and carbon storage in products (OJ L, 2024/3012, ELI: http://data.europa.eu/eli/reg/2024/3012/oj).</w:t>
            </w:r>
          </w:p>
        </w:tc>
      </w:tr>
      <w:tr w14:paraId="41D11C6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26DBD50" w14:textId="77777777">
            <w:pPr>
              <w:pStyle w:val="Normal6"/>
              <w:rPr>
                <w:lang w:val="en-GB"/>
              </w:rPr>
            </w:pPr>
            <w:r w:rsidRPr="00FC4A49">
              <w:rPr>
                <w:vertAlign w:val="superscript"/>
                <w:lang w:val="en-GB"/>
              </w:rPr>
              <w:t>19</w:t>
            </w:r>
            <w:r w:rsidRPr="00FC4A49">
              <w:rPr>
                <w:lang w:val="en-GB"/>
              </w:rPr>
              <w:t xml:space="preserve"> Regulation (EU) 2024/3012 of the European Parliament and of the Council of 27 November 2024 establishing a Union certification framework for permanent carbon removals, carbon farming and carbon storage in products (ELI: http://data.europa.eu/eli/reg/2024/3012/oj).</w:t>
            </w:r>
          </w:p>
        </w:tc>
        <w:tc>
          <w:tcPr>
            <w:tcW w:w="4876" w:type="dxa"/>
          </w:tcPr>
          <w:p w:rsidR="00343C6C" w:rsidRPr="00FC4A49" w:rsidP="005D58F9" w14:paraId="37047A35" w14:textId="77777777">
            <w:pPr>
              <w:pStyle w:val="Normal6"/>
              <w:rPr>
                <w:szCs w:val="24"/>
                <w:lang w:val="en-GB"/>
              </w:rPr>
            </w:pPr>
            <w:r w:rsidRPr="00FC4A49">
              <w:rPr>
                <w:vertAlign w:val="superscript"/>
                <w:lang w:val="en-GB"/>
              </w:rPr>
              <w:t>19</w:t>
            </w:r>
            <w:r w:rsidRPr="00FC4A49">
              <w:rPr>
                <w:lang w:val="en-GB"/>
              </w:rPr>
              <w:t xml:space="preserve"> Regulation (EU) 2024/3012 of the European Parliament and of the Council of 27 November 2024 establishing a Union certification framework for permanent carbon removals, carbon farming and carbon storage in products (ELI: http://data.europa.eu/eli/reg/2024/3012/oj).</w:t>
            </w:r>
          </w:p>
        </w:tc>
      </w:tr>
    </w:tbl>
    <w:p w:rsidR="00343C6C" w:rsidRPr="00FC4A49" w:rsidP="00343C6C" w14:paraId="0E3C148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1ED63B4" w14:textId="77777777">
      <w:r w:rsidRPr="00FC4A49">
        <w:rPr>
          <w:rStyle w:val="HideTWBExt"/>
        </w:rPr>
        <w:t>&lt;/Amend&gt;</w:t>
      </w:r>
    </w:p>
    <w:p w:rsidR="00343C6C" w:rsidRPr="00FC4A49" w:rsidP="00343C6C" w14:paraId="40C9B127"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256</w:t>
      </w:r>
      <w:r w:rsidRPr="00FC4A49">
        <w:rPr>
          <w:rStyle w:val="HideTWBExt"/>
          <w:b w:val="0"/>
          <w:lang w:val="en-GB"/>
        </w:rPr>
        <w:t>&lt;/NumAm&gt;</w:t>
      </w:r>
    </w:p>
    <w:p w:rsidR="00343C6C" w:rsidRPr="00FC4A49" w:rsidP="00343C6C" w14:paraId="149DF44C" w14:textId="77777777">
      <w:pPr>
        <w:pStyle w:val="NormalBold"/>
      </w:pPr>
      <w:r w:rsidRPr="00FC4A49">
        <w:rPr>
          <w:rStyle w:val="HideTWBExt"/>
          <w:b w:val="0"/>
        </w:rPr>
        <w:t>&lt;RepeatBlock-By&gt;&lt;Members&gt;</w:t>
      </w:r>
      <w:r w:rsidRPr="00FC4A49">
        <w:t xml:space="preserve">Emma Wiesner, Yvan Verougstraete, Anna </w:t>
      </w:r>
      <w:r w:rsidRPr="00FC4A49">
        <w:t>Stürgkh</w:t>
      </w:r>
      <w:r w:rsidRPr="00FC4A49">
        <w:rPr>
          <w:rStyle w:val="HideTWBExt"/>
          <w:b w:val="0"/>
        </w:rPr>
        <w:t>&lt;/Members&gt;</w:t>
      </w:r>
    </w:p>
    <w:p w:rsidR="00343C6C" w:rsidRPr="00FC4A49" w:rsidP="00343C6C" w14:paraId="0AB1B3E5" w14:textId="77777777">
      <w:r w:rsidRPr="00FC4A49">
        <w:rPr>
          <w:rStyle w:val="HideTWBExt"/>
        </w:rPr>
        <w:t>&lt;/RepeatBlock-By&gt;</w:t>
      </w:r>
    </w:p>
    <w:p w:rsidR="00343C6C" w:rsidRPr="00FC4A49" w:rsidP="00343C6C" w14:paraId="5E4F1914"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B81F9A5" w14:textId="77777777">
      <w:pPr>
        <w:pStyle w:val="NormalBold"/>
      </w:pPr>
      <w:r w:rsidRPr="00FC4A49">
        <w:rPr>
          <w:rStyle w:val="HideTWBExt"/>
          <w:b w:val="0"/>
        </w:rPr>
        <w:t>&lt;Article&gt;</w:t>
      </w:r>
      <w:r w:rsidRPr="00FC4A49">
        <w:t>Recital 34</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23223C"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452FF90" w14:textId="77777777">
            <w:pPr>
              <w:keepNext/>
            </w:pPr>
          </w:p>
        </w:tc>
      </w:tr>
      <w:tr w14:paraId="7E5F779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1E5395A" w14:textId="77777777">
            <w:pPr>
              <w:pStyle w:val="ColumnHeading"/>
              <w:keepNext/>
              <w:rPr>
                <w:lang w:val="en-GB"/>
              </w:rPr>
            </w:pPr>
            <w:r w:rsidRPr="00FC4A49">
              <w:rPr>
                <w:lang w:val="en-GB"/>
              </w:rPr>
              <w:t>Text proposed by the Commission</w:t>
            </w:r>
          </w:p>
        </w:tc>
        <w:tc>
          <w:tcPr>
            <w:tcW w:w="4876" w:type="dxa"/>
          </w:tcPr>
          <w:p w:rsidR="00343C6C" w:rsidRPr="00FC4A49" w:rsidP="005D58F9" w14:paraId="31D61E91" w14:textId="77777777">
            <w:pPr>
              <w:pStyle w:val="ColumnHeading"/>
              <w:keepNext/>
              <w:rPr>
                <w:lang w:val="en-GB"/>
              </w:rPr>
            </w:pPr>
            <w:r w:rsidRPr="00FC4A49">
              <w:rPr>
                <w:lang w:val="en-GB"/>
              </w:rPr>
              <w:t>Amendment</w:t>
            </w:r>
          </w:p>
        </w:tc>
      </w:tr>
      <w:tr w14:paraId="0FF0682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F7BD0AC" w14:textId="77777777">
            <w:pPr>
              <w:pStyle w:val="Normal6"/>
              <w:rPr>
                <w:lang w:val="en-GB"/>
              </w:rPr>
            </w:pPr>
            <w:r w:rsidRPr="00FC4A49">
              <w:rPr>
                <w:lang w:val="en-GB"/>
              </w:rPr>
              <w:t>(34)</w:t>
            </w:r>
            <w:r w:rsidRPr="00FC4A49">
              <w:rPr>
                <w:lang w:val="en-GB"/>
              </w:rPr>
              <w:tab/>
              <w:t xml:space="preserve">To facilitate the use of permanent carbon removals by operators, shipping companies and aircraft operators, these should be allowed to compensate </w:t>
            </w:r>
            <w:r w:rsidRPr="00FC4A49">
              <w:rPr>
                <w:b/>
                <w:i/>
                <w:lang w:val="en-GB"/>
              </w:rPr>
              <w:t>their own</w:t>
            </w:r>
            <w:r w:rsidRPr="00FC4A49">
              <w:rPr>
                <w:lang w:val="en-GB"/>
              </w:rPr>
              <w:t xml:space="preserve"> fossil emissions with </w:t>
            </w:r>
            <w:r w:rsidRPr="00FC4A49">
              <w:rPr>
                <w:b/>
                <w:i/>
                <w:lang w:val="en-GB"/>
              </w:rPr>
              <w:t>their biogenic CO</w:t>
            </w:r>
            <w:r w:rsidRPr="00FC4A49">
              <w:rPr>
                <w:b/>
                <w:i/>
                <w:vertAlign w:val="subscript"/>
                <w:lang w:val="en-GB"/>
              </w:rPr>
              <w:t>2</w:t>
            </w:r>
            <w:r w:rsidRPr="00FC4A49">
              <w:rPr>
                <w:lang w:val="en-GB"/>
              </w:rPr>
              <w:t xml:space="preserve"> </w:t>
            </w:r>
            <w:r w:rsidRPr="00FC4A49">
              <w:rPr>
                <w:b/>
                <w:i/>
                <w:lang w:val="en-GB"/>
              </w:rPr>
              <w:t>emissions</w:t>
            </w:r>
            <w:r w:rsidRPr="00FC4A49">
              <w:rPr>
                <w:lang w:val="en-GB"/>
              </w:rPr>
              <w:t xml:space="preserve"> captured and permanently stored, which are certified as permanent carbon removal units in accordance with the methodologies for the certification of domestic permanent biogenic emissions capture with carbon storage (</w:t>
            </w:r>
            <w:r w:rsidRPr="00FC4A49">
              <w:rPr>
                <w:lang w:val="en-GB"/>
              </w:rPr>
              <w:t>BioCCS</w:t>
            </w:r>
            <w:r w:rsidRPr="00FC4A49">
              <w:rPr>
                <w:lang w:val="en-GB"/>
              </w:rPr>
              <w:t>) removals established under Regulation (EU) 2024/3012 of the European Parliament and of the Council</w:t>
            </w:r>
            <w:r w:rsidRPr="00FC4A49">
              <w:rPr>
                <w:vertAlign w:val="superscript"/>
                <w:lang w:val="en-GB"/>
              </w:rPr>
              <w:t>18</w:t>
            </w:r>
            <w:r w:rsidRPr="00FC4A49">
              <w:rPr>
                <w:lang w:val="en-GB"/>
              </w:rPr>
              <w:t xml:space="preserve"> . To avoid double counting, carbon removals units used for the purpose of compensating own emissions should be cancelled from the Union Registry provided for in Article 12 of Regulation (EU) 2024/3012 of the European Parliament and of the Council</w:t>
            </w:r>
            <w:r w:rsidRPr="00FC4A49">
              <w:rPr>
                <w:vertAlign w:val="superscript"/>
                <w:lang w:val="en-GB"/>
              </w:rPr>
              <w:t>19</w:t>
            </w:r>
            <w:r w:rsidRPr="00FC4A49">
              <w:rPr>
                <w:lang w:val="en-GB"/>
              </w:rPr>
              <w:t xml:space="preserve"> . This compensation mechanism cannot entail the generation of negative emissions or the of obtaining allowances. It should lead to an adjustment of the allowances </w:t>
            </w:r>
            <w:r w:rsidRPr="00FC4A49">
              <w:rPr>
                <w:lang w:val="en-GB"/>
              </w:rPr>
              <w:t>assigned for the purchase of carbon removals and to the carbon removals that are to be purchased, to prevent the total emission space from increasing beyond the limit implied by the integration through the purchasing programme.</w:t>
            </w:r>
          </w:p>
        </w:tc>
        <w:tc>
          <w:tcPr>
            <w:tcW w:w="4876" w:type="dxa"/>
          </w:tcPr>
          <w:p w:rsidR="00343C6C" w:rsidRPr="00FC4A49" w:rsidP="005D58F9" w14:paraId="3C0110DB" w14:textId="77777777">
            <w:pPr>
              <w:pStyle w:val="Normal6"/>
              <w:rPr>
                <w:szCs w:val="24"/>
                <w:lang w:val="en-GB"/>
              </w:rPr>
            </w:pPr>
            <w:r w:rsidRPr="00FC4A49">
              <w:rPr>
                <w:lang w:val="en-GB"/>
              </w:rPr>
              <w:t>(34)</w:t>
            </w:r>
            <w:r w:rsidRPr="00FC4A49">
              <w:rPr>
                <w:lang w:val="en-GB"/>
              </w:rPr>
              <w:tab/>
              <w:t>To facilitate the use of permanent carbon removals by operators, shipping companies and aircraft operators, these should be allowed</w:t>
            </w:r>
            <w:r w:rsidRPr="00FC4A49">
              <w:rPr>
                <w:b/>
                <w:i/>
                <w:lang w:val="en-GB"/>
              </w:rPr>
              <w:t>, up to a certain amount,</w:t>
            </w:r>
            <w:r w:rsidRPr="00FC4A49">
              <w:rPr>
                <w:lang w:val="en-GB"/>
              </w:rPr>
              <w:t xml:space="preserve"> to compensate fossil emissions with </w:t>
            </w:r>
            <w:r w:rsidRPr="00FC4A49">
              <w:rPr>
                <w:b/>
                <w:i/>
                <w:lang w:val="en-GB"/>
              </w:rPr>
              <w:t>BioCCS</w:t>
            </w:r>
            <w:r w:rsidRPr="00FC4A49">
              <w:rPr>
                <w:lang w:val="en-GB"/>
              </w:rPr>
              <w:t xml:space="preserve"> captured and permanently stored, which are certified as permanent carbon removal units in accordance with the methodologies for the certification of domestic permanent biogenic emissions capture with carbon storage (</w:t>
            </w:r>
            <w:r w:rsidRPr="00FC4A49">
              <w:rPr>
                <w:lang w:val="en-GB"/>
              </w:rPr>
              <w:t>BioCCS</w:t>
            </w:r>
            <w:r w:rsidRPr="00FC4A49">
              <w:rPr>
                <w:lang w:val="en-GB"/>
              </w:rPr>
              <w:t>) removals</w:t>
            </w:r>
            <w:r w:rsidRPr="00FC4A49">
              <w:rPr>
                <w:b/>
                <w:i/>
                <w:lang w:val="en-GB"/>
              </w:rPr>
              <w:t>, or direct air capture units (DACCS),</w:t>
            </w:r>
            <w:r w:rsidRPr="00FC4A49">
              <w:rPr>
                <w:lang w:val="en-GB"/>
              </w:rPr>
              <w:t xml:space="preserve"> established under Regulation (EU) 2024/3012 of the European Parliament and of the Council</w:t>
            </w:r>
            <w:r w:rsidRPr="00FC4A49">
              <w:rPr>
                <w:vertAlign w:val="superscript"/>
                <w:lang w:val="en-GB"/>
              </w:rPr>
              <w:t>18</w:t>
            </w:r>
            <w:r w:rsidRPr="00FC4A49">
              <w:rPr>
                <w:lang w:val="en-GB"/>
              </w:rPr>
              <w:t xml:space="preserve"> . To avoid double counting, carbon removals units used for the purpose of compensating own emissions should be cancelled from the Union Registry provided for in Article 12 of Regulation (EU) 2024/3012 of the European Parliament and of the Council</w:t>
            </w:r>
            <w:r w:rsidRPr="00FC4A49">
              <w:rPr>
                <w:vertAlign w:val="superscript"/>
                <w:lang w:val="en-GB"/>
              </w:rPr>
              <w:t>19</w:t>
            </w:r>
            <w:r w:rsidRPr="00FC4A49">
              <w:rPr>
                <w:lang w:val="en-GB"/>
              </w:rPr>
              <w:t xml:space="preserve"> . This compensation mechanism cannot entail the generation of negative emissions or the of obtaining allowances. It should </w:t>
            </w:r>
            <w:r w:rsidRPr="00FC4A49">
              <w:rPr>
                <w:lang w:val="en-GB"/>
              </w:rPr>
              <w:t>lead to an adjustment of the allowances assigned for the purchase of carbon removals and to the carbon removals that are to be purchased, to prevent the total emission space from increasing beyond the limit implied by the integration through the purchasing programme.</w:t>
            </w:r>
          </w:p>
        </w:tc>
      </w:tr>
      <w:tr w14:paraId="33BCD07C"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4D80AF7" w14:textId="77777777">
            <w:pPr>
              <w:pStyle w:val="Normal6"/>
              <w:rPr>
                <w:lang w:val="en-GB"/>
              </w:rPr>
            </w:pPr>
            <w:r w:rsidRPr="00FC4A49">
              <w:rPr>
                <w:lang w:val="en-GB"/>
              </w:rPr>
              <w:t>__________________</w:t>
            </w:r>
          </w:p>
        </w:tc>
        <w:tc>
          <w:tcPr>
            <w:tcW w:w="4876" w:type="dxa"/>
          </w:tcPr>
          <w:p w:rsidR="00343C6C" w:rsidRPr="00FC4A49" w:rsidP="005D58F9" w14:paraId="3F29700F" w14:textId="77777777">
            <w:pPr>
              <w:pStyle w:val="Normal6"/>
              <w:rPr>
                <w:szCs w:val="24"/>
                <w:lang w:val="en-GB"/>
              </w:rPr>
            </w:pPr>
            <w:r w:rsidRPr="00FC4A49">
              <w:rPr>
                <w:lang w:val="en-GB"/>
              </w:rPr>
              <w:t>__________________</w:t>
            </w:r>
          </w:p>
        </w:tc>
      </w:tr>
      <w:tr w14:paraId="72BB0D9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D96E123" w14:textId="77777777">
            <w:pPr>
              <w:pStyle w:val="Normal6"/>
              <w:rPr>
                <w:lang w:val="en-GB"/>
              </w:rPr>
            </w:pPr>
            <w:r w:rsidRPr="00FC4A49">
              <w:rPr>
                <w:vertAlign w:val="superscript"/>
                <w:lang w:val="en-GB"/>
              </w:rPr>
              <w:t>18</w:t>
            </w:r>
            <w:r w:rsidRPr="00FC4A49">
              <w:rPr>
                <w:lang w:val="en-GB"/>
              </w:rPr>
              <w:t xml:space="preserve"> Regulation (EU) 2024/3012 of the European Parliament and of the Council of 27 November 2024 establishing a Union certification framework for permanent carbon removals, carbon farming and carbon storage in products (OJ L, 2024/3012, ELI: http://data.europa.eu/eli/reg/2024/3012/oj).</w:t>
            </w:r>
          </w:p>
        </w:tc>
        <w:tc>
          <w:tcPr>
            <w:tcW w:w="4876" w:type="dxa"/>
          </w:tcPr>
          <w:p w:rsidR="00343C6C" w:rsidRPr="00FC4A49" w:rsidP="005D58F9" w14:paraId="5047EF7A" w14:textId="77777777">
            <w:pPr>
              <w:pStyle w:val="Normal6"/>
              <w:rPr>
                <w:szCs w:val="24"/>
                <w:lang w:val="en-GB"/>
              </w:rPr>
            </w:pPr>
            <w:r w:rsidRPr="00FC4A49">
              <w:rPr>
                <w:vertAlign w:val="superscript"/>
                <w:lang w:val="en-GB"/>
              </w:rPr>
              <w:t>18</w:t>
            </w:r>
            <w:r w:rsidRPr="00FC4A49">
              <w:rPr>
                <w:lang w:val="en-GB"/>
              </w:rPr>
              <w:t xml:space="preserve"> Regulation (EU) 2024/3012 of the European Parliament and of the Council of 27 November 2024 establishing a Union certification framework for permanent carbon removals, carbon farming and carbon storage in products (OJ L, 2024/3012, ELI: http://data.europa.eu/eli/reg/2024/3012/oj).</w:t>
            </w:r>
          </w:p>
        </w:tc>
      </w:tr>
      <w:tr w14:paraId="53552F80"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D050D69" w14:textId="77777777">
            <w:pPr>
              <w:pStyle w:val="Normal6"/>
              <w:rPr>
                <w:lang w:val="en-GB"/>
              </w:rPr>
            </w:pPr>
            <w:r w:rsidRPr="00FC4A49">
              <w:rPr>
                <w:vertAlign w:val="superscript"/>
                <w:lang w:val="en-GB"/>
              </w:rPr>
              <w:t>19</w:t>
            </w:r>
            <w:r w:rsidRPr="00FC4A49">
              <w:rPr>
                <w:lang w:val="en-GB"/>
              </w:rPr>
              <w:t xml:space="preserve"> Regulation (EU) 2024/3012 of the European Parliament and of the Council of 27 November 2024 establishing a Union certification framework for permanent carbon removals, carbon farming and carbon storage in products (ELI: http://data.europa.eu/eli/reg/2024/3012/oj).</w:t>
            </w:r>
          </w:p>
        </w:tc>
        <w:tc>
          <w:tcPr>
            <w:tcW w:w="4876" w:type="dxa"/>
          </w:tcPr>
          <w:p w:rsidR="00343C6C" w:rsidRPr="00FC4A49" w:rsidP="005D58F9" w14:paraId="15E0276D" w14:textId="77777777">
            <w:pPr>
              <w:pStyle w:val="Normal6"/>
              <w:rPr>
                <w:szCs w:val="24"/>
                <w:lang w:val="en-GB"/>
              </w:rPr>
            </w:pPr>
            <w:r w:rsidRPr="00FC4A49">
              <w:rPr>
                <w:vertAlign w:val="superscript"/>
                <w:lang w:val="en-GB"/>
              </w:rPr>
              <w:t>19</w:t>
            </w:r>
            <w:r w:rsidRPr="00FC4A49">
              <w:rPr>
                <w:lang w:val="en-GB"/>
              </w:rPr>
              <w:t xml:space="preserve"> Regulation (EU) 2024/3012 of the European Parliament and of the Council of 27 November 2024 establishing a Union certification framework for permanent carbon removals, carbon farming and carbon storage in products (ELI: http://data.europa.eu/eli/reg/2024/3012/oj).</w:t>
            </w:r>
          </w:p>
        </w:tc>
      </w:tr>
    </w:tbl>
    <w:p w:rsidR="00343C6C" w:rsidRPr="00FC4A49" w:rsidP="00343C6C" w14:paraId="060C367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D923B77" w14:textId="77777777">
      <w:r w:rsidRPr="00FC4A49">
        <w:rPr>
          <w:rStyle w:val="HideTWBExt"/>
        </w:rPr>
        <w:t>&lt;/Amend&gt;</w:t>
      </w:r>
    </w:p>
    <w:p w:rsidR="00343C6C" w:rsidRPr="00FC4A49" w:rsidP="00343C6C" w14:paraId="0C65E52E"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257</w:t>
      </w:r>
      <w:r w:rsidRPr="00FC4A49">
        <w:rPr>
          <w:rStyle w:val="HideTWBExt"/>
          <w:b w:val="0"/>
          <w:lang w:val="en-GB"/>
        </w:rPr>
        <w:t>&lt;/NumAm&gt;</w:t>
      </w:r>
    </w:p>
    <w:p w:rsidR="00343C6C" w:rsidRPr="00FC4A49" w:rsidP="00343C6C" w14:paraId="3C15D45A" w14:textId="77777777">
      <w:pPr>
        <w:pStyle w:val="NormalBold"/>
      </w:pPr>
      <w:r w:rsidRPr="00FC4A49">
        <w:rPr>
          <w:rStyle w:val="HideTWBExt"/>
          <w:b w:val="0"/>
        </w:rPr>
        <w:t>&lt;RepeatBlock-By&gt;&lt;Members&gt;</w:t>
      </w:r>
      <w:r w:rsidRPr="00FC4A49">
        <w:t>Andrea Wechsler, Norbert Herhammer, Verena Mertens, Sabine Verheyen, Marie-Sophie Christ, Eva Maydell, Christian Ehler, Angelika Niebler</w:t>
      </w:r>
      <w:r w:rsidRPr="00FC4A49">
        <w:rPr>
          <w:rStyle w:val="HideTWBExt"/>
          <w:b w:val="0"/>
        </w:rPr>
        <w:t>&lt;/Members&gt;</w:t>
      </w:r>
    </w:p>
    <w:p w:rsidR="00343C6C" w:rsidRPr="00FC4A49" w:rsidP="00343C6C" w14:paraId="2C8054D7" w14:textId="77777777">
      <w:r w:rsidRPr="00FC4A49">
        <w:rPr>
          <w:rStyle w:val="HideTWBExt"/>
        </w:rPr>
        <w:t>&lt;/RepeatBlock-By&gt;</w:t>
      </w:r>
    </w:p>
    <w:p w:rsidR="00343C6C" w:rsidRPr="00FC4A49" w:rsidP="00343C6C" w14:paraId="52439545"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5C257C1" w14:textId="77777777">
      <w:pPr>
        <w:pStyle w:val="NormalBold"/>
      </w:pPr>
      <w:r w:rsidRPr="00FC4A49">
        <w:rPr>
          <w:rStyle w:val="HideTWBExt"/>
          <w:b w:val="0"/>
        </w:rPr>
        <w:t>&lt;Article&gt;</w:t>
      </w:r>
      <w:r w:rsidRPr="00FC4A49">
        <w:t>Recital 34</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6B6781"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BAD38DF" w14:textId="77777777">
            <w:pPr>
              <w:keepNext/>
            </w:pPr>
          </w:p>
        </w:tc>
      </w:tr>
      <w:tr w14:paraId="09408B7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66E84F3" w14:textId="77777777">
            <w:pPr>
              <w:pStyle w:val="ColumnHeading"/>
              <w:keepNext/>
              <w:rPr>
                <w:lang w:val="en-GB"/>
              </w:rPr>
            </w:pPr>
            <w:r w:rsidRPr="00FC4A49">
              <w:rPr>
                <w:lang w:val="en-GB"/>
              </w:rPr>
              <w:t>Text proposed by the Commission</w:t>
            </w:r>
          </w:p>
        </w:tc>
        <w:tc>
          <w:tcPr>
            <w:tcW w:w="4876" w:type="dxa"/>
          </w:tcPr>
          <w:p w:rsidR="00343C6C" w:rsidRPr="00FC4A49" w:rsidP="005D58F9" w14:paraId="78EF23E2" w14:textId="77777777">
            <w:pPr>
              <w:pStyle w:val="ColumnHeading"/>
              <w:keepNext/>
              <w:rPr>
                <w:lang w:val="en-GB"/>
              </w:rPr>
            </w:pPr>
            <w:r w:rsidRPr="00FC4A49">
              <w:rPr>
                <w:lang w:val="en-GB"/>
              </w:rPr>
              <w:t>Amendment</w:t>
            </w:r>
          </w:p>
        </w:tc>
      </w:tr>
      <w:tr w14:paraId="00520B9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C3413F4" w14:textId="77777777">
            <w:pPr>
              <w:pStyle w:val="Normal6"/>
              <w:rPr>
                <w:lang w:val="en-GB"/>
              </w:rPr>
            </w:pPr>
            <w:r w:rsidRPr="00FC4A49">
              <w:rPr>
                <w:lang w:val="en-GB"/>
              </w:rPr>
              <w:t>(34)</w:t>
            </w:r>
            <w:r w:rsidRPr="00FC4A49">
              <w:rPr>
                <w:lang w:val="en-GB"/>
              </w:rPr>
              <w:tab/>
              <w:t>To facilitate the use of permanent carbon removals by operators, shipping companies and aircraft operators, these should be allowed to compensate their own fossil emissions with their biogenic CO</w:t>
            </w:r>
            <w:r w:rsidRPr="00FC4A49">
              <w:rPr>
                <w:vertAlign w:val="subscript"/>
                <w:lang w:val="en-GB"/>
              </w:rPr>
              <w:t>2</w:t>
            </w:r>
            <w:r w:rsidRPr="00FC4A49">
              <w:rPr>
                <w:lang w:val="en-GB"/>
              </w:rPr>
              <w:t xml:space="preserve"> emissions captured and permanently stored, which are certified as permanent carbon removal units in accordance with the methodologies for the certification of domestic permanent biogenic emissions </w:t>
            </w:r>
            <w:r w:rsidRPr="00FC4A49">
              <w:rPr>
                <w:lang w:val="en-GB"/>
              </w:rPr>
              <w:t>capture with carbon storage (</w:t>
            </w:r>
            <w:r w:rsidRPr="00FC4A49">
              <w:rPr>
                <w:lang w:val="en-GB"/>
              </w:rPr>
              <w:t>BioCCS</w:t>
            </w:r>
            <w:r w:rsidRPr="00FC4A49">
              <w:rPr>
                <w:lang w:val="en-GB"/>
              </w:rPr>
              <w:t>) removals established under Regulation (EU) 2024/3012 of the European Parliament and of the Council</w:t>
            </w:r>
            <w:r w:rsidRPr="00FC4A49">
              <w:rPr>
                <w:vertAlign w:val="superscript"/>
                <w:lang w:val="en-GB"/>
              </w:rPr>
              <w:t>18</w:t>
            </w:r>
            <w:r w:rsidRPr="00FC4A49">
              <w:rPr>
                <w:lang w:val="en-GB"/>
              </w:rPr>
              <w:t xml:space="preserve"> . To avoid double counting, carbon removals units used for the purpose of compensating own emissions should be cancelled from the Union Registry provided for in Article 12 of Regulation (EU) 2024/3012 of the European Parliament and of the Council</w:t>
            </w:r>
            <w:r w:rsidRPr="00FC4A49">
              <w:rPr>
                <w:vertAlign w:val="superscript"/>
                <w:lang w:val="en-GB"/>
              </w:rPr>
              <w:t>19</w:t>
            </w:r>
            <w:r w:rsidRPr="00FC4A49">
              <w:rPr>
                <w:lang w:val="en-GB"/>
              </w:rPr>
              <w:t xml:space="preserve"> . This compensation mechanism cannot entail the generation of negative emissions or the of obtaining allowances. It should lead to an adjustment of the allowances assigned for the purchase of carbon removals and to the carbon removals that are to be purchased, to prevent the total emission space from increasing beyond the limit implied by the integration through the purchasing programme.</w:t>
            </w:r>
          </w:p>
        </w:tc>
        <w:tc>
          <w:tcPr>
            <w:tcW w:w="4876" w:type="dxa"/>
          </w:tcPr>
          <w:p w:rsidR="00343C6C" w:rsidRPr="00FC4A49" w:rsidP="005D58F9" w14:paraId="44EE2D70" w14:textId="77777777">
            <w:pPr>
              <w:pStyle w:val="Normal6"/>
              <w:rPr>
                <w:szCs w:val="24"/>
                <w:lang w:val="en-GB"/>
              </w:rPr>
            </w:pPr>
            <w:r w:rsidRPr="00FC4A49">
              <w:rPr>
                <w:lang w:val="en-GB"/>
              </w:rPr>
              <w:t>(34)</w:t>
            </w:r>
            <w:r w:rsidRPr="00FC4A49">
              <w:rPr>
                <w:lang w:val="en-GB"/>
              </w:rPr>
              <w:tab/>
              <w:t>To facilitate the use of permanent carbon removals by operators, shipping companies and aircraft operators, these should be allowed to compensate their own fossil emissions with their biogenic CO</w:t>
            </w:r>
            <w:r w:rsidRPr="00FC4A49">
              <w:rPr>
                <w:vertAlign w:val="subscript"/>
                <w:lang w:val="en-GB"/>
              </w:rPr>
              <w:t>2</w:t>
            </w:r>
            <w:r w:rsidRPr="00FC4A49">
              <w:rPr>
                <w:lang w:val="en-GB"/>
              </w:rPr>
              <w:t xml:space="preserve"> emissions captured and permanently stored</w:t>
            </w:r>
            <w:r w:rsidRPr="00FC4A49">
              <w:rPr>
                <w:b/>
                <w:i/>
                <w:lang w:val="en-GB"/>
              </w:rPr>
              <w:t>, and DACCS activities</w:t>
            </w:r>
            <w:r w:rsidRPr="00FC4A49">
              <w:rPr>
                <w:lang w:val="en-GB"/>
              </w:rPr>
              <w:t xml:space="preserve">, which are certified as permanent carbon removal units in accordance with the methodologies for the certification of domestic permanent </w:t>
            </w:r>
            <w:r w:rsidRPr="00FC4A49">
              <w:rPr>
                <w:lang w:val="en-GB"/>
              </w:rPr>
              <w:t>biogenic emissions capture with carbon storage (</w:t>
            </w:r>
            <w:r w:rsidRPr="00FC4A49">
              <w:rPr>
                <w:lang w:val="en-GB"/>
              </w:rPr>
              <w:t>BioCCS</w:t>
            </w:r>
            <w:r w:rsidRPr="00FC4A49">
              <w:rPr>
                <w:lang w:val="en-GB"/>
              </w:rPr>
              <w:t>) removals established under Regulation (EU) 2024/3012 of the European Parliament and of the Council</w:t>
            </w:r>
            <w:r w:rsidRPr="00FC4A49">
              <w:rPr>
                <w:vertAlign w:val="superscript"/>
                <w:lang w:val="en-GB"/>
              </w:rPr>
              <w:t>18</w:t>
            </w:r>
            <w:r w:rsidRPr="00FC4A49">
              <w:rPr>
                <w:lang w:val="en-GB"/>
              </w:rPr>
              <w:t xml:space="preserve"> . To avoid double counting, carbon removals units used for the purpose of compensating own emissions should be cancelled from the Union Registry provided for in Article 12 of Regulation (EU) 2024/3012 of the European Parliament and of the Council</w:t>
            </w:r>
            <w:r w:rsidRPr="00FC4A49">
              <w:rPr>
                <w:vertAlign w:val="superscript"/>
                <w:lang w:val="en-GB"/>
              </w:rPr>
              <w:t>19</w:t>
            </w:r>
            <w:r w:rsidRPr="00FC4A49">
              <w:rPr>
                <w:lang w:val="en-GB"/>
              </w:rPr>
              <w:t xml:space="preserve"> . This compensation mechanism cannot entail the generation of negative emissions or the of obtaining allowances. It should lead to an adjustment of the allowances assigned for the purchase of carbon removals and to the carbon removals that are to be purchased, to prevent the total emission space from increasing beyond the limit implied by the integration through the purchasing programme.</w:t>
            </w:r>
          </w:p>
        </w:tc>
      </w:tr>
      <w:tr w14:paraId="4A58B70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6926009" w14:textId="77777777">
            <w:pPr>
              <w:pStyle w:val="Normal6"/>
              <w:rPr>
                <w:lang w:val="en-GB"/>
              </w:rPr>
            </w:pPr>
            <w:r w:rsidRPr="00FC4A49">
              <w:rPr>
                <w:lang w:val="en-GB"/>
              </w:rPr>
              <w:t>__________________</w:t>
            </w:r>
          </w:p>
        </w:tc>
        <w:tc>
          <w:tcPr>
            <w:tcW w:w="4876" w:type="dxa"/>
          </w:tcPr>
          <w:p w:rsidR="00343C6C" w:rsidRPr="00FC4A49" w:rsidP="005D58F9" w14:paraId="187B397A" w14:textId="77777777">
            <w:pPr>
              <w:pStyle w:val="Normal6"/>
              <w:rPr>
                <w:szCs w:val="24"/>
                <w:lang w:val="en-GB"/>
              </w:rPr>
            </w:pPr>
            <w:r w:rsidRPr="00FC4A49">
              <w:rPr>
                <w:lang w:val="en-GB"/>
              </w:rPr>
              <w:t>__________________</w:t>
            </w:r>
          </w:p>
        </w:tc>
      </w:tr>
      <w:tr w14:paraId="6DEA106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871E90C" w14:textId="77777777">
            <w:pPr>
              <w:pStyle w:val="Normal6"/>
              <w:rPr>
                <w:lang w:val="en-GB"/>
              </w:rPr>
            </w:pPr>
            <w:r w:rsidRPr="00FC4A49">
              <w:rPr>
                <w:vertAlign w:val="superscript"/>
                <w:lang w:val="en-GB"/>
              </w:rPr>
              <w:t>18</w:t>
            </w:r>
            <w:r w:rsidRPr="00FC4A49">
              <w:rPr>
                <w:lang w:val="en-GB"/>
              </w:rPr>
              <w:t xml:space="preserve"> Regulation (EU) 2024/3012 of the European Parliament and of the Council of 27 November 2024 establishing a Union certification framework for permanent carbon removals, carbon farming and carbon storage in products (OJ L, 2024/3012, ELI: http://data.europa.eu/eli/reg/2024/3012/oj).</w:t>
            </w:r>
          </w:p>
        </w:tc>
        <w:tc>
          <w:tcPr>
            <w:tcW w:w="4876" w:type="dxa"/>
          </w:tcPr>
          <w:p w:rsidR="00343C6C" w:rsidRPr="00FC4A49" w:rsidP="005D58F9" w14:paraId="55064DF8" w14:textId="77777777">
            <w:pPr>
              <w:pStyle w:val="Normal6"/>
              <w:rPr>
                <w:szCs w:val="24"/>
                <w:lang w:val="en-GB"/>
              </w:rPr>
            </w:pPr>
            <w:r w:rsidRPr="00FC4A49">
              <w:rPr>
                <w:vertAlign w:val="superscript"/>
                <w:lang w:val="en-GB"/>
              </w:rPr>
              <w:t>18</w:t>
            </w:r>
            <w:r w:rsidRPr="00FC4A49">
              <w:rPr>
                <w:lang w:val="en-GB"/>
              </w:rPr>
              <w:t xml:space="preserve"> Regulation (EU) 2024/3012 of the European Parliament and of the Council of 27 November 2024 establishing a Union certification framework for permanent carbon removals, carbon farming and carbon storage in products (OJ L, 2024/3012, ELI: http://data.europa.eu/eli/reg/2024/3012/oj).</w:t>
            </w:r>
          </w:p>
        </w:tc>
      </w:tr>
      <w:tr w14:paraId="4FDE18B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7848CDF" w14:textId="77777777">
            <w:pPr>
              <w:pStyle w:val="Normal6"/>
              <w:rPr>
                <w:lang w:val="en-GB"/>
              </w:rPr>
            </w:pPr>
            <w:r w:rsidRPr="00FC4A49">
              <w:rPr>
                <w:vertAlign w:val="superscript"/>
                <w:lang w:val="en-GB"/>
              </w:rPr>
              <w:t>19</w:t>
            </w:r>
            <w:r w:rsidRPr="00FC4A49">
              <w:rPr>
                <w:lang w:val="en-GB"/>
              </w:rPr>
              <w:t xml:space="preserve"> Regulation (EU) 2024/3012 of the European Parliament and of the Council of 27 November 2024 establishing a Union certification framework for permanent carbon removals, carbon farming and carbon storage in products (ELI: http://data.europa.eu/eli/reg/2024/3012/oj).</w:t>
            </w:r>
          </w:p>
        </w:tc>
        <w:tc>
          <w:tcPr>
            <w:tcW w:w="4876" w:type="dxa"/>
          </w:tcPr>
          <w:p w:rsidR="00343C6C" w:rsidRPr="00FC4A49" w:rsidP="005D58F9" w14:paraId="431D2340" w14:textId="77777777">
            <w:pPr>
              <w:pStyle w:val="Normal6"/>
              <w:rPr>
                <w:szCs w:val="24"/>
                <w:lang w:val="en-GB"/>
              </w:rPr>
            </w:pPr>
            <w:r w:rsidRPr="00FC4A49">
              <w:rPr>
                <w:vertAlign w:val="superscript"/>
                <w:lang w:val="en-GB"/>
              </w:rPr>
              <w:t>19</w:t>
            </w:r>
            <w:r w:rsidRPr="00FC4A49">
              <w:rPr>
                <w:lang w:val="en-GB"/>
              </w:rPr>
              <w:t xml:space="preserve"> Regulation (EU) 2024/3012 of the European Parliament and of the Council of 27 November 2024 establishing a Union certification framework for permanent carbon removals, carbon farming and carbon storage in products (ELI: http://data.europa.eu/eli/reg/2024/3012/oj).</w:t>
            </w:r>
          </w:p>
        </w:tc>
      </w:tr>
    </w:tbl>
    <w:p w:rsidR="00343C6C" w:rsidRPr="00FC4A49" w:rsidP="00343C6C" w14:paraId="1667868B"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1CA13659"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6FAEC27B" w14:textId="77777777">
      <w:pPr>
        <w:pStyle w:val="Normal12Italic"/>
        <w:rPr>
          <w:noProof w:val="0"/>
          <w:lang w:val="en-GB"/>
        </w:rPr>
      </w:pPr>
      <w:r w:rsidRPr="00FC4A49">
        <w:rPr>
          <w:noProof w:val="0"/>
          <w:lang w:val="en-GB"/>
        </w:rPr>
        <w:t xml:space="preserve">The amendment broadens the options available to operators, shipping companies and aircraft operators for compensating their own fossil emissions by explicitly including DACCS alongside </w:t>
      </w:r>
      <w:r w:rsidRPr="00FC4A49">
        <w:rPr>
          <w:noProof w:val="0"/>
          <w:lang w:val="en-GB"/>
        </w:rPr>
        <w:t>BioCCS</w:t>
      </w:r>
      <w:r w:rsidRPr="00FC4A49">
        <w:rPr>
          <w:noProof w:val="0"/>
          <w:lang w:val="en-GB"/>
        </w:rPr>
        <w:t xml:space="preserve">. Where DACCS removals meet the applicable certification, permanence and registry requirements, there is no reason to exclude them from the own-use mechanism. This strengthens technology neutrality, supports the scale-up of permanent carbon removal solutions and gives regulated entities greater flexibility, while the cancellation requirement in </w:t>
      </w:r>
      <w:r w:rsidRPr="00FC4A49">
        <w:rPr>
          <w:noProof w:val="0"/>
          <w:lang w:val="en-GB"/>
        </w:rPr>
        <w:t>the Union Registry continues to prevent double counting and preserves the environmental integrity of the EU ETS.</w:t>
      </w:r>
    </w:p>
    <w:p w:rsidR="00343C6C" w:rsidRPr="00FC4A49" w:rsidP="00343C6C" w14:paraId="1E67D3D5" w14:textId="77777777">
      <w:r w:rsidRPr="00FC4A49">
        <w:rPr>
          <w:rStyle w:val="HideTWBExt"/>
        </w:rPr>
        <w:t>&lt;/Amend&gt;</w:t>
      </w:r>
    </w:p>
    <w:p w:rsidR="00343C6C" w:rsidRPr="00FC4A49" w:rsidP="00343C6C" w14:paraId="7E258A4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258</w:t>
      </w:r>
      <w:r w:rsidRPr="00FC4A49">
        <w:rPr>
          <w:rStyle w:val="HideTWBExt"/>
          <w:b w:val="0"/>
          <w:lang w:val="en-GB"/>
        </w:rPr>
        <w:t>&lt;/NumAm&gt;</w:t>
      </w:r>
    </w:p>
    <w:p w:rsidR="00343C6C" w:rsidRPr="00FC4A49" w:rsidP="00343C6C" w14:paraId="01376EAA"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469D1659" w14:textId="77777777">
      <w:r w:rsidRPr="00FC4A49">
        <w:rPr>
          <w:rStyle w:val="HideTWBExt"/>
        </w:rPr>
        <w:t>&lt;/RepeatBlock-By&gt;</w:t>
      </w:r>
    </w:p>
    <w:p w:rsidR="00343C6C" w:rsidRPr="00FC4A49" w:rsidP="00343C6C" w14:paraId="136F1CB8"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8AD6941" w14:textId="77777777">
      <w:pPr>
        <w:pStyle w:val="NormalBold"/>
      </w:pPr>
      <w:r w:rsidRPr="00FC4A49">
        <w:rPr>
          <w:rStyle w:val="HideTWBExt"/>
          <w:b w:val="0"/>
        </w:rPr>
        <w:t>&lt;Article&gt;</w:t>
      </w:r>
      <w:r w:rsidRPr="00FC4A49">
        <w:t>Recital 35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4FCC7D"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FABB51D" w14:textId="77777777">
            <w:pPr>
              <w:keepNext/>
            </w:pPr>
          </w:p>
        </w:tc>
      </w:tr>
      <w:tr w14:paraId="3349633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5649EAB" w14:textId="77777777">
            <w:pPr>
              <w:pStyle w:val="ColumnHeading"/>
              <w:keepNext/>
              <w:rPr>
                <w:lang w:val="en-GB"/>
              </w:rPr>
            </w:pPr>
            <w:r w:rsidRPr="00FC4A49">
              <w:rPr>
                <w:lang w:val="en-GB"/>
              </w:rPr>
              <w:t>Text proposed by the Commission</w:t>
            </w:r>
          </w:p>
        </w:tc>
        <w:tc>
          <w:tcPr>
            <w:tcW w:w="4876" w:type="dxa"/>
          </w:tcPr>
          <w:p w:rsidR="00343C6C" w:rsidRPr="00FC4A49" w:rsidP="005D58F9" w14:paraId="2027D5FF" w14:textId="77777777">
            <w:pPr>
              <w:pStyle w:val="ColumnHeading"/>
              <w:keepNext/>
              <w:rPr>
                <w:lang w:val="en-GB"/>
              </w:rPr>
            </w:pPr>
            <w:r w:rsidRPr="00FC4A49">
              <w:rPr>
                <w:lang w:val="en-GB"/>
              </w:rPr>
              <w:t>Amendment</w:t>
            </w:r>
          </w:p>
        </w:tc>
      </w:tr>
      <w:tr w14:paraId="042E3C7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170FF91" w14:textId="77777777">
            <w:pPr>
              <w:pStyle w:val="Normal6"/>
              <w:rPr>
                <w:lang w:val="en-GB"/>
              </w:rPr>
            </w:pPr>
            <w:r w:rsidRPr="00FC4A49">
              <w:rPr>
                <w:lang w:val="en-GB"/>
              </w:rPr>
              <w:t>(35)</w:t>
            </w:r>
            <w:r w:rsidRPr="00FC4A49">
              <w:rPr>
                <w:lang w:val="en-GB"/>
              </w:rPr>
              <w:tab/>
              <w:t>All adjustments to the cap set out in Article 9</w:t>
            </w:r>
            <w:r w:rsidRPr="00FC4A49">
              <w:rPr>
                <w:b/>
                <w:i/>
                <w:lang w:val="en-GB"/>
              </w:rPr>
              <w:t>, as well the amount of domestic permanent carbon removals to be integrated,</w:t>
            </w:r>
            <w:r w:rsidRPr="00FC4A49">
              <w:rPr>
                <w:lang w:val="en-GB"/>
              </w:rPr>
              <w:t xml:space="preserve"> should </w:t>
            </w:r>
            <w:r w:rsidRPr="00FC4A49">
              <w:rPr>
                <w:lang w:val="en-GB"/>
              </w:rPr>
              <w:t>take into account</w:t>
            </w:r>
            <w:r w:rsidRPr="00FC4A49">
              <w:rPr>
                <w:lang w:val="en-GB"/>
              </w:rPr>
              <w:t xml:space="preserve"> the emissions of the EEA and the European Free Trade Association.</w:t>
            </w:r>
          </w:p>
        </w:tc>
        <w:tc>
          <w:tcPr>
            <w:tcW w:w="4876" w:type="dxa"/>
          </w:tcPr>
          <w:p w:rsidR="00343C6C" w:rsidRPr="00FC4A49" w:rsidP="005D58F9" w14:paraId="07092071" w14:textId="77777777">
            <w:pPr>
              <w:pStyle w:val="Normal6"/>
              <w:rPr>
                <w:szCs w:val="24"/>
                <w:lang w:val="en-GB"/>
              </w:rPr>
            </w:pPr>
            <w:r w:rsidRPr="00FC4A49">
              <w:rPr>
                <w:lang w:val="en-GB"/>
              </w:rPr>
              <w:t>(35)</w:t>
            </w:r>
            <w:r w:rsidRPr="00FC4A49">
              <w:rPr>
                <w:lang w:val="en-GB"/>
              </w:rPr>
              <w:tab/>
              <w:t xml:space="preserve">All adjustments to the cap set out in Article 9 should </w:t>
            </w:r>
            <w:r w:rsidRPr="00FC4A49">
              <w:rPr>
                <w:lang w:val="en-GB"/>
              </w:rPr>
              <w:t>take into account</w:t>
            </w:r>
            <w:r w:rsidRPr="00FC4A49">
              <w:rPr>
                <w:lang w:val="en-GB"/>
              </w:rPr>
              <w:t xml:space="preserve"> the emissions of the EEA and the European Free Trade Association.</w:t>
            </w:r>
          </w:p>
        </w:tc>
      </w:tr>
    </w:tbl>
    <w:p w:rsidR="00343C6C" w:rsidRPr="00FC4A49" w:rsidP="00343C6C" w14:paraId="7CD23130"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6B5F2BA" w14:textId="77777777">
      <w:r w:rsidRPr="00FC4A49">
        <w:rPr>
          <w:rStyle w:val="HideTWBExt"/>
        </w:rPr>
        <w:t>&lt;/Amend&gt;</w:t>
      </w:r>
    </w:p>
    <w:p w:rsidR="00343C6C" w:rsidRPr="00FC4A49" w:rsidP="00343C6C" w14:paraId="7F573BC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259</w:t>
      </w:r>
      <w:r w:rsidRPr="00FC4A49">
        <w:rPr>
          <w:rStyle w:val="HideTWBExt"/>
          <w:b w:val="0"/>
          <w:lang w:val="en-GB"/>
        </w:rPr>
        <w:t>&lt;/NumAm&gt;</w:t>
      </w:r>
    </w:p>
    <w:p w:rsidR="00343C6C" w:rsidRPr="00FC4A49" w:rsidP="00343C6C" w14:paraId="509E0E33" w14:textId="77777777">
      <w:pPr>
        <w:pStyle w:val="NormalBold"/>
      </w:pPr>
      <w:r w:rsidRPr="00FC4A49">
        <w:rPr>
          <w:rStyle w:val="HideTWBExt"/>
          <w:b w:val="0"/>
        </w:rPr>
        <w:t>&lt;RepeatBlock-By&gt;&lt;Members&gt;</w:t>
      </w:r>
      <w:r w:rsidRPr="00FC4A49">
        <w:t>Mohammed Chahim</w:t>
      </w:r>
      <w:r w:rsidRPr="00FC4A49">
        <w:rPr>
          <w:rStyle w:val="HideTWBExt"/>
          <w:b w:val="0"/>
        </w:rPr>
        <w:t>&lt;/Members&gt;</w:t>
      </w:r>
    </w:p>
    <w:p w:rsidR="00343C6C" w:rsidRPr="00FC4A49" w:rsidP="00343C6C" w14:paraId="5A939590" w14:textId="77777777">
      <w:r w:rsidRPr="00FC4A49">
        <w:rPr>
          <w:rStyle w:val="HideTWBExt"/>
        </w:rPr>
        <w:t>&lt;/RepeatBlock-By&gt;</w:t>
      </w:r>
    </w:p>
    <w:p w:rsidR="00343C6C" w:rsidRPr="00FC4A49" w:rsidP="00343C6C" w14:paraId="6ADDA9C0"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54C60EEE" w14:textId="77777777">
      <w:pPr>
        <w:pStyle w:val="NormalBold"/>
      </w:pPr>
      <w:r w:rsidRPr="00FC4A49">
        <w:rPr>
          <w:rStyle w:val="HideTWBExt"/>
          <w:b w:val="0"/>
        </w:rPr>
        <w:t>&lt;Article&gt;</w:t>
      </w:r>
      <w:r w:rsidRPr="00FC4A49">
        <w:t>Recital 35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529736"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D3794C1" w14:textId="77777777">
            <w:pPr>
              <w:keepNext/>
            </w:pPr>
          </w:p>
        </w:tc>
      </w:tr>
      <w:tr w14:paraId="47700141"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37FF06C" w14:textId="77777777">
            <w:pPr>
              <w:pStyle w:val="ColumnHeading"/>
              <w:keepNext/>
              <w:rPr>
                <w:lang w:val="en-GB"/>
              </w:rPr>
            </w:pPr>
            <w:r w:rsidRPr="00FC4A49">
              <w:rPr>
                <w:lang w:val="en-GB"/>
              </w:rPr>
              <w:t>Text proposed by the Commission</w:t>
            </w:r>
          </w:p>
        </w:tc>
        <w:tc>
          <w:tcPr>
            <w:tcW w:w="4876" w:type="dxa"/>
          </w:tcPr>
          <w:p w:rsidR="00343C6C" w:rsidRPr="00FC4A49" w:rsidP="005D58F9" w14:paraId="1E37381A" w14:textId="77777777">
            <w:pPr>
              <w:pStyle w:val="ColumnHeading"/>
              <w:keepNext/>
              <w:rPr>
                <w:lang w:val="en-GB"/>
              </w:rPr>
            </w:pPr>
            <w:r w:rsidRPr="00FC4A49">
              <w:rPr>
                <w:lang w:val="en-GB"/>
              </w:rPr>
              <w:t>Amendment</w:t>
            </w:r>
          </w:p>
        </w:tc>
      </w:tr>
      <w:tr w14:paraId="21159C6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EED0337" w14:textId="77777777">
            <w:pPr>
              <w:pStyle w:val="Normal6"/>
              <w:rPr>
                <w:lang w:val="en-GB"/>
              </w:rPr>
            </w:pPr>
            <w:r w:rsidRPr="00FC4A49">
              <w:rPr>
                <w:lang w:val="en-GB"/>
              </w:rPr>
              <w:t>(35)</w:t>
            </w:r>
            <w:r w:rsidRPr="00FC4A49">
              <w:rPr>
                <w:lang w:val="en-GB"/>
              </w:rPr>
              <w:tab/>
              <w:t>All adjustments to the cap set out in Article 9</w:t>
            </w:r>
            <w:r w:rsidRPr="00FC4A49">
              <w:rPr>
                <w:b/>
                <w:i/>
                <w:lang w:val="en-GB"/>
              </w:rPr>
              <w:t>, as well the amount of domestic permanent carbon removals to be integrated,</w:t>
            </w:r>
            <w:r w:rsidRPr="00FC4A49">
              <w:rPr>
                <w:lang w:val="en-GB"/>
              </w:rPr>
              <w:t xml:space="preserve"> should </w:t>
            </w:r>
            <w:r w:rsidRPr="00FC4A49">
              <w:rPr>
                <w:lang w:val="en-GB"/>
              </w:rPr>
              <w:t>take into account</w:t>
            </w:r>
            <w:r w:rsidRPr="00FC4A49">
              <w:rPr>
                <w:lang w:val="en-GB"/>
              </w:rPr>
              <w:t xml:space="preserve"> the emissions of the EEA and the European Free Trade Association.</w:t>
            </w:r>
          </w:p>
        </w:tc>
        <w:tc>
          <w:tcPr>
            <w:tcW w:w="4876" w:type="dxa"/>
          </w:tcPr>
          <w:p w:rsidR="00343C6C" w:rsidRPr="00FC4A49" w:rsidP="005D58F9" w14:paraId="55A11E56" w14:textId="77777777">
            <w:pPr>
              <w:pStyle w:val="Normal6"/>
              <w:rPr>
                <w:szCs w:val="24"/>
                <w:lang w:val="en-GB"/>
              </w:rPr>
            </w:pPr>
            <w:r w:rsidRPr="00FC4A49">
              <w:rPr>
                <w:lang w:val="en-GB"/>
              </w:rPr>
              <w:t>(35)</w:t>
            </w:r>
            <w:r w:rsidRPr="00FC4A49">
              <w:rPr>
                <w:lang w:val="en-GB"/>
              </w:rPr>
              <w:tab/>
              <w:t xml:space="preserve">All adjustments to the cap set out in Article 9 should </w:t>
            </w:r>
            <w:r w:rsidRPr="00FC4A49">
              <w:rPr>
                <w:lang w:val="en-GB"/>
              </w:rPr>
              <w:t>take into account</w:t>
            </w:r>
            <w:r w:rsidRPr="00FC4A49">
              <w:rPr>
                <w:lang w:val="en-GB"/>
              </w:rPr>
              <w:t xml:space="preserve"> the emissions of the EEA and the European Free Trade Association.</w:t>
            </w:r>
          </w:p>
        </w:tc>
      </w:tr>
    </w:tbl>
    <w:p w:rsidR="00343C6C" w:rsidRPr="00FC4A49" w:rsidP="00343C6C" w14:paraId="551E59C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08684919" w14:textId="77777777">
      <w:r w:rsidRPr="00FC4A49">
        <w:rPr>
          <w:rStyle w:val="HideTWBExt"/>
        </w:rPr>
        <w:t>&lt;/Amend&gt;</w:t>
      </w:r>
    </w:p>
    <w:p w:rsidR="00343C6C" w:rsidRPr="00FC4A49" w:rsidP="00343C6C" w14:paraId="28D14ED2"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260</w:t>
      </w:r>
      <w:r w:rsidRPr="00FC4A49">
        <w:rPr>
          <w:rStyle w:val="HideTWBExt"/>
          <w:b w:val="0"/>
          <w:lang w:val="en-GB"/>
        </w:rPr>
        <w:t>&lt;/NumAm&gt;</w:t>
      </w:r>
    </w:p>
    <w:p w:rsidR="00343C6C" w:rsidRPr="00FC4A49" w:rsidP="00343C6C" w14:paraId="00C9A908" w14:textId="77777777">
      <w:pPr>
        <w:pStyle w:val="NormalBold"/>
      </w:pPr>
      <w:r w:rsidRPr="00FC4A49">
        <w:rPr>
          <w:rStyle w:val="HideTWBExt"/>
          <w:b w:val="0"/>
        </w:rPr>
        <w:t>&lt;RepeatBlock-By&gt;&lt;Members&gt;</w:t>
      </w:r>
      <w:r w:rsidRPr="00FC4A49">
        <w:t xml:space="preserve">Heléne </w:t>
      </w:r>
      <w:r w:rsidRPr="00FC4A49">
        <w:t>Fritzon</w:t>
      </w:r>
      <w:r w:rsidRPr="00FC4A49">
        <w:rPr>
          <w:rStyle w:val="HideTWBExt"/>
          <w:b w:val="0"/>
        </w:rPr>
        <w:t>&lt;/Members&gt;</w:t>
      </w:r>
    </w:p>
    <w:p w:rsidR="00343C6C" w:rsidRPr="00FC4A49" w:rsidP="00343C6C" w14:paraId="53664A1B" w14:textId="77777777">
      <w:r w:rsidRPr="00FC4A49">
        <w:rPr>
          <w:rStyle w:val="HideTWBExt"/>
        </w:rPr>
        <w:t>&lt;/RepeatBlock-By&gt;</w:t>
      </w:r>
    </w:p>
    <w:p w:rsidR="00343C6C" w:rsidRPr="00FC4A49" w:rsidP="00343C6C" w14:paraId="1635E27A"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C3E1A25" w14:textId="77777777">
      <w:pPr>
        <w:pStyle w:val="NormalBold"/>
      </w:pPr>
      <w:r w:rsidRPr="00FC4A49">
        <w:rPr>
          <w:rStyle w:val="HideTWBExt"/>
          <w:b w:val="0"/>
        </w:rPr>
        <w:t>&lt;Article&gt;</w:t>
      </w:r>
      <w:r w:rsidRPr="00FC4A49">
        <w:t>Recital 35</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D343B5"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57DBD47" w14:textId="77777777">
            <w:pPr>
              <w:keepNext/>
            </w:pPr>
          </w:p>
        </w:tc>
      </w:tr>
      <w:tr w14:paraId="6EAB1B8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AD93457" w14:textId="77777777">
            <w:pPr>
              <w:pStyle w:val="ColumnHeading"/>
              <w:keepNext/>
              <w:rPr>
                <w:lang w:val="en-GB"/>
              </w:rPr>
            </w:pPr>
            <w:r w:rsidRPr="00FC4A49">
              <w:rPr>
                <w:lang w:val="en-GB"/>
              </w:rPr>
              <w:t>Text proposed by the Commission</w:t>
            </w:r>
          </w:p>
        </w:tc>
        <w:tc>
          <w:tcPr>
            <w:tcW w:w="4876" w:type="dxa"/>
          </w:tcPr>
          <w:p w:rsidR="00343C6C" w:rsidRPr="00FC4A49" w:rsidP="005D58F9" w14:paraId="79B9F9A5" w14:textId="77777777">
            <w:pPr>
              <w:pStyle w:val="ColumnHeading"/>
              <w:keepNext/>
              <w:rPr>
                <w:lang w:val="en-GB"/>
              </w:rPr>
            </w:pPr>
            <w:r w:rsidRPr="00FC4A49">
              <w:rPr>
                <w:lang w:val="en-GB"/>
              </w:rPr>
              <w:t>Amendment</w:t>
            </w:r>
          </w:p>
        </w:tc>
      </w:tr>
      <w:tr w14:paraId="620843F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54B5213" w14:textId="77777777">
            <w:pPr>
              <w:pStyle w:val="Normal6"/>
              <w:rPr>
                <w:lang w:val="en-GB"/>
              </w:rPr>
            </w:pPr>
            <w:r w:rsidRPr="00FC4A49">
              <w:rPr>
                <w:lang w:val="en-GB"/>
              </w:rPr>
              <w:t>(35)</w:t>
            </w:r>
            <w:r w:rsidRPr="00FC4A49">
              <w:rPr>
                <w:lang w:val="en-GB"/>
              </w:rPr>
              <w:tab/>
              <w:t>All adjustments to the cap set out in Article 9</w:t>
            </w:r>
            <w:r w:rsidRPr="00FC4A49">
              <w:rPr>
                <w:b/>
                <w:i/>
                <w:lang w:val="en-GB"/>
              </w:rPr>
              <w:t>, as well the amount of domestic permanent carbon removals to be integrated,</w:t>
            </w:r>
            <w:r w:rsidRPr="00FC4A49">
              <w:rPr>
                <w:lang w:val="en-GB"/>
              </w:rPr>
              <w:t xml:space="preserve"> should </w:t>
            </w:r>
            <w:r w:rsidRPr="00FC4A49">
              <w:rPr>
                <w:lang w:val="en-GB"/>
              </w:rPr>
              <w:t>take into account</w:t>
            </w:r>
            <w:r w:rsidRPr="00FC4A49">
              <w:rPr>
                <w:lang w:val="en-GB"/>
              </w:rPr>
              <w:t xml:space="preserve"> the emissions of the EEA and the European Free Trade Association.</w:t>
            </w:r>
          </w:p>
        </w:tc>
        <w:tc>
          <w:tcPr>
            <w:tcW w:w="4876" w:type="dxa"/>
          </w:tcPr>
          <w:p w:rsidR="00343C6C" w:rsidRPr="00FC4A49" w:rsidP="005D58F9" w14:paraId="25986285" w14:textId="77777777">
            <w:pPr>
              <w:pStyle w:val="Normal6"/>
              <w:rPr>
                <w:szCs w:val="24"/>
                <w:lang w:val="en-GB"/>
              </w:rPr>
            </w:pPr>
            <w:r w:rsidRPr="00FC4A49">
              <w:rPr>
                <w:lang w:val="en-GB"/>
              </w:rPr>
              <w:t>(35)</w:t>
            </w:r>
            <w:r w:rsidRPr="00FC4A49">
              <w:rPr>
                <w:lang w:val="en-GB"/>
              </w:rPr>
              <w:tab/>
              <w:t xml:space="preserve">All adjustments to the cap set out in Article 9 should </w:t>
            </w:r>
            <w:r w:rsidRPr="00FC4A49">
              <w:rPr>
                <w:lang w:val="en-GB"/>
              </w:rPr>
              <w:t>take into account</w:t>
            </w:r>
            <w:r w:rsidRPr="00FC4A49">
              <w:rPr>
                <w:lang w:val="en-GB"/>
              </w:rPr>
              <w:t xml:space="preserve"> the emissions of the EEA and the European Free Trade Association.</w:t>
            </w:r>
          </w:p>
        </w:tc>
      </w:tr>
    </w:tbl>
    <w:p w:rsidR="00343C6C" w:rsidRPr="00C933E1" w:rsidP="00343C6C" w14:paraId="7223FE52" w14:textId="77777777">
      <w:pPr>
        <w:pStyle w:val="Olang"/>
        <w:rPr>
          <w:lang w:val="it-IT"/>
        </w:rPr>
      </w:pPr>
      <w:r w:rsidRPr="00C933E1">
        <w:rPr>
          <w:lang w:val="it-IT"/>
        </w:rPr>
        <w:t xml:space="preserve">Or. </w:t>
      </w:r>
      <w:r w:rsidRPr="00C933E1">
        <w:rPr>
          <w:rStyle w:val="HideTWBExt"/>
          <w:lang w:val="it-IT"/>
        </w:rPr>
        <w:t>&lt;Original&gt;</w:t>
      </w:r>
      <w:r w:rsidRPr="00C933E1">
        <w:rPr>
          <w:rStyle w:val="HideTWBInt"/>
          <w:lang w:val="it-IT"/>
        </w:rPr>
        <w:t>{EN}</w:t>
      </w:r>
      <w:r w:rsidRPr="00C933E1">
        <w:rPr>
          <w:lang w:val="it-IT"/>
        </w:rPr>
        <w:t>en</w:t>
      </w:r>
      <w:r w:rsidRPr="00C933E1">
        <w:rPr>
          <w:rStyle w:val="HideTWBExt"/>
          <w:lang w:val="it-IT"/>
        </w:rPr>
        <w:t>&lt;/Original&gt;</w:t>
      </w:r>
    </w:p>
    <w:p w:rsidR="00343C6C" w:rsidRPr="00C933E1" w:rsidP="00343C6C" w14:paraId="69E07457" w14:textId="77777777">
      <w:pPr>
        <w:rPr>
          <w:lang w:val="it-IT"/>
        </w:rPr>
      </w:pPr>
      <w:r w:rsidRPr="00C933E1">
        <w:rPr>
          <w:rStyle w:val="HideTWBExt"/>
          <w:lang w:val="it-IT"/>
        </w:rPr>
        <w:t>&lt;/Amend&gt;</w:t>
      </w:r>
    </w:p>
    <w:p w:rsidR="00343C6C" w:rsidRPr="00C933E1" w:rsidP="00343C6C" w14:paraId="772EC5BE" w14:textId="77777777">
      <w:pPr>
        <w:pStyle w:val="AMNumberTabs0"/>
        <w:keepNext/>
        <w:rPr>
          <w:lang w:val="it-IT"/>
        </w:rPr>
      </w:pPr>
      <w:r w:rsidRPr="00C933E1">
        <w:rPr>
          <w:rStyle w:val="HideTWBExt"/>
          <w:b w:val="0"/>
          <w:lang w:val="it-IT"/>
        </w:rPr>
        <w:t>&lt;Amend&gt;</w:t>
      </w:r>
      <w:r w:rsidRPr="00C933E1">
        <w:rPr>
          <w:lang w:val="it-IT"/>
        </w:rPr>
        <w:t>Amendment</w:t>
      </w:r>
      <w:r w:rsidRPr="00C933E1">
        <w:rPr>
          <w:lang w:val="it-IT"/>
        </w:rPr>
        <w:tab/>
      </w:r>
      <w:r w:rsidRPr="00C933E1">
        <w:rPr>
          <w:lang w:val="it-IT"/>
        </w:rPr>
        <w:tab/>
      </w:r>
      <w:r w:rsidRPr="00C933E1">
        <w:rPr>
          <w:rStyle w:val="HideTWBExt"/>
          <w:b w:val="0"/>
          <w:lang w:val="it-IT"/>
        </w:rPr>
        <w:t>&lt;NumAm&gt;</w:t>
      </w:r>
      <w:r w:rsidRPr="00C933E1">
        <w:rPr>
          <w:lang w:val="it-IT"/>
        </w:rPr>
        <w:t>261</w:t>
      </w:r>
      <w:r w:rsidRPr="00C933E1">
        <w:rPr>
          <w:rStyle w:val="HideTWBExt"/>
          <w:b w:val="0"/>
          <w:lang w:val="it-IT"/>
        </w:rPr>
        <w:t>&lt;/NumAm&gt;</w:t>
      </w:r>
    </w:p>
    <w:p w:rsidR="00343C6C" w:rsidRPr="00C933E1" w:rsidP="00343C6C" w14:paraId="58650FFE" w14:textId="77777777">
      <w:pPr>
        <w:pStyle w:val="NormalBold"/>
        <w:rPr>
          <w:lang w:val="it-IT"/>
        </w:rPr>
      </w:pPr>
      <w:r w:rsidRPr="00C933E1">
        <w:rPr>
          <w:rStyle w:val="HideTWBExt"/>
          <w:b w:val="0"/>
          <w:lang w:val="it-IT"/>
        </w:rPr>
        <w:t>&lt;RepeatBlock-By&gt;&lt;Members&gt;</w:t>
      </w:r>
      <w:r w:rsidRPr="00C933E1">
        <w:rPr>
          <w:lang w:val="it-IT"/>
        </w:rPr>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C933E1">
        <w:rPr>
          <w:rStyle w:val="HideTWBExt"/>
          <w:b w:val="0"/>
          <w:lang w:val="it-IT"/>
        </w:rPr>
        <w:t>&lt;/Members&gt;</w:t>
      </w:r>
    </w:p>
    <w:p w:rsidR="00343C6C" w:rsidRPr="00C933E1" w:rsidP="00343C6C" w14:paraId="38237AC9" w14:textId="77777777">
      <w:pPr>
        <w:rPr>
          <w:lang w:val="it-IT"/>
        </w:rPr>
      </w:pPr>
      <w:r w:rsidRPr="00C933E1">
        <w:rPr>
          <w:rStyle w:val="HideTWBExt"/>
          <w:lang w:val="it-IT"/>
        </w:rPr>
        <w:t>&lt;/RepeatBlock-By&gt;</w:t>
      </w:r>
    </w:p>
    <w:p w:rsidR="00343C6C" w:rsidRPr="00FC4A49" w:rsidP="00343C6C" w14:paraId="442A3FFE"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3E5DE59" w14:textId="77777777">
      <w:pPr>
        <w:pStyle w:val="NormalBold"/>
      </w:pPr>
      <w:r w:rsidRPr="00FC4A49">
        <w:rPr>
          <w:rStyle w:val="HideTWBExt"/>
          <w:b w:val="0"/>
        </w:rPr>
        <w:t>&lt;Article&gt;</w:t>
      </w:r>
      <w:r w:rsidRPr="00FC4A49">
        <w:t>Recital 35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97247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48FC576" w14:textId="77777777">
            <w:pPr>
              <w:keepNext/>
            </w:pPr>
          </w:p>
        </w:tc>
      </w:tr>
      <w:tr w14:paraId="2E52416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35FF3CD" w14:textId="77777777">
            <w:pPr>
              <w:pStyle w:val="ColumnHeading"/>
              <w:keepNext/>
              <w:rPr>
                <w:lang w:val="en-GB"/>
              </w:rPr>
            </w:pPr>
            <w:r w:rsidRPr="00FC4A49">
              <w:rPr>
                <w:lang w:val="en-GB"/>
              </w:rPr>
              <w:t>Text proposed by the Commission</w:t>
            </w:r>
          </w:p>
        </w:tc>
        <w:tc>
          <w:tcPr>
            <w:tcW w:w="4876" w:type="dxa"/>
          </w:tcPr>
          <w:p w:rsidR="00343C6C" w:rsidRPr="00FC4A49" w:rsidP="005D58F9" w14:paraId="4318ED3E" w14:textId="77777777">
            <w:pPr>
              <w:pStyle w:val="ColumnHeading"/>
              <w:keepNext/>
              <w:rPr>
                <w:lang w:val="en-GB"/>
              </w:rPr>
            </w:pPr>
            <w:r w:rsidRPr="00FC4A49">
              <w:rPr>
                <w:lang w:val="en-GB"/>
              </w:rPr>
              <w:t>Amendment</w:t>
            </w:r>
          </w:p>
        </w:tc>
      </w:tr>
      <w:tr w14:paraId="1F79015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4A4237A" w14:textId="77777777">
            <w:pPr>
              <w:pStyle w:val="Normal6"/>
              <w:rPr>
                <w:lang w:val="en-GB"/>
              </w:rPr>
            </w:pPr>
          </w:p>
        </w:tc>
        <w:tc>
          <w:tcPr>
            <w:tcW w:w="4876" w:type="dxa"/>
          </w:tcPr>
          <w:p w:rsidR="00343C6C" w:rsidRPr="00FC4A49" w:rsidP="005D58F9" w14:paraId="47F1B9FD" w14:textId="77777777">
            <w:pPr>
              <w:pStyle w:val="Normal6"/>
              <w:rPr>
                <w:szCs w:val="24"/>
                <w:lang w:val="en-GB"/>
              </w:rPr>
            </w:pPr>
            <w:r w:rsidRPr="00FC4A49">
              <w:rPr>
                <w:b/>
                <w:i/>
                <w:lang w:val="en-GB"/>
              </w:rPr>
              <w:t>(35a)</w:t>
            </w:r>
            <w:r w:rsidRPr="00FC4A49">
              <w:rPr>
                <w:b/>
                <w:i/>
                <w:lang w:val="en-GB"/>
              </w:rPr>
              <w:tab/>
              <w:t xml:space="preserve">Article 29a of Directive 2003/87/EC has never been activated since its introduction, the trigger being measured against a rolling two-year average which moves away as prices rise. It should be replaced by a mechanism which is automatic, rules-based and non-discretionary, operating exclusively through the quantities of allowances made available at auction and the timing at which they are made available. That mechanism does not set, guarantee or administer a price for allowances, does not create allowances in addition to the Union-wide quantity determined in accordance with Article 9, and does not increase the greenhouse gas emissions budget of the Union, any allowances released in addition to the Union-wide quantity being matched by the purchase and cancellation of an equivalent quantity of high-quality international credits. It is </w:t>
            </w:r>
            <w:r w:rsidRPr="00FC4A49">
              <w:rPr>
                <w:b/>
                <w:i/>
                <w:lang w:val="en-GB"/>
              </w:rPr>
              <w:t>accordingly a measure of environmental policy within the meaning of Article 192(1) TFEU and does not constitute a provision primarily of a fiscal nature within the meaning of Article 192(2), point (a), thereof.</w:t>
            </w:r>
          </w:p>
        </w:tc>
      </w:tr>
    </w:tbl>
    <w:p w:rsidR="00343C6C" w:rsidRPr="00FC4A49" w:rsidP="00343C6C" w14:paraId="0036408E"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3C572D0D"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77681EAB" w14:textId="77777777">
      <w:pPr>
        <w:pStyle w:val="Normal12Italic"/>
        <w:rPr>
          <w:noProof w:val="0"/>
          <w:lang w:val="en-GB"/>
        </w:rPr>
      </w:pPr>
      <w:r w:rsidRPr="00FC4A49">
        <w:rPr>
          <w:noProof w:val="0"/>
          <w:lang w:val="en-GB"/>
        </w:rPr>
        <w:t>A recital is the first instrument of interpretation available to the legal services and to the Court, and this one states the character of the mechanism in the terms that determine the applicable legal basis. It is the principal defence against re-characterisation under Article 192(2), point (a), TFEU, and for that reason it states the negative propositions — no price is set, no allowance is created beyond the cap, the cumulative quantity is unchanged — rather than merely describing the mechanism.</w:t>
      </w:r>
    </w:p>
    <w:p w:rsidR="00343C6C" w:rsidRPr="00FC4A49" w:rsidP="00343C6C" w14:paraId="706D7144" w14:textId="77777777">
      <w:r w:rsidRPr="00FC4A49">
        <w:rPr>
          <w:rStyle w:val="HideTWBExt"/>
        </w:rPr>
        <w:t>&lt;/Amend&gt;</w:t>
      </w:r>
    </w:p>
    <w:p w:rsidR="00343C6C" w:rsidRPr="00FC4A49" w:rsidP="00343C6C" w14:paraId="3657020D"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262</w:t>
      </w:r>
      <w:r w:rsidRPr="00FC4A49">
        <w:rPr>
          <w:rStyle w:val="HideTWBExt"/>
          <w:b w:val="0"/>
          <w:lang w:val="en-GB"/>
        </w:rPr>
        <w:t>&lt;/NumAm&gt;</w:t>
      </w:r>
    </w:p>
    <w:p w:rsidR="00343C6C" w:rsidRPr="00FC4A49" w:rsidP="00343C6C" w14:paraId="42F678B3" w14:textId="77777777">
      <w:pPr>
        <w:pStyle w:val="NormalBold"/>
      </w:pPr>
      <w:r w:rsidRPr="00FC4A49">
        <w:rPr>
          <w:rStyle w:val="HideTWBExt"/>
          <w:b w:val="0"/>
        </w:rPr>
        <w:t>&lt;RepeatBlock-By&gt;&lt;Members&gt;</w:t>
      </w:r>
      <w:r w:rsidRPr="00FC4A49">
        <w:t xml:space="preserve">Niels Flemming Hansen, Liesbet Sommen, Pascal </w:t>
      </w:r>
      <w:r w:rsidRPr="00FC4A49">
        <w:t>Arimont</w:t>
      </w:r>
      <w:r w:rsidRPr="00FC4A49">
        <w:rPr>
          <w:rStyle w:val="HideTWBExt"/>
          <w:b w:val="0"/>
        </w:rPr>
        <w:t>&lt;/Members&gt;</w:t>
      </w:r>
    </w:p>
    <w:p w:rsidR="00343C6C" w:rsidRPr="00FC4A49" w:rsidP="00343C6C" w14:paraId="04814BEA" w14:textId="77777777">
      <w:r w:rsidRPr="00FC4A49">
        <w:rPr>
          <w:rStyle w:val="HideTWBExt"/>
        </w:rPr>
        <w:t>&lt;/RepeatBlock-By&gt;</w:t>
      </w:r>
    </w:p>
    <w:p w:rsidR="00343C6C" w:rsidRPr="00FC4A49" w:rsidP="00343C6C" w14:paraId="6F49FE2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4A866E8" w14:textId="77777777">
      <w:pPr>
        <w:pStyle w:val="NormalBold"/>
      </w:pPr>
      <w:r w:rsidRPr="00FC4A49">
        <w:rPr>
          <w:rStyle w:val="HideTWBExt"/>
          <w:b w:val="0"/>
        </w:rPr>
        <w:t>&lt;Article&gt;</w:t>
      </w:r>
      <w:r w:rsidRPr="00FC4A49">
        <w:t>Recital 36</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64CE80"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B807712" w14:textId="77777777">
            <w:pPr>
              <w:keepNext/>
            </w:pPr>
          </w:p>
        </w:tc>
      </w:tr>
      <w:tr w14:paraId="302DABC2"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852B9A0" w14:textId="77777777">
            <w:pPr>
              <w:pStyle w:val="ColumnHeading"/>
              <w:keepNext/>
              <w:rPr>
                <w:lang w:val="en-GB"/>
              </w:rPr>
            </w:pPr>
            <w:r w:rsidRPr="00FC4A49">
              <w:rPr>
                <w:lang w:val="en-GB"/>
              </w:rPr>
              <w:t>Text proposed by the Commission</w:t>
            </w:r>
          </w:p>
        </w:tc>
        <w:tc>
          <w:tcPr>
            <w:tcW w:w="4876" w:type="dxa"/>
          </w:tcPr>
          <w:p w:rsidR="00343C6C" w:rsidRPr="00FC4A49" w:rsidP="005D58F9" w14:paraId="08A800A7" w14:textId="77777777">
            <w:pPr>
              <w:pStyle w:val="ColumnHeading"/>
              <w:keepNext/>
              <w:rPr>
                <w:lang w:val="en-GB"/>
              </w:rPr>
            </w:pPr>
            <w:r w:rsidRPr="00FC4A49">
              <w:rPr>
                <w:lang w:val="en-GB"/>
              </w:rPr>
              <w:t>Amendment</w:t>
            </w:r>
          </w:p>
        </w:tc>
      </w:tr>
      <w:tr w14:paraId="2FC19F6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32307F1" w14:textId="77777777">
            <w:pPr>
              <w:pStyle w:val="Normal6"/>
              <w:rPr>
                <w:lang w:val="en-GB"/>
              </w:rPr>
            </w:pPr>
            <w:r w:rsidRPr="00FC4A49">
              <w:rPr>
                <w:lang w:val="en-GB"/>
              </w:rPr>
              <w:t>(36)</w:t>
            </w:r>
            <w:r w:rsidRPr="00FC4A49">
              <w:rPr>
                <w:lang w:val="en-GB"/>
              </w:rPr>
              <w:tab/>
              <w:t xml:space="preserve">Regulation (EU) 2024/3012 of the European Parliament and of the Council establishes a framework to certify carbon removals, carbon storage in products, and carbon farming in the Union. The CRCF Regulation provides for high-integrity transparency as regards the duration of carbon storage because carbon is only considered stored as long as the activity is monitored and subject to appropriate liability rules. </w:t>
            </w:r>
            <w:r w:rsidRPr="00FC4A49">
              <w:rPr>
                <w:b/>
                <w:i/>
                <w:lang w:val="en-GB"/>
              </w:rPr>
              <w:t xml:space="preserve">To consider carbon storage from nature-based solutions as permanent, it will be necessary that sufficiently long-term monitoring of a carbon farming activity is ensured and that any liability for future reversals is taken on appropriately through enforceable financial, institutional, and contractual mechanisms, such as a permanence fund. Therefore, the Commission should examine the possible </w:t>
            </w:r>
            <w:r w:rsidRPr="00FC4A49">
              <w:rPr>
                <w:b/>
                <w:i/>
                <w:lang w:val="en-GB"/>
              </w:rPr>
              <w:t>contribution of nature-based solutions and carbon farming to permanent removals in the context of the review of this Directive.</w:t>
            </w:r>
          </w:p>
        </w:tc>
        <w:tc>
          <w:tcPr>
            <w:tcW w:w="4876" w:type="dxa"/>
          </w:tcPr>
          <w:p w:rsidR="00343C6C" w:rsidRPr="00FC4A49" w:rsidP="005D58F9" w14:paraId="51F499EB" w14:textId="77777777">
            <w:pPr>
              <w:pStyle w:val="Normal6"/>
              <w:rPr>
                <w:szCs w:val="24"/>
                <w:lang w:val="en-GB"/>
              </w:rPr>
            </w:pPr>
            <w:r w:rsidRPr="00FC4A49">
              <w:rPr>
                <w:lang w:val="en-GB"/>
              </w:rPr>
              <w:t>(36)</w:t>
            </w:r>
            <w:r w:rsidRPr="00FC4A49">
              <w:rPr>
                <w:lang w:val="en-GB"/>
              </w:rPr>
              <w:tab/>
              <w:t>Regulation (EU) 2024/3012 of the European Parliament and of the Council establishes a framework to certify carbon removals, carbon storage in products, and carbon farming in the Union. The CRCF Regulation provides for high-integrity transparency as regards the duration of carbon storage because carbon is only considered stored as long as the activity is monitored and subject to appropriate liability rules.</w:t>
            </w:r>
          </w:p>
        </w:tc>
      </w:tr>
    </w:tbl>
    <w:p w:rsidR="00343C6C" w:rsidRPr="00FC4A49" w:rsidP="00343C6C" w14:paraId="320CA30F"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9D84739" w14:textId="77777777">
      <w:r w:rsidRPr="00FC4A49">
        <w:rPr>
          <w:rStyle w:val="HideTWBExt"/>
        </w:rPr>
        <w:t>&lt;/Amend&gt;</w:t>
      </w:r>
    </w:p>
    <w:p w:rsidR="00343C6C" w:rsidRPr="00FC4A49" w:rsidP="00343C6C" w14:paraId="6D4D9E6D"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263</w:t>
      </w:r>
      <w:r w:rsidRPr="00FC4A49">
        <w:rPr>
          <w:rStyle w:val="HideTWBExt"/>
          <w:b w:val="0"/>
          <w:lang w:val="en-GB"/>
        </w:rPr>
        <w:t>&lt;/NumAm&gt;</w:t>
      </w:r>
    </w:p>
    <w:p w:rsidR="00343C6C" w:rsidRPr="00FC4A49" w:rsidP="00343C6C" w14:paraId="55C3AB51" w14:textId="77777777">
      <w:pPr>
        <w:pStyle w:val="NormalBold"/>
      </w:pPr>
      <w:r w:rsidRPr="00FC4A49">
        <w:rPr>
          <w:rStyle w:val="HideTWBExt"/>
          <w:b w:val="0"/>
        </w:rPr>
        <w:t>&lt;RepeatBlock-By&gt;&lt;Members&gt;</w:t>
      </w:r>
      <w:r w:rsidRPr="00FC4A49">
        <w:t>Mohammed Chahim</w:t>
      </w:r>
      <w:r w:rsidRPr="00FC4A49">
        <w:rPr>
          <w:rStyle w:val="HideTWBExt"/>
          <w:b w:val="0"/>
        </w:rPr>
        <w:t>&lt;/Members&gt;</w:t>
      </w:r>
    </w:p>
    <w:p w:rsidR="00343C6C" w:rsidRPr="00FC4A49" w:rsidP="00343C6C" w14:paraId="4E9015AC" w14:textId="77777777">
      <w:r w:rsidRPr="00FC4A49">
        <w:rPr>
          <w:rStyle w:val="HideTWBExt"/>
        </w:rPr>
        <w:t>&lt;/RepeatBlock-By&gt;</w:t>
      </w:r>
    </w:p>
    <w:p w:rsidR="00343C6C" w:rsidRPr="00FC4A49" w:rsidP="00343C6C" w14:paraId="089C39C2"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C608BE2" w14:textId="77777777">
      <w:pPr>
        <w:pStyle w:val="NormalBold"/>
      </w:pPr>
      <w:r w:rsidRPr="00FC4A49">
        <w:rPr>
          <w:rStyle w:val="HideTWBExt"/>
          <w:b w:val="0"/>
        </w:rPr>
        <w:t>&lt;Article&gt;</w:t>
      </w:r>
      <w:r w:rsidRPr="00FC4A49">
        <w:t>Recital 36</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90B5B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EE35716" w14:textId="77777777">
            <w:pPr>
              <w:keepNext/>
            </w:pPr>
          </w:p>
        </w:tc>
      </w:tr>
      <w:tr w14:paraId="7D1820BE"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4991032" w14:textId="77777777">
            <w:pPr>
              <w:pStyle w:val="ColumnHeading"/>
              <w:keepNext/>
              <w:rPr>
                <w:lang w:val="en-GB"/>
              </w:rPr>
            </w:pPr>
            <w:r w:rsidRPr="00FC4A49">
              <w:rPr>
                <w:lang w:val="en-GB"/>
              </w:rPr>
              <w:t>Text proposed by the Commission</w:t>
            </w:r>
          </w:p>
        </w:tc>
        <w:tc>
          <w:tcPr>
            <w:tcW w:w="4876" w:type="dxa"/>
          </w:tcPr>
          <w:p w:rsidR="00343C6C" w:rsidRPr="00FC4A49" w:rsidP="005D58F9" w14:paraId="7F0EFD4B" w14:textId="77777777">
            <w:pPr>
              <w:pStyle w:val="ColumnHeading"/>
              <w:keepNext/>
              <w:rPr>
                <w:lang w:val="en-GB"/>
              </w:rPr>
            </w:pPr>
            <w:r w:rsidRPr="00FC4A49">
              <w:rPr>
                <w:lang w:val="en-GB"/>
              </w:rPr>
              <w:t>Amendment</w:t>
            </w:r>
          </w:p>
        </w:tc>
      </w:tr>
      <w:tr w14:paraId="34565C7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1AD0958" w14:textId="77777777">
            <w:pPr>
              <w:pStyle w:val="Normal6"/>
              <w:rPr>
                <w:lang w:val="en-GB"/>
              </w:rPr>
            </w:pPr>
            <w:r w:rsidRPr="00FC4A49">
              <w:rPr>
                <w:lang w:val="en-GB"/>
              </w:rPr>
              <w:t>(36)</w:t>
            </w:r>
            <w:r w:rsidRPr="00FC4A49">
              <w:rPr>
                <w:lang w:val="en-GB"/>
              </w:rPr>
              <w:tab/>
              <w:t xml:space="preserve">Regulation (EU) 2024/3012 of the European Parliament and of the Council establishes a framework to certify carbon removals, carbon storage in products, and carbon farming in the Union. The CRCF Regulation provides for high-integrity transparency as regards the duration of carbon storage because carbon is only considered stored as long as the activity is monitored and subject to appropriate liability rules. </w:t>
            </w:r>
            <w:r w:rsidRPr="00FC4A49">
              <w:rPr>
                <w:b/>
                <w:i/>
                <w:lang w:val="en-GB"/>
              </w:rPr>
              <w:t>To consider carbon storage from nature-based solutions as permanent, it will be necessary that sufficiently long-term monitoring of a carbon farming activity is ensured and that any liability for future reversals is taken on appropriately through enforceable financial, institutional, and contractual mechanisms, such as a permanence fund. Therefore, the Commission should examine the possible contribution of nature-based solutions and carbon farming to permanent removals in the context of the review of this Directive.</w:t>
            </w:r>
          </w:p>
        </w:tc>
        <w:tc>
          <w:tcPr>
            <w:tcW w:w="4876" w:type="dxa"/>
          </w:tcPr>
          <w:p w:rsidR="00343C6C" w:rsidRPr="00FC4A49" w:rsidP="005D58F9" w14:paraId="064C333D" w14:textId="77777777">
            <w:pPr>
              <w:pStyle w:val="Normal6"/>
              <w:rPr>
                <w:szCs w:val="24"/>
                <w:lang w:val="en-GB"/>
              </w:rPr>
            </w:pPr>
            <w:r w:rsidRPr="00FC4A49">
              <w:rPr>
                <w:lang w:val="en-GB"/>
              </w:rPr>
              <w:t>(36)</w:t>
            </w:r>
            <w:r w:rsidRPr="00FC4A49">
              <w:rPr>
                <w:lang w:val="en-GB"/>
              </w:rPr>
              <w:tab/>
              <w:t>Regulation (EU) 2024/3012 of the European Parliament and of the Council establishes a framework to certify carbon removals, carbon storage in products, and carbon farming in the Union. The CRCF Regulation provides for high-integrity transparency as regards the duration of carbon storage because carbon is only considered stored as long as the activity is monitored and subject to appropriate liability rules.</w:t>
            </w:r>
          </w:p>
        </w:tc>
      </w:tr>
    </w:tbl>
    <w:p w:rsidR="00343C6C" w:rsidRPr="00FC4A49" w:rsidP="00343C6C" w14:paraId="702608A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7E263306" w14:textId="77777777">
      <w:r w:rsidRPr="00FC4A49">
        <w:rPr>
          <w:rStyle w:val="HideTWBExt"/>
        </w:rPr>
        <w:t>&lt;/Amend&gt;</w:t>
      </w:r>
    </w:p>
    <w:p w:rsidR="00343C6C" w:rsidRPr="00FC4A49" w:rsidP="00343C6C" w14:paraId="257DC2CC"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264</w:t>
      </w:r>
      <w:r w:rsidRPr="00FC4A49">
        <w:rPr>
          <w:rStyle w:val="HideTWBExt"/>
          <w:b w:val="0"/>
          <w:lang w:val="en-GB"/>
        </w:rPr>
        <w:t>&lt;/NumAm&gt;</w:t>
      </w:r>
    </w:p>
    <w:p w:rsidR="00343C6C" w:rsidRPr="00FC4A49" w:rsidP="00343C6C" w14:paraId="64A6DFF4" w14:textId="77777777">
      <w:pPr>
        <w:pStyle w:val="NormalBold"/>
      </w:pPr>
      <w:r w:rsidRPr="00FC4A49">
        <w:rPr>
          <w:rStyle w:val="HideTWBExt"/>
          <w:b w:val="0"/>
        </w:rPr>
        <w:t>&lt;RepeatBlock-By&gt;&lt;Members&gt;</w:t>
      </w:r>
      <w:r w:rsidRPr="00FC4A49">
        <w:t>Katri Kulmuni</w:t>
      </w:r>
      <w:r w:rsidRPr="00FC4A49">
        <w:rPr>
          <w:rStyle w:val="HideTWBExt"/>
          <w:b w:val="0"/>
        </w:rPr>
        <w:t>&lt;/Members&gt;</w:t>
      </w:r>
    </w:p>
    <w:p w:rsidR="00343C6C" w:rsidRPr="00FC4A49" w:rsidP="00343C6C" w14:paraId="70EA774B" w14:textId="77777777">
      <w:r w:rsidRPr="00FC4A49">
        <w:rPr>
          <w:rStyle w:val="HideTWBExt"/>
        </w:rPr>
        <w:t>&lt;/RepeatBlock-By&gt;</w:t>
      </w:r>
    </w:p>
    <w:p w:rsidR="00343C6C" w:rsidRPr="00FC4A49" w:rsidP="00343C6C" w14:paraId="6DEF6869"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14858134" w14:textId="77777777">
      <w:pPr>
        <w:pStyle w:val="NormalBold"/>
      </w:pPr>
      <w:r w:rsidRPr="00FC4A49">
        <w:rPr>
          <w:rStyle w:val="HideTWBExt"/>
          <w:b w:val="0"/>
        </w:rPr>
        <w:t>&lt;Article&gt;</w:t>
      </w:r>
      <w:r w:rsidRPr="00FC4A49">
        <w:t>Recital 36</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3BAC37"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0BA6182" w14:textId="77777777">
            <w:pPr>
              <w:keepNext/>
            </w:pPr>
          </w:p>
        </w:tc>
      </w:tr>
      <w:tr w14:paraId="1D80B4B3"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314A9AB7" w14:textId="77777777">
            <w:pPr>
              <w:pStyle w:val="ColumnHeading"/>
              <w:keepNext/>
              <w:rPr>
                <w:lang w:val="en-GB"/>
              </w:rPr>
            </w:pPr>
            <w:r w:rsidRPr="00FC4A49">
              <w:rPr>
                <w:lang w:val="en-GB"/>
              </w:rPr>
              <w:t>Text proposed by the Commission</w:t>
            </w:r>
          </w:p>
        </w:tc>
        <w:tc>
          <w:tcPr>
            <w:tcW w:w="4876" w:type="dxa"/>
          </w:tcPr>
          <w:p w:rsidR="00343C6C" w:rsidRPr="00FC4A49" w:rsidP="005D58F9" w14:paraId="161E2511" w14:textId="77777777">
            <w:pPr>
              <w:pStyle w:val="ColumnHeading"/>
              <w:keepNext/>
              <w:rPr>
                <w:lang w:val="en-GB"/>
              </w:rPr>
            </w:pPr>
            <w:r w:rsidRPr="00FC4A49">
              <w:rPr>
                <w:lang w:val="en-GB"/>
              </w:rPr>
              <w:t>Amendment</w:t>
            </w:r>
          </w:p>
        </w:tc>
      </w:tr>
      <w:tr w14:paraId="137111E4"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DA1015B" w14:textId="77777777">
            <w:pPr>
              <w:pStyle w:val="Normal6"/>
              <w:rPr>
                <w:lang w:val="en-GB"/>
              </w:rPr>
            </w:pPr>
            <w:r w:rsidRPr="00FC4A49">
              <w:rPr>
                <w:lang w:val="en-GB"/>
              </w:rPr>
              <w:t>(36)</w:t>
            </w:r>
            <w:r w:rsidRPr="00FC4A49">
              <w:rPr>
                <w:lang w:val="en-GB"/>
              </w:rPr>
              <w:tab/>
              <w:t xml:space="preserve">Regulation (EU) 2024/3012 of the European Parliament and of the Council establishes a framework to certify carbon removals, carbon storage in products, and carbon farming in the Union. The CRCF Regulation provides for high-integrity transparency as regards the duration of carbon storage because carbon is only considered stored as long as the activity is monitored and subject to appropriate liability rules. To consider carbon storage from nature-based solutions as permanent, it will be necessary that sufficiently long-term monitoring of a carbon farming activity is ensured and that any liability for future reversals is taken on appropriately through enforceable financial, institutional, and contractual mechanisms, such as a permanence fund. </w:t>
            </w:r>
            <w:r w:rsidRPr="00FC4A49">
              <w:rPr>
                <w:b/>
                <w:i/>
                <w:lang w:val="en-GB"/>
              </w:rPr>
              <w:t>Therefore, the Commission should examine the possible contribution of nature-based solutions and carbon farming to permanent removals in the context of the review of this Directive.</w:t>
            </w:r>
          </w:p>
        </w:tc>
        <w:tc>
          <w:tcPr>
            <w:tcW w:w="4876" w:type="dxa"/>
          </w:tcPr>
          <w:p w:rsidR="00343C6C" w:rsidRPr="00FC4A49" w:rsidP="005D58F9" w14:paraId="54BDE117" w14:textId="77777777">
            <w:pPr>
              <w:pStyle w:val="Normal6"/>
              <w:rPr>
                <w:szCs w:val="24"/>
                <w:lang w:val="en-GB"/>
              </w:rPr>
            </w:pPr>
            <w:r w:rsidRPr="00FC4A49">
              <w:rPr>
                <w:lang w:val="en-GB"/>
              </w:rPr>
              <w:t>(36)</w:t>
            </w:r>
            <w:r w:rsidRPr="00FC4A49">
              <w:rPr>
                <w:lang w:val="en-GB"/>
              </w:rPr>
              <w:tab/>
              <w:t>Regulation (EU) 2024/3012 of the European Parliament and of the Council establishes a framework to certify carbon removals, carbon storage in products, and carbon farming in the Union. The CRCF Regulation provides for high-integrity transparency as regards the duration of carbon storage because carbon is only considered stored as long as the activity is monitored and subject to appropriate liability rules. To consider carbon storage from nature-based solutions as permanent, it will be necessary that sufficiently long-term monitoring of a carbon farming activity is ensured and that any liability for future reversals is taken on appropriately through enforceable financial, institutional, and contractual mechanisms, such as a permanence fund.</w:t>
            </w:r>
          </w:p>
        </w:tc>
      </w:tr>
    </w:tbl>
    <w:p w:rsidR="00343C6C" w:rsidRPr="00FC4A49" w:rsidP="00343C6C" w14:paraId="73C805D5"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B94AA72"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715BD12B" w14:textId="77777777">
      <w:pPr>
        <w:pStyle w:val="Normal12Italic"/>
        <w:rPr>
          <w:noProof w:val="0"/>
          <w:lang w:val="en-GB"/>
        </w:rPr>
      </w:pPr>
      <w:r w:rsidRPr="00FC4A49">
        <w:rPr>
          <w:noProof w:val="0"/>
          <w:lang w:val="en-GB"/>
        </w:rPr>
        <w:t>Nature-based solutions play an important role in climate policy and biodiversity protection. However, they should not be considered for future integration into the EU ETS. Nature-based removals differ fundamentally from permanent removals in permanence, monitoring and reversal risks. References to their future integration could create uncertainty and undermine the ETS’s environmental integrity and credibility. Therefore, such references should be deleted.</w:t>
      </w:r>
    </w:p>
    <w:p w:rsidR="00343C6C" w:rsidRPr="00FC4A49" w:rsidP="00343C6C" w14:paraId="6A746531" w14:textId="77777777">
      <w:r w:rsidRPr="00FC4A49">
        <w:rPr>
          <w:rStyle w:val="HideTWBExt"/>
        </w:rPr>
        <w:t>&lt;/Amend&gt;</w:t>
      </w:r>
    </w:p>
    <w:p w:rsidR="00343C6C" w:rsidRPr="00FC4A49" w:rsidP="00343C6C" w14:paraId="22998459"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265</w:t>
      </w:r>
      <w:r w:rsidRPr="00FC4A49">
        <w:rPr>
          <w:rStyle w:val="HideTWBExt"/>
          <w:b w:val="0"/>
          <w:lang w:val="en-GB"/>
        </w:rPr>
        <w:t>&lt;/NumAm&gt;</w:t>
      </w:r>
    </w:p>
    <w:p w:rsidR="00343C6C" w:rsidRPr="00FC4A49" w:rsidP="00343C6C" w14:paraId="767714E2" w14:textId="77777777">
      <w:pPr>
        <w:pStyle w:val="NormalBold"/>
      </w:pPr>
      <w:r w:rsidRPr="00FC4A49">
        <w:rPr>
          <w:rStyle w:val="HideTWBExt"/>
          <w:b w:val="0"/>
        </w:rPr>
        <w:t>&lt;RepeatBlock-By&gt;&lt;Members&gt;</w:t>
      </w:r>
      <w:r w:rsidRPr="00FC4A49">
        <w:t>Jessica Polfjärd</w:t>
      </w:r>
      <w:r w:rsidRPr="00FC4A49">
        <w:rPr>
          <w:rStyle w:val="HideTWBExt"/>
          <w:b w:val="0"/>
        </w:rPr>
        <w:t>&lt;/Members&gt;</w:t>
      </w:r>
    </w:p>
    <w:p w:rsidR="00343C6C" w:rsidRPr="00FC4A49" w:rsidP="00343C6C" w14:paraId="5169180A" w14:textId="77777777">
      <w:r w:rsidRPr="00FC4A49">
        <w:rPr>
          <w:rStyle w:val="HideTWBExt"/>
        </w:rPr>
        <w:t>&lt;/RepeatBlock-By&gt;</w:t>
      </w:r>
    </w:p>
    <w:p w:rsidR="00343C6C" w:rsidRPr="00FC4A49" w:rsidP="00343C6C" w14:paraId="47CC0DE0"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7A3D26D5" w14:textId="77777777">
      <w:pPr>
        <w:pStyle w:val="NormalBold"/>
      </w:pPr>
      <w:r w:rsidRPr="00FC4A49">
        <w:rPr>
          <w:rStyle w:val="HideTWBExt"/>
          <w:b w:val="0"/>
        </w:rPr>
        <w:t>&lt;Article&gt;</w:t>
      </w:r>
      <w:r w:rsidRPr="00FC4A49">
        <w:t>Recital 36</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3C114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1707BF21" w14:textId="77777777">
            <w:pPr>
              <w:keepNext/>
            </w:pPr>
          </w:p>
        </w:tc>
      </w:tr>
      <w:tr w14:paraId="6C3855D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E70BFA4" w14:textId="77777777">
            <w:pPr>
              <w:pStyle w:val="ColumnHeading"/>
              <w:keepNext/>
              <w:rPr>
                <w:lang w:val="en-GB"/>
              </w:rPr>
            </w:pPr>
            <w:r w:rsidRPr="00FC4A49">
              <w:rPr>
                <w:lang w:val="en-GB"/>
              </w:rPr>
              <w:t>Text proposed by the Commission</w:t>
            </w:r>
          </w:p>
        </w:tc>
        <w:tc>
          <w:tcPr>
            <w:tcW w:w="4876" w:type="dxa"/>
          </w:tcPr>
          <w:p w:rsidR="00343C6C" w:rsidRPr="00FC4A49" w:rsidP="005D58F9" w14:paraId="2674DC68" w14:textId="77777777">
            <w:pPr>
              <w:pStyle w:val="ColumnHeading"/>
              <w:keepNext/>
              <w:rPr>
                <w:lang w:val="en-GB"/>
              </w:rPr>
            </w:pPr>
            <w:r w:rsidRPr="00FC4A49">
              <w:rPr>
                <w:lang w:val="en-GB"/>
              </w:rPr>
              <w:t>Amendment</w:t>
            </w:r>
          </w:p>
        </w:tc>
      </w:tr>
      <w:tr w14:paraId="74F6FDF6"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8425E64" w14:textId="77777777">
            <w:pPr>
              <w:pStyle w:val="Normal6"/>
              <w:rPr>
                <w:lang w:val="en-GB"/>
              </w:rPr>
            </w:pPr>
            <w:r w:rsidRPr="00FC4A49">
              <w:rPr>
                <w:lang w:val="en-GB"/>
              </w:rPr>
              <w:t>(36)</w:t>
            </w:r>
            <w:r w:rsidRPr="00FC4A49">
              <w:rPr>
                <w:lang w:val="en-GB"/>
              </w:rPr>
              <w:tab/>
              <w:t xml:space="preserve">Regulation (EU) 2024/3012 of the European Parliament and of the Council establishes a framework to certify carbon removals, carbon storage in products, and carbon farming in the Union. The CRCF Regulation provides for high-integrity transparency as regards the duration of carbon storage because carbon is only considered stored as long as the activity is monitored and subject to appropriate liability rules. To consider carbon storage from nature-based solutions as permanent, it will be necessary that sufficiently long-term monitoring of a carbon farming activity is ensured and that any liability for future reversals is taken on appropriately through enforceable financial, institutional, and contractual mechanisms, such as a permanence fund. </w:t>
            </w:r>
            <w:r w:rsidRPr="00FC4A49">
              <w:rPr>
                <w:b/>
                <w:i/>
                <w:lang w:val="en-GB"/>
              </w:rPr>
              <w:t>Therefore, the Commission should examine the possible contribution of nature-based solutions and carbon farming to permanent removals in the context of the review of this Directive.</w:t>
            </w:r>
          </w:p>
        </w:tc>
        <w:tc>
          <w:tcPr>
            <w:tcW w:w="4876" w:type="dxa"/>
          </w:tcPr>
          <w:p w:rsidR="00343C6C" w:rsidRPr="00FC4A49" w:rsidP="005D58F9" w14:paraId="352C0635" w14:textId="77777777">
            <w:pPr>
              <w:pStyle w:val="Normal6"/>
              <w:rPr>
                <w:szCs w:val="24"/>
                <w:lang w:val="en-GB"/>
              </w:rPr>
            </w:pPr>
            <w:r w:rsidRPr="00FC4A49">
              <w:rPr>
                <w:lang w:val="en-GB"/>
              </w:rPr>
              <w:t>(36)</w:t>
            </w:r>
            <w:r w:rsidRPr="00FC4A49">
              <w:rPr>
                <w:lang w:val="en-GB"/>
              </w:rPr>
              <w:tab/>
              <w:t>Regulation (EU) 2024/3012 of the European Parliament and of the Council establishes a framework to certify carbon removals, carbon storage in products, and carbon farming in the Union. The CRCF Regulation provides for high-integrity transparency as regards the duration of carbon storage because carbon is only considered stored as long as the activity is monitored and subject to appropriate liability rules. To consider carbon storage from nature-based solutions as permanent, it will be necessary that sufficiently long-term monitoring of a carbon farming activity is ensured and that any liability for future reversals is taken on appropriately through enforceable financial, institutional, and contractual mechanisms, such as a permanence fund.</w:t>
            </w:r>
          </w:p>
        </w:tc>
      </w:tr>
    </w:tbl>
    <w:p w:rsidR="00343C6C" w:rsidRPr="00FC4A49" w:rsidP="00343C6C" w14:paraId="4279B6FC"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26DBBAF" w14:textId="77777777">
      <w:pPr>
        <w:pStyle w:val="JustificationTitle"/>
        <w:rPr>
          <w:noProof w:val="0"/>
          <w:lang w:val="en-GB"/>
        </w:rPr>
      </w:pPr>
      <w:r w:rsidRPr="00FC4A49">
        <w:rPr>
          <w:rStyle w:val="HideTWBExt"/>
          <w:i w:val="0"/>
          <w:lang w:val="en-GB"/>
        </w:rPr>
        <w:t>&lt;TitreJust&gt;</w:t>
      </w:r>
      <w:r w:rsidRPr="00FC4A49">
        <w:rPr>
          <w:noProof w:val="0"/>
          <w:lang w:val="en-GB"/>
        </w:rPr>
        <w:t>Justification</w:t>
      </w:r>
      <w:r w:rsidRPr="00FC4A49">
        <w:rPr>
          <w:rStyle w:val="HideTWBExt"/>
          <w:i w:val="0"/>
          <w:lang w:val="en-GB"/>
        </w:rPr>
        <w:t>&lt;/TitreJust&gt;</w:t>
      </w:r>
    </w:p>
    <w:p w:rsidR="00343C6C" w:rsidRPr="00FC4A49" w:rsidP="00343C6C" w14:paraId="56C6161E" w14:textId="77777777">
      <w:pPr>
        <w:pStyle w:val="Normal12Italic"/>
        <w:rPr>
          <w:noProof w:val="0"/>
          <w:lang w:val="en-GB"/>
        </w:rPr>
      </w:pPr>
      <w:r w:rsidRPr="00FC4A49">
        <w:rPr>
          <w:noProof w:val="0"/>
          <w:lang w:val="en-GB"/>
        </w:rPr>
        <w:t>Nature-based solutions play an important role in climate policy and biodiversity protection but differ fundamentally from permanent carbon removals in permanence, monitoring and reversal risks. Referring to their potential integration into the EU ETS could create uncertainty and undermine the system’s environmental integrity and credibility. Such references should therefore be deleted.</w:t>
      </w:r>
    </w:p>
    <w:p w:rsidR="00343C6C" w:rsidRPr="00FC4A49" w:rsidP="00343C6C" w14:paraId="084B6C2C" w14:textId="77777777">
      <w:r w:rsidRPr="00FC4A49">
        <w:rPr>
          <w:rStyle w:val="HideTWBExt"/>
        </w:rPr>
        <w:t>&lt;/Amend&gt;</w:t>
      </w:r>
    </w:p>
    <w:p w:rsidR="00343C6C" w:rsidRPr="00FC4A49" w:rsidP="00343C6C" w14:paraId="51A39A39"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266</w:t>
      </w:r>
      <w:r w:rsidRPr="00FC4A49">
        <w:rPr>
          <w:rStyle w:val="HideTWBExt"/>
          <w:b w:val="0"/>
          <w:lang w:val="en-GB"/>
        </w:rPr>
        <w:t>&lt;/NumAm&gt;</w:t>
      </w:r>
    </w:p>
    <w:p w:rsidR="00343C6C" w:rsidRPr="00FC4A49" w:rsidP="00343C6C" w14:paraId="0C6066F5" w14:textId="77777777">
      <w:pPr>
        <w:pStyle w:val="NormalBold"/>
      </w:pPr>
      <w:r w:rsidRPr="00FC4A49">
        <w:rPr>
          <w:rStyle w:val="HideTWBExt"/>
          <w:b w:val="0"/>
        </w:rPr>
        <w:t>&lt;RepeatBlock-By&gt;&lt;Members&gt;</w:t>
      </w:r>
      <w:r w:rsidRPr="00FC4A49">
        <w:t>Emma Wiesner, Yvan Verougstraete, Sigrid Friis, Gerben-Jan Gerbrandy, Anna Stürgkh, Katri Kulmuni</w:t>
      </w:r>
      <w:r w:rsidRPr="00FC4A49">
        <w:rPr>
          <w:rStyle w:val="HideTWBExt"/>
          <w:b w:val="0"/>
        </w:rPr>
        <w:t>&lt;/Members&gt;</w:t>
      </w:r>
    </w:p>
    <w:p w:rsidR="00343C6C" w:rsidRPr="00FC4A49" w:rsidP="00343C6C" w14:paraId="695A8E35" w14:textId="77777777">
      <w:r w:rsidRPr="00FC4A49">
        <w:rPr>
          <w:rStyle w:val="HideTWBExt"/>
        </w:rPr>
        <w:t>&lt;/RepeatBlock-By&gt;</w:t>
      </w:r>
    </w:p>
    <w:p w:rsidR="00343C6C" w:rsidRPr="00FC4A49" w:rsidP="00343C6C" w14:paraId="520E72DA"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F58E8BE" w14:textId="77777777">
      <w:pPr>
        <w:pStyle w:val="NormalBold"/>
      </w:pPr>
      <w:r w:rsidRPr="00FC4A49">
        <w:rPr>
          <w:rStyle w:val="HideTWBExt"/>
          <w:b w:val="0"/>
        </w:rPr>
        <w:t>&lt;Article&gt;</w:t>
      </w:r>
      <w:r w:rsidRPr="00FC4A49">
        <w:t>Recital 36</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BE211F"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0E588CE" w14:textId="77777777">
            <w:pPr>
              <w:keepNext/>
            </w:pPr>
          </w:p>
        </w:tc>
      </w:tr>
      <w:tr w14:paraId="61CBE84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9099DBE" w14:textId="77777777">
            <w:pPr>
              <w:pStyle w:val="ColumnHeading"/>
              <w:keepNext/>
              <w:rPr>
                <w:lang w:val="en-GB"/>
              </w:rPr>
            </w:pPr>
            <w:r w:rsidRPr="00FC4A49">
              <w:rPr>
                <w:lang w:val="en-GB"/>
              </w:rPr>
              <w:t>Text proposed by the Commission</w:t>
            </w:r>
          </w:p>
        </w:tc>
        <w:tc>
          <w:tcPr>
            <w:tcW w:w="4876" w:type="dxa"/>
          </w:tcPr>
          <w:p w:rsidR="00343C6C" w:rsidRPr="00FC4A49" w:rsidP="005D58F9" w14:paraId="00F5690E" w14:textId="77777777">
            <w:pPr>
              <w:pStyle w:val="ColumnHeading"/>
              <w:keepNext/>
              <w:rPr>
                <w:lang w:val="en-GB"/>
              </w:rPr>
            </w:pPr>
            <w:r w:rsidRPr="00FC4A49">
              <w:rPr>
                <w:lang w:val="en-GB"/>
              </w:rPr>
              <w:t>Amendment</w:t>
            </w:r>
          </w:p>
        </w:tc>
      </w:tr>
      <w:tr w14:paraId="5652667B"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69A8305" w14:textId="77777777">
            <w:pPr>
              <w:pStyle w:val="Normal6"/>
              <w:rPr>
                <w:lang w:val="en-GB"/>
              </w:rPr>
            </w:pPr>
            <w:r w:rsidRPr="00FC4A49">
              <w:rPr>
                <w:lang w:val="en-GB"/>
              </w:rPr>
              <w:t>(36)</w:t>
            </w:r>
            <w:r w:rsidRPr="00FC4A49">
              <w:rPr>
                <w:lang w:val="en-GB"/>
              </w:rPr>
              <w:tab/>
              <w:t xml:space="preserve">Regulation (EU) 2024/3012 of the European Parliament and of the Council establishes a framework to certify carbon removals, carbon storage in products, and carbon farming in the Union. The CRCF Regulation provides for high-integrity transparency as regards the duration of carbon storage because carbon is only considered stored as long as the activity is monitored and subject to appropriate liability rules. </w:t>
            </w:r>
            <w:r w:rsidRPr="00FC4A49">
              <w:rPr>
                <w:b/>
                <w:i/>
                <w:lang w:val="en-GB"/>
              </w:rPr>
              <w:t>To consider</w:t>
            </w:r>
            <w:r w:rsidRPr="00FC4A49">
              <w:rPr>
                <w:lang w:val="en-GB"/>
              </w:rPr>
              <w:t xml:space="preserve"> carbon storage </w:t>
            </w:r>
            <w:r w:rsidRPr="00FC4A49">
              <w:rPr>
                <w:b/>
                <w:i/>
                <w:lang w:val="en-GB"/>
              </w:rPr>
              <w:t>from nature-based solutions as permanent, it will be necessary that sufficiently long-term monitoring of a carbon farming activity is</w:t>
            </w:r>
            <w:r w:rsidRPr="00FC4A49">
              <w:rPr>
                <w:lang w:val="en-GB"/>
              </w:rPr>
              <w:t xml:space="preserve"> ensured </w:t>
            </w:r>
            <w:r w:rsidRPr="00FC4A49">
              <w:rPr>
                <w:b/>
                <w:i/>
                <w:lang w:val="en-GB"/>
              </w:rPr>
              <w:t>and that any liability for future reversals is taken on appropriately through enforceable financial, institutional, and contractual mechanisms, such as a permanence fund. Therefore, the Commission</w:t>
            </w:r>
            <w:r w:rsidRPr="00FC4A49">
              <w:rPr>
                <w:lang w:val="en-GB"/>
              </w:rPr>
              <w:t xml:space="preserve"> should </w:t>
            </w:r>
            <w:r w:rsidRPr="00FC4A49">
              <w:rPr>
                <w:b/>
                <w:i/>
                <w:lang w:val="en-GB"/>
              </w:rPr>
              <w:t>examine the possible contribution of nature-based solutions and carbon farming to permanent removals in the context</w:t>
            </w:r>
            <w:r w:rsidRPr="00FC4A49">
              <w:rPr>
                <w:lang w:val="en-GB"/>
              </w:rPr>
              <w:t xml:space="preserve"> of the </w:t>
            </w:r>
            <w:r w:rsidRPr="00FC4A49">
              <w:rPr>
                <w:b/>
                <w:i/>
                <w:lang w:val="en-GB"/>
              </w:rPr>
              <w:t>review of this Directive</w:t>
            </w:r>
            <w:r w:rsidRPr="00FC4A49">
              <w:rPr>
                <w:lang w:val="en-GB"/>
              </w:rPr>
              <w:t>.</w:t>
            </w:r>
          </w:p>
        </w:tc>
        <w:tc>
          <w:tcPr>
            <w:tcW w:w="4876" w:type="dxa"/>
          </w:tcPr>
          <w:p w:rsidR="00343C6C" w:rsidRPr="00FC4A49" w:rsidP="005D58F9" w14:paraId="50A147F5" w14:textId="77777777">
            <w:pPr>
              <w:pStyle w:val="Normal6"/>
              <w:rPr>
                <w:szCs w:val="24"/>
                <w:lang w:val="en-GB"/>
              </w:rPr>
            </w:pPr>
            <w:r w:rsidRPr="00FC4A49">
              <w:rPr>
                <w:lang w:val="en-GB"/>
              </w:rPr>
              <w:t>(36)</w:t>
            </w:r>
            <w:r w:rsidRPr="00FC4A49">
              <w:rPr>
                <w:lang w:val="en-GB"/>
              </w:rPr>
              <w:tab/>
              <w:t xml:space="preserve">Regulation (EU) 2024/3012 of the European Parliament and of the Council establishes a framework to certify carbon removals, carbon storage in products, and carbon farming in the Union. The CRCF Regulation provides for high-integrity transparency as regards the duration of carbon storage because carbon is only considered stored as long as the activity is monitored and subject to appropriate liability rules. </w:t>
            </w:r>
            <w:r w:rsidRPr="00FC4A49">
              <w:rPr>
                <w:b/>
                <w:i/>
                <w:lang w:val="en-GB"/>
              </w:rPr>
              <w:t>Temporary carbon removals or natural carbon sinks of a temporary nature where</w:t>
            </w:r>
            <w:r w:rsidRPr="00FC4A49">
              <w:rPr>
                <w:lang w:val="en-GB"/>
              </w:rPr>
              <w:t xml:space="preserve"> carbon storage </w:t>
            </w:r>
            <w:r w:rsidRPr="00FC4A49">
              <w:rPr>
                <w:b/>
                <w:i/>
                <w:lang w:val="en-GB"/>
              </w:rPr>
              <w:t>cannot be</w:t>
            </w:r>
            <w:r w:rsidRPr="00FC4A49">
              <w:rPr>
                <w:lang w:val="en-GB"/>
              </w:rPr>
              <w:t xml:space="preserve"> ensured </w:t>
            </w:r>
            <w:r w:rsidRPr="00FC4A49">
              <w:rPr>
                <w:b/>
                <w:i/>
                <w:lang w:val="en-GB"/>
              </w:rPr>
              <w:t>permanently</w:t>
            </w:r>
            <w:r w:rsidRPr="00FC4A49">
              <w:rPr>
                <w:lang w:val="en-GB"/>
              </w:rPr>
              <w:t xml:space="preserve"> should </w:t>
            </w:r>
            <w:r w:rsidRPr="00FC4A49">
              <w:rPr>
                <w:b/>
                <w:i/>
                <w:lang w:val="en-GB"/>
              </w:rPr>
              <w:t>be fully excluded from the scope</w:t>
            </w:r>
            <w:r w:rsidRPr="00FC4A49">
              <w:rPr>
                <w:lang w:val="en-GB"/>
              </w:rPr>
              <w:t xml:space="preserve"> of the </w:t>
            </w:r>
            <w:r w:rsidRPr="00FC4A49">
              <w:rPr>
                <w:b/>
                <w:i/>
                <w:lang w:val="en-GB"/>
              </w:rPr>
              <w:t>EU</w:t>
            </w:r>
            <w:r w:rsidRPr="00FC4A49">
              <w:rPr>
                <w:lang w:val="en-GB"/>
              </w:rPr>
              <w:t xml:space="preserve"> </w:t>
            </w:r>
            <w:r w:rsidRPr="00FC4A49">
              <w:rPr>
                <w:b/>
                <w:i/>
                <w:lang w:val="en-GB"/>
              </w:rPr>
              <w:t>ETS</w:t>
            </w:r>
            <w:r w:rsidRPr="00FC4A49">
              <w:rPr>
                <w:lang w:val="en-GB"/>
              </w:rPr>
              <w:t>.</w:t>
            </w:r>
          </w:p>
        </w:tc>
      </w:tr>
    </w:tbl>
    <w:p w:rsidR="00343C6C" w:rsidRPr="00FC4A49" w:rsidP="00343C6C" w14:paraId="32326CC7"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5383DDF1" w14:textId="77777777">
      <w:r w:rsidRPr="00FC4A49">
        <w:rPr>
          <w:rStyle w:val="HideTWBExt"/>
        </w:rPr>
        <w:t>&lt;/Amend&gt;</w:t>
      </w:r>
    </w:p>
    <w:p w:rsidR="00343C6C" w:rsidRPr="00FC4A49" w:rsidP="00343C6C" w14:paraId="64C9B1C4"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267</w:t>
      </w:r>
      <w:r w:rsidRPr="00FC4A49">
        <w:rPr>
          <w:rStyle w:val="HideTWBExt"/>
          <w:b w:val="0"/>
          <w:lang w:val="en-GB"/>
        </w:rPr>
        <w:t>&lt;/NumAm&gt;</w:t>
      </w:r>
    </w:p>
    <w:p w:rsidR="00343C6C" w:rsidRPr="00FC4A49" w:rsidP="00343C6C" w14:paraId="28B59C5F"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5A3CBF21" w14:textId="77777777">
      <w:r w:rsidRPr="00FC4A49">
        <w:rPr>
          <w:rStyle w:val="HideTWBExt"/>
        </w:rPr>
        <w:t>&lt;/RepeatBlock-By&gt;</w:t>
      </w:r>
    </w:p>
    <w:p w:rsidR="00343C6C" w:rsidRPr="00FC4A49" w:rsidP="00343C6C" w14:paraId="677D2DED"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857CE3D" w14:textId="77777777">
      <w:pPr>
        <w:pStyle w:val="NormalBold"/>
      </w:pPr>
      <w:r w:rsidRPr="00FC4A49">
        <w:rPr>
          <w:rStyle w:val="HideTWBExt"/>
          <w:b w:val="0"/>
        </w:rPr>
        <w:t>&lt;Article&gt;</w:t>
      </w:r>
      <w:r w:rsidRPr="00FC4A49">
        <w:t>Recital 36</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5D0350"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6B8FDEA3" w14:textId="77777777">
            <w:pPr>
              <w:keepNext/>
            </w:pPr>
          </w:p>
        </w:tc>
      </w:tr>
      <w:tr w14:paraId="7C43D91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054BD59" w14:textId="77777777">
            <w:pPr>
              <w:pStyle w:val="ColumnHeading"/>
              <w:keepNext/>
              <w:rPr>
                <w:lang w:val="en-GB"/>
              </w:rPr>
            </w:pPr>
            <w:r w:rsidRPr="00FC4A49">
              <w:rPr>
                <w:lang w:val="en-GB"/>
              </w:rPr>
              <w:t>Text proposed by the Commission</w:t>
            </w:r>
          </w:p>
        </w:tc>
        <w:tc>
          <w:tcPr>
            <w:tcW w:w="4876" w:type="dxa"/>
          </w:tcPr>
          <w:p w:rsidR="00343C6C" w:rsidRPr="00FC4A49" w:rsidP="005D58F9" w14:paraId="5DF0DC64" w14:textId="77777777">
            <w:pPr>
              <w:pStyle w:val="ColumnHeading"/>
              <w:keepNext/>
              <w:rPr>
                <w:lang w:val="en-GB"/>
              </w:rPr>
            </w:pPr>
            <w:r w:rsidRPr="00FC4A49">
              <w:rPr>
                <w:lang w:val="en-GB"/>
              </w:rPr>
              <w:t>Amendment</w:t>
            </w:r>
          </w:p>
        </w:tc>
      </w:tr>
      <w:tr w14:paraId="31DA7C7D"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1EC55B8" w14:textId="77777777">
            <w:pPr>
              <w:pStyle w:val="Normal6"/>
              <w:rPr>
                <w:lang w:val="en-GB"/>
              </w:rPr>
            </w:pPr>
            <w:r w:rsidRPr="00FC4A49">
              <w:rPr>
                <w:lang w:val="en-GB"/>
              </w:rPr>
              <w:t>(36)</w:t>
            </w:r>
            <w:r w:rsidRPr="00FC4A49">
              <w:rPr>
                <w:lang w:val="en-GB"/>
              </w:rPr>
              <w:tab/>
              <w:t xml:space="preserve">Regulation (EU) 2024/3012 of the European Parliament and of the Council establishes a framework to certify carbon removals, carbon storage in products, and carbon farming in the Union. The CRCF Regulation </w:t>
            </w:r>
            <w:r w:rsidRPr="00FC4A49">
              <w:rPr>
                <w:b/>
                <w:i/>
                <w:lang w:val="en-GB"/>
              </w:rPr>
              <w:t xml:space="preserve">provides for high-integrity transparency as regards the duration of carbon storage because carbon is only </w:t>
            </w:r>
            <w:r w:rsidRPr="00FC4A49">
              <w:rPr>
                <w:b/>
                <w:i/>
                <w:lang w:val="en-GB"/>
              </w:rPr>
              <w:t>considered stored as long</w:t>
            </w:r>
            <w:r w:rsidRPr="00FC4A49">
              <w:rPr>
                <w:lang w:val="en-GB"/>
              </w:rPr>
              <w:t xml:space="preserve"> as the </w:t>
            </w:r>
            <w:r w:rsidRPr="00FC4A49">
              <w:rPr>
                <w:b/>
                <w:i/>
                <w:lang w:val="en-GB"/>
              </w:rPr>
              <w:t>activity is monitored and subject to appropriate liability rules. To consider carbon storage from nature-based solutions as permanent, it will be necessary that sufficiently long-term</w:t>
            </w:r>
            <w:r w:rsidRPr="00FC4A49">
              <w:rPr>
                <w:lang w:val="en-GB"/>
              </w:rPr>
              <w:t xml:space="preserve"> monitoring of a carbon </w:t>
            </w:r>
            <w:r w:rsidRPr="00FC4A49">
              <w:rPr>
                <w:b/>
                <w:i/>
                <w:lang w:val="en-GB"/>
              </w:rPr>
              <w:t>farming activity is ensured and that any liability for future reversals is taken on appropriately through enforceable financial, institutional, and contractual mechanisms, such as a permanence fund</w:t>
            </w:r>
            <w:r w:rsidRPr="00FC4A49">
              <w:rPr>
                <w:lang w:val="en-GB"/>
              </w:rPr>
              <w:t xml:space="preserve">. </w:t>
            </w:r>
            <w:r w:rsidRPr="00FC4A49">
              <w:rPr>
                <w:b/>
                <w:i/>
                <w:lang w:val="en-GB"/>
              </w:rPr>
              <w:t>Therefore, the Commission should examine the possible contribution of</w:t>
            </w:r>
            <w:r w:rsidRPr="00FC4A49">
              <w:rPr>
                <w:lang w:val="en-GB"/>
              </w:rPr>
              <w:t xml:space="preserve"> nature-based solutions and carbon farming </w:t>
            </w:r>
            <w:r w:rsidRPr="00FC4A49">
              <w:rPr>
                <w:b/>
                <w:i/>
                <w:lang w:val="en-GB"/>
              </w:rPr>
              <w:t>to permanent removals in</w:t>
            </w:r>
            <w:r w:rsidRPr="00FC4A49">
              <w:rPr>
                <w:lang w:val="en-GB"/>
              </w:rPr>
              <w:t xml:space="preserve"> the context of </w:t>
            </w:r>
            <w:r w:rsidRPr="00FC4A49">
              <w:rPr>
                <w:b/>
                <w:i/>
                <w:lang w:val="en-GB"/>
              </w:rPr>
              <w:t>the</w:t>
            </w:r>
            <w:r w:rsidRPr="00FC4A49">
              <w:rPr>
                <w:lang w:val="en-GB"/>
              </w:rPr>
              <w:t xml:space="preserve"> review of this Directive.</w:t>
            </w:r>
          </w:p>
        </w:tc>
        <w:tc>
          <w:tcPr>
            <w:tcW w:w="4876" w:type="dxa"/>
          </w:tcPr>
          <w:p w:rsidR="00343C6C" w:rsidRPr="00FC4A49" w:rsidP="005D58F9" w14:paraId="72A1522D" w14:textId="77777777">
            <w:pPr>
              <w:pStyle w:val="Normal6"/>
              <w:rPr>
                <w:szCs w:val="24"/>
                <w:lang w:val="en-GB"/>
              </w:rPr>
            </w:pPr>
            <w:r w:rsidRPr="00FC4A49">
              <w:rPr>
                <w:lang w:val="en-GB"/>
              </w:rPr>
              <w:t>(36)</w:t>
            </w:r>
            <w:r w:rsidRPr="00FC4A49">
              <w:rPr>
                <w:lang w:val="en-GB"/>
              </w:rPr>
              <w:tab/>
              <w:t xml:space="preserve">Regulation (EU) 2024/3012 of the European Parliament and of the Council establishes a framework to certify carbon removals, carbon storage in products, and carbon farming in the Union. </w:t>
            </w:r>
            <w:r w:rsidRPr="00FC4A49">
              <w:rPr>
                <w:b/>
                <w:i/>
                <w:lang w:val="en-GB"/>
              </w:rPr>
              <w:t>However,</w:t>
            </w:r>
            <w:r w:rsidRPr="00FC4A49">
              <w:rPr>
                <w:lang w:val="en-GB"/>
              </w:rPr>
              <w:t xml:space="preserve"> the CRCF Regulation </w:t>
            </w:r>
            <w:r w:rsidRPr="00FC4A49">
              <w:rPr>
                <w:b/>
                <w:i/>
                <w:lang w:val="en-GB"/>
              </w:rPr>
              <w:t xml:space="preserve">does not </w:t>
            </w:r>
            <w:r w:rsidRPr="00FC4A49">
              <w:rPr>
                <w:b/>
                <w:i/>
                <w:lang w:val="en-GB"/>
              </w:rPr>
              <w:t>take into account</w:t>
            </w:r>
            <w:r w:rsidRPr="00FC4A49">
              <w:rPr>
                <w:b/>
                <w:i/>
                <w:lang w:val="en-GB"/>
              </w:rPr>
              <w:t xml:space="preserve"> the indirect land use change emissions nor includes safeguards for </w:t>
            </w:r>
            <w:r w:rsidRPr="00FC4A49">
              <w:rPr>
                <w:b/>
                <w:i/>
                <w:lang w:val="en-GB"/>
              </w:rPr>
              <w:t>ensuring that the products do not pose risks for water quality and bio-diversity. Furthermore,</w:t>
            </w:r>
            <w:r w:rsidRPr="00FC4A49">
              <w:rPr>
                <w:lang w:val="en-GB"/>
              </w:rPr>
              <w:t xml:space="preserve"> as the monitoring </w:t>
            </w:r>
            <w:r w:rsidRPr="00FC4A49">
              <w:rPr>
                <w:b/>
                <w:i/>
                <w:lang w:val="en-GB"/>
              </w:rPr>
              <w:t>is only required for five years after the agricultural activity periods for carbon sequestration, it is not possible to ensure the permanence of achieved carbon sequestration. Consequently, the CRCF does not constitute an adequate reference for defining the permanence</w:t>
            </w:r>
            <w:r w:rsidRPr="00FC4A49">
              <w:rPr>
                <w:lang w:val="en-GB"/>
              </w:rPr>
              <w:t xml:space="preserve"> of a carbon </w:t>
            </w:r>
            <w:r w:rsidRPr="00FC4A49">
              <w:rPr>
                <w:b/>
                <w:i/>
                <w:lang w:val="en-GB"/>
              </w:rPr>
              <w:t>removal method</w:t>
            </w:r>
            <w:r w:rsidRPr="00FC4A49">
              <w:rPr>
                <w:lang w:val="en-GB"/>
              </w:rPr>
              <w:t xml:space="preserve">. Nature-based solutions and carbon farming </w:t>
            </w:r>
            <w:r w:rsidRPr="00FC4A49">
              <w:rPr>
                <w:b/>
                <w:i/>
                <w:lang w:val="en-GB"/>
              </w:rPr>
              <w:t>should not be included in the EU ETS, neither within</w:t>
            </w:r>
            <w:r w:rsidRPr="00FC4A49">
              <w:rPr>
                <w:lang w:val="en-GB"/>
              </w:rPr>
              <w:t xml:space="preserve"> the context of </w:t>
            </w:r>
            <w:r w:rsidRPr="00FC4A49">
              <w:rPr>
                <w:b/>
                <w:i/>
                <w:lang w:val="en-GB"/>
              </w:rPr>
              <w:t>this nor within a future</w:t>
            </w:r>
            <w:r w:rsidRPr="00FC4A49">
              <w:rPr>
                <w:lang w:val="en-GB"/>
              </w:rPr>
              <w:t xml:space="preserve"> review of this Directive.</w:t>
            </w:r>
          </w:p>
        </w:tc>
      </w:tr>
    </w:tbl>
    <w:p w:rsidR="00343C6C" w:rsidRPr="00C933E1" w:rsidP="00343C6C" w14:paraId="25E68FDE" w14:textId="77777777">
      <w:pPr>
        <w:pStyle w:val="Olang"/>
        <w:rPr>
          <w:lang w:val="sv-SE"/>
        </w:rPr>
      </w:pPr>
      <w:r w:rsidRPr="00C933E1">
        <w:rPr>
          <w:lang w:val="sv-SE"/>
        </w:rPr>
        <w:t xml:space="preserve">Or. </w:t>
      </w:r>
      <w:r w:rsidRPr="00C933E1">
        <w:rPr>
          <w:rStyle w:val="HideTWBExt"/>
          <w:lang w:val="sv-SE"/>
        </w:rPr>
        <w:t>&lt;Original&gt;</w:t>
      </w:r>
      <w:r w:rsidRPr="00C933E1">
        <w:rPr>
          <w:rStyle w:val="HideTWBInt"/>
          <w:lang w:val="sv-SE"/>
        </w:rPr>
        <w:t>{EN}</w:t>
      </w:r>
      <w:r w:rsidRPr="00C933E1">
        <w:rPr>
          <w:lang w:val="sv-SE"/>
        </w:rPr>
        <w:t>en</w:t>
      </w:r>
      <w:r w:rsidRPr="00C933E1">
        <w:rPr>
          <w:rStyle w:val="HideTWBExt"/>
          <w:lang w:val="sv-SE"/>
        </w:rPr>
        <w:t>&lt;/Original&gt;</w:t>
      </w:r>
    </w:p>
    <w:p w:rsidR="00343C6C" w:rsidRPr="00C933E1" w:rsidP="00343C6C" w14:paraId="192A03EE" w14:textId="77777777">
      <w:pPr>
        <w:rPr>
          <w:lang w:val="sv-SE"/>
        </w:rPr>
      </w:pPr>
      <w:r w:rsidRPr="00C933E1">
        <w:rPr>
          <w:rStyle w:val="HideTWBExt"/>
          <w:lang w:val="sv-SE"/>
        </w:rPr>
        <w:t>&lt;/Amend&gt;</w:t>
      </w:r>
    </w:p>
    <w:p w:rsidR="00343C6C" w:rsidRPr="00C933E1" w:rsidP="00343C6C" w14:paraId="3043C04E" w14:textId="77777777">
      <w:pPr>
        <w:pStyle w:val="AMNumberTabs0"/>
        <w:keepNext/>
        <w:rPr>
          <w:lang w:val="sv-SE"/>
        </w:rPr>
      </w:pPr>
      <w:r w:rsidRPr="00C933E1">
        <w:rPr>
          <w:rStyle w:val="HideTWBExt"/>
          <w:b w:val="0"/>
          <w:lang w:val="sv-SE"/>
        </w:rPr>
        <w:t>&lt;Amend&gt;</w:t>
      </w:r>
      <w:r w:rsidRPr="00C933E1">
        <w:rPr>
          <w:lang w:val="sv-SE"/>
        </w:rPr>
        <w:t>Amendment</w:t>
      </w:r>
      <w:r w:rsidRPr="00C933E1">
        <w:rPr>
          <w:lang w:val="sv-SE"/>
        </w:rPr>
        <w:tab/>
      </w:r>
      <w:r w:rsidRPr="00C933E1">
        <w:rPr>
          <w:lang w:val="sv-SE"/>
        </w:rPr>
        <w:tab/>
      </w:r>
      <w:r w:rsidRPr="00C933E1">
        <w:rPr>
          <w:rStyle w:val="HideTWBExt"/>
          <w:b w:val="0"/>
          <w:lang w:val="sv-SE"/>
        </w:rPr>
        <w:t>&lt;NumAm&gt;</w:t>
      </w:r>
      <w:r w:rsidRPr="00C933E1">
        <w:rPr>
          <w:lang w:val="sv-SE"/>
        </w:rPr>
        <w:t>268</w:t>
      </w:r>
      <w:r w:rsidRPr="00C933E1">
        <w:rPr>
          <w:rStyle w:val="HideTWBExt"/>
          <w:b w:val="0"/>
          <w:lang w:val="sv-SE"/>
        </w:rPr>
        <w:t>&lt;/NumAm&gt;</w:t>
      </w:r>
    </w:p>
    <w:p w:rsidR="00343C6C" w:rsidRPr="00C933E1" w:rsidP="00343C6C" w14:paraId="323549E0" w14:textId="77777777">
      <w:pPr>
        <w:pStyle w:val="NormalBold"/>
        <w:rPr>
          <w:lang w:val="sv-SE"/>
        </w:rPr>
      </w:pPr>
      <w:r w:rsidRPr="00C933E1">
        <w:rPr>
          <w:rStyle w:val="HideTWBExt"/>
          <w:b w:val="0"/>
          <w:lang w:val="sv-SE"/>
        </w:rPr>
        <w:t>&lt;RepeatBlock-By&gt;&lt;Members&gt;</w:t>
      </w:r>
      <w:r w:rsidRPr="00C933E1">
        <w:rPr>
          <w:lang w:val="sv-SE"/>
        </w:rPr>
        <w:t>Li Andersson, Jonas Sjöstedt, Per Clausen</w:t>
      </w:r>
      <w:r w:rsidRPr="00C933E1">
        <w:rPr>
          <w:rStyle w:val="HideTWBExt"/>
          <w:b w:val="0"/>
          <w:lang w:val="sv-SE"/>
        </w:rPr>
        <w:t>&lt;/Members&gt;</w:t>
      </w:r>
    </w:p>
    <w:p w:rsidR="00343C6C" w:rsidRPr="00C933E1" w:rsidP="00343C6C" w14:paraId="415FF289" w14:textId="77777777">
      <w:pPr>
        <w:rPr>
          <w:lang w:val="sv-SE"/>
        </w:rPr>
      </w:pPr>
      <w:r w:rsidRPr="00C933E1">
        <w:rPr>
          <w:rStyle w:val="HideTWBExt"/>
          <w:lang w:val="sv-SE"/>
        </w:rPr>
        <w:t>&lt;/RepeatBlock-By&gt;</w:t>
      </w:r>
    </w:p>
    <w:p w:rsidR="00343C6C" w:rsidRPr="00FC4A49" w:rsidP="00343C6C" w14:paraId="18E85BA5"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251095AC" w14:textId="77777777">
      <w:pPr>
        <w:pStyle w:val="NormalBold"/>
      </w:pPr>
      <w:r w:rsidRPr="00FC4A49">
        <w:rPr>
          <w:rStyle w:val="HideTWBExt"/>
          <w:b w:val="0"/>
        </w:rPr>
        <w:t>&lt;Article&gt;</w:t>
      </w:r>
      <w:r w:rsidRPr="00FC4A49">
        <w:t>Recital 36 a (new)</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27A10A"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084A9AF7" w14:textId="77777777">
            <w:pPr>
              <w:keepNext/>
            </w:pPr>
          </w:p>
        </w:tc>
      </w:tr>
      <w:tr w14:paraId="5355CB8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5859D605" w14:textId="77777777">
            <w:pPr>
              <w:pStyle w:val="ColumnHeading"/>
              <w:keepNext/>
              <w:rPr>
                <w:lang w:val="en-GB"/>
              </w:rPr>
            </w:pPr>
            <w:r w:rsidRPr="00FC4A49">
              <w:rPr>
                <w:lang w:val="en-GB"/>
              </w:rPr>
              <w:t>Text proposed by the Commission</w:t>
            </w:r>
          </w:p>
        </w:tc>
        <w:tc>
          <w:tcPr>
            <w:tcW w:w="4876" w:type="dxa"/>
          </w:tcPr>
          <w:p w:rsidR="00343C6C" w:rsidRPr="00FC4A49" w:rsidP="005D58F9" w14:paraId="09747269" w14:textId="77777777">
            <w:pPr>
              <w:pStyle w:val="ColumnHeading"/>
              <w:keepNext/>
              <w:rPr>
                <w:lang w:val="en-GB"/>
              </w:rPr>
            </w:pPr>
            <w:r w:rsidRPr="00FC4A49">
              <w:rPr>
                <w:lang w:val="en-GB"/>
              </w:rPr>
              <w:t>Amendment</w:t>
            </w:r>
          </w:p>
        </w:tc>
      </w:tr>
      <w:tr w14:paraId="6EE0CD9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1D6E12C0" w14:textId="77777777">
            <w:pPr>
              <w:pStyle w:val="Normal6"/>
              <w:rPr>
                <w:lang w:val="en-GB"/>
              </w:rPr>
            </w:pPr>
          </w:p>
        </w:tc>
        <w:tc>
          <w:tcPr>
            <w:tcW w:w="4876" w:type="dxa"/>
          </w:tcPr>
          <w:p w:rsidR="00343C6C" w:rsidRPr="00FC4A49" w:rsidP="005D58F9" w14:paraId="22D20A45" w14:textId="77777777">
            <w:pPr>
              <w:pStyle w:val="Normal6"/>
              <w:rPr>
                <w:szCs w:val="24"/>
                <w:lang w:val="en-GB"/>
              </w:rPr>
            </w:pPr>
            <w:r w:rsidRPr="00FC4A49">
              <w:rPr>
                <w:b/>
                <w:i/>
                <w:lang w:val="en-GB"/>
              </w:rPr>
              <w:t>(36a)</w:t>
            </w:r>
            <w:r w:rsidRPr="00FC4A49">
              <w:rPr>
                <w:b/>
                <w:i/>
                <w:lang w:val="en-GB"/>
              </w:rPr>
              <w:tab/>
              <w:t xml:space="preserve">Biochar does not constitute a genuine atmospheric carbon removal, as it merely shifts carbon between terrestrial/biogenic pools. It lacks long-term permanence, suffers from monitoring gaps, and risks driving unsustainable biomass harvesting, further degrading the Union's fragile land carbon sink thereby cancelling any possible climate benefit. Depending on its production process and feedstock, biochar could contain high levels of toxic contaminants such as polycyclic aromatised hydrocarbons (PAHs) or heavy metals, and its interaction with soil depends on the properties of the latter. It is therefore important that its use is excluded in relation to the integration of permanent carbon removals in the EU </w:t>
            </w:r>
            <w:r w:rsidRPr="00FC4A49">
              <w:rPr>
                <w:b/>
                <w:i/>
                <w:lang w:val="en-GB"/>
              </w:rPr>
              <w:t>ETS.</w:t>
            </w:r>
          </w:p>
        </w:tc>
      </w:tr>
    </w:tbl>
    <w:p w:rsidR="00343C6C" w:rsidRPr="00FC4A49" w:rsidP="00343C6C" w14:paraId="413BC923"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DA00EDF" w14:textId="77777777">
      <w:r w:rsidRPr="00FC4A49">
        <w:rPr>
          <w:rStyle w:val="HideTWBExt"/>
        </w:rPr>
        <w:t>&lt;/Amend&gt;</w:t>
      </w:r>
    </w:p>
    <w:p w:rsidR="00343C6C" w:rsidRPr="00FC4A49" w:rsidP="00343C6C" w14:paraId="16A79CA0"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269</w:t>
      </w:r>
      <w:r w:rsidRPr="00FC4A49">
        <w:rPr>
          <w:rStyle w:val="HideTWBExt"/>
          <w:b w:val="0"/>
          <w:lang w:val="en-GB"/>
        </w:rPr>
        <w:t>&lt;/NumAm&gt;</w:t>
      </w:r>
    </w:p>
    <w:p w:rsidR="00343C6C" w:rsidRPr="00FC4A49" w:rsidP="00343C6C" w14:paraId="37306285" w14:textId="77777777">
      <w:pPr>
        <w:pStyle w:val="NormalBold"/>
      </w:pPr>
      <w:r w:rsidRPr="00FC4A49">
        <w:rPr>
          <w:rStyle w:val="HideTWBExt"/>
          <w:b w:val="0"/>
        </w:rPr>
        <w:t>&lt;RepeatBlock-By&gt;&lt;Members&gt;</w:t>
      </w:r>
      <w:r w:rsidRPr="00FC4A49">
        <w:t>Mohammed Chahim</w:t>
      </w:r>
      <w:r w:rsidRPr="00FC4A49">
        <w:rPr>
          <w:rStyle w:val="HideTWBExt"/>
          <w:b w:val="0"/>
        </w:rPr>
        <w:t>&lt;/Members&gt;</w:t>
      </w:r>
    </w:p>
    <w:p w:rsidR="00343C6C" w:rsidRPr="00FC4A49" w:rsidP="00343C6C" w14:paraId="56404B3A" w14:textId="77777777">
      <w:r w:rsidRPr="00FC4A49">
        <w:rPr>
          <w:rStyle w:val="HideTWBExt"/>
        </w:rPr>
        <w:t>&lt;/RepeatBlock-By&gt;</w:t>
      </w:r>
    </w:p>
    <w:p w:rsidR="00343C6C" w:rsidRPr="00FC4A49" w:rsidP="00343C6C" w14:paraId="7B92D1C6"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4A8693BD" w14:textId="77777777">
      <w:pPr>
        <w:pStyle w:val="NormalBold"/>
      </w:pPr>
      <w:r w:rsidRPr="00FC4A49">
        <w:rPr>
          <w:rStyle w:val="HideTWBExt"/>
          <w:b w:val="0"/>
        </w:rPr>
        <w:t>&lt;Article&gt;</w:t>
      </w:r>
      <w:r w:rsidRPr="00FC4A49">
        <w:t>Recital 37</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23FA50"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7DE8869" w14:textId="77777777">
            <w:pPr>
              <w:keepNext/>
            </w:pPr>
          </w:p>
        </w:tc>
      </w:tr>
      <w:tr w14:paraId="1566B79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4246A48E" w14:textId="77777777">
            <w:pPr>
              <w:pStyle w:val="ColumnHeading"/>
              <w:keepNext/>
              <w:rPr>
                <w:lang w:val="en-GB"/>
              </w:rPr>
            </w:pPr>
            <w:r w:rsidRPr="00FC4A49">
              <w:rPr>
                <w:lang w:val="en-GB"/>
              </w:rPr>
              <w:t>Text proposed by the Commission</w:t>
            </w:r>
          </w:p>
        </w:tc>
        <w:tc>
          <w:tcPr>
            <w:tcW w:w="4876" w:type="dxa"/>
          </w:tcPr>
          <w:p w:rsidR="00343C6C" w:rsidRPr="00FC4A49" w:rsidP="005D58F9" w14:paraId="2B23BF18" w14:textId="77777777">
            <w:pPr>
              <w:pStyle w:val="ColumnHeading"/>
              <w:keepNext/>
              <w:rPr>
                <w:lang w:val="en-GB"/>
              </w:rPr>
            </w:pPr>
            <w:r w:rsidRPr="00FC4A49">
              <w:rPr>
                <w:lang w:val="en-GB"/>
              </w:rPr>
              <w:t>Amendment</w:t>
            </w:r>
          </w:p>
        </w:tc>
      </w:tr>
      <w:tr w14:paraId="29A6CE4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09DD45B" w14:textId="77777777">
            <w:pPr>
              <w:pStyle w:val="Normal6"/>
              <w:rPr>
                <w:lang w:val="en-GB"/>
              </w:rPr>
            </w:pPr>
            <w:r w:rsidRPr="00FC4A49">
              <w:rPr>
                <w:lang w:val="en-GB"/>
              </w:rPr>
              <w:t>(37)</w:t>
            </w:r>
            <w:r w:rsidRPr="00FC4A49">
              <w:rPr>
                <w:lang w:val="en-GB"/>
              </w:rPr>
              <w:tab/>
              <w:t xml:space="preserve">The EU ETS is a meaningful tool for climate financing. Since 2013, </w:t>
            </w:r>
            <w:r w:rsidRPr="00FC4A49">
              <w:rPr>
                <w:b/>
                <w:i/>
                <w:lang w:val="en-GB"/>
              </w:rPr>
              <w:t>it has generated substantial revenues, the majority</w:t>
            </w:r>
            <w:r w:rsidRPr="00FC4A49">
              <w:rPr>
                <w:lang w:val="en-GB"/>
              </w:rPr>
              <w:t xml:space="preserve"> of which </w:t>
            </w:r>
            <w:r w:rsidRPr="00FC4A49">
              <w:rPr>
                <w:b/>
                <w:i/>
                <w:lang w:val="en-GB"/>
              </w:rPr>
              <w:t>are allocated</w:t>
            </w:r>
            <w:r w:rsidRPr="00FC4A49">
              <w:rPr>
                <w:lang w:val="en-GB"/>
              </w:rPr>
              <w:t xml:space="preserve"> to Member States</w:t>
            </w:r>
            <w:r w:rsidRPr="00FC4A49">
              <w:rPr>
                <w:b/>
                <w:i/>
                <w:lang w:val="en-GB"/>
              </w:rPr>
              <w:t>, and it has allocated</w:t>
            </w:r>
            <w:r w:rsidRPr="00FC4A49">
              <w:rPr>
                <w:lang w:val="en-GB"/>
              </w:rPr>
              <w:t xml:space="preserve"> free allowances of equally substantial value. To fully realise its potential, the revenues from the ETS must be deployed strategically to accelerate decarbonisation and thus bolster industrial competitiveness. While Member States have been required since June 2023 to allocate all ETS revenues to climate and energy purposes and to ensure transparency, current spending patterns reveal shortcomings. Critical areas, such as industrial decarbonisation—which accounts for a major share of EU emissions—receive disproportionately low funding, as do other areas that are essential for decarbonisation. Furthermore, some investments risk undermining climate neutrality by perpetuating dependencies on carbon-intensive technologies, thereby creating long-term lock-in effects.</w:t>
            </w:r>
          </w:p>
        </w:tc>
        <w:tc>
          <w:tcPr>
            <w:tcW w:w="4876" w:type="dxa"/>
          </w:tcPr>
          <w:p w:rsidR="00343C6C" w:rsidRPr="00FC4A49" w:rsidP="005D58F9" w14:paraId="61E858E2" w14:textId="77777777">
            <w:pPr>
              <w:pStyle w:val="Normal6"/>
              <w:rPr>
                <w:szCs w:val="24"/>
                <w:lang w:val="en-GB"/>
              </w:rPr>
            </w:pPr>
            <w:r w:rsidRPr="00FC4A49">
              <w:rPr>
                <w:lang w:val="en-GB"/>
              </w:rPr>
              <w:t>(37)</w:t>
            </w:r>
            <w:r w:rsidRPr="00FC4A49">
              <w:rPr>
                <w:lang w:val="en-GB"/>
              </w:rPr>
              <w:tab/>
              <w:t xml:space="preserve">The EU ETS is a meaningful tool for climate financing. Since 2013, </w:t>
            </w:r>
            <w:r w:rsidRPr="00FC4A49">
              <w:rPr>
                <w:b/>
                <w:i/>
                <w:lang w:val="en-GB"/>
              </w:rPr>
              <w:t>EU ETS auctions have raised over €258 billion in revenue,</w:t>
            </w:r>
            <w:r w:rsidRPr="00FC4A49">
              <w:rPr>
                <w:lang w:val="en-GB"/>
              </w:rPr>
              <w:t xml:space="preserve"> of which </w:t>
            </w:r>
            <w:r w:rsidRPr="00FC4A49">
              <w:rPr>
                <w:b/>
                <w:i/>
                <w:lang w:val="en-GB"/>
              </w:rPr>
              <w:t>€193 billion has been transferred directly to Member State budgets. In 2025 alone, ETS revenues exceeded €43 billion, with approximately €24 billion destined</w:t>
            </w:r>
            <w:r w:rsidRPr="00FC4A49">
              <w:rPr>
                <w:lang w:val="en-GB"/>
              </w:rPr>
              <w:t xml:space="preserve"> to Member States</w:t>
            </w:r>
            <w:r w:rsidRPr="00FC4A49">
              <w:rPr>
                <w:b/>
                <w:i/>
                <w:lang w:val="en-GB"/>
              </w:rPr>
              <w:t>.</w:t>
            </w:r>
            <w:r w:rsidRPr="00FC4A49">
              <w:rPr>
                <w:lang w:val="en-GB"/>
              </w:rPr>
              <w:t xml:space="preserve"> Free allowances of equally substantial value </w:t>
            </w:r>
            <w:r w:rsidRPr="00FC4A49">
              <w:rPr>
                <w:b/>
                <w:i/>
                <w:lang w:val="en-GB"/>
              </w:rPr>
              <w:t>have also been allocated</w:t>
            </w:r>
            <w:r w:rsidRPr="00FC4A49">
              <w:rPr>
                <w:lang w:val="en-GB"/>
              </w:rPr>
              <w:t xml:space="preserve">. To fully realise its potential, the revenues from the ETS must be deployed strategically to accelerate decarbonisation and thus bolster industrial competitiveness. While Member States have been required since June 2023 to allocate all ETS revenues to climate and energy purposes and to ensure transparency, current spending patterns reveal </w:t>
            </w:r>
            <w:r w:rsidRPr="00FC4A49">
              <w:rPr>
                <w:b/>
                <w:i/>
                <w:lang w:val="en-GB"/>
              </w:rPr>
              <w:t>serious</w:t>
            </w:r>
            <w:r w:rsidRPr="00FC4A49">
              <w:rPr>
                <w:lang w:val="en-GB"/>
              </w:rPr>
              <w:t xml:space="preserve"> shortcomings</w:t>
            </w:r>
            <w:r w:rsidRPr="00FC4A49">
              <w:rPr>
                <w:b/>
                <w:i/>
                <w:lang w:val="en-GB"/>
              </w:rPr>
              <w:t>. Almost half of Member States do not trace ETS revenues separately but channel them directly into general budgets, making it impossible to verify compliance or provide citizens with meaningful transparency on how carbon pricing revenues are spent</w:t>
            </w:r>
            <w:r w:rsidRPr="00FC4A49">
              <w:rPr>
                <w:lang w:val="en-GB"/>
              </w:rPr>
              <w:t xml:space="preserve">. Critical areas, such as industrial decarbonisation—which accounts for a major share of EU emissions—receive disproportionately low funding, as do other areas that are essential for decarbonisation. Furthermore, some investments risk undermining climate neutrality by perpetuating dependencies on carbon-intensive technologies, thereby creating long-term lock-in effects. </w:t>
            </w:r>
            <w:r w:rsidRPr="00FC4A49">
              <w:rPr>
                <w:b/>
                <w:i/>
                <w:lang w:val="en-GB"/>
              </w:rPr>
              <w:t xml:space="preserve">Greater </w:t>
            </w:r>
            <w:r w:rsidRPr="00FC4A49">
              <w:rPr>
                <w:b/>
                <w:i/>
                <w:lang w:val="en-GB"/>
              </w:rPr>
              <w:t>transparency, traceability and public accountability in the use of ETS revenues are therefore of paramount importance, both to maintain public trust in carbon pricing as an instrument and to ensure that ETS revenues contribute effectively to the decarbonisation of the Union economy. To that end, Member States should present national climate and industrial decarbonisation plans setting out in a verifiable manner how they intend to allocate ETS revenues, the specific policies and investment programmes they intend to pursue, and the expected contribution to Union climate objectives. The Commission should assess those plans and monitor their implementation, with a view to ensuring that revenues are fully directed to climate purposes and to taking corrective measures where Member States persistently fail to meet their obligations.</w:t>
            </w:r>
          </w:p>
        </w:tc>
      </w:tr>
    </w:tbl>
    <w:p w:rsidR="00343C6C" w:rsidRPr="00C933E1" w:rsidP="00343C6C" w14:paraId="7F44ADD8" w14:textId="77777777">
      <w:pPr>
        <w:pStyle w:val="Olang"/>
        <w:rPr>
          <w:lang w:val="it-IT"/>
        </w:rPr>
      </w:pPr>
      <w:r w:rsidRPr="00C933E1">
        <w:rPr>
          <w:lang w:val="it-IT"/>
        </w:rPr>
        <w:t xml:space="preserve">Or. </w:t>
      </w:r>
      <w:r w:rsidRPr="00C933E1">
        <w:rPr>
          <w:rStyle w:val="HideTWBExt"/>
          <w:lang w:val="it-IT"/>
        </w:rPr>
        <w:t>&lt;Original&gt;</w:t>
      </w:r>
      <w:r w:rsidRPr="00C933E1">
        <w:rPr>
          <w:rStyle w:val="HideTWBInt"/>
          <w:lang w:val="it-IT"/>
        </w:rPr>
        <w:t>{EN}</w:t>
      </w:r>
      <w:r w:rsidRPr="00C933E1">
        <w:rPr>
          <w:lang w:val="it-IT"/>
        </w:rPr>
        <w:t>en</w:t>
      </w:r>
      <w:r w:rsidRPr="00C933E1">
        <w:rPr>
          <w:rStyle w:val="HideTWBExt"/>
          <w:lang w:val="it-IT"/>
        </w:rPr>
        <w:t>&lt;/Original&gt;</w:t>
      </w:r>
    </w:p>
    <w:p w:rsidR="00343C6C" w:rsidRPr="00C933E1" w:rsidP="00343C6C" w14:paraId="08CE23D2" w14:textId="77777777">
      <w:pPr>
        <w:rPr>
          <w:lang w:val="it-IT"/>
        </w:rPr>
      </w:pPr>
      <w:r w:rsidRPr="00C933E1">
        <w:rPr>
          <w:rStyle w:val="HideTWBExt"/>
          <w:lang w:val="it-IT"/>
        </w:rPr>
        <w:t>&lt;/Amend&gt;</w:t>
      </w:r>
    </w:p>
    <w:p w:rsidR="00343C6C" w:rsidRPr="00C933E1" w:rsidP="00343C6C" w14:paraId="49EAAFA7" w14:textId="77777777">
      <w:pPr>
        <w:pStyle w:val="AMNumberTabs0"/>
        <w:keepNext/>
        <w:rPr>
          <w:lang w:val="it-IT"/>
        </w:rPr>
      </w:pPr>
      <w:r w:rsidRPr="00C933E1">
        <w:rPr>
          <w:rStyle w:val="HideTWBExt"/>
          <w:b w:val="0"/>
          <w:lang w:val="it-IT"/>
        </w:rPr>
        <w:t>&lt;Amend&gt;</w:t>
      </w:r>
      <w:r w:rsidRPr="00C933E1">
        <w:rPr>
          <w:lang w:val="it-IT"/>
        </w:rPr>
        <w:t>Amendment</w:t>
      </w:r>
      <w:r w:rsidRPr="00C933E1">
        <w:rPr>
          <w:lang w:val="it-IT"/>
        </w:rPr>
        <w:tab/>
      </w:r>
      <w:r w:rsidRPr="00C933E1">
        <w:rPr>
          <w:lang w:val="it-IT"/>
        </w:rPr>
        <w:tab/>
      </w:r>
      <w:r w:rsidRPr="00C933E1">
        <w:rPr>
          <w:rStyle w:val="HideTWBExt"/>
          <w:b w:val="0"/>
          <w:lang w:val="it-IT"/>
        </w:rPr>
        <w:t>&lt;NumAm&gt;</w:t>
      </w:r>
      <w:r w:rsidRPr="00C933E1">
        <w:rPr>
          <w:lang w:val="it-IT"/>
        </w:rPr>
        <w:t>270</w:t>
      </w:r>
      <w:r w:rsidRPr="00C933E1">
        <w:rPr>
          <w:rStyle w:val="HideTWBExt"/>
          <w:b w:val="0"/>
          <w:lang w:val="it-IT"/>
        </w:rPr>
        <w:t>&lt;/NumAm&gt;</w:t>
      </w:r>
    </w:p>
    <w:p w:rsidR="00343C6C" w:rsidRPr="00C933E1" w:rsidP="00343C6C" w14:paraId="4B6181F8" w14:textId="77777777">
      <w:pPr>
        <w:pStyle w:val="NormalBold"/>
        <w:rPr>
          <w:lang w:val="it-IT"/>
        </w:rPr>
      </w:pPr>
      <w:r w:rsidRPr="00C933E1">
        <w:rPr>
          <w:rStyle w:val="HideTWBExt"/>
          <w:b w:val="0"/>
          <w:lang w:val="it-IT"/>
        </w:rPr>
        <w:t>&lt;RepeatBlock-By&gt;&lt;Members&gt;</w:t>
      </w:r>
      <w:r w:rsidRPr="00C933E1">
        <w:rPr>
          <w:lang w:val="it-IT"/>
        </w:rPr>
        <w:t>Annalisa Corrado, Alessandra Moretti, Irene Tinagli, Giorgio Gori</w:t>
      </w:r>
      <w:r w:rsidRPr="00C933E1">
        <w:rPr>
          <w:rStyle w:val="HideTWBExt"/>
          <w:b w:val="0"/>
          <w:lang w:val="it-IT"/>
        </w:rPr>
        <w:t>&lt;/Members&gt;</w:t>
      </w:r>
    </w:p>
    <w:p w:rsidR="00343C6C" w:rsidRPr="00C933E1" w:rsidP="00343C6C" w14:paraId="76C3DAEF" w14:textId="77777777">
      <w:pPr>
        <w:rPr>
          <w:lang w:val="it-IT"/>
        </w:rPr>
      </w:pPr>
      <w:r w:rsidRPr="00C933E1">
        <w:rPr>
          <w:rStyle w:val="HideTWBExt"/>
          <w:lang w:val="it-IT"/>
        </w:rPr>
        <w:t>&lt;/RepeatBlock-By&gt;</w:t>
      </w:r>
    </w:p>
    <w:p w:rsidR="00343C6C" w:rsidRPr="00FC4A49" w:rsidP="00343C6C" w14:paraId="52B30CD7"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3A00846C" w14:textId="77777777">
      <w:pPr>
        <w:pStyle w:val="NormalBold"/>
      </w:pPr>
      <w:r w:rsidRPr="00FC4A49">
        <w:rPr>
          <w:rStyle w:val="HideTWBExt"/>
          <w:b w:val="0"/>
        </w:rPr>
        <w:t>&lt;Article&gt;</w:t>
      </w:r>
      <w:r w:rsidRPr="00FC4A49">
        <w:t>Recital 37</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68A115"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40E507CA" w14:textId="77777777">
            <w:pPr>
              <w:keepNext/>
            </w:pPr>
          </w:p>
        </w:tc>
      </w:tr>
      <w:tr w14:paraId="64D1DDF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1F86E29" w14:textId="77777777">
            <w:pPr>
              <w:pStyle w:val="ColumnHeading"/>
              <w:keepNext/>
              <w:rPr>
                <w:lang w:val="en-GB"/>
              </w:rPr>
            </w:pPr>
            <w:r w:rsidRPr="00FC4A49">
              <w:rPr>
                <w:lang w:val="en-GB"/>
              </w:rPr>
              <w:t>Text proposed by the Commission</w:t>
            </w:r>
          </w:p>
        </w:tc>
        <w:tc>
          <w:tcPr>
            <w:tcW w:w="4876" w:type="dxa"/>
          </w:tcPr>
          <w:p w:rsidR="00343C6C" w:rsidRPr="00FC4A49" w:rsidP="005D58F9" w14:paraId="52A6D1F7" w14:textId="77777777">
            <w:pPr>
              <w:pStyle w:val="ColumnHeading"/>
              <w:keepNext/>
              <w:rPr>
                <w:lang w:val="en-GB"/>
              </w:rPr>
            </w:pPr>
            <w:r w:rsidRPr="00FC4A49">
              <w:rPr>
                <w:lang w:val="en-GB"/>
              </w:rPr>
              <w:t>Amendment</w:t>
            </w:r>
          </w:p>
        </w:tc>
      </w:tr>
      <w:tr w14:paraId="591364F8"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623D9337" w14:textId="77777777">
            <w:pPr>
              <w:pStyle w:val="Normal6"/>
              <w:rPr>
                <w:lang w:val="en-GB"/>
              </w:rPr>
            </w:pPr>
            <w:r w:rsidRPr="00FC4A49">
              <w:rPr>
                <w:lang w:val="en-GB"/>
              </w:rPr>
              <w:t>(37)</w:t>
            </w:r>
            <w:r w:rsidRPr="00FC4A49">
              <w:rPr>
                <w:lang w:val="en-GB"/>
              </w:rPr>
              <w:tab/>
              <w:t xml:space="preserve">The EU ETS is a meaningful tool for climate financing. Since 2013, </w:t>
            </w:r>
            <w:r w:rsidRPr="00FC4A49">
              <w:rPr>
                <w:b/>
                <w:i/>
                <w:lang w:val="en-GB"/>
              </w:rPr>
              <w:t>it has generated substantial revenues, the majority</w:t>
            </w:r>
            <w:r w:rsidRPr="00FC4A49">
              <w:rPr>
                <w:lang w:val="en-GB"/>
              </w:rPr>
              <w:t xml:space="preserve"> of which </w:t>
            </w:r>
            <w:r w:rsidRPr="00FC4A49">
              <w:rPr>
                <w:b/>
                <w:i/>
                <w:lang w:val="en-GB"/>
              </w:rPr>
              <w:t>are allocated</w:t>
            </w:r>
            <w:r w:rsidRPr="00FC4A49">
              <w:rPr>
                <w:lang w:val="en-GB"/>
              </w:rPr>
              <w:t xml:space="preserve"> to Member States</w:t>
            </w:r>
            <w:r w:rsidRPr="00FC4A49">
              <w:rPr>
                <w:b/>
                <w:i/>
                <w:lang w:val="en-GB"/>
              </w:rPr>
              <w:t>, and it has allocated</w:t>
            </w:r>
            <w:r w:rsidRPr="00FC4A49">
              <w:rPr>
                <w:lang w:val="en-GB"/>
              </w:rPr>
              <w:t xml:space="preserve"> free allowances of equally substantial value. To fully realise its potential, the revenues from the ETS must be deployed strategically to accelerate decarbonisation and thus bolster industrial competitiveness. While Member States have been required since June 2023 to allocate all ETS revenues to climate and energy purposes and to ensure transparency, current spending patterns </w:t>
            </w:r>
            <w:r w:rsidRPr="00FC4A49">
              <w:rPr>
                <w:lang w:val="en-GB"/>
              </w:rPr>
              <w:t>reveal shortcomings. Critical areas, such as industrial decarbonisation—which accounts for a major share of EU emissions—receive disproportionately low funding, as do other areas that are essential for decarbonisation. Furthermore, some investments risk undermining climate neutrality by perpetuating dependencies on carbon-intensive technologies, thereby creating long-term lock-in effects.</w:t>
            </w:r>
          </w:p>
        </w:tc>
        <w:tc>
          <w:tcPr>
            <w:tcW w:w="4876" w:type="dxa"/>
          </w:tcPr>
          <w:p w:rsidR="00343C6C" w:rsidRPr="00FC4A49" w:rsidP="005D58F9" w14:paraId="6F458530" w14:textId="77777777">
            <w:pPr>
              <w:pStyle w:val="Normal6"/>
              <w:rPr>
                <w:szCs w:val="24"/>
                <w:lang w:val="en-GB"/>
              </w:rPr>
            </w:pPr>
            <w:r w:rsidRPr="00FC4A49">
              <w:rPr>
                <w:lang w:val="en-GB"/>
              </w:rPr>
              <w:t>(37)</w:t>
            </w:r>
            <w:r w:rsidRPr="00FC4A49">
              <w:rPr>
                <w:lang w:val="en-GB"/>
              </w:rPr>
              <w:tab/>
              <w:t xml:space="preserve">The EU ETS is a meaningful tool for climate financing. Since 2013, </w:t>
            </w:r>
            <w:r w:rsidRPr="00FC4A49">
              <w:rPr>
                <w:b/>
                <w:i/>
                <w:lang w:val="en-GB"/>
              </w:rPr>
              <w:t>EU ETS auctions have raised over €258 billion in revenue,</w:t>
            </w:r>
            <w:r w:rsidRPr="00FC4A49">
              <w:rPr>
                <w:lang w:val="en-GB"/>
              </w:rPr>
              <w:t xml:space="preserve"> of which </w:t>
            </w:r>
            <w:r w:rsidRPr="00FC4A49">
              <w:rPr>
                <w:b/>
                <w:i/>
                <w:lang w:val="en-GB"/>
              </w:rPr>
              <w:t>€193 billion has been transferred directly to Member State budgets. In 2025 alone, ETS revenues exceeded €43 billion, with approximately €24 billion destined</w:t>
            </w:r>
            <w:r w:rsidRPr="00FC4A49">
              <w:rPr>
                <w:lang w:val="en-GB"/>
              </w:rPr>
              <w:t xml:space="preserve"> to Member States</w:t>
            </w:r>
            <w:r w:rsidRPr="00FC4A49">
              <w:rPr>
                <w:b/>
                <w:i/>
                <w:lang w:val="en-GB"/>
              </w:rPr>
              <w:t>.</w:t>
            </w:r>
            <w:r w:rsidRPr="00FC4A49">
              <w:rPr>
                <w:lang w:val="en-GB"/>
              </w:rPr>
              <w:t xml:space="preserve"> Free allowances of equally substantial value </w:t>
            </w:r>
            <w:r w:rsidRPr="00FC4A49">
              <w:rPr>
                <w:b/>
                <w:i/>
                <w:lang w:val="en-GB"/>
              </w:rPr>
              <w:t>have also been allocated</w:t>
            </w:r>
            <w:r w:rsidRPr="00FC4A49">
              <w:rPr>
                <w:lang w:val="en-GB"/>
              </w:rPr>
              <w:t xml:space="preserve">. To fully realise its potential, the revenues from the ETS must be deployed strategically to accelerate decarbonisation and thus bolster industrial competitiveness. While Member </w:t>
            </w:r>
            <w:r w:rsidRPr="00FC4A49">
              <w:rPr>
                <w:lang w:val="en-GB"/>
              </w:rPr>
              <w:t xml:space="preserve">States have been required since June 2023 to allocate all ETS revenues to climate and energy purposes and to ensure transparency, current spending patterns reveal </w:t>
            </w:r>
            <w:r w:rsidRPr="00FC4A49">
              <w:rPr>
                <w:b/>
                <w:i/>
                <w:lang w:val="en-GB"/>
              </w:rPr>
              <w:t>serious</w:t>
            </w:r>
            <w:r w:rsidRPr="00FC4A49">
              <w:rPr>
                <w:lang w:val="en-GB"/>
              </w:rPr>
              <w:t xml:space="preserve"> shortcomings</w:t>
            </w:r>
            <w:r w:rsidRPr="00FC4A49">
              <w:rPr>
                <w:b/>
                <w:i/>
                <w:lang w:val="en-GB"/>
              </w:rPr>
              <w:t>. Almost half of Member States do not trace ETS revenues separately but channel them directly into general budgets, making it impossible to verify compliance or provide citizens with meaningful transparency on how carbon pricing revenues are spent</w:t>
            </w:r>
            <w:r w:rsidRPr="00FC4A49">
              <w:rPr>
                <w:lang w:val="en-GB"/>
              </w:rPr>
              <w:t xml:space="preserve">. Critical areas, such as industrial decarbonisation—which accounts for a major share of EU emissions—receive disproportionately low funding, as do other areas that are essential for decarbonisation. Furthermore, some investments risk undermining climate neutrality by perpetuating dependencies on carbon-intensive technologies, thereby creating long-term lock-in effects. </w:t>
            </w:r>
            <w:r w:rsidRPr="00FC4A49">
              <w:rPr>
                <w:b/>
                <w:i/>
                <w:lang w:val="en-GB"/>
              </w:rPr>
              <w:t>Greater transparency, traceability and public accountability in the use of ETS revenues are therefore of paramount importance, both to maintain public trust in carbon pricing as an instrument and to ensure that ETS revenues contribute effectively to the decarbonisation of the Union economy. To that end, Member States should present national climate and industrial decarbonisation plans setting out in a verifiable manner how they intend to allocate ETS revenues, the specific policies and investment programmes they intend to pursue, and the expected contribution to Union climate objectives. The Commission should assess those plans and monitor their implementation, with a view to ensuring that revenues are fully directed to climate purposes and to taking corrective measures where Member States persistently fail to meet their obligations.</w:t>
            </w:r>
          </w:p>
        </w:tc>
      </w:tr>
    </w:tbl>
    <w:p w:rsidR="00343C6C" w:rsidRPr="00FC4A49" w:rsidP="00343C6C" w14:paraId="58155289"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450C46CF" w14:textId="77777777">
      <w:r w:rsidRPr="00FC4A49">
        <w:rPr>
          <w:rStyle w:val="HideTWBExt"/>
        </w:rPr>
        <w:t>&lt;/Amend&gt;</w:t>
      </w:r>
    </w:p>
    <w:p w:rsidR="00343C6C" w:rsidRPr="00FC4A49" w:rsidP="00343C6C" w14:paraId="41337D14"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271</w:t>
      </w:r>
      <w:r w:rsidRPr="00FC4A49">
        <w:rPr>
          <w:rStyle w:val="HideTWBExt"/>
          <w:b w:val="0"/>
          <w:lang w:val="en-GB"/>
        </w:rPr>
        <w:t>&lt;/NumAm&gt;</w:t>
      </w:r>
    </w:p>
    <w:p w:rsidR="00343C6C" w:rsidRPr="00FC4A49" w:rsidP="00343C6C" w14:paraId="6F5232E4" w14:textId="77777777">
      <w:pPr>
        <w:pStyle w:val="NormalBold"/>
      </w:pPr>
      <w:r w:rsidRPr="00FC4A49">
        <w:rPr>
          <w:rStyle w:val="HideTWBExt"/>
          <w:b w:val="0"/>
        </w:rPr>
        <w:t>&lt;RepeatBlock-By&gt;&lt;Members&gt;</w:t>
      </w:r>
      <w:r w:rsidRPr="00FC4A49">
        <w:t>Ondřej Knotek, Jana Nagyová, Antonín Staněk, Viktória Ferenc</w:t>
      </w:r>
      <w:r w:rsidRPr="00FC4A49">
        <w:rPr>
          <w:rStyle w:val="HideTWBExt"/>
          <w:b w:val="0"/>
        </w:rPr>
        <w:t>&lt;/Members&gt;</w:t>
      </w:r>
    </w:p>
    <w:p w:rsidR="00343C6C" w:rsidRPr="00FC4A49" w:rsidP="00343C6C" w14:paraId="3F7751BC" w14:textId="77777777">
      <w:r w:rsidRPr="00FC4A49">
        <w:rPr>
          <w:rStyle w:val="HideTWBExt"/>
        </w:rPr>
        <w:t>&lt;/RepeatBlock-By&gt;</w:t>
      </w:r>
    </w:p>
    <w:p w:rsidR="00343C6C" w:rsidRPr="00FC4A49" w:rsidP="00343C6C" w14:paraId="5F876B57"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692DE4D6" w14:textId="77777777">
      <w:pPr>
        <w:pStyle w:val="NormalBold"/>
      </w:pPr>
      <w:r w:rsidRPr="00FC4A49">
        <w:rPr>
          <w:rStyle w:val="HideTWBExt"/>
          <w:b w:val="0"/>
        </w:rPr>
        <w:t>&lt;Article&gt;</w:t>
      </w:r>
      <w:r w:rsidRPr="00FC4A49">
        <w:t>Recital 37</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9E3E32"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20B0C5BA" w14:textId="77777777">
            <w:pPr>
              <w:keepNext/>
            </w:pPr>
          </w:p>
        </w:tc>
      </w:tr>
      <w:tr w14:paraId="425AA69A"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9C4E4E6" w14:textId="77777777">
            <w:pPr>
              <w:pStyle w:val="ColumnHeading"/>
              <w:keepNext/>
              <w:rPr>
                <w:lang w:val="en-GB"/>
              </w:rPr>
            </w:pPr>
            <w:r w:rsidRPr="00FC4A49">
              <w:rPr>
                <w:lang w:val="en-GB"/>
              </w:rPr>
              <w:t>Text proposed by the Commission</w:t>
            </w:r>
          </w:p>
        </w:tc>
        <w:tc>
          <w:tcPr>
            <w:tcW w:w="4876" w:type="dxa"/>
          </w:tcPr>
          <w:p w:rsidR="00343C6C" w:rsidRPr="00FC4A49" w:rsidP="005D58F9" w14:paraId="018E1224" w14:textId="77777777">
            <w:pPr>
              <w:pStyle w:val="ColumnHeading"/>
              <w:keepNext/>
              <w:rPr>
                <w:lang w:val="en-GB"/>
              </w:rPr>
            </w:pPr>
            <w:r w:rsidRPr="00FC4A49">
              <w:rPr>
                <w:lang w:val="en-GB"/>
              </w:rPr>
              <w:t>Amendment</w:t>
            </w:r>
          </w:p>
        </w:tc>
      </w:tr>
      <w:tr w14:paraId="47CC0F89"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2AB62C47" w14:textId="77777777">
            <w:pPr>
              <w:pStyle w:val="Normal6"/>
              <w:rPr>
                <w:lang w:val="en-GB"/>
              </w:rPr>
            </w:pPr>
            <w:r w:rsidRPr="00FC4A49">
              <w:rPr>
                <w:lang w:val="en-GB"/>
              </w:rPr>
              <w:t>(37)</w:t>
            </w:r>
            <w:r w:rsidRPr="00FC4A49">
              <w:rPr>
                <w:lang w:val="en-GB"/>
              </w:rPr>
              <w:tab/>
              <w:t xml:space="preserve">The EU ETS is a meaningful tool for climate financing. Since 2013, it has generated substantial revenues, the majority of which are allocated to Member States, and it has allocated free allowances of equally substantial value. To fully realise its potential, the revenues from the ETS must be deployed strategically to </w:t>
            </w:r>
            <w:r w:rsidRPr="00FC4A49">
              <w:rPr>
                <w:b/>
                <w:i/>
                <w:lang w:val="en-GB"/>
              </w:rPr>
              <w:t>accelerate decarbonisation and thus</w:t>
            </w:r>
            <w:r w:rsidRPr="00FC4A49">
              <w:rPr>
                <w:lang w:val="en-GB"/>
              </w:rPr>
              <w:t xml:space="preserve"> bolster industrial competitiveness. While Member States have been required since June 2023 to allocate all ETS revenues to climate and energy purposes and to ensure transparency, current spending patterns reveal shortcomings. Critical areas, such as industrial decarbonisation—which accounts for a major share of EU emissions—receive disproportionately low funding, as do other areas that are essential for decarbonisation. </w:t>
            </w:r>
            <w:r w:rsidRPr="00FC4A49">
              <w:rPr>
                <w:b/>
                <w:i/>
                <w:lang w:val="en-GB"/>
              </w:rPr>
              <w:t>Furthermore, some investments risk undermining climate neutrality by perpetuating dependencies on carbon-intensive technologies, thereby creating long-term lock-in effects.</w:t>
            </w:r>
          </w:p>
        </w:tc>
        <w:tc>
          <w:tcPr>
            <w:tcW w:w="4876" w:type="dxa"/>
          </w:tcPr>
          <w:p w:rsidR="00343C6C" w:rsidRPr="00FC4A49" w:rsidP="005D58F9" w14:paraId="29CD65ED" w14:textId="77777777">
            <w:pPr>
              <w:pStyle w:val="Normal6"/>
              <w:rPr>
                <w:szCs w:val="24"/>
                <w:lang w:val="en-GB"/>
              </w:rPr>
            </w:pPr>
            <w:r w:rsidRPr="00FC4A49">
              <w:rPr>
                <w:lang w:val="en-GB"/>
              </w:rPr>
              <w:t>(37)</w:t>
            </w:r>
            <w:r w:rsidRPr="00FC4A49">
              <w:rPr>
                <w:lang w:val="en-GB"/>
              </w:rPr>
              <w:tab/>
              <w:t>The EU ETS is a meaningful tool for climate financing. Since 2013, it has generated substantial revenues, the majority of which are allocated to Member States, and it has allocated free allowances of equally substantial value. To fully realise its potential, the revenues from the ETS must be deployed strategically to bolster industrial competitiveness. While Member States have been required since June 2023 to allocate all ETS revenues to climate and energy purposes and to ensure transparency, current spending patterns reveal shortcomings. Critical areas, such as industrial decarbonisation—which accounts for a major share of EU emissions—receive disproportionately low funding, as do other areas that are essential for decarbonisation.</w:t>
            </w:r>
          </w:p>
        </w:tc>
      </w:tr>
    </w:tbl>
    <w:p w:rsidR="00343C6C" w:rsidRPr="00FC4A49" w:rsidP="00343C6C" w14:paraId="7A7CDDD2"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2356C670" w14:textId="77777777">
      <w:r w:rsidRPr="00FC4A49">
        <w:rPr>
          <w:rStyle w:val="HideTWBExt"/>
        </w:rPr>
        <w:t>&lt;/Amend&gt;</w:t>
      </w:r>
    </w:p>
    <w:p w:rsidR="00343C6C" w:rsidRPr="00FC4A49" w:rsidP="00343C6C" w14:paraId="3140DFB1" w14:textId="77777777">
      <w:pPr>
        <w:pStyle w:val="AMNumberTabs0"/>
        <w:keepNext/>
        <w:rPr>
          <w:lang w:val="en-GB"/>
        </w:rPr>
      </w:pPr>
      <w:r w:rsidRPr="00FC4A49">
        <w:rPr>
          <w:rStyle w:val="HideTWBExt"/>
          <w:b w:val="0"/>
          <w:lang w:val="en-GB"/>
        </w:rPr>
        <w:t>&lt;Amend&gt;</w:t>
      </w:r>
      <w:r w:rsidRPr="00FC4A49">
        <w:rPr>
          <w:lang w:val="en-GB"/>
        </w:rPr>
        <w:t>Amendment</w:t>
      </w:r>
      <w:r w:rsidRPr="00FC4A49">
        <w:rPr>
          <w:lang w:val="en-GB"/>
        </w:rPr>
        <w:tab/>
      </w:r>
      <w:r w:rsidRPr="00FC4A49">
        <w:rPr>
          <w:lang w:val="en-GB"/>
        </w:rPr>
        <w:tab/>
      </w:r>
      <w:r w:rsidRPr="00FC4A49">
        <w:rPr>
          <w:rStyle w:val="HideTWBExt"/>
          <w:b w:val="0"/>
          <w:lang w:val="en-GB"/>
        </w:rPr>
        <w:t>&lt;NumAm&gt;</w:t>
      </w:r>
      <w:r w:rsidRPr="00FC4A49">
        <w:rPr>
          <w:lang w:val="en-GB"/>
        </w:rPr>
        <w:t>272</w:t>
      </w:r>
      <w:r w:rsidRPr="00FC4A49">
        <w:rPr>
          <w:rStyle w:val="HideTWBExt"/>
          <w:b w:val="0"/>
          <w:lang w:val="en-GB"/>
        </w:rPr>
        <w:t>&lt;/NumAm&gt;</w:t>
      </w:r>
    </w:p>
    <w:p w:rsidR="00343C6C" w:rsidRPr="00FC4A49" w:rsidP="00343C6C" w14:paraId="20D2537B" w14:textId="77777777">
      <w:pPr>
        <w:pStyle w:val="NormalBold"/>
      </w:pPr>
      <w:r w:rsidRPr="00FC4A49">
        <w:rPr>
          <w:rStyle w:val="HideTWBExt"/>
          <w:b w:val="0"/>
        </w:rPr>
        <w:t>&lt;RepeatBlock-By&gt;&lt;Members&gt;</w:t>
      </w:r>
      <w:r w:rsidRPr="00FC4A49">
        <w:t>Michael Bloss</w:t>
      </w:r>
      <w:r w:rsidRPr="00FC4A49">
        <w:rPr>
          <w:rStyle w:val="HideTWBExt"/>
          <w:b w:val="0"/>
        </w:rPr>
        <w:t>&lt;/Members&gt;</w:t>
      </w:r>
    </w:p>
    <w:p w:rsidR="00343C6C" w:rsidRPr="00FC4A49" w:rsidP="00343C6C" w14:paraId="3FD968C8" w14:textId="77777777">
      <w:r w:rsidRPr="00FC4A49">
        <w:rPr>
          <w:rStyle w:val="HideTWBExt"/>
        </w:rPr>
        <w:t>&lt;/RepeatBlock-By&gt;</w:t>
      </w:r>
    </w:p>
    <w:p w:rsidR="00343C6C" w:rsidRPr="00FC4A49" w:rsidP="00343C6C" w14:paraId="129584FE" w14:textId="77777777">
      <w:pPr>
        <w:pStyle w:val="NormalBold"/>
        <w:keepNext/>
      </w:pPr>
      <w:r w:rsidRPr="00FC4A49">
        <w:rPr>
          <w:rStyle w:val="HideTWBExt"/>
          <w:b w:val="0"/>
        </w:rPr>
        <w:t>&lt;DocAmend&gt;</w:t>
      </w:r>
      <w:r w:rsidRPr="00FC4A49">
        <w:t>Proposal for a directive</w:t>
      </w:r>
      <w:r w:rsidRPr="00FC4A49">
        <w:rPr>
          <w:rStyle w:val="HideTWBExt"/>
          <w:b w:val="0"/>
        </w:rPr>
        <w:t>&lt;/DocAmend&gt;</w:t>
      </w:r>
    </w:p>
    <w:p w:rsidR="00343C6C" w:rsidRPr="00FC4A49" w:rsidP="00343C6C" w14:paraId="0D1BD0EE" w14:textId="77777777">
      <w:pPr>
        <w:pStyle w:val="NormalBold"/>
      </w:pPr>
      <w:r w:rsidRPr="00FC4A49">
        <w:rPr>
          <w:rStyle w:val="HideTWBExt"/>
          <w:b w:val="0"/>
        </w:rPr>
        <w:t>&lt;Article&gt;</w:t>
      </w:r>
      <w:r w:rsidRPr="00FC4A49">
        <w:t>Recital 37</w:t>
      </w:r>
      <w:r w:rsidRPr="00FC4A49">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EB8DE3" w14:textId="77777777" w:rsidTr="005D58F9">
        <w:tblPrEx>
          <w:tblW w:w="0" w:type="auto"/>
          <w:jc w:val="center"/>
          <w:tblLayout w:type="fixed"/>
          <w:tblCellMar>
            <w:left w:w="340" w:type="dxa"/>
            <w:right w:w="340" w:type="dxa"/>
          </w:tblCellMar>
          <w:tblLook w:val="0000"/>
        </w:tblPrEx>
        <w:trPr>
          <w:jc w:val="center"/>
        </w:trPr>
        <w:tc>
          <w:tcPr>
            <w:tcW w:w="9752" w:type="dxa"/>
            <w:gridSpan w:val="2"/>
          </w:tcPr>
          <w:p w:rsidR="00343C6C" w:rsidRPr="00FC4A49" w:rsidP="005D58F9" w14:paraId="7F2AE6F7" w14:textId="77777777">
            <w:pPr>
              <w:keepNext/>
            </w:pPr>
          </w:p>
        </w:tc>
      </w:tr>
      <w:tr w14:paraId="73F44C35"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06AF168F" w14:textId="77777777">
            <w:pPr>
              <w:pStyle w:val="ColumnHeading"/>
              <w:keepNext/>
              <w:rPr>
                <w:lang w:val="en-GB"/>
              </w:rPr>
            </w:pPr>
            <w:r w:rsidRPr="00FC4A49">
              <w:rPr>
                <w:lang w:val="en-GB"/>
              </w:rPr>
              <w:t>Text proposed by the Commission</w:t>
            </w:r>
          </w:p>
        </w:tc>
        <w:tc>
          <w:tcPr>
            <w:tcW w:w="4876" w:type="dxa"/>
          </w:tcPr>
          <w:p w:rsidR="00343C6C" w:rsidRPr="00FC4A49" w:rsidP="005D58F9" w14:paraId="06011E4E" w14:textId="77777777">
            <w:pPr>
              <w:pStyle w:val="ColumnHeading"/>
              <w:keepNext/>
              <w:rPr>
                <w:lang w:val="en-GB"/>
              </w:rPr>
            </w:pPr>
            <w:r w:rsidRPr="00FC4A49">
              <w:rPr>
                <w:lang w:val="en-GB"/>
              </w:rPr>
              <w:t>Amendment</w:t>
            </w:r>
          </w:p>
        </w:tc>
      </w:tr>
      <w:tr w14:paraId="739CF2F7" w14:textId="77777777" w:rsidTr="005D58F9">
        <w:tblPrEx>
          <w:tblW w:w="0" w:type="auto"/>
          <w:jc w:val="center"/>
          <w:tblLayout w:type="fixed"/>
          <w:tblCellMar>
            <w:left w:w="340" w:type="dxa"/>
            <w:right w:w="340" w:type="dxa"/>
          </w:tblCellMar>
          <w:tblLook w:val="0000"/>
        </w:tblPrEx>
        <w:trPr>
          <w:jc w:val="center"/>
        </w:trPr>
        <w:tc>
          <w:tcPr>
            <w:tcW w:w="4876" w:type="dxa"/>
          </w:tcPr>
          <w:p w:rsidR="00343C6C" w:rsidRPr="00FC4A49" w:rsidP="005D58F9" w14:paraId="7E1C7E18" w14:textId="77777777">
            <w:pPr>
              <w:pStyle w:val="Normal6"/>
              <w:rPr>
                <w:lang w:val="en-GB"/>
              </w:rPr>
            </w:pPr>
            <w:r w:rsidRPr="00FC4A49">
              <w:rPr>
                <w:lang w:val="en-GB"/>
              </w:rPr>
              <w:t>(37)</w:t>
            </w:r>
            <w:r w:rsidRPr="00FC4A49">
              <w:rPr>
                <w:lang w:val="en-GB"/>
              </w:rPr>
              <w:tab/>
              <w:t xml:space="preserve">The EU ETS is a meaningful tool for climate financing. Since 2013, it has generated substantial revenues, the majority of which are allocated to Member </w:t>
            </w:r>
            <w:r w:rsidRPr="00FC4A49">
              <w:rPr>
                <w:lang w:val="en-GB"/>
              </w:rPr>
              <w:t>States, and it has allocated free allowances of equally substantial value. To fully realise its potential, the revenues from the ETS must be deployed strategically to accelerate decarbonisation and thus bolster industrial competitiveness. While Member States have been required since June 2023 to allocate all ETS revenues to climate and energy purposes and to ensure transparency, current spending patterns reveal shortcomings. Critical areas, such as industrial decarbonisation—which accounts for a major share of EU emissions—receive disproportionately low funding, as do other areas that are essential for decarbonisation. Furthermore, some investments risk undermining climate neutrality by perpetuating dependencies on carbon-intensive technologies, thereby creating long-term lock-in effects.</w:t>
            </w:r>
          </w:p>
        </w:tc>
        <w:tc>
          <w:tcPr>
            <w:tcW w:w="4876" w:type="dxa"/>
          </w:tcPr>
          <w:p w:rsidR="00343C6C" w:rsidRPr="00FC4A49" w:rsidP="005D58F9" w14:paraId="261E4DD7" w14:textId="77777777">
            <w:pPr>
              <w:pStyle w:val="Normal6"/>
              <w:rPr>
                <w:szCs w:val="24"/>
                <w:lang w:val="en-GB"/>
              </w:rPr>
            </w:pPr>
            <w:r w:rsidRPr="00FC4A49">
              <w:rPr>
                <w:lang w:val="en-GB"/>
              </w:rPr>
              <w:t>(37)</w:t>
            </w:r>
            <w:r w:rsidRPr="00FC4A49">
              <w:rPr>
                <w:lang w:val="en-GB"/>
              </w:rPr>
              <w:tab/>
              <w:t xml:space="preserve">The EU ETS is a meaningful tool for climate financing. Since 2013, it has generated substantial revenues, the majority of which are allocated to Member </w:t>
            </w:r>
            <w:r w:rsidRPr="00FC4A49">
              <w:rPr>
                <w:lang w:val="en-GB"/>
              </w:rPr>
              <w:t xml:space="preserve">States, and it has allocated free allowances of equally substantial value. To fully realise its potential, the revenues from the ETS must be deployed strategically to accelerate decarbonisation and thus bolster industrial competitiveness. While Member States have been required since June 2023 to allocate all ETS revenues to climate and energy purposes and to ensure transparency, current spending patterns reveal shortcomings. Critical areas, such as industrial decarbonisation—which accounts for a major share of EU emissions—receive disproportionately low funding, as do other areas that are essential for decarbonisation </w:t>
            </w:r>
            <w:r w:rsidRPr="00FC4A49">
              <w:rPr>
                <w:b/>
                <w:i/>
                <w:lang w:val="en-GB"/>
              </w:rPr>
              <w:t>such as the transport and buildings sector as well as support for low or middle income households</w:t>
            </w:r>
            <w:r w:rsidRPr="00FC4A49">
              <w:rPr>
                <w:lang w:val="en-GB"/>
              </w:rPr>
              <w:t>. Furthermore, some investments risk undermining climate neutrality by perpetuating dependencies on carbon-intensive technologies, thereby creating long-term lock-in effects.</w:t>
            </w:r>
          </w:p>
        </w:tc>
      </w:tr>
    </w:tbl>
    <w:p w:rsidR="00343C6C" w:rsidRPr="00FC4A49" w:rsidP="00343C6C" w14:paraId="6721E0F8" w14:textId="77777777">
      <w:pPr>
        <w:pStyle w:val="Olang"/>
        <w:rPr>
          <w:lang w:val="en-GB"/>
        </w:rPr>
      </w:pPr>
      <w:r w:rsidRPr="00FC4A49">
        <w:rPr>
          <w:lang w:val="en-GB"/>
        </w:rPr>
        <w:t xml:space="preserve">Or. </w:t>
      </w:r>
      <w:r w:rsidRPr="00FC4A49">
        <w:rPr>
          <w:rStyle w:val="HideTWBExt"/>
          <w:lang w:val="en-GB"/>
        </w:rPr>
        <w:t>&lt;Original&gt;</w:t>
      </w:r>
      <w:r w:rsidRPr="00FC4A49">
        <w:rPr>
          <w:rStyle w:val="HideTWBInt"/>
          <w:lang w:val="en-GB"/>
        </w:rPr>
        <w:t>{EN}</w:t>
      </w:r>
      <w:r w:rsidRPr="00FC4A49">
        <w:rPr>
          <w:lang w:val="en-GB"/>
        </w:rPr>
        <w:t>en</w:t>
      </w:r>
      <w:r w:rsidRPr="00FC4A49">
        <w:rPr>
          <w:rStyle w:val="HideTWBExt"/>
          <w:lang w:val="en-GB"/>
        </w:rPr>
        <w:t>&lt;/Original&gt;</w:t>
      </w:r>
    </w:p>
    <w:p w:rsidR="00343C6C" w:rsidRPr="00FC4A49" w:rsidP="00343C6C" w14:paraId="05685F94" w14:textId="4C95E060">
      <w:r w:rsidRPr="00FC4A49">
        <w:rPr>
          <w:rStyle w:val="HideTWBExt"/>
        </w:rPr>
        <w:t>&lt;/Amend&gt;&lt;/RepeatBlock-Amend&gt;</w:t>
      </w:r>
    </w:p>
    <w:p w:rsidR="00FA192C" w:rsidRPr="00FC4A49" w:rsidP="00343C6C" w14:paraId="43411FA8" w14:textId="6D632676"/>
    <w:p w:rsidR="008363E4" w:rsidRPr="00FC4A49" w:rsidP="00FA192C" w14:paraId="34684980" w14:textId="77777777"/>
    <w:sectPr w:rsidSect="00A52856">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856" w:rsidRPr="00FC4A49" w:rsidP="00A52856" w14:paraId="7EB46B2A" w14:textId="77777777">
    <w:pPr>
      <w:pStyle w:val="EPFooter"/>
    </w:pPr>
    <w:r w:rsidRPr="00FC4A49">
      <w:t>PE</w:t>
    </w:r>
    <w:r w:rsidRPr="00FC4A49">
      <w:rPr>
        <w:rStyle w:val="HideTWBExt"/>
      </w:rPr>
      <w:t>&lt;NoPE&gt;</w:t>
    </w:r>
    <w:r w:rsidRPr="00FC4A49">
      <w:t>796.486</w:t>
    </w:r>
    <w:r w:rsidRPr="00FC4A49">
      <w:rPr>
        <w:rStyle w:val="HideTWBExt"/>
      </w:rPr>
      <w:t>&lt;/NoPE&gt;&lt;Version&gt;</w:t>
    </w:r>
    <w:r w:rsidRPr="00FC4A49">
      <w:t>v02-00</w:t>
    </w:r>
    <w:r w:rsidRPr="00FC4A49">
      <w:rPr>
        <w:rStyle w:val="HideTWBExt"/>
      </w:rPr>
      <w:t>&lt;/Version&gt;</w:t>
    </w:r>
    <w:r w:rsidRPr="00FC4A49">
      <w:tab/>
    </w:r>
    <w:r w:rsidRPr="00FC4A49">
      <w:fldChar w:fldCharType="begin"/>
    </w:r>
    <w:r w:rsidRPr="00FC4A49">
      <w:instrText xml:space="preserve"> PAGE  \* MERGEFORMAT </w:instrText>
    </w:r>
    <w:r w:rsidRPr="00FC4A49">
      <w:fldChar w:fldCharType="separate"/>
    </w:r>
    <w:r w:rsidRPr="00FC4A49">
      <w:rPr>
        <w:noProof/>
      </w:rPr>
      <w:t>2</w:t>
    </w:r>
    <w:r w:rsidRPr="00FC4A49">
      <w:fldChar w:fldCharType="end"/>
    </w:r>
    <w:r w:rsidRPr="00FC4A49">
      <w:t>/</w:t>
    </w:r>
    <w:r>
      <w:fldChar w:fldCharType="begin"/>
    </w:r>
    <w:r>
      <w:instrText xml:space="preserve"> NUMPAGES  \* MERGEFORMAT </w:instrText>
    </w:r>
    <w:r>
      <w:fldChar w:fldCharType="separate"/>
    </w:r>
    <w:r w:rsidRPr="00FC4A49">
      <w:rPr>
        <w:noProof/>
      </w:rPr>
      <w:t>176</w:t>
    </w:r>
    <w:r w:rsidRPr="00FC4A49">
      <w:rPr>
        <w:noProof/>
      </w:rPr>
      <w:fldChar w:fldCharType="end"/>
    </w:r>
    <w:r w:rsidRPr="00FC4A49">
      <w:tab/>
    </w:r>
    <w:r w:rsidRPr="00FC4A49">
      <w:rPr>
        <w:rStyle w:val="HideTWBExt"/>
      </w:rPr>
      <w:t>&lt;PathFdR&gt;</w:t>
    </w:r>
    <w:r w:rsidRPr="00FC4A49">
      <w:t>AM\1353363EN.docx</w:t>
    </w:r>
    <w:r w:rsidRPr="00FC4A49">
      <w:rPr>
        <w:rStyle w:val="HideTWBExt"/>
      </w:rPr>
      <w:t>&lt;/PathFdR&gt;</w:t>
    </w:r>
  </w:p>
  <w:p w:rsidR="00D82FCC" w:rsidRPr="00FC4A49" w:rsidP="00A52856" w14:paraId="38D99616" w14:textId="27978046">
    <w:pPr>
      <w:pStyle w:val="EPFooter2"/>
    </w:pPr>
    <w:r w:rsidRPr="00FC4A49">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856" w:rsidRPr="00FC4A49" w:rsidP="00A52856" w14:paraId="76947CD8" w14:textId="77777777">
    <w:pPr>
      <w:pStyle w:val="EPFooter"/>
    </w:pPr>
    <w:r w:rsidRPr="00FC4A49">
      <w:rPr>
        <w:rStyle w:val="HideTWBExt"/>
      </w:rPr>
      <w:t>&lt;PathFdR&gt;</w:t>
    </w:r>
    <w:r w:rsidRPr="00FC4A49">
      <w:t>AM\1353363EN.docx</w:t>
    </w:r>
    <w:r w:rsidRPr="00FC4A49">
      <w:rPr>
        <w:rStyle w:val="HideTWBExt"/>
      </w:rPr>
      <w:t>&lt;/PathFdR&gt;</w:t>
    </w:r>
    <w:r w:rsidRPr="00FC4A49">
      <w:tab/>
    </w:r>
    <w:r w:rsidRPr="00FC4A49">
      <w:fldChar w:fldCharType="begin"/>
    </w:r>
    <w:r w:rsidRPr="00FC4A49">
      <w:instrText xml:space="preserve"> PAGE  \* MERGEFORMAT </w:instrText>
    </w:r>
    <w:r w:rsidRPr="00FC4A49">
      <w:fldChar w:fldCharType="separate"/>
    </w:r>
    <w:r w:rsidRPr="00FC4A49">
      <w:rPr>
        <w:noProof/>
      </w:rPr>
      <w:t>3</w:t>
    </w:r>
    <w:r w:rsidRPr="00FC4A49">
      <w:fldChar w:fldCharType="end"/>
    </w:r>
    <w:r w:rsidRPr="00FC4A49">
      <w:t>/</w:t>
    </w:r>
    <w:r>
      <w:fldChar w:fldCharType="begin"/>
    </w:r>
    <w:r>
      <w:instrText xml:space="preserve"> NUMPAGES  \* MERGEFORMAT </w:instrText>
    </w:r>
    <w:r>
      <w:fldChar w:fldCharType="separate"/>
    </w:r>
    <w:r w:rsidRPr="00FC4A49">
      <w:rPr>
        <w:noProof/>
      </w:rPr>
      <w:t>176</w:t>
    </w:r>
    <w:r w:rsidRPr="00FC4A49">
      <w:rPr>
        <w:noProof/>
      </w:rPr>
      <w:fldChar w:fldCharType="end"/>
    </w:r>
    <w:r w:rsidRPr="00FC4A49">
      <w:tab/>
      <w:t>PE</w:t>
    </w:r>
    <w:r w:rsidRPr="00FC4A49">
      <w:rPr>
        <w:rStyle w:val="HideTWBExt"/>
      </w:rPr>
      <w:t>&lt;NoPE&gt;</w:t>
    </w:r>
    <w:r w:rsidRPr="00FC4A49">
      <w:t>796.486</w:t>
    </w:r>
    <w:r w:rsidRPr="00FC4A49">
      <w:rPr>
        <w:rStyle w:val="HideTWBExt"/>
      </w:rPr>
      <w:t>&lt;/NoPE&gt;&lt;Version&gt;</w:t>
    </w:r>
    <w:r w:rsidRPr="00FC4A49">
      <w:t>v02-00</w:t>
    </w:r>
    <w:r w:rsidRPr="00FC4A49">
      <w:rPr>
        <w:rStyle w:val="HideTWBExt"/>
      </w:rPr>
      <w:t>&lt;/Version&gt;</w:t>
    </w:r>
  </w:p>
  <w:p w:rsidR="00D82FCC" w:rsidRPr="00FC4A49" w:rsidP="00A52856" w14:paraId="66F002C3" w14:textId="4D72E408">
    <w:pPr>
      <w:pStyle w:val="EPFooter2"/>
    </w:pPr>
    <w:r w:rsidRPr="00FC4A49">
      <w:tab/>
    </w:r>
    <w:r w:rsidRPr="00FC4A49">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856" w:rsidRPr="00FC4A49" w:rsidP="00A52856" w14:paraId="5E43DE87" w14:textId="77777777">
    <w:pPr>
      <w:pStyle w:val="EPFooter"/>
    </w:pPr>
    <w:r w:rsidRPr="00FC4A49">
      <w:rPr>
        <w:rStyle w:val="HideTWBExt"/>
      </w:rPr>
      <w:t>&lt;PathFdR&gt;</w:t>
    </w:r>
    <w:r w:rsidRPr="00FC4A49">
      <w:t>AM\1353363EN.docx</w:t>
    </w:r>
    <w:r w:rsidRPr="00FC4A49">
      <w:rPr>
        <w:rStyle w:val="HideTWBExt"/>
      </w:rPr>
      <w:t>&lt;/PathFdR&gt;</w:t>
    </w:r>
    <w:r w:rsidRPr="00FC4A49">
      <w:tab/>
    </w:r>
    <w:r w:rsidRPr="00FC4A49">
      <w:tab/>
      <w:t>PE</w:t>
    </w:r>
    <w:r w:rsidRPr="00FC4A49">
      <w:rPr>
        <w:rStyle w:val="HideTWBExt"/>
      </w:rPr>
      <w:t>&lt;NoPE&gt;</w:t>
    </w:r>
    <w:r w:rsidRPr="00FC4A49">
      <w:t>796.486</w:t>
    </w:r>
    <w:r w:rsidRPr="00FC4A49">
      <w:rPr>
        <w:rStyle w:val="HideTWBExt"/>
      </w:rPr>
      <w:t>&lt;/NoPE&gt;&lt;Version&gt;</w:t>
    </w:r>
    <w:r w:rsidRPr="00FC4A49">
      <w:t>v02-00</w:t>
    </w:r>
    <w:r w:rsidRPr="00FC4A49">
      <w:rPr>
        <w:rStyle w:val="HideTWBExt"/>
      </w:rPr>
      <w:t>&lt;/Version&gt;</w:t>
    </w:r>
  </w:p>
  <w:p w:rsidR="00D82FCC" w:rsidRPr="00FC4A49" w:rsidP="00A52856" w14:paraId="727607BB" w14:textId="36F2ECA2">
    <w:pPr>
      <w:pStyle w:val="EPFooter2"/>
    </w:pPr>
    <w:r w:rsidRPr="00FC4A49">
      <w:t>EN</w:t>
    </w:r>
    <w:r w:rsidRPr="00FC4A49">
      <w:tab/>
    </w:r>
    <w:r w:rsidRPr="00FC4A49">
      <w:rPr>
        <w:b w:val="0"/>
        <w:i/>
        <w:color w:val="C0C0C0"/>
        <w:sz w:val="22"/>
      </w:rPr>
      <w:t>United in diversity</w:t>
    </w:r>
    <w:r w:rsidRPr="00FC4A49">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E2D" w14:paraId="180348C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E2D" w14:paraId="21F1878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E2D" w14:paraId="3CE447A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F97"/>
    <w:rsid w:val="000111BD"/>
    <w:rsid w:val="0006748E"/>
    <w:rsid w:val="00073830"/>
    <w:rsid w:val="00075DBE"/>
    <w:rsid w:val="000B0781"/>
    <w:rsid w:val="000D446F"/>
    <w:rsid w:val="000E7234"/>
    <w:rsid w:val="000F2A80"/>
    <w:rsid w:val="000F7815"/>
    <w:rsid w:val="00126BC4"/>
    <w:rsid w:val="00150057"/>
    <w:rsid w:val="00156F9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43C6C"/>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5215E"/>
    <w:rsid w:val="00461E32"/>
    <w:rsid w:val="00464338"/>
    <w:rsid w:val="00473FED"/>
    <w:rsid w:val="00495E20"/>
    <w:rsid w:val="004A2B60"/>
    <w:rsid w:val="004E0AAC"/>
    <w:rsid w:val="004E1C4C"/>
    <w:rsid w:val="004F03F0"/>
    <w:rsid w:val="004F2903"/>
    <w:rsid w:val="005246D8"/>
    <w:rsid w:val="00536499"/>
    <w:rsid w:val="00547F73"/>
    <w:rsid w:val="00557617"/>
    <w:rsid w:val="00571479"/>
    <w:rsid w:val="005A7205"/>
    <w:rsid w:val="005A7EB4"/>
    <w:rsid w:val="005B32E3"/>
    <w:rsid w:val="005D58F9"/>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B791C"/>
    <w:rsid w:val="006D6B15"/>
    <w:rsid w:val="006F3F81"/>
    <w:rsid w:val="006F4B73"/>
    <w:rsid w:val="00702F62"/>
    <w:rsid w:val="007059E9"/>
    <w:rsid w:val="00706049"/>
    <w:rsid w:val="007152AF"/>
    <w:rsid w:val="00717C59"/>
    <w:rsid w:val="00736FBA"/>
    <w:rsid w:val="0074160E"/>
    <w:rsid w:val="007659AC"/>
    <w:rsid w:val="0079060C"/>
    <w:rsid w:val="007A42AB"/>
    <w:rsid w:val="007C5E04"/>
    <w:rsid w:val="007C71DE"/>
    <w:rsid w:val="00804E2D"/>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2856"/>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8721C"/>
    <w:rsid w:val="00B90B7F"/>
    <w:rsid w:val="00B9188F"/>
    <w:rsid w:val="00BA48D2"/>
    <w:rsid w:val="00BC1B1F"/>
    <w:rsid w:val="00BE0C84"/>
    <w:rsid w:val="00BE5062"/>
    <w:rsid w:val="00BF2F05"/>
    <w:rsid w:val="00C10F61"/>
    <w:rsid w:val="00C22CC4"/>
    <w:rsid w:val="00C2336C"/>
    <w:rsid w:val="00C35E35"/>
    <w:rsid w:val="00C41E32"/>
    <w:rsid w:val="00C85D0F"/>
    <w:rsid w:val="00C92798"/>
    <w:rsid w:val="00C933E1"/>
    <w:rsid w:val="00CB34F1"/>
    <w:rsid w:val="00CB7B07"/>
    <w:rsid w:val="00CC3983"/>
    <w:rsid w:val="00CC73EB"/>
    <w:rsid w:val="00CF3D8B"/>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20E0"/>
    <w:rsid w:val="00DE672F"/>
    <w:rsid w:val="00E15A86"/>
    <w:rsid w:val="00E25DC5"/>
    <w:rsid w:val="00E44BB0"/>
    <w:rsid w:val="00E471BE"/>
    <w:rsid w:val="00E57F50"/>
    <w:rsid w:val="00E617BF"/>
    <w:rsid w:val="00E660E2"/>
    <w:rsid w:val="00EA25AE"/>
    <w:rsid w:val="00EB0634"/>
    <w:rsid w:val="00EB3A71"/>
    <w:rsid w:val="00EC0D25"/>
    <w:rsid w:val="00EE011D"/>
    <w:rsid w:val="00EE3E0D"/>
    <w:rsid w:val="00EF03A3"/>
    <w:rsid w:val="00EF11AD"/>
    <w:rsid w:val="00F27170"/>
    <w:rsid w:val="00F459F7"/>
    <w:rsid w:val="00F5280D"/>
    <w:rsid w:val="00F92B49"/>
    <w:rsid w:val="00FA192C"/>
    <w:rsid w:val="00FC1B08"/>
    <w:rsid w:val="00FC4A49"/>
    <w:rsid w:val="00FD05BD"/>
    <w:rsid w:val="00FD675F"/>
    <w:rsid w:val="00FE03B4"/>
  </w:rsids>
  <w:docVars>
    <w:docVar w:name="AMACT2MNU" w:val=" 2"/>
    <w:docVar w:name="AMACTMNU" w:val=" 1"/>
    <w:docVar w:name="AMPLURMNU" w:val=" 1"/>
    <w:docVar w:name="CODEMNU" w:val="1"/>
    <w:docVar w:name="COMKEY" w:val="ENVI"/>
    <w:docVar w:name="DOCCODMNU" w:val=" 2"/>
    <w:docVar w:name="DOCDT" w:val="13/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599263 HideTWBExt;}{\*\cs18 \additive \v\f1\fs20\cf15 &#13;_x000a_\spriority0 \styrsid4599263 HideTWBInt;}{\s19\ql \li0\ri0\sa120\nowidctlpar\wrapdefault\aspalpha\aspnum\faauto\adjustright\rin0\lin0\itap0 \rtlch\fcs1 \af0\afs20\alang1025 \ltrch\fcs0 \fs24\lang2057\langfe2057\cgrid\langnp2057\langfenp2057 &#13;_x000a_\sbasedon0 \snext19 \spriority0 \styrsid4599263 Normal6a;}{\s20\ql \li0\ri0\nowidctlpar\wrapdefault\aspalpha\aspnum\faauto\adjustright\rin0\lin0\itap0 \rtlch\fcs1 \af0\afs20\alang1025 \ltrch\fcs0 \b\fs24\lang2057\langfe2057\cgrid\langnp2057\langfenp2057 &#13;_x000a_\sbasedon0 \snext20 \spriority0 \styrsid4599263 NormalBold;}{\s21\qr \li0\ri0\sb240\sa240\nowidctlpar\wrapdefault\aspalpha\aspnum\faauto\adjustright\rin0\lin0\itap0 \rtlch\fcs1 \af0\afs20\alang1025 \ltrch\fcs0 &#13;_x000a_\fs24\lang2057\langfe2057\cgrid\langnp2057\langfenp2057 \sbasedon0 \snext21 \spriority0 \styrsid4599263 AmOrLang;}{\s22\qc \li0\ri0\sa240\nowidctlpar\wrapdefault\aspalpha\aspnum\faauto\adjustright\rin0\lin0\itap0 \rtlch\fcs1 \af0\afs20\alang1025 &#13;_x000a_\ltrch\fcs0 \i\fs24\lang2057\langfe2057\cgrid\langnp2057\langfenp2057 \sbasedon0 \snext22 \spriority0 \styrsid4599263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4599263 AmNumberTabs;}}{\*\rsidtbl \rsid24658\rsid223860\rsid735077\rsid1718133\rsid2892074\rsid3561127\rsid3565327\rsid4599263\rsid4666813&#13;_x000a_\rsid6641733\rsid7823322\rsid9636012\rsid10377208\rsid11215221\rsid11549030\rsid12154954\rsid14382809\rsid14424199\rsid15079359\rsid15204470\rsid15285974\rsid15950462\rsid16324206\rsid16662270}{\mmathPr\mmathFont34\mbrkBin0\mbrkBinSub0\msmallFrac0&#13;_x000a_\mdispDef1\mlMargin0\mrMargin0\mdefJc1\mwrapIndent1440\mintLim0\mnaryLim1}{\info{\author KOVACS-MALYI Krisztina}{\operator KOVACS-MALYI Krisztina}{\creatim\yr2026\mo10\dy13\hr15\min5}{\revtim\yr2026\mo10\dy13\hr15\min5}{\version1}{\edmins0}{\nofpages1}&#13;_x000a_{\nofwords70}{\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599263\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3561127 \chftnsep &#13;_x000a_\par }}{\*\ftnsepc \ltrpar \pard\plain \ltrpar\ql \li0\ri0\widctlpar\wrapdefault\aspalpha\aspnum\faauto\adjustright\rin0\lin0\itap0 \rtlch\fcs1 \af0\afs20\alang1025 \ltrch\fcs0 \fs24\lang2057\langfe2057\cgrid\langnp2057\langfenp2057 {\rtlch\fcs1 \af0 &#13;_x000a_\ltrch\fcs0 \insrsid3561127 \chftnsepc &#13;_x000a_\par }}{\*\aftnsep \ltrpar \pard\plain \ltrpar\ql \li0\ri0\widctlpar\wrapdefault\aspalpha\aspnum\faauto\adjustright\rin0\lin0\itap0 \rtlch\fcs1 \af0\afs20\alang1025 \ltrch\fcs0 \fs24\lang2057\langfe2057\cgrid\langnp2057\langfenp2057 {\rtlch\fcs1 \af0 &#13;_x000a_\ltrch\fcs0 \insrsid3561127 \chftnsep &#13;_x000a_\par }}{\*\aftnsepc \ltrpar \pard\plain \ltrpar\ql \li0\ri0\widctlpar\wrapdefault\aspalpha\aspnum\faauto\adjustright\rin0\lin0\itap0 \rtlch\fcs1 \af0\afs20\alang1025 \ltrch\fcs0 \fs24\lang2057\langfe2057\cgrid\langnp2057\langfenp2057 {\rtlch\fcs1 \af0 &#13;_x000a_\ltrch\fcs0 \insrsid356112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4599263\charrsid1404823 {\*\bkmkstart restartA}&lt;AmendA&gt;}{\rtlch\fcs1 \af0 \ltrch\fcs0 &#13;_x000a_\insrsid4599263\charrsid1404823 Amendment\tab \tab }{\rtlch\fcs1 \af0 \ltrch\fcs0 \cs17\b0\v\f1\fs20\cf9\insrsid4599263\charrsid1404823 &lt;NumAmA&gt;}{\rtlch\fcs1 \af0 \ltrch\fcs0 \insrsid4599263\charrsid1404823 #}{\rtlch\fcs1 \af1 \ltrch\fcs0 &#13;_x000a_\cs18\v\f1\fs20\cf15\insrsid4599263\charrsid1404823 ENMIENDA@NRAM@}{\rtlch\fcs1 \af0 \ltrch\fcs0 \insrsid4599263\charrsid1404823 #}{\rtlch\fcs1 \af0 \ltrch\fcs0 \cs17\b0\v\f1\fs20\cf9\insrsid4599263\charrsid1404823 &lt;/NumAmA&gt;}{\rtlch\fcs1 \af0 \ltrch\fcs0 &#13;_x000a_\insrsid4599263\charrsid1404823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4599263\charrsid1404823 &lt;RepeatBlock-By&gt;}{\rtlch\fcs1 \af0 \ltrch\fcs0 \insrsid4599263\charrsid1404823 #}{\rtlch\fcs1 \af1 \ltrch\fcs0 &#13;_x000a_\cs18\v\f1\fs20\cf15\insrsid4599263\charrsid1404823 (MOD@InsideLoop()}{\rtlch\fcs1 \af0 \ltrch\fcs0 \insrsid4599263\charrsid1404823 ##}{\rtlch\fcs1 \af1 \ltrch\fcs0 \cs18\v\f1\fs20\cf15\insrsid4599263\charrsid1404823 &gt;&gt;&gt;@[ZMEMBERSMSG]@}{\rtlch\fcs1 \af0 &#13;_x000a_\ltrch\fcs0 \insrsid4599263\charrsid1404823 #}{\rtlch\fcs1 \af0 \ltrch\fcs0 \cs17\b0\v\f1\fs20\cf9\lang1024\langfe1024\noproof\insrsid4599263\charrsid1404823 &lt;Members&gt;}{\rtlch\fcs1 \af0 \ltrch\fcs0 \insrsid4599263\charrsid1404823 #}{\rtlch\fcs1 \af1 &#13;_x000a_\ltrch\fcs0 \cs18\v\f1\fs20\cf15\insrsid4599263\charrsid1404823 (MOD@InsideLoop(\'a7)}{\rtlch\fcs1 \af0 \ltrch\fcs0 \insrsid4599263\charrsid1404823 #}{\rtlch\fcs1 \af0 \ltrch\fcs0 \cf10\insrsid4599263\charrsid1404823 \u9668\'3f}{\rtlch\fcs1 \af0 &#13;_x000a_\ltrch\fcs0 \insrsid4599263\charrsid1404823 #}{\rtlch\fcs1 \af1 \ltrch\fcs0 \cs18\v\f1\fs20\cf15\insrsid4599263\charrsid1404823 TVTMEMBERS\'a7@MEMBERS@}{\rtlch\fcs1 \af0 \ltrch\fcs0 \insrsid4599263\charrsid1404823 #}{\rtlch\fcs1 \af0 \ltrch\fcs0 &#13;_x000a_\cf10\insrsid4599263\charrsid1404823 \u9658\'3f}{\rtlch\fcs1 \af0 \ltrch\fcs0 \cs17\b0\v\f1\fs20\cf9\lang1024\langfe1024\noproof\insrsid4599263\charrsid1404823 &lt;/Members&gt;}{\rtlch\fcs1 \af0 \ltrch\fcs0 \insrsid4599263\charrsid1404823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4599263\charrsid1404823 &lt;AuNomDe&gt;&lt;OptDel&gt;}{\rtlch\fcs1 \af0 \ltrch\fcs0 \insrsid4599263\charrsid1404823 #}{\rtlch\fcs1 \af1 \ltrch\fcs0 \cs18\v\f1\fs20\cf15\insrsid4599263\charrsid1404823 &#13;_x000a_MNU[ONBEHALFYES][NOTAPP]@CHOICE@}{\rtlch\fcs1 \af0 \ltrch\fcs0 \insrsid4599263\charrsid1404823 #}{\rtlch\fcs1 \af0 \ltrch\fcs0 \cs17\v\f1\fs20\cf9\lang1024\langfe1024\noproof\insrsid4599263\charrsid1404823 &lt;/OptDel&gt;&lt;/AuNomDe&gt;}{\rtlch\fcs1 \af0 &#13;_x000a_\ltrch\fcs0 \insrsid4599263\charrsid1404823 &#13;_x000a_\par &lt;&lt;&lt;}{\rtlch\fcs1 \af0 \ltrch\fcs0 \cs17\v\f1\fs20\cf9\lang1024\langfe1024\noproof\insrsid4599263\charrsid1404823 &lt;/RepeatBlock-By&gt;}{\rtlch\fcs1 \af0 \ltrch\fcs0 \insrsid4599263\charrsid1404823 &#13;_x000a_\par }\pard\plain \ltrpar\s20\ql \li0\ri0\nowidctlpar\wrapdefault\aspalpha\aspnum\faauto\adjustright\rin0\lin0\itap0\pararsid5976803 \rtlch\fcs1 \af0\afs20\alang1025 \ltrch\fcs0 \b\fs24\lang2057\langfe2057\cgrid\langnp2057\langfenp2057 {\rtlch\fcs1 \af0 &#13;_x000a_\ltrch\fcs0 \cs17\b0\v\f1\fs20\cf9\insrsid4599263\charrsid1404823 &lt;DocAmend&gt;}{\rtlch\fcs1 \af0 \ltrch\fcs0 \insrsid4599263\charrsid1404823 Draft legislative resolution}{\rtlch\fcs1 \af0 \ltrch\fcs0 \cs17\b0\v\f1\fs20\cf9\insrsid4599263\charrsid1404823 &#13;_x000a_&lt;/DocAmend&gt;}{\rtlch\fcs1 \af0 \ltrch\fcs0 \insrsid4599263\charrsid1404823 &#13;_x000a_\par }\pard \ltrpar\s20\ql \li0\ri0\nowidctlpar\wrapdefault\aspalpha\aspnum\faauto\adjustright\rin0\lin0\itap0\pararsid16013815 {\rtlch\fcs1 \af0 \ltrch\fcs0 \cs17\b0\v\f1\fs20\cf9\lang1024\langfe1024\noproof\insrsid4599263\charrsid1404823 &lt;Article&gt;}{&#13;_x000a_\rtlch\fcs1 \af0 \ltrch\fcs0 \cf10\insrsid4599263\charrsid1404823 \u9668\'3f}{\rtlch\fcs1 \af0 \ltrch\fcs0 \insrsid4599263\charrsid1404823 #}{\rtlch\fcs1 \af1 \ltrch\fcs0 \cs18\v\f1\fs20\cf15\insrsid4599263\charrsid1404823 TVTRESPART@RESPART@}{&#13;_x000a_\rtlch\fcs1 \af0 \ltrch\fcs0 \insrsid4599263\charrsid1404823 #}{\rtlch\fcs1 \af0 \ltrch\fcs0 \cf10\insrsid4599263\charrsid1404823 \u9658\'3f}{\rtlch\fcs1 \af0 \ltrch\fcs0 \cs17\b0\v\f1\fs20\cf9\lang1024\langfe1024\noproof\insrsid4599263\charrsid1404823 &#13;_x000a_&lt;/Article&gt;}{\rtlch\fcs1 \af0 \ltrch\fcs0 \insrsid4599263\charrsid1404823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4599263\charrsid1404823 \cell }\pard\plain \ltrpar\ql \li0\ri0\widctlpar\intbl\wrapdefault\aspalpha\aspnum\faauto\adjustright\rin0\lin0 \rtlch\fcs1 &#13;_x000a_\af0\afs20\alang1025 \ltrch\fcs0 \fs24\lang2057\langfe2057\cgrid\langnp2057\langfenp2057 {\rtlch\fcs1 \af0 \ltrch\fcs0 \insrsid4599263\charrsid1404823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4599263\charrsid1404823 Draft legislative resolution\cell Amendment\cell }\pard\plain \ltrpar\ql \li0\ri0\widctlpar\intbl\wrapdefault\aspalpha\aspnum\faauto\adjustright\rin0\lin0 \rtlch\fcs1 \af0\afs20\alang1025 \ltrch\fcs0 &#13;_x000a_\fs24\lang2057\langfe2057\cgrid\langnp2057\langfenp2057 {\rtlch\fcs1 \af0 \ltrch\fcs0 \insrsid4599263\charrsid1404823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4599263\charrsid1404823 ##\cell ##}{\rtlch\fcs1 \af0\afs24 \ltrch\fcs0 \insrsid4599263\charrsid1404823 \cell }\pard\plain \ltrpar\ql \li0\ri0\widctlpar\intbl\wrapdefault\aspalpha\aspnum\faauto\adjustright\rin0\lin0 \rtlch\fcs1 &#13;_x000a_\af0\afs20\alang1025 \ltrch\fcs0 \fs24\lang2057\langfe2057\cgrid\langnp2057\langfenp2057 {\rtlch\fcs1 \af0 \ltrch\fcs0 \insrsid4599263\charrsid1404823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4599263\charrsid1404823 Or. }{\rtlch\fcs1 \af0 \ltrch\fcs0 \cs17\v\f1\fs20\cf9\insrsid4599263\charrsid1404823 &lt;Original&gt;}{\rtlch\fcs1 \af0 \ltrch\fcs0 \insrsid4599263\charrsid1404823 #}{\rtlch\fcs1 \af1 \ltrch\fcs0 &#13;_x000a_\cs18\v\f1\fs20\cf15\insrsid4599263\charrsid1404823 KEY(MAIN/LANGMIN)sh@ORLANGMSG@}{\rtlch\fcs1 \af0 \ltrch\fcs0 \insrsid4599263\charrsid1404823 #}{\rtlch\fcs1 \af0 \ltrch\fcs0 \cs17\v\f1\fs20\cf9\insrsid4599263\charrsid1404823 &lt;/Original&gt;}{\rtlch\fcs1 &#13;_x000a_\af0 \ltrch\fcs0 \insrsid4599263\charrsid1404823 &#13;_x000a_\par }\pard\plain \ltrpar\ql \li0\ri0\widctlpar\wrapdefault\aspalpha\aspnum\faauto\adjustright\rin0\lin0\itap0\pararsid16324206 \rtlch\fcs1 \af0\afs20\alang1025 \ltrch\fcs0 \fs24\lang2057\langfe2057\cgrid\langnp2057\langfenp2057 {\rtlch\fcs1 \af0 \ltrch\fcs0 &#13;_x000a_\cs17\v\f1\fs20\cf9\insrsid4599263\charrsid1404823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55&#13;_x000a_267713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232326 HideTWBExt;}{\*\cs18 \additive \v\f1\fs20\cf15 &#13;_x000a_\spriority0 \styrsid3232326 HideTWBInt;}{\s19\ql \li0\ri0\sa120\nowidctlpar\wrapdefault\aspalpha\aspnum\faauto\adjustright\rin0\lin0\itap0 \rtlch\fcs1 \af0\afs20\alang1025 \ltrch\fcs0 \fs24\lang2057\langfe2057\cgrid\langnp2057\langfenp2057 &#13;_x000a_\sbasedon0 \snext19 \spriority0 \styrsid3232326 Normal6a;}{\s20\ql \li0\ri0\nowidctlpar\wrapdefault\aspalpha\aspnum\faauto\adjustright\rin0\lin0\itap0 \rtlch\fcs1 \af0\afs20\alang1025 \ltrch\fcs0 \b\fs24\lang2057\langfe2057\cgrid\langnp2057\langfenp2057 &#13;_x000a_\sbasedon0 \snext20 \spriority0 \styrsid3232326 NormalBold;}{\s21\ql \li0\ri0\sa240\nowidctlpar\wrapdefault\aspalpha\aspnum\faauto\adjustright\rin0\lin0\itap0 \rtlch\fcs1 \af0\afs20\alang1025 \ltrch\fcs0 &#13;_x000a_\i\fs24\lang2057\langfe2057\cgrid\langnp2057\langfenp2057 \sbasedon0 \snext21 \spriority0 \styrsid3232326 AmJustText;}{\s22\qc \li0\ri0\sb240\sa240\nowidctlpar\wrapdefault\aspalpha\aspnum\faauto\adjustright\rin0\lin0\itap0 \rtlch\fcs1 &#13;_x000a_\af0\afs20\alang1025 \ltrch\fcs0 \i\fs24\lang2057\langfe2057\cgrid\langnp2057\langfenp2057 \sbasedon0 \snext22 \spriority0 \styrsid3232326 AmCrossRef;}{&#13;_x000a_\s23\qc \li0\ri0\sb240\sa240\keepn\nowidctlpar\wrapdefault\aspalpha\aspnum\faauto\adjustright\rin0\lin0\itap0 \rtlch\fcs1 \af0\afs20\alang1025 \ltrch\fcs0 \i\fs24\lang2057\langfe2057\cgrid\langnp2057\langfenp2057 &#13;_x000a_\sbasedon0 \snext21 \spriority0 \styrsid3232326 AmJustTitle;}{\s24\qr \li0\ri0\sb240\sa240\nowidctlpar\wrapdefault\aspalpha\aspnum\faauto\adjustright\rin0\lin0\itap0 \rtlch\fcs1 \af0\afs20\alang1025 \ltrch\fcs0 &#13;_x000a_\fs24\lang2057\langfe2057\cgrid\langnp2057\langfenp2057 \sbasedon0 \snext24 \spriority0 \styrsid3232326 AmOrLang;}{\s25\qc \li0\ri0\sa240\nowidctlpar\wrapdefault\aspalpha\aspnum\faauto\adjustright\rin0\lin0\itap0 \rtlch\fcs1 \af0\afs20\alang1025 &#13;_x000a_\ltrch\fcs0 \i\fs24\lang2057\langfe2057\cgrid\langnp2057\langfenp2057 \sbasedon0 \snext25 \spriority0 \styrsid3232326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3232326 AmNumberTabs;}}{\*\rsidtbl \rsid24658\rsid223860\rsid535339\rsid735077\rsid1718133\rsid2892074\rsid3232326\rsid3565327\rsid4666813&#13;_x000a_\rsid6641733\rsid7823322\rsid9636012\rsid10377208\rsid11215221\rsid11549030\rsid12154954\rsid14382809\rsid14424199\rsid15079359\rsid15204470\rsid15285974\rsid15950462\rsid16324206\rsid16662270}{\mmathPr\mmathFont34\mbrkBin0\mbrkBinSub0\msmallFrac0&#13;_x000a_\mdispDef1\mlMargin0\mrMargin0\mdefJc1\mwrapIndent1440\mintLim0\mnaryLim1}{\info{\author KOVACS-MALYI Krisztina}{\operator KOVACS-MALYI Krisztina}{\creatim\yr2026\mo10\dy13\hr15\min5}{\revtim\yr2026\mo10\dy13\hr15\min5}{\version1}{\edmins0}{\nofpages1}&#13;_x000a_{\nofwords131}{\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232326\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535339 \chftnsep &#13;_x000a_\par }}{\*\ftnsepc \ltrpar \pard\plain \ltrpar\ql \li0\ri0\widctlpar\wrapdefault\aspalpha\aspnum\faauto\adjustright\rin0\lin0\itap0 \rtlch\fcs1 \af0\afs20\alang1025 \ltrch\fcs0 \fs24\lang2057\langfe2057\cgrid\langnp2057\langfenp2057 {\rtlch\fcs1 \af0 &#13;_x000a_\ltrch\fcs0 \insrsid535339 \chftnsepc &#13;_x000a_\par }}{\*\aftnsep \ltrpar \pard\plain \ltrpar\ql \li0\ri0\widctlpar\wrapdefault\aspalpha\aspnum\faauto\adjustright\rin0\lin0\itap0 \rtlch\fcs1 \af0\afs20\alang1025 \ltrch\fcs0 \fs24\lang2057\langfe2057\cgrid\langnp2057\langfenp2057 {\rtlch\fcs1 \af0 &#13;_x000a_\ltrch\fcs0 \insrsid535339 \chftnsep &#13;_x000a_\par }}{\*\aftnsepc \ltrpar \pard\plain \ltrpar\ql \li0\ri0\widctlpar\wrapdefault\aspalpha\aspnum\faauto\adjustright\rin0\lin0\itap0 \rtlch\fcs1 \af0\afs20\alang1025 \ltrch\fcs0 \fs24\lang2057\langfe2057\cgrid\langnp2057\langfenp2057 {\rtlch\fcs1 \af0 &#13;_x000a_\ltrch\fcs0 \insrsid53533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3232326\charrsid1404823 {\*\bkmkstart restartB}&lt;AmendB&gt;}{\rtlch\fcs1 \af0 \ltrch\fcs0 &#13;_x000a_\insrsid3232326\charrsid1404823 Amendment\tab \tab }{\rtlch\fcs1 \af0 \ltrch\fcs0 \cs17\b0\v\f1\fs20\cf9\insrsid3232326\charrsid1404823 &lt;NumAmB&gt;}{\rtlch\fcs1 \af0 \ltrch\fcs0 \insrsid3232326\charrsid1404823 #}{\rtlch\fcs1 \af1 \ltrch\fcs0 &#13;_x000a_\cs18\v\f1\fs20\cf15\insrsid3232326\charrsid1404823 ENMIENDA@NRAM@}{\rtlch\fcs1 \af0 \ltrch\fcs0 \insrsid3232326\charrsid1404823 #}{\rtlch\fcs1 \af0 \ltrch\fcs0 \cs17\b0\v\f1\fs20\cf9\insrsid3232326\charrsid1404823 &lt;/NumAmB&gt;}{\rtlch\fcs1 \af0 \ltrch\fcs0 &#13;_x000a_\insrsid3232326\charrsid1404823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3232326\charrsid1404823 &lt;RepeatBlock-By&gt;}{\rtlch\fcs1 \af0 \ltrch\fcs0 \insrsid3232326\charrsid1404823 #}{\rtlch\fcs1 \af1 \ltrch\fcs0 &#13;_x000a_\cs18\v\f1\fs20\cf15\insrsid3232326\charrsid1404823 (MOD@InsideLoop()}{\rtlch\fcs1 \af0 \ltrch\fcs0 \insrsid3232326\charrsid1404823 ##}{\rtlch\fcs1 \af1 \ltrch\fcs0 \cs18\v\f1\fs20\cf15\insrsid3232326\charrsid1404823 &gt;&gt;&gt;@[ZMEMBERSMSG]@}{\rtlch\fcs1 \af0 &#13;_x000a_\ltrch\fcs0 \insrsid3232326\charrsid1404823 #}{\rtlch\fcs1 \af0 \ltrch\fcs0 \cs17\b0\v\f1\fs20\cf9\lang1024\langfe1024\noproof\insrsid3232326\charrsid1404823 &lt;Members&gt;}{\rtlch\fcs1 \af0 \ltrch\fcs0 \insrsid3232326\charrsid1404823 #}{\rtlch\fcs1 \af1 &#13;_x000a_\ltrch\fcs0 \cs18\v\f1\fs20\cf15\insrsid3232326\charrsid1404823 (MOD@InsideLoop(\'a7)}{\rtlch\fcs1 \af0 \ltrch\fcs0 \insrsid3232326\charrsid1404823 #}{\rtlch\fcs1 \af0 \ltrch\fcs0 \cf10\insrsid3232326\charrsid1404823 \u9668\'3f}{\rtlch\fcs1 \af0 &#13;_x000a_\ltrch\fcs0 \insrsid3232326\charrsid1404823 #}{\rtlch\fcs1 \af1 \ltrch\fcs0 \cs18\v\f1\fs20\cf15\insrsid3232326\charrsid1404823 TVTMEMBERS\'a7@MEMBERS@}{\rtlch\fcs1 \af0 \ltrch\fcs0 \insrsid3232326\charrsid1404823 #}{\rtlch\fcs1 \af0 \ltrch\fcs0 &#13;_x000a_\cf10\insrsid3232326\charrsid1404823 \u9658\'3f}{\rtlch\fcs1 \af0 \ltrch\fcs0 \cs17\b0\v\f1\fs20\cf9\lang1024\langfe1024\noproof\insrsid3232326\charrsid1404823 &lt;/Members&gt;}{\rtlch\fcs1 \af0 \ltrch\fcs0 \insrsid3232326\charrsid1404823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3232326\charrsid1404823 &lt;AuNomDe&gt;&lt;OptDel&gt;}{\rtlch\fcs1 \af0 \ltrch\fcs0 \insrsid3232326\charrsid1404823 #}{\rtlch\fcs1 \af1 \ltrch\fcs0 \cs18\v\f1\fs20\cf15\insrsid3232326\charrsid1404823 &#13;_x000a_MNU[ONBEHALFYES][NOTAPP]@CHOICE@}{\rtlch\fcs1 \af0 \ltrch\fcs0 \insrsid3232326\charrsid1404823 #}{\rtlch\fcs1 \af0 \ltrch\fcs0 \cs17\v\f1\fs20\cf9\lang1024\langfe1024\noproof\insrsid3232326\charrsid1404823 &lt;/OptDel&gt;&lt;/AuNomDe&gt;}{\rtlch\fcs1 \af0 &#13;_x000a_\ltrch\fcs0 \insrsid3232326\charrsid1404823 &#13;_x000a_\par &lt;&lt;&lt;}{\rtlch\fcs1 \af0 \ltrch\fcs0 \cs17\v\f1\fs20\cf9\lang1024\langfe1024\noproof\insrsid3232326\charrsid1404823 &lt;/RepeatBlock-By&gt;}{\rtlch\fcs1 \af0 \ltrch\fcs0 \insrsid3232326\charrsid1404823 &#13;_x000a_\par }\pard\plain \ltrpar\s20\ql \li0\ri0\nowidctlpar\wrapdefault\aspalpha\aspnum\faauto\adjustright\rin0\lin0\itap0\pararsid5976803 \rtlch\fcs1 \af0\afs20\alang1025 \ltrch\fcs0 \b\fs24\lang2057\langfe2057\cgrid\langnp2057\langfenp2057 {\rtlch\fcs1 \af0 &#13;_x000a_\ltrch\fcs0 \cs17\b0\v\f1\fs20\cf9\insrsid3232326\charrsid1404823 &lt;DocAmend&gt;}{\rtlch\fcs1 \af0 \ltrch\fcs0 \insrsid3232326\charrsid1404823 #}{\rtlch\fcs1 \af1 \ltrch\fcs0 \cs18\v\f1\fs20\cf15\insrsid3232326\charrsid1404823 &#13;_x000a_MNU[OPTPROPOSALCOD][OPTPROPOSALCNS][OPTPROPOSALNLE]@CHOICE@CODEMNU}{\rtlch\fcs1 \af0 \ltrch\fcs0 \insrsid3232326\charrsid1404823 #}{\rtlch\fcs1 \af0 \ltrch\fcs0 \cs17\b0\v\f1\fs20\cf9\insrsid3232326\charrsid1404823 &lt;/DocAmend&gt;}{\rtlch\fcs1 \af0 &#13;_x000a_\ltrch\fcs0 \insrsid3232326\charrsid1404823 &#13;_x000a_\par }\pard \ltrpar\s20\ql \li0\ri0\keepn\nowidctlpar\wrapdefault\aspalpha\aspnum\faauto\adjustright\rin0\lin0\itap0\pararsid10630121 {\rtlch\fcs1 \af0 \ltrch\fcs0 \cs17\b0\v\f1\fs20\cf9\insrsid3232326\charrsid1404823 &lt;Article&gt;}{\rtlch\fcs1 \af0 \ltrch\fcs0 &#13;_x000a_\insrsid3232326\charrsid1404823 #}{\rtlch\fcs1 \af1 \ltrch\fcs0 \cs18\v\f1\fs20\cf15\insrsid3232326\charrsid1404823 MNU[AMACTPARTYES][AMACTPARTNO]@CHOICE@AMACTMNU}{\rtlch\fcs1 \af0 \ltrch\fcs0 \insrsid3232326\charrsid1404823 #}{\rtlch\fcs1 \af0 &#13;_x000a_\ltrch\fcs0 \cs17\b0\v\f1\fs20\cf9\insrsid3232326\charrsid1404823 &lt;/Article&gt;}{\rtlch\fcs1 \af0 \ltrch\fcs0 \insrsid3232326\charrsid1404823 &#13;_x000a_\par }\pard\plain \ltrpar\ql \li0\ri0\keepn\widctlpar\wrapdefault\aspalpha\aspnum\faauto\adjustright\rin0\lin0\itap0\pararsid3744759 \rtlch\fcs1 \af0\afs20\alang1025 \ltrch\fcs0 \fs24\lang2057\langfe2057\cgrid\langnp2057\langfenp2057 {\rtlch\fcs1 \af0 &#13;_x000a_\ltrch\fcs0 \cs17\v\f1\fs20\cf9\insrsid3232326\charrsid1404823 &lt;DocAmend2&gt;&lt;OptDel&gt;}{\rtlch\fcs1 \af0 \ltrch\fcs0 \insrsid3232326\charrsid1404823 #}{\rtlch\fcs1 \af1 \ltrch\fcs0 \cs18\v\f1\fs20\cf15\insrsid3232326\charrsid1404823 &#13;_x000a_MNU[OPTNRACTYES][NOTAPP]@CHOICE@AMACTMNU}{\rtlch\fcs1 \af0 \ltrch\fcs0 \insrsid3232326\charrsid1404823 #}{\rtlch\fcs1 \af0 \ltrch\fcs0 \cs17\v\f1\fs20\cf9\insrsid3232326\charrsid1404823 &lt;/OptDel&gt;&lt;/DocAmend2&gt;}{\rtlch\fcs1 \af0 \ltrch\fcs0 &#13;_x000a_\insrsid3232326\charrsid1404823 &#13;_x000a_\par }\pard \ltrpar\ql \li0\ri0\widctlpar\wrapdefault\aspalpha\aspnum\faauto\adjustright\rin0\lin0\itap0\pararsid10158853 {\rtlch\fcs1 \af0 \ltrch\fcs0 \cs17\v\f1\fs20\cf9\insrsid3232326\charrsid1404823 &lt;Article2&gt;&lt;OptDel&gt;}{\rtlch\fcs1 \af0 \ltrch\fcs0 &#13;_x000a_\insrsid3232326\charrsid1404823 #}{\rtlch\fcs1 \af1 \ltrch\fcs0 \cs18\v\f1\fs20\cf15\insrsid3232326\charrsid1404823 MNU[OPTACTPARTYES][NOTAPP]@CHOICE@AMACTMNU}{\rtlch\fcs1 \af0 \ltrch\fcs0 \insrsid3232326\charrsid1404823 #}{\rtlch\fcs1 \af0 \ltrch\fcs0 &#13;_x000a_\cs17\v\f1\fs20\cf9\insrsid3232326\charrsid1404823 &lt;/OptDel&gt;&lt;/Article2&gt;}{\rtlch\fcs1 \af0 \ltrch\fcs0 \insrsid3232326\charrsid1404823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3232326\charrsid1404823 \cell }\pard\plain \ltrpar\ql \li0\ri0\widctlpar\intbl\wrapdefault\aspalpha\aspnum\faauto\adjustright\rin0\lin0 \rtlch\fcs1 &#13;_x000a_\af0\afs20\alang1025 \ltrch\fcs0 \fs24\lang2057\langfe2057\cgrid\langnp2057\langfenp2057 {\rtlch\fcs1 \af0 \ltrch\fcs0 \insrsid3232326\charrsid1404823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3232326\charrsid1404823 #}{\rtlch\fcs1 \af1 \ltrch\fcs0 \cs18\v\f1\fs20\cf15\insrsid3232326\charrsid1404823 MNU[OPTLEFTAMACT][LEFTPROP]@CHOICE@AMACTMNU}{\rtlch\fcs1 \af0 \ltrch\fcs0 \insrsid3232326\charrsid1404823 #\cell Amendment\cell &#13;_x000a_}\pard\plain \ltrpar\ql \li0\ri0\widctlpar\intbl\wrapdefault\aspalpha\aspnum\faauto\adjustright\rin0\lin0 \rtlch\fcs1 \af0\afs20\alang1025 \ltrch\fcs0 \fs24\lang2057\langfe2057\cgrid\langnp2057\langfenp2057 {\rtlch\fcs1 \af0 \ltrch\fcs0 &#13;_x000a_\insrsid3232326\charrsid1404823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3232326\charrsid1404823 ##\cell ##}{\rtlch\fcs1 \af0\afs24 \ltrch\fcs0 \insrsid3232326\charrsid1404823 \cell }\pard\plain \ltrpar\ql \li0\ri0\widctlpar\intbl\wrapdefault\aspalpha\aspnum\faauto\adjustright\rin0\lin0 \rtlch\fcs1 &#13;_x000a_\af0\afs20\alang1025 \ltrch\fcs0 \fs24\lang2057\langfe2057\cgrid\langnp2057\langfenp2057 {\rtlch\fcs1 \af0 \ltrch\fcs0 \insrsid3232326\charrsid1404823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3232326\charrsid1404823 Or. }{\rtlch\fcs1 \af0 \ltrch\fcs0 \cs17\v\f1\fs20\cf9\insrsid3232326\charrsid1404823 &lt;Original&gt;}{\rtlch\fcs1 \af0 \ltrch\fcs0 \insrsid3232326\charrsid1404823 #}{\rtlch\fcs1 \af1 \ltrch\fcs0 &#13;_x000a_\cs18\v\f1\fs20\cf15\insrsid3232326\charrsid1404823 KEY(MAIN/LANGMIN)sh@ORLANGMSG@}{\rtlch\fcs1 \af0 \ltrch\fcs0 \insrsid3232326\charrsid1404823 #}{\rtlch\fcs1 \af0 \ltrch\fcs0 \cs17\v\f1\fs20\cf9\insrsid3232326\charrsid1404823 &lt;/Original&gt;}{\rtlch\fcs1 &#13;_x000a_\af0 \ltrch\fcs0 \insrsid3232326\charrsid1404823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3232326\charrsid1404823 &lt;OptDel&gt;}{\rtlch\fcs1 \af0 \ltrch\fcs0 \insrsid3232326\charrsid1404823 #}{\rtlch\fcs1 \af1 \ltrch\fcs0 \cs18\v\f1\fs20\cf15\insrsid3232326\charrsid1404823 &#13;_x000a_MNU[CROSSREFNO][CROSSREFYES]@CHOICE@}{\rtlch\fcs1 \af0 \ltrch\fcs0 \insrsid3232326\charrsid1404823 #}{\rtlch\fcs1 \af0 \ltrch\fcs0 \cs17\i0\v\f1\fs20\cf9\insrsid3232326\charrsid1404823 &lt;/OptDel&gt;}{\rtlch\fcs1 \af0 \ltrch\fcs0 &#13;_x000a_\insrsid3232326\charrsid1404823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3232326\charrsid1404823 &lt;TitreJust&gt;}{\rtlch\fcs1 \af0 \ltrch\fcs0 \insrsid3232326\charrsid1404823 Justification}{\rtlch\fcs1 \af0 \ltrch\fcs0 \cs17\i0\v\f1\fs20\cf9\insrsid3232326\charrsid1404823 &#13;_x000a_&lt;/TitreJust&gt;}{\rtlch\fcs1 \af0 \ltrch\fcs0 \insrsid3232326\charrsid1404823 &#13;_x000a_\par }\pard\plain \ltrpar\s21\ql \li0\ri0\sa240\nowidctlpar\wrapdefault\aspalpha\aspnum\faauto\adjustright\rin0\lin0\itap0\pararsid16390444 \rtlch\fcs1 \af0\afs20\alang1025 \ltrch\fcs0 \i\fs24\lang2057\langfe2057\cgrid\langnp2057\langfenp2057 {\rtlch\fcs1 &#13;_x000a_\af0 \ltrch\fcs0 \cs17\i0\v\f1\fs20\cf9\insrsid3232326\charrsid1404823 &lt;OptDelPrev&gt;}{\rtlch\fcs1 \af0 \ltrch\fcs0 \insrsid3232326\charrsid1404823 #}{\rtlch\fcs1 \af1 \ltrch\fcs0 \cs18\v\f1\fs20\cf15\insrsid3232326\charrsid1404823 &#13;_x000a_MNU[TEXTJUSTYES][TEXTJUSTNO]@CHOICE@}{\rtlch\fcs1 \af0 \ltrch\fcs0 \insrsid3232326\charrsid1404823 #}{\rtlch\fcs1 \af0 \ltrch\fcs0 \cs17\i0\v\f1\fs20\cf9\insrsid3232326\charrsid1404823 &lt;/OptDelPrev&gt;}{\rtlch\fcs1 \af0 \ltrch\fcs0 &#13;_x000a_\insrsid3232326\charrsid1404823 &#13;_x000a_\par }\pard\plain \ltrpar\ql \li0\ri0\widctlpar\wrapdefault\aspalpha\aspnum\faauto\adjustright\rin0\lin0\itap0\pararsid16324206 \rtlch\fcs1 \af0\afs20\alang1025 \ltrch\fcs0 \fs24\lang2057\langfe2057\cgrid\langnp2057\langfenp2057 {\rtlch\fcs1 \af0 \ltrch\fcs0 &#13;_x000a_\cs17\v\f1\fs20\cf9\insrsid3232326\charrsid1404823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7f&#13;_x000a_137913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3"/>
    <w:docVar w:name="TXTAUTHOR" w:val="Peter Liese"/>
    <w:docVar w:name="TXTLANGUE" w:val="EN"/>
    <w:docVar w:name="TXTLANGUEMIN" w:val="en"/>
    <w:docVar w:name="TXTNRC" w:val="0188/2026"/>
    <w:docVar w:name="TXTNRCOM" w:val="hju"/>
    <w:docVar w:name="TXTNRFIRSTAM" w:val="86"/>
    <w:docVar w:name="TXTNRLASTAM" w:val="272"/>
    <w:docVar w:name="TXTNRPE" w:val="796.486"/>
    <w:docVar w:name="TXTNRPE2" w:val="791.996"/>
    <w:docVar w:name="TXTNRPROC" w:val="2026/0212"/>
    <w:docVar w:name="TXTPE" w:val="796.486"/>
    <w:docVar w:name="TXTPEorAP" w:val="PE"/>
    <w:docVar w:name="TXTROUTE" w:val="AM\1353363EN.docx"/>
    <w:docVar w:name="TXTTITLE" w:val="EU Emissions Trading System and market stability reserve: competitiveness and cost-effective decarbonisation"/>
    <w:docVar w:name="TXTVERSION" w:val="02-00"/>
    <w:docVar w:name="TXTVERSION2" w:val="01-00"/>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069B2DA-F321-4A5E-95EB-CEDA1C04F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536499"/>
    <w:pPr>
      <w:jc w:val="center"/>
    </w:pPr>
    <w:rPr>
      <w:noProof w:val="0"/>
      <w:sz w:val="56"/>
    </w:rPr>
  </w:style>
  <w:style w:type="paragraph" w:customStyle="1" w:styleId="Normal12">
    <w:name w:val="Normal12"/>
    <w:basedOn w:val="Normal"/>
    <w:link w:val="Normal12Char"/>
    <w:rsid w:val="00536499"/>
    <w:pPr>
      <w:spacing w:after="240"/>
    </w:pPr>
    <w:rPr>
      <w:noProof/>
    </w:rPr>
  </w:style>
  <w:style w:type="paragraph" w:customStyle="1" w:styleId="CommitteeAM">
    <w:name w:val="CommitteeAM"/>
    <w:basedOn w:val="Normal"/>
    <w:rsid w:val="00536499"/>
    <w:pPr>
      <w:spacing w:before="240" w:after="600"/>
      <w:jc w:val="center"/>
    </w:pPr>
    <w:rPr>
      <w:i/>
    </w:rPr>
  </w:style>
  <w:style w:type="paragraph" w:customStyle="1" w:styleId="ZDateAM">
    <w:name w:val="ZDateAM"/>
    <w:basedOn w:val="Normal"/>
    <w:rsid w:val="00536499"/>
    <w:pPr>
      <w:tabs>
        <w:tab w:val="right" w:pos="9356"/>
      </w:tabs>
      <w:spacing w:after="480"/>
    </w:pPr>
    <w:rPr>
      <w:noProof/>
    </w:rPr>
  </w:style>
  <w:style w:type="paragraph" w:customStyle="1" w:styleId="ProjRap">
    <w:name w:val="ProjRap"/>
    <w:basedOn w:val="Normal"/>
    <w:rsid w:val="00536499"/>
    <w:pPr>
      <w:tabs>
        <w:tab w:val="right" w:pos="9356"/>
      </w:tabs>
    </w:pPr>
    <w:rPr>
      <w:b/>
      <w:noProof/>
    </w:rPr>
  </w:style>
  <w:style w:type="character" w:customStyle="1" w:styleId="Normal12Char">
    <w:name w:val="Normal12 Char"/>
    <w:basedOn w:val="DefaultParagraphFont"/>
    <w:link w:val="Normal12"/>
    <w:locked/>
    <w:rsid w:val="00536499"/>
    <w:rPr>
      <w:noProof/>
      <w:sz w:val="24"/>
    </w:rPr>
  </w:style>
  <w:style w:type="paragraph" w:customStyle="1" w:styleId="PELeft">
    <w:name w:val="PELeft"/>
    <w:basedOn w:val="Normal"/>
    <w:rsid w:val="00536499"/>
    <w:pPr>
      <w:spacing w:before="40" w:after="40"/>
    </w:pPr>
    <w:rPr>
      <w:rFonts w:ascii="Arial" w:hAnsi="Arial" w:cs="Arial"/>
      <w:sz w:val="22"/>
      <w:szCs w:val="22"/>
      <w:lang w:val="fr-FR"/>
    </w:rPr>
  </w:style>
  <w:style w:type="paragraph" w:customStyle="1" w:styleId="PERight">
    <w:name w:val="PERight"/>
    <w:basedOn w:val="Normal"/>
    <w:next w:val="Normal"/>
    <w:rsid w:val="00536499"/>
    <w:pPr>
      <w:jc w:val="right"/>
    </w:pPr>
    <w:rPr>
      <w:rFonts w:ascii="Arial" w:hAnsi="Arial" w:cs="Arial"/>
      <w:sz w:val="22"/>
      <w:szCs w:val="22"/>
      <w:lang w:val="fr-FR"/>
    </w:rPr>
  </w:style>
  <w:style w:type="paragraph" w:customStyle="1" w:styleId="Normal6">
    <w:name w:val="Normal6"/>
    <w:basedOn w:val="Normal"/>
    <w:link w:val="Normal6Char"/>
    <w:rsid w:val="00536499"/>
    <w:pPr>
      <w:spacing w:after="120"/>
    </w:pPr>
    <w:rPr>
      <w:lang w:val="fr-FR"/>
    </w:rPr>
  </w:style>
  <w:style w:type="paragraph" w:customStyle="1" w:styleId="Normal12Italic">
    <w:name w:val="Normal12Italic"/>
    <w:basedOn w:val="Normal12"/>
    <w:rsid w:val="00536499"/>
    <w:rPr>
      <w:i/>
      <w:lang w:val="fr-FR"/>
    </w:rPr>
  </w:style>
  <w:style w:type="character" w:customStyle="1" w:styleId="NormalBoldChar">
    <w:name w:val="NormalBold Char"/>
    <w:basedOn w:val="DefaultParagraphFont"/>
    <w:link w:val="NormalBold"/>
    <w:rsid w:val="00536499"/>
    <w:rPr>
      <w:b/>
      <w:sz w:val="24"/>
    </w:rPr>
  </w:style>
  <w:style w:type="paragraph" w:customStyle="1" w:styleId="JustificationTitle">
    <w:name w:val="JustificationTitle"/>
    <w:basedOn w:val="Normal"/>
    <w:next w:val="Normal12"/>
    <w:rsid w:val="00536499"/>
    <w:pPr>
      <w:keepNext/>
      <w:spacing w:before="240" w:after="240"/>
      <w:jc w:val="center"/>
    </w:pPr>
    <w:rPr>
      <w:i/>
      <w:noProof/>
      <w:lang w:val="fr-FR"/>
    </w:rPr>
  </w:style>
  <w:style w:type="paragraph" w:customStyle="1" w:styleId="Olang">
    <w:name w:val="Olang"/>
    <w:basedOn w:val="Normal"/>
    <w:rsid w:val="00536499"/>
    <w:pPr>
      <w:spacing w:before="240" w:after="240"/>
      <w:jc w:val="right"/>
    </w:pPr>
    <w:rPr>
      <w:noProof/>
      <w:szCs w:val="24"/>
      <w:lang w:val="fr-FR"/>
    </w:rPr>
  </w:style>
  <w:style w:type="character" w:customStyle="1" w:styleId="Normal6Char">
    <w:name w:val="Normal6 Char"/>
    <w:basedOn w:val="DefaultParagraphFont"/>
    <w:link w:val="Normal6"/>
    <w:rsid w:val="00536499"/>
    <w:rPr>
      <w:sz w:val="24"/>
      <w:lang w:val="fr-FR"/>
    </w:rPr>
  </w:style>
  <w:style w:type="paragraph" w:customStyle="1" w:styleId="ColumnHeading">
    <w:name w:val="ColumnHeading"/>
    <w:basedOn w:val="Normal"/>
    <w:rsid w:val="00536499"/>
    <w:pPr>
      <w:spacing w:after="240"/>
      <w:jc w:val="center"/>
    </w:pPr>
    <w:rPr>
      <w:i/>
      <w:lang w:val="fr-FR"/>
    </w:rPr>
  </w:style>
  <w:style w:type="paragraph" w:customStyle="1" w:styleId="AMNumberTabs0">
    <w:name w:val="AMNumberTabs"/>
    <w:basedOn w:val="Normal"/>
    <w:rsid w:val="005364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536499"/>
    <w:pPr>
      <w:spacing w:before="240"/>
    </w:pPr>
    <w:rPr>
      <w:b/>
      <w:lang w:val="fr-FR"/>
    </w:rPr>
  </w:style>
  <w:style w:type="paragraph" w:customStyle="1" w:styleId="CrossRef">
    <w:name w:val="CrossRef"/>
    <w:basedOn w:val="Normal"/>
    <w:rsid w:val="00536499"/>
    <w:pPr>
      <w:spacing w:before="240"/>
      <w:jc w:val="center"/>
    </w:pPr>
    <w:rPr>
      <w:i/>
      <w:lang w:val="fr-FR"/>
    </w:rPr>
  </w:style>
  <w:style w:type="paragraph" w:styleId="Footer">
    <w:name w:val="footer"/>
    <w:link w:val="FooterChar"/>
    <w:rsid w:val="00536499"/>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536499"/>
    <w:rPr>
      <w:sz w:val="22"/>
    </w:rPr>
  </w:style>
  <w:style w:type="paragraph" w:customStyle="1" w:styleId="Footer2">
    <w:name w:val="Footer2"/>
    <w:basedOn w:val="Normal12"/>
    <w:rsid w:val="00536499"/>
    <w:pPr>
      <w:tabs>
        <w:tab w:val="center" w:pos="4535"/>
        <w:tab w:val="right" w:pos="9923"/>
      </w:tabs>
      <w:spacing w:line="480" w:lineRule="auto"/>
      <w:ind w:left="-851"/>
    </w:pPr>
    <w:rPr>
      <w:rFonts w:ascii="Arial" w:cs="Arial"/>
      <w:b/>
      <w:sz w:val="48"/>
    </w:rPr>
  </w:style>
  <w:style w:type="character" w:customStyle="1" w:styleId="Footer2Middle">
    <w:name w:val="Footer2Middle"/>
    <w:rsid w:val="00536499"/>
    <w:rPr>
      <w:rFonts w:ascii="Arial" w:cs="Arial"/>
      <w:b w:val="0"/>
      <w:i/>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176</Pages>
  <Words>59814</Words>
  <Characters>341094</Characters>
  <Application>Microsoft Office Word</Application>
  <DocSecurity>0</DocSecurity>
  <Lines>11490</Lines>
  <Paragraphs>1921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399185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2026-10-22T10:11:00Z</dcterms:created>
  <dcterms:modified xsi:type="dcterms:W3CDTF">2026-10-22T10:11:00Z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1353363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- 2026/10/22 12:11</vt:lpwstr>
  </property>
  <property fmtid="{D5CDD505-2E9C-101B-9397-08002B2CF9AE}" pid="9" name="Created with">
    <vt:lpwstr>10.3.1 Build [20260902]</vt:lpwstr>
  </property>
  <property fmtid="{D5CDD505-2E9C-101B-9397-08002B2CF9AE}" pid="10" name="FooterPath">
    <vt:lpwstr>AM\1353363EN.docx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796.486</vt:lpwstr>
  </property>
  <property fmtid="{D5CDD505-2E9C-101B-9397-08002B2CF9AE}" pid="14" name="RegistreCheck">
    <vt:lpwstr>OK</vt:lpwstr>
  </property>
  <property fmtid="{D5CDD505-2E9C-101B-9397-08002B2CF9AE}" pid="15" name="SendToEpades">
    <vt:lpwstr>OK - 2026/10/13 17:48</vt:lpwstr>
  </property>
</Properties>
</file>