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1C4602B"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2B4A69" w:rsidP="00C85D0F" w14:paraId="67BC4226" w14:textId="77777777">
            <w:pPr>
              <w:pStyle w:val="EPName"/>
            </w:pPr>
            <w:r w:rsidRPr="002B4A69">
              <w:t>European Parliament</w:t>
            </w:r>
          </w:p>
          <w:p w:rsidR="00BE5062" w:rsidRPr="002B4A69" w:rsidP="00C85D0F" w14:paraId="3C429228" w14:textId="77777777">
            <w:pPr>
              <w:pStyle w:val="EPTerm"/>
            </w:pPr>
            <w:r w:rsidRPr="002B4A69">
              <w:t>2024-2029</w:t>
            </w:r>
          </w:p>
        </w:tc>
        <w:tc>
          <w:tcPr>
            <w:tcW w:w="2268" w:type="dxa"/>
          </w:tcPr>
          <w:p w:rsidR="00BE5062" w:rsidRPr="002B4A69" w:rsidP="00C85D0F" w14:paraId="60EDE704" w14:textId="77777777">
            <w:pPr>
              <w:pStyle w:val="EPLogo"/>
            </w:pPr>
            <w:r w:rsidRPr="002B4A6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1665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B4A69" w:rsidP="000E7234" w14:paraId="05AA11B0" w14:textId="77777777">
      <w:pPr>
        <w:pStyle w:val="LineTop"/>
      </w:pPr>
    </w:p>
    <w:p w:rsidR="000E7234" w:rsidRPr="002B4A69" w:rsidP="000E7234" w14:paraId="68754C06" w14:textId="77777777">
      <w:pPr>
        <w:pStyle w:val="EPBody"/>
      </w:pPr>
      <w:r w:rsidRPr="002B4A69">
        <w:rPr>
          <w:rStyle w:val="HideTWBExt"/>
          <w:i w:val="0"/>
          <w:szCs w:val="20"/>
        </w:rPr>
        <w:t>&lt;Commission&gt;</w:t>
      </w:r>
      <w:r w:rsidRPr="002B4A69" w:rsidR="000E14E3">
        <w:rPr>
          <w:rStyle w:val="HideTWBInt"/>
          <w:i w:val="0"/>
          <w:szCs w:val="20"/>
        </w:rPr>
        <w:t>{ENVI}</w:t>
      </w:r>
      <w:r w:rsidRPr="002B4A69" w:rsidR="000E14E3">
        <w:t>Committee on the Environment, Climate and Food Safety</w:t>
      </w:r>
      <w:r w:rsidRPr="002B4A69">
        <w:rPr>
          <w:rStyle w:val="HideTWBExt"/>
          <w:i w:val="0"/>
          <w:szCs w:val="20"/>
        </w:rPr>
        <w:t>&lt;/Commission&gt;</w:t>
      </w:r>
    </w:p>
    <w:p w:rsidR="000E7234" w:rsidRPr="002B4A69" w:rsidP="000E7234" w14:paraId="76F28022" w14:textId="77777777">
      <w:pPr>
        <w:pStyle w:val="LineBottom"/>
      </w:pPr>
    </w:p>
    <w:p w:rsidR="00B85286" w:rsidRPr="002B4A69" w14:paraId="502A7F27" w14:textId="77777777">
      <w:pPr>
        <w:pStyle w:val="CoverReference"/>
      </w:pPr>
      <w:r w:rsidRPr="002B4A69">
        <w:rPr>
          <w:rStyle w:val="HideTWBExt"/>
          <w:b w:val="0"/>
        </w:rPr>
        <w:t>&lt;RefProc&gt;</w:t>
      </w:r>
      <w:r w:rsidRPr="002B4A69" w:rsidR="000E14E3">
        <w:t>2026/0212</w:t>
      </w:r>
      <w:r w:rsidRPr="002B4A69">
        <w:rPr>
          <w:rStyle w:val="HideTWBExt"/>
          <w:b w:val="0"/>
        </w:rPr>
        <w:t>&lt;/RefProc&gt;&lt;RefTypeProc&gt;</w:t>
      </w:r>
      <w:r w:rsidRPr="002B4A69" w:rsidR="00112985">
        <w:t>(</w:t>
      </w:r>
      <w:r w:rsidRPr="002B4A69" w:rsidR="000E14E3">
        <w:t>COD</w:t>
      </w:r>
      <w:r w:rsidRPr="002B4A69" w:rsidR="00112985">
        <w:t>)</w:t>
      </w:r>
      <w:r w:rsidRPr="002B4A69">
        <w:rPr>
          <w:rStyle w:val="HideTWBExt"/>
          <w:b w:val="0"/>
        </w:rPr>
        <w:t>&lt;/RefTypeProc&gt;</w:t>
      </w:r>
    </w:p>
    <w:p w:rsidR="00B85286" w:rsidRPr="002B4A69" w14:paraId="095CDD1A" w14:textId="77777777">
      <w:pPr>
        <w:pStyle w:val="CoverDate"/>
      </w:pPr>
      <w:r w:rsidRPr="002B4A69">
        <w:rPr>
          <w:rStyle w:val="HideTWBExt"/>
        </w:rPr>
        <w:t>&lt;Date&gt;</w:t>
      </w:r>
      <w:r w:rsidRPr="002B4A69" w:rsidR="000E14E3">
        <w:rPr>
          <w:rStyle w:val="HideTWBInt"/>
        </w:rPr>
        <w:t>{13/10/2026}</w:t>
      </w:r>
      <w:r w:rsidRPr="002B4A69" w:rsidR="000E14E3">
        <w:t>13.10.2026</w:t>
      </w:r>
      <w:r w:rsidRPr="002B4A69">
        <w:rPr>
          <w:rStyle w:val="HideTWBExt"/>
        </w:rPr>
        <w:t>&lt;/Date&gt;</w:t>
      </w:r>
    </w:p>
    <w:p w:rsidR="009B0305" w:rsidRPr="002B4A69" w:rsidP="009B0305" w14:paraId="4A9AF16E" w14:textId="77777777">
      <w:pPr>
        <w:pStyle w:val="CoverDocType"/>
      </w:pPr>
      <w:r w:rsidRPr="002B4A69">
        <w:rPr>
          <w:rStyle w:val="HideTWBExt"/>
          <w:b w:val="0"/>
        </w:rPr>
        <w:t>&lt;TypeAM&gt;</w:t>
      </w:r>
      <w:r w:rsidRPr="002B4A69" w:rsidR="000E14E3">
        <w:t>AMENDMENTS</w:t>
      </w:r>
      <w:r w:rsidRPr="002B4A69">
        <w:rPr>
          <w:rStyle w:val="HideTWBExt"/>
          <w:b w:val="0"/>
        </w:rPr>
        <w:t>&lt;/TypeAM&gt;</w:t>
      </w:r>
    </w:p>
    <w:p w:rsidR="00B85286" w:rsidRPr="002B4A69" w:rsidP="001C2054" w14:paraId="352CF1A3" w14:textId="77777777">
      <w:pPr>
        <w:pStyle w:val="CoverDocType24a"/>
      </w:pPr>
      <w:r w:rsidRPr="002B4A69">
        <w:rPr>
          <w:rStyle w:val="HideTWBExt"/>
          <w:b w:val="0"/>
        </w:rPr>
        <w:t>&lt;RangeAM&gt;</w:t>
      </w:r>
      <w:r w:rsidRPr="002B4A69" w:rsidR="000E14E3">
        <w:t>459 - 645</w:t>
      </w:r>
      <w:r w:rsidRPr="002B4A69">
        <w:rPr>
          <w:rStyle w:val="HideTWBExt"/>
          <w:b w:val="0"/>
        </w:rPr>
        <w:t>&lt;/RangeAM&gt;</w:t>
      </w:r>
    </w:p>
    <w:p w:rsidR="001C2054" w:rsidRPr="002B4A69" w:rsidP="00A93F8C" w14:paraId="183ECA8A" w14:textId="77777777">
      <w:pPr>
        <w:pStyle w:val="CoverBold"/>
      </w:pPr>
      <w:r w:rsidRPr="002B4A69">
        <w:rPr>
          <w:rStyle w:val="HideTWBExt"/>
          <w:b w:val="0"/>
        </w:rPr>
        <w:t>&lt;TitreType&gt;</w:t>
      </w:r>
      <w:r w:rsidRPr="002B4A69" w:rsidR="00112985">
        <w:t>Draft report</w:t>
      </w:r>
      <w:r w:rsidRPr="002B4A69">
        <w:rPr>
          <w:rStyle w:val="HideTWBExt"/>
          <w:b w:val="0"/>
        </w:rPr>
        <w:t>&lt;/TitreType&gt;</w:t>
      </w:r>
    </w:p>
    <w:p w:rsidR="00B85286" w:rsidRPr="002B4A69" w:rsidP="00A93F8C" w14:paraId="3BECDF2F" w14:textId="77777777">
      <w:pPr>
        <w:pStyle w:val="CoverBold"/>
      </w:pPr>
      <w:r w:rsidRPr="002B4A69">
        <w:rPr>
          <w:rStyle w:val="HideTWBExt"/>
          <w:b w:val="0"/>
        </w:rPr>
        <w:t>&lt;Rapporteur&gt;</w:t>
      </w:r>
      <w:r w:rsidRPr="002B4A69" w:rsidR="000E14E3">
        <w:t>Peter Liese</w:t>
      </w:r>
      <w:r w:rsidRPr="002B4A69">
        <w:rPr>
          <w:rStyle w:val="HideTWBExt"/>
          <w:b w:val="0"/>
        </w:rPr>
        <w:t>&lt;/Rapporteur&gt;</w:t>
      </w:r>
    </w:p>
    <w:p w:rsidR="00B85286" w:rsidRPr="002B4A69" w14:paraId="093AD9C1" w14:textId="77777777">
      <w:pPr>
        <w:pStyle w:val="CoverNormal24a"/>
      </w:pPr>
      <w:r w:rsidRPr="002B4A69">
        <w:rPr>
          <w:rStyle w:val="HideTWBExt"/>
        </w:rPr>
        <w:t>&lt;DocRefPE&gt;</w:t>
      </w:r>
      <w:r w:rsidRPr="002B4A69" w:rsidR="00112985">
        <w:t>(PE</w:t>
      </w:r>
      <w:r w:rsidRPr="002B4A69" w:rsidR="000E14E3">
        <w:t>791.996</w:t>
      </w:r>
      <w:r w:rsidRPr="002B4A69" w:rsidR="00112985">
        <w:t>v</w:t>
      </w:r>
      <w:r w:rsidRPr="002B4A69" w:rsidR="000E14E3">
        <w:t>01-00</w:t>
      </w:r>
      <w:r w:rsidRPr="002B4A69" w:rsidR="00112985">
        <w:t>)</w:t>
      </w:r>
      <w:r w:rsidRPr="002B4A69">
        <w:rPr>
          <w:rStyle w:val="HideTWBExt"/>
        </w:rPr>
        <w:t>&lt;/DocRefPE&gt;</w:t>
      </w:r>
    </w:p>
    <w:p w:rsidR="00B85286" w:rsidRPr="002B4A69" w14:paraId="31C08620" w14:textId="77777777">
      <w:pPr>
        <w:pStyle w:val="CoverNormal24a"/>
      </w:pPr>
      <w:r w:rsidRPr="002B4A69">
        <w:rPr>
          <w:rStyle w:val="HideTWBExt"/>
        </w:rPr>
        <w:t>&lt;Titre&gt;</w:t>
      </w:r>
      <w:r w:rsidRPr="002B4A69" w:rsidR="000E14E3">
        <w:t>EU Emissions Trading System and market stability reserve: competitiveness and cost-effective decarbonisation</w:t>
      </w:r>
      <w:r w:rsidRPr="002B4A69">
        <w:rPr>
          <w:rStyle w:val="HideTWBExt"/>
        </w:rPr>
        <w:t>&lt;/Titre&gt;</w:t>
      </w:r>
    </w:p>
    <w:p w:rsidR="006337D4" w:rsidRPr="002B4A69" w:rsidP="006337D4" w14:paraId="41E63844" w14:textId="77777777">
      <w:pPr>
        <w:pStyle w:val="CoverNormal"/>
      </w:pPr>
      <w:r w:rsidRPr="002B4A69">
        <w:rPr>
          <w:rStyle w:val="HideTWBExt"/>
        </w:rPr>
        <w:t>&lt;DocAmend&gt;</w:t>
      </w:r>
      <w:r w:rsidRPr="002B4A69" w:rsidR="000E14E3">
        <w:t>Proposal for a directive</w:t>
      </w:r>
      <w:r w:rsidRPr="002B4A69">
        <w:rPr>
          <w:rStyle w:val="HideTWBExt"/>
        </w:rPr>
        <w:t>&lt;/DocAmend&gt;</w:t>
      </w:r>
    </w:p>
    <w:p w:rsidR="00B85286" w:rsidRPr="002B4A69" w14:paraId="38095CD9" w14:textId="77777777">
      <w:pPr>
        <w:pStyle w:val="CoverNormal24a"/>
      </w:pPr>
      <w:r w:rsidRPr="002B4A69">
        <w:rPr>
          <w:rStyle w:val="HideTWBExt"/>
        </w:rPr>
        <w:t>&lt;DocRef&gt;</w:t>
      </w:r>
      <w:r w:rsidRPr="002B4A69" w:rsidR="00112985">
        <w:t>(</w:t>
      </w:r>
      <w:r w:rsidRPr="002B4A69" w:rsidR="000E14E3">
        <w:t>COM(</w:t>
      </w:r>
      <w:r w:rsidRPr="002B4A69" w:rsidR="000E14E3">
        <w:t>2026)0616</w:t>
      </w:r>
      <w:r w:rsidRPr="002B4A69" w:rsidR="00112985">
        <w:t xml:space="preserve"> </w:t>
      </w:r>
      <w:r w:rsidRPr="002B4A69" w:rsidR="000E14E3">
        <w:t>–</w:t>
      </w:r>
      <w:r w:rsidRPr="002B4A69" w:rsidR="00112985">
        <w:t xml:space="preserve"> </w:t>
      </w:r>
      <w:r w:rsidRPr="002B4A69" w:rsidR="000E14E3">
        <w:t>C10</w:t>
      </w:r>
      <w:r w:rsidRPr="002B4A69" w:rsidR="000E14E3">
        <w:noBreakHyphen/>
        <w:t>0188/2026</w:t>
      </w:r>
      <w:r w:rsidRPr="002B4A69" w:rsidR="00112985">
        <w:t xml:space="preserve"> </w:t>
      </w:r>
      <w:r w:rsidRPr="002B4A69" w:rsidR="000E14E3">
        <w:t>–</w:t>
      </w:r>
      <w:r w:rsidRPr="002B4A69" w:rsidR="00112985">
        <w:t xml:space="preserve"> </w:t>
      </w:r>
      <w:r w:rsidRPr="002B4A69" w:rsidR="000E14E3">
        <w:t>2026/0212</w:t>
      </w:r>
      <w:r w:rsidRPr="002B4A69" w:rsidR="00112985">
        <w:t>(</w:t>
      </w:r>
      <w:r w:rsidRPr="002B4A69" w:rsidR="000E14E3">
        <w:t>COD</w:t>
      </w:r>
      <w:r w:rsidRPr="002B4A69" w:rsidR="00112985">
        <w:t>))</w:t>
      </w:r>
      <w:r w:rsidRPr="002B4A69">
        <w:rPr>
          <w:rStyle w:val="HideTWBExt"/>
        </w:rPr>
        <w:t>&lt;/DocRef&gt;</w:t>
      </w:r>
    </w:p>
    <w:p w:rsidR="00B85286" w:rsidRPr="002B4A69" w:rsidP="00E660E2" w14:paraId="5A3BC9FF" w14:textId="77777777">
      <w:pPr>
        <w:widowControl/>
        <w:tabs>
          <w:tab w:val="center" w:pos="4677"/>
        </w:tabs>
      </w:pPr>
      <w:r w:rsidRPr="002B4A69">
        <w:br w:type="page"/>
      </w:r>
      <w:r w:rsidRPr="002B4A69" w:rsidR="00112985">
        <w:t>AM_Com_LegReport</w:t>
      </w:r>
    </w:p>
    <w:p w:rsidR="000E14E3" w:rsidRPr="002B4A69" w:rsidP="000E14E3" w14:paraId="42C11B52" w14:textId="77777777">
      <w:pPr>
        <w:pStyle w:val="AmNumberTabs"/>
        <w:keepNext/>
      </w:pPr>
      <w:r w:rsidRPr="002B4A69">
        <w:br w:type="page"/>
      </w:r>
      <w:bookmarkStart w:id="0" w:name="EndA"/>
    </w:p>
    <w:bookmarkEnd w:id="0"/>
    <w:p w:rsidR="001F04EE" w:rsidRPr="002B4A69" w:rsidP="001F04EE" w14:paraId="14855B4F" w14:textId="18BD8F55">
      <w:pPr>
        <w:pStyle w:val="AMNumberTabs0"/>
        <w:keepNext/>
        <w:rPr>
          <w:lang w:val="en-GB"/>
        </w:rPr>
      </w:pPr>
      <w:r w:rsidRPr="002B4A69">
        <w:rPr>
          <w:rStyle w:val="HideTWBExt"/>
          <w:b w:val="0"/>
          <w:lang w:val="en-GB"/>
        </w:rPr>
        <w:t>&lt;RepeatBlock-Amend&gt;&lt;Amend&gt;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459</w:t>
      </w:r>
      <w:r w:rsidRPr="002B4A69">
        <w:rPr>
          <w:rStyle w:val="HideTWBExt"/>
          <w:b w:val="0"/>
          <w:lang w:val="en-GB"/>
        </w:rPr>
        <w:t>&lt;/NumAm&gt;</w:t>
      </w:r>
    </w:p>
    <w:p w:rsidR="001F04EE" w:rsidRPr="002B4A69" w:rsidP="001F04EE" w14:paraId="5B0CAB75" w14:textId="77777777">
      <w:pPr>
        <w:pStyle w:val="NormalBold"/>
      </w:pPr>
      <w:r w:rsidRPr="002B4A69">
        <w:rPr>
          <w:rStyle w:val="HideTWBExt"/>
          <w:b w:val="0"/>
        </w:rPr>
        <w:t>&lt;RepeatBlock-By&gt;&lt;Members&gt;</w:t>
      </w:r>
      <w:r w:rsidRPr="002B4A69">
        <w:t>François-Xavier Bellamy</w:t>
      </w:r>
      <w:r w:rsidRPr="002B4A69">
        <w:rPr>
          <w:rStyle w:val="HideTWBExt"/>
          <w:b w:val="0"/>
        </w:rPr>
        <w:t>&lt;/Members&gt;</w:t>
      </w:r>
    </w:p>
    <w:p w:rsidR="001F04EE" w:rsidRPr="002B4A69" w:rsidP="001F04EE" w14:paraId="101A8578" w14:textId="77777777">
      <w:r w:rsidRPr="002B4A69">
        <w:rPr>
          <w:rStyle w:val="HideTWBExt"/>
        </w:rPr>
        <w:t>&lt;/RepeatBlock-By&gt;</w:t>
      </w:r>
    </w:p>
    <w:p w:rsidR="001F04EE" w:rsidRPr="002B4A69" w:rsidP="001F04EE" w14:paraId="647EF78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5EAD2F3"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9094E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CABBD78" w14:textId="77777777">
            <w:pPr>
              <w:keepNext/>
            </w:pPr>
          </w:p>
        </w:tc>
      </w:tr>
      <w:tr w14:paraId="41B7285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CAD9334" w14:textId="77777777">
            <w:pPr>
              <w:pStyle w:val="ColumnHeading"/>
              <w:keepNext/>
              <w:rPr>
                <w:lang w:val="en-GB"/>
              </w:rPr>
            </w:pPr>
            <w:r w:rsidRPr="002B4A69">
              <w:rPr>
                <w:lang w:val="en-GB"/>
              </w:rPr>
              <w:t>Text proposed by the Commission</w:t>
            </w:r>
          </w:p>
        </w:tc>
        <w:tc>
          <w:tcPr>
            <w:tcW w:w="4876" w:type="dxa"/>
          </w:tcPr>
          <w:p w:rsidR="001F04EE" w:rsidRPr="002B4A69" w:rsidP="00723F81" w14:paraId="79F4DC5F" w14:textId="77777777">
            <w:pPr>
              <w:pStyle w:val="ColumnHeading"/>
              <w:keepNext/>
              <w:rPr>
                <w:lang w:val="en-GB"/>
              </w:rPr>
            </w:pPr>
            <w:r w:rsidRPr="002B4A69">
              <w:rPr>
                <w:lang w:val="en-GB"/>
              </w:rPr>
              <w:t>Amendment</w:t>
            </w:r>
          </w:p>
        </w:tc>
      </w:tr>
      <w:tr w14:paraId="257441F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9366F3" w14:textId="77777777">
            <w:pPr>
              <w:pStyle w:val="Normal6"/>
              <w:rPr>
                <w:lang w:val="en-GB"/>
              </w:rPr>
            </w:pPr>
            <w:r w:rsidRPr="002B4A69">
              <w:rPr>
                <w:lang w:val="en-GB"/>
              </w:rPr>
              <w:t>(58)</w:t>
            </w:r>
            <w:r w:rsidRPr="002B4A69">
              <w:rPr>
                <w:lang w:val="en-GB"/>
              </w:rPr>
              <w:tab/>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w:t>
            </w:r>
            <w:r w:rsidRPr="002B4A69">
              <w:rPr>
                <w:b/>
                <w:i/>
                <w:lang w:val="en-GB"/>
              </w:rPr>
              <w:t>, with</w:t>
            </w:r>
            <w:r w:rsidRPr="002B4A69">
              <w:rPr>
                <w:lang w:val="en-GB"/>
              </w:rPr>
              <w:t xml:space="preserve"> free allocation </w:t>
            </w:r>
            <w:r w:rsidRPr="002B4A69">
              <w:rPr>
                <w:b/>
                <w:i/>
                <w:lang w:val="en-GB"/>
              </w:rPr>
              <w:t>being phased out fully by the end of 2037</w:t>
            </w:r>
            <w:r w:rsidRPr="002B4A69">
              <w:rPr>
                <w:lang w:val="en-GB"/>
              </w:rPr>
              <w:t>.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1F04EE" w:rsidRPr="002B4A69" w:rsidP="00723F81" w14:paraId="73E14DD8" w14:textId="77777777">
            <w:pPr>
              <w:pStyle w:val="Normal6"/>
              <w:rPr>
                <w:szCs w:val="24"/>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w:t>
            </w:r>
            <w:r w:rsidRPr="002B4A69">
              <w:rPr>
                <w:lang w:val="en-GB"/>
              </w:rPr>
              <w:t>takes into account</w:t>
            </w:r>
            <w:r w:rsidRPr="002B4A69">
              <w:rPr>
                <w:lang w:val="en-GB"/>
              </w:rPr>
              <w:t xml:space="preserve"> the decarbonisation of installations in the Union, while minimising additional administrative burden, it is appropriate to reduce the phase-out of free allocation in those sectors</w:t>
            </w:r>
            <w:r w:rsidRPr="002B4A69">
              <w:rPr>
                <w:b/>
                <w:i/>
                <w:lang w:val="en-GB"/>
              </w:rPr>
              <w:t>. Where that assessment does not establish that Regulation (EU) 2023/956 provides a high level of protection against carbon leakage and a low residual risk of carbon leakage on third-country markets for a given sector, the phase-out of</w:t>
            </w:r>
            <w:r w:rsidRPr="002B4A69">
              <w:rPr>
                <w:lang w:val="en-GB"/>
              </w:rPr>
              <w:t xml:space="preserve"> free allocation </w:t>
            </w:r>
            <w:r w:rsidRPr="002B4A69">
              <w:rPr>
                <w:b/>
                <w:i/>
                <w:lang w:val="en-GB"/>
              </w:rPr>
              <w:t>for that sector should be frozen further until such protection is established, so that carbon leakage protection is not withdrawn before it has been demonstrated that the CBAM provides an equivalent level of protection</w:t>
            </w:r>
            <w:r w:rsidRPr="002B4A69">
              <w:rPr>
                <w:lang w:val="en-GB"/>
              </w:rPr>
              <w:t xml:space="preserve">.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In line with this Directive introducing investment conditionality rules for free </w:t>
            </w:r>
            <w:r w:rsidRPr="002B4A69">
              <w:rPr>
                <w:lang w:val="en-GB"/>
              </w:rPr>
              <w:t>allocation in the EU ETS from 2031 onwards, those conditionality rules should apply from 2031 onwards also for free allocation to installations to which the CBAM factor is applied.</w:t>
            </w:r>
          </w:p>
        </w:tc>
      </w:tr>
    </w:tbl>
    <w:p w:rsidR="001F04EE" w:rsidRPr="002B4A69" w:rsidP="001F04EE" w14:paraId="781298B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C7A4A7F" w14:textId="77777777">
      <w:r w:rsidRPr="002B4A69">
        <w:rPr>
          <w:rStyle w:val="HideTWBExt"/>
        </w:rPr>
        <w:t>&lt;/Amend&gt;</w:t>
      </w:r>
    </w:p>
    <w:p w:rsidR="001F04EE" w:rsidRPr="002B4A69" w:rsidP="001F04EE" w14:paraId="6D8EF10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460</w:t>
      </w:r>
      <w:r w:rsidRPr="002B4A69">
        <w:rPr>
          <w:rStyle w:val="HideTWBExt"/>
          <w:b w:val="0"/>
          <w:lang w:val="en-GB"/>
        </w:rPr>
        <w:t>&lt;/NumAm&gt;</w:t>
      </w:r>
    </w:p>
    <w:p w:rsidR="001F04EE" w:rsidRPr="002B4A69" w:rsidP="001F04EE" w14:paraId="1FC25C43" w14:textId="77777777">
      <w:pPr>
        <w:pStyle w:val="NormalBold"/>
      </w:pPr>
      <w:r w:rsidRPr="002B4A69">
        <w:rPr>
          <w:rStyle w:val="HideTWBExt"/>
          <w:b w:val="0"/>
        </w:rPr>
        <w:t>&lt;RepeatBlock-By&gt;&lt;Members&gt;</w:t>
      </w:r>
      <w:r w:rsidRPr="002B4A69">
        <w:t>Kateřina Konečná</w:t>
      </w:r>
      <w:r w:rsidRPr="002B4A69">
        <w:rPr>
          <w:rStyle w:val="HideTWBExt"/>
          <w:b w:val="0"/>
        </w:rPr>
        <w:t>&lt;/Members&gt;</w:t>
      </w:r>
    </w:p>
    <w:p w:rsidR="001F04EE" w:rsidRPr="002B4A69" w:rsidP="001F04EE" w14:paraId="7E5A3666" w14:textId="77777777">
      <w:r w:rsidRPr="002B4A69">
        <w:rPr>
          <w:rStyle w:val="HideTWBExt"/>
        </w:rPr>
        <w:t>&lt;/RepeatBlock-By&gt;</w:t>
      </w:r>
    </w:p>
    <w:p w:rsidR="001F04EE" w:rsidRPr="002B4A69" w:rsidP="001F04EE" w14:paraId="65E5F2D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1A32CC1"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7DB31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BF8B67D" w14:textId="77777777">
            <w:pPr>
              <w:keepNext/>
            </w:pPr>
          </w:p>
        </w:tc>
      </w:tr>
      <w:tr w14:paraId="3ED31B7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44CB02F" w14:textId="77777777">
            <w:pPr>
              <w:pStyle w:val="ColumnHeading"/>
              <w:keepNext/>
              <w:rPr>
                <w:lang w:val="en-GB"/>
              </w:rPr>
            </w:pPr>
            <w:r w:rsidRPr="002B4A69">
              <w:rPr>
                <w:lang w:val="en-GB"/>
              </w:rPr>
              <w:t>Text proposed by the Commission</w:t>
            </w:r>
          </w:p>
        </w:tc>
        <w:tc>
          <w:tcPr>
            <w:tcW w:w="4876" w:type="dxa"/>
          </w:tcPr>
          <w:p w:rsidR="001F04EE" w:rsidRPr="002B4A69" w:rsidP="00723F81" w14:paraId="5D0FB657" w14:textId="77777777">
            <w:pPr>
              <w:pStyle w:val="ColumnHeading"/>
              <w:keepNext/>
              <w:rPr>
                <w:lang w:val="en-GB"/>
              </w:rPr>
            </w:pPr>
            <w:r w:rsidRPr="002B4A69">
              <w:rPr>
                <w:lang w:val="en-GB"/>
              </w:rPr>
              <w:t>Amendment</w:t>
            </w:r>
          </w:p>
        </w:tc>
      </w:tr>
      <w:tr w14:paraId="6AD4092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3D0B736" w14:textId="77777777">
            <w:pPr>
              <w:pStyle w:val="Normal6"/>
              <w:rPr>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w:t>
            </w:r>
            <w:r w:rsidRPr="002B4A69">
              <w:rPr>
                <w:b/>
                <w:i/>
                <w:lang w:val="en-GB"/>
              </w:rPr>
              <w:t>conditional</w:t>
            </w:r>
            <w:r w:rsidRPr="002B4A69">
              <w:rPr>
                <w:lang w:val="en-GB"/>
              </w:rPr>
              <w:t xml:space="preserve">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w:t>
            </w:r>
            <w:r w:rsidRPr="002B4A69">
              <w:rPr>
                <w:b/>
                <w:i/>
                <w:lang w:val="en-GB"/>
              </w:rPr>
              <w:t>, with free allocation being phased out fully by the end of 2037</w:t>
            </w:r>
            <w:r w:rsidRPr="002B4A69">
              <w:rPr>
                <w:lang w:val="en-GB"/>
              </w:rPr>
              <w:t xml:space="preserve">.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 xml:space="preserve">In line with this Directive introducing investment conditionality rules for free allocation in </w:t>
            </w:r>
            <w:r w:rsidRPr="002B4A69">
              <w:rPr>
                <w:b/>
                <w:i/>
                <w:lang w:val="en-GB"/>
              </w:rPr>
              <w:t>the EU ETS from 2031 onwards, those conditionality rules should apply from 2031 onwards also for</w:t>
            </w:r>
            <w:r w:rsidRPr="002B4A69">
              <w:rPr>
                <w:lang w:val="en-GB"/>
              </w:rPr>
              <w:t xml:space="preserve"> free allocation </w:t>
            </w:r>
            <w:r w:rsidRPr="002B4A69">
              <w:rPr>
                <w:b/>
                <w:i/>
                <w:lang w:val="en-GB"/>
              </w:rPr>
              <w:t>to installations to which</w:t>
            </w:r>
            <w:r w:rsidRPr="002B4A69">
              <w:rPr>
                <w:lang w:val="en-GB"/>
              </w:rPr>
              <w:t xml:space="preserve"> the CBAM </w:t>
            </w:r>
            <w:r w:rsidRPr="002B4A69">
              <w:rPr>
                <w:b/>
                <w:i/>
                <w:lang w:val="en-GB"/>
              </w:rPr>
              <w:t>factor is applied</w:t>
            </w:r>
            <w:r w:rsidRPr="002B4A69">
              <w:rPr>
                <w:lang w:val="en-GB"/>
              </w:rPr>
              <w:t>.</w:t>
            </w:r>
          </w:p>
        </w:tc>
        <w:tc>
          <w:tcPr>
            <w:tcW w:w="4876" w:type="dxa"/>
          </w:tcPr>
          <w:p w:rsidR="001F04EE" w:rsidRPr="002B4A69" w:rsidP="00723F81" w14:paraId="39116171" w14:textId="77777777">
            <w:pPr>
              <w:pStyle w:val="Normal6"/>
              <w:rPr>
                <w:szCs w:val="24"/>
                <w:lang w:val="en-GB"/>
              </w:rPr>
            </w:pPr>
            <w:r w:rsidRPr="002B4A69">
              <w:rPr>
                <w:lang w:val="en-GB"/>
              </w:rPr>
              <w:t>(58)</w:t>
            </w:r>
            <w:r w:rsidRPr="002B4A69">
              <w:rPr>
                <w:lang w:val="en-GB"/>
              </w:rPr>
              <w:tab/>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free allocation should be provided for CBAM sectors</w:t>
            </w:r>
            <w:r w:rsidRPr="002B4A69">
              <w:rPr>
                <w:b/>
                <w:i/>
                <w:lang w:val="en-GB"/>
              </w:rPr>
              <w:t>. The phase-out of free allocation should remain conditional on CBAM providing an equivalent and effective level of carbon leakage protection for Union producers</w:t>
            </w:r>
            <w:r w:rsidRPr="002B4A69">
              <w:rPr>
                <w:lang w:val="en-GB"/>
              </w:rPr>
              <w:t xml:space="preserve">. To provide for this in a manner that is compliant with international trade rules and </w:t>
            </w:r>
            <w:r w:rsidRPr="002B4A69">
              <w:rPr>
                <w:lang w:val="en-GB"/>
              </w:rPr>
              <w:t>takes into account</w:t>
            </w:r>
            <w:r w:rsidRPr="002B4A69">
              <w:rPr>
                <w:lang w:val="en-GB"/>
              </w:rPr>
              <w:t xml:space="preserve"> the decarbonisation of installations in the Union, while minimising additional administrative burden, it is appropriate to reduce the phase-out of free allocation in those sectors.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The absence of measures addressing exports creates carbon leakage risks and an uneven playing field for Union industry competing on export markets, including for downstream sectors exporting products that contain CBAM goods. To address such risks on a permanent basis, the phase-out of</w:t>
            </w:r>
            <w:r w:rsidRPr="002B4A69">
              <w:rPr>
                <w:lang w:val="en-GB"/>
              </w:rPr>
              <w:t xml:space="preserve"> free allocation </w:t>
            </w:r>
            <w:r w:rsidRPr="002B4A69">
              <w:rPr>
                <w:b/>
                <w:i/>
                <w:lang w:val="en-GB"/>
              </w:rPr>
              <w:t>should therefore not apply to the share of production that is subsequently exported to third countries outside the customs territory of the Union. Compensation is also required for downstream sectors in Europe whose costs are increased due to the cost impact of the EU ETS and</w:t>
            </w:r>
            <w:r w:rsidRPr="002B4A69">
              <w:rPr>
                <w:lang w:val="en-GB"/>
              </w:rPr>
              <w:t xml:space="preserve"> the CBAM </w:t>
            </w:r>
            <w:r w:rsidRPr="002B4A69">
              <w:rPr>
                <w:b/>
                <w:i/>
                <w:lang w:val="en-GB"/>
              </w:rPr>
              <w:t>along value chains</w:t>
            </w:r>
            <w:r w:rsidRPr="002B4A69">
              <w:rPr>
                <w:lang w:val="en-GB"/>
              </w:rPr>
              <w:t>.</w:t>
            </w:r>
          </w:p>
        </w:tc>
      </w:tr>
    </w:tbl>
    <w:p w:rsidR="001F04EE" w:rsidRPr="002B4A69" w:rsidP="001F04EE" w14:paraId="637147CF"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BDCB43B" w14:textId="77777777">
      <w:r w:rsidRPr="002B4A69">
        <w:rPr>
          <w:rStyle w:val="HideTWBExt"/>
        </w:rPr>
        <w:t>&lt;/Amend&gt;</w:t>
      </w:r>
    </w:p>
    <w:p w:rsidR="001F04EE" w:rsidRPr="002B4A69" w:rsidP="001F04EE" w14:paraId="1988452D"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461</w:t>
      </w:r>
      <w:r w:rsidRPr="002B4A69">
        <w:rPr>
          <w:rStyle w:val="HideTWBExt"/>
          <w:b w:val="0"/>
          <w:lang w:val="en-GB"/>
        </w:rPr>
        <w:t>&lt;/NumAm&gt;</w:t>
      </w:r>
    </w:p>
    <w:p w:rsidR="001F04EE" w:rsidRPr="002B4A69" w:rsidP="001F04EE" w14:paraId="1BD28C44" w14:textId="77777777">
      <w:pPr>
        <w:pStyle w:val="NormalBold"/>
      </w:pPr>
      <w:r w:rsidRPr="002B4A69">
        <w:rPr>
          <w:rStyle w:val="HideTWBExt"/>
          <w:b w:val="0"/>
        </w:rPr>
        <w:t>&lt;RepeatBlock-By&gt;&lt;Members&gt;</w:t>
      </w:r>
      <w:r w:rsidRPr="002B4A69">
        <w:t>Dimitris Tsiodras</w:t>
      </w:r>
      <w:r w:rsidRPr="002B4A69">
        <w:rPr>
          <w:rStyle w:val="HideTWBExt"/>
          <w:b w:val="0"/>
        </w:rPr>
        <w:t>&lt;/Members&gt;</w:t>
      </w:r>
    </w:p>
    <w:p w:rsidR="001F04EE" w:rsidRPr="002B4A69" w:rsidP="001F04EE" w14:paraId="775BDA07" w14:textId="77777777">
      <w:r w:rsidRPr="002B4A69">
        <w:rPr>
          <w:rStyle w:val="HideTWBExt"/>
        </w:rPr>
        <w:t>&lt;/RepeatBlock-By&gt;</w:t>
      </w:r>
    </w:p>
    <w:p w:rsidR="001F04EE" w:rsidRPr="002B4A69" w:rsidP="001F04EE" w14:paraId="19C829C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EF71B59"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575E7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8E0E253" w14:textId="77777777">
            <w:pPr>
              <w:keepNext/>
            </w:pPr>
          </w:p>
        </w:tc>
      </w:tr>
      <w:tr w14:paraId="5A4B708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0CF2285" w14:textId="77777777">
            <w:pPr>
              <w:pStyle w:val="ColumnHeading"/>
              <w:keepNext/>
              <w:rPr>
                <w:lang w:val="en-GB"/>
              </w:rPr>
            </w:pPr>
            <w:r w:rsidRPr="002B4A69">
              <w:rPr>
                <w:lang w:val="en-GB"/>
              </w:rPr>
              <w:t>Text proposed by the Commission</w:t>
            </w:r>
          </w:p>
        </w:tc>
        <w:tc>
          <w:tcPr>
            <w:tcW w:w="4876" w:type="dxa"/>
          </w:tcPr>
          <w:p w:rsidR="001F04EE" w:rsidRPr="002B4A69" w:rsidP="00723F81" w14:paraId="456BF965" w14:textId="77777777">
            <w:pPr>
              <w:pStyle w:val="ColumnHeading"/>
              <w:keepNext/>
              <w:rPr>
                <w:lang w:val="en-GB"/>
              </w:rPr>
            </w:pPr>
            <w:r w:rsidRPr="002B4A69">
              <w:rPr>
                <w:lang w:val="en-GB"/>
              </w:rPr>
              <w:t>Amendment</w:t>
            </w:r>
          </w:p>
        </w:tc>
      </w:tr>
      <w:tr w14:paraId="5290A09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B29E1C3" w14:textId="77777777">
            <w:pPr>
              <w:pStyle w:val="Normal6"/>
              <w:rPr>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w:t>
            </w:r>
            <w:r w:rsidRPr="002B4A69">
              <w:rPr>
                <w:b/>
                <w:i/>
                <w:lang w:val="en-GB"/>
              </w:rPr>
              <w:t>conditional</w:t>
            </w:r>
            <w:r w:rsidRPr="002B4A69">
              <w:rPr>
                <w:lang w:val="en-GB"/>
              </w:rPr>
              <w:t xml:space="preserve">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w:t>
            </w:r>
            <w:r w:rsidRPr="002B4A69">
              <w:rPr>
                <w:b/>
                <w:i/>
                <w:lang w:val="en-GB"/>
              </w:rPr>
              <w:t>, with free allocation being phased out fully by the end of 2037</w:t>
            </w:r>
            <w:r w:rsidRPr="002B4A69">
              <w:rPr>
                <w:lang w:val="en-GB"/>
              </w:rPr>
              <w:t xml:space="preserve">. In </w:t>
            </w:r>
            <w:r w:rsidRPr="002B4A69">
              <w:rPr>
                <w:lang w:val="en-GB"/>
              </w:rPr>
              <w:t xml:space="preserve">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In line with this Directive introducing investment conditionality rules for free allocation in the EU ETS from 2031 onwards, those conditionality rules should apply from 2031 onwards also for</w:t>
            </w:r>
            <w:r w:rsidRPr="002B4A69">
              <w:rPr>
                <w:lang w:val="en-GB"/>
              </w:rPr>
              <w:t xml:space="preserve"> free allocation </w:t>
            </w:r>
            <w:r w:rsidRPr="002B4A69">
              <w:rPr>
                <w:b/>
                <w:i/>
                <w:lang w:val="en-GB"/>
              </w:rPr>
              <w:t>to installations to which</w:t>
            </w:r>
            <w:r w:rsidRPr="002B4A69">
              <w:rPr>
                <w:lang w:val="en-GB"/>
              </w:rPr>
              <w:t xml:space="preserve"> the CBAM </w:t>
            </w:r>
            <w:r w:rsidRPr="002B4A69">
              <w:rPr>
                <w:b/>
                <w:i/>
                <w:lang w:val="en-GB"/>
              </w:rPr>
              <w:t>factor is applied</w:t>
            </w:r>
            <w:r w:rsidRPr="002B4A69">
              <w:rPr>
                <w:lang w:val="en-GB"/>
              </w:rPr>
              <w:t>.</w:t>
            </w:r>
          </w:p>
        </w:tc>
        <w:tc>
          <w:tcPr>
            <w:tcW w:w="4876" w:type="dxa"/>
          </w:tcPr>
          <w:p w:rsidR="001F04EE" w:rsidRPr="002B4A69" w:rsidP="00723F81" w14:paraId="30C6B814" w14:textId="77777777">
            <w:pPr>
              <w:pStyle w:val="Normal6"/>
              <w:rPr>
                <w:szCs w:val="24"/>
                <w:lang w:val="en-GB"/>
              </w:rPr>
            </w:pPr>
            <w:r w:rsidRPr="002B4A69">
              <w:rPr>
                <w:lang w:val="en-GB"/>
              </w:rPr>
              <w:t>(58)</w:t>
            </w:r>
            <w:r w:rsidRPr="002B4A69">
              <w:rPr>
                <w:lang w:val="en-GB"/>
              </w:rPr>
              <w:tab/>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free allocation should be provided for CBAM sectors</w:t>
            </w:r>
            <w:r w:rsidRPr="002B4A69">
              <w:rPr>
                <w:b/>
                <w:i/>
                <w:lang w:val="en-GB"/>
              </w:rPr>
              <w:t>. The phase-out of free allocation should remain conditional on CBAM providing an equivalent and effective level of carbon leakage protection for Union producers</w:t>
            </w:r>
            <w:r w:rsidRPr="002B4A69">
              <w:rPr>
                <w:lang w:val="en-GB"/>
              </w:rPr>
              <w:t xml:space="preserve">. To provide for this in a manner that is compliant with international trade rules and </w:t>
            </w:r>
            <w:r w:rsidRPr="002B4A69">
              <w:rPr>
                <w:lang w:val="en-GB"/>
              </w:rPr>
              <w:t>takes into account</w:t>
            </w:r>
            <w:r w:rsidRPr="002B4A69">
              <w:rPr>
                <w:lang w:val="en-GB"/>
              </w:rPr>
              <w:t xml:space="preserve"> the decarbonisation of installations in the Union, while minimising additional administrative </w:t>
            </w:r>
            <w:r w:rsidRPr="002B4A69">
              <w:rPr>
                <w:lang w:val="en-GB"/>
              </w:rPr>
              <w:t xml:space="preserve">burden, it is appropriate to reduce the phase-out of free allocation in those sectors.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The absence of measures addressing exports creates carbon leakage risks and an uneven playing field for Union industry competing on export markets, including for downstream sectors exporting products that contain CBAM goods. To address such risks on a permanent basis, the phase-out of</w:t>
            </w:r>
            <w:r w:rsidRPr="002B4A69">
              <w:rPr>
                <w:lang w:val="en-GB"/>
              </w:rPr>
              <w:t xml:space="preserve"> free allocation </w:t>
            </w:r>
            <w:r w:rsidRPr="002B4A69">
              <w:rPr>
                <w:b/>
                <w:i/>
                <w:lang w:val="en-GB"/>
              </w:rPr>
              <w:t>should therefore not apply to the share of production that is subsequently exported to third countries outside the customs territory of the Union. Compensation is also required for downstream sectors in Europe whose costs are increased due to the cost impact of the EU ETS and</w:t>
            </w:r>
            <w:r w:rsidRPr="002B4A69">
              <w:rPr>
                <w:lang w:val="en-GB"/>
              </w:rPr>
              <w:t xml:space="preserve"> the CBAM </w:t>
            </w:r>
            <w:r w:rsidRPr="002B4A69">
              <w:rPr>
                <w:b/>
                <w:i/>
                <w:lang w:val="en-GB"/>
              </w:rPr>
              <w:t>along value chains</w:t>
            </w:r>
            <w:r w:rsidRPr="002B4A69">
              <w:rPr>
                <w:lang w:val="en-GB"/>
              </w:rPr>
              <w:t>.</w:t>
            </w:r>
          </w:p>
        </w:tc>
      </w:tr>
    </w:tbl>
    <w:p w:rsidR="001F04EE" w:rsidRPr="002B4A69" w:rsidP="001F04EE" w14:paraId="116EC6EF"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1D28A20"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509DC84" w14:textId="77777777">
      <w:pPr>
        <w:pStyle w:val="Normal12Italic"/>
        <w:rPr>
          <w:noProof w:val="0"/>
          <w:lang w:val="en-GB"/>
        </w:rPr>
      </w:pPr>
      <w:r w:rsidRPr="002B4A69">
        <w:rPr>
          <w:noProof w:val="0"/>
          <w:lang w:val="en-GB"/>
        </w:rPr>
        <w:t>The absence of a long-term export solution for CBAM sectors is one of the most critical gaps in the proposal to amend the ETS Directive and must be urgently addressed. Free allocation should not be phased out unless and until the CBAM demonstrably provides equivalent carbon leakage protection for covered sectors. Any such assessment must fully account for continued exposure to carbon leakage risks, including in export markets, where the CBAM currently provides no protection. No sector should face a lower level of protection than under the current framework until effective alternative measures are in place.</w:t>
      </w:r>
    </w:p>
    <w:p w:rsidR="001F04EE" w:rsidRPr="002B4A69" w:rsidP="001F04EE" w14:paraId="465DAD90" w14:textId="77777777">
      <w:r w:rsidRPr="002B4A69">
        <w:rPr>
          <w:rStyle w:val="HideTWBExt"/>
        </w:rPr>
        <w:t>&lt;/Amend&gt;</w:t>
      </w:r>
    </w:p>
    <w:p w:rsidR="001F04EE" w:rsidRPr="002B4A69" w:rsidP="001F04EE" w14:paraId="57CD423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462</w:t>
      </w:r>
      <w:r w:rsidRPr="002B4A69">
        <w:rPr>
          <w:rStyle w:val="HideTWBExt"/>
          <w:b w:val="0"/>
          <w:lang w:val="en-GB"/>
        </w:rPr>
        <w:t>&lt;/NumAm&gt;</w:t>
      </w:r>
    </w:p>
    <w:p w:rsidR="001F04EE" w:rsidRPr="002B4A69" w:rsidP="001F04EE" w14:paraId="78715659" w14:textId="77777777">
      <w:pPr>
        <w:pStyle w:val="NormalBold"/>
      </w:pPr>
      <w:r w:rsidRPr="002B4A69">
        <w:rPr>
          <w:rStyle w:val="HideTWBExt"/>
          <w:b w:val="0"/>
        </w:rPr>
        <w:t>&lt;RepeatBlock-By&gt;&lt;Members&gt;</w:t>
      </w:r>
      <w:r w:rsidRPr="002B4A69">
        <w:t>Andrea Wechsler, Norbert Herhammer, Verena Mertens, Sabine Verheyen, Marie-Sophie Christ, Eva Maydell, Christian Ehler, Angelika Niebler, David McAllister, Inese Vaidere</w:t>
      </w:r>
      <w:r w:rsidRPr="002B4A69">
        <w:rPr>
          <w:rStyle w:val="HideTWBExt"/>
          <w:b w:val="0"/>
        </w:rPr>
        <w:t>&lt;/Members&gt;</w:t>
      </w:r>
    </w:p>
    <w:p w:rsidR="001F04EE" w:rsidRPr="002B4A69" w:rsidP="001F04EE" w14:paraId="2F0A7A89" w14:textId="77777777">
      <w:r w:rsidRPr="002B4A69">
        <w:rPr>
          <w:rStyle w:val="HideTWBExt"/>
        </w:rPr>
        <w:t>&lt;/RepeatBlock-By&gt;</w:t>
      </w:r>
    </w:p>
    <w:p w:rsidR="001F04EE" w:rsidRPr="002B4A69" w:rsidP="001F04EE" w14:paraId="400BAA5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A91C962"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56C48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5E773EA" w14:textId="77777777">
            <w:pPr>
              <w:keepNext/>
            </w:pPr>
          </w:p>
        </w:tc>
      </w:tr>
      <w:tr w14:paraId="70E81F3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ABD634D" w14:textId="77777777">
            <w:pPr>
              <w:pStyle w:val="ColumnHeading"/>
              <w:keepNext/>
              <w:rPr>
                <w:lang w:val="en-GB"/>
              </w:rPr>
            </w:pPr>
            <w:r w:rsidRPr="002B4A69">
              <w:rPr>
                <w:lang w:val="en-GB"/>
              </w:rPr>
              <w:t>Text proposed by the Commission</w:t>
            </w:r>
          </w:p>
        </w:tc>
        <w:tc>
          <w:tcPr>
            <w:tcW w:w="4876" w:type="dxa"/>
          </w:tcPr>
          <w:p w:rsidR="001F04EE" w:rsidRPr="002B4A69" w:rsidP="00723F81" w14:paraId="5E97641A" w14:textId="77777777">
            <w:pPr>
              <w:pStyle w:val="ColumnHeading"/>
              <w:keepNext/>
              <w:rPr>
                <w:lang w:val="en-GB"/>
              </w:rPr>
            </w:pPr>
            <w:r w:rsidRPr="002B4A69">
              <w:rPr>
                <w:lang w:val="en-GB"/>
              </w:rPr>
              <w:t>Amendment</w:t>
            </w:r>
          </w:p>
        </w:tc>
      </w:tr>
      <w:tr w14:paraId="375A542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401B4A2" w14:textId="77777777">
            <w:pPr>
              <w:pStyle w:val="Normal6"/>
              <w:rPr>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1F04EE" w:rsidRPr="002B4A69" w:rsidP="00723F81" w14:paraId="207B5AE2" w14:textId="77777777">
            <w:pPr>
              <w:pStyle w:val="Normal6"/>
              <w:rPr>
                <w:szCs w:val="24"/>
                <w:lang w:val="en-GB"/>
              </w:rPr>
            </w:pPr>
            <w:r w:rsidRPr="002B4A69">
              <w:rPr>
                <w:lang w:val="en-GB"/>
              </w:rPr>
              <w:t>(58)</w:t>
            </w:r>
            <w:r w:rsidRPr="002B4A69">
              <w:rPr>
                <w:lang w:val="en-GB"/>
              </w:rPr>
              <w:tab/>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w:t>
            </w:r>
          </w:p>
        </w:tc>
      </w:tr>
    </w:tbl>
    <w:p w:rsidR="001F04EE" w:rsidRPr="002B4A69" w:rsidP="001F04EE" w14:paraId="1F5A99D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1CD49E9"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B996A4D" w14:textId="77777777">
      <w:pPr>
        <w:pStyle w:val="Normal12Italic"/>
        <w:rPr>
          <w:noProof w:val="0"/>
          <w:lang w:val="en-GB"/>
        </w:rPr>
      </w:pPr>
      <w:r w:rsidRPr="002B4A69">
        <w:rPr>
          <w:noProof w:val="0"/>
          <w:lang w:val="en-GB"/>
        </w:rPr>
        <w:t xml:space="preserve">The amendment removes the reference to the new investment conditionality from the recital on the phase-out of free allocation for CBAM sectors. The gradual phase-out of free allocation should remain focused on ensuring a smooth transition to CBAM and on limiting </w:t>
      </w:r>
      <w:r w:rsidRPr="002B4A69">
        <w:rPr>
          <w:noProof w:val="0"/>
          <w:lang w:val="en-GB"/>
        </w:rPr>
        <w:t>carbon-leakage risks for Union industry. Introducing an additional investment conditionality would add complexity and uncertainty to that transition and could weaken the protective function of free allocation before CBAM has demonstrated its effectiveness in practice. Decarbonisation investments should instead be supported through dedicated Union and national funding instruments, while the CBAM-related phase-out of free allocation should remain predictable and transparent.</w:t>
      </w:r>
    </w:p>
    <w:p w:rsidR="001F04EE" w:rsidRPr="002B4A69" w:rsidP="001F04EE" w14:paraId="778FF325" w14:textId="77777777">
      <w:r w:rsidRPr="002B4A69">
        <w:rPr>
          <w:rStyle w:val="HideTWBExt"/>
        </w:rPr>
        <w:t>&lt;/Amend&gt;</w:t>
      </w:r>
    </w:p>
    <w:p w:rsidR="001F04EE" w:rsidRPr="002B4A69" w:rsidP="001F04EE" w14:paraId="6CEEA629"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463</w:t>
      </w:r>
      <w:r w:rsidRPr="002B4A69">
        <w:rPr>
          <w:rStyle w:val="HideTWBExt"/>
          <w:b w:val="0"/>
          <w:lang w:val="en-GB"/>
        </w:rPr>
        <w:t>&lt;/NumAm&gt;</w:t>
      </w:r>
    </w:p>
    <w:p w:rsidR="001F04EE" w:rsidRPr="002B4A69" w:rsidP="001F04EE" w14:paraId="1A696D8E" w14:textId="77777777">
      <w:pPr>
        <w:pStyle w:val="NormalBold"/>
      </w:pPr>
      <w:r w:rsidRPr="002B4A69">
        <w:rPr>
          <w:rStyle w:val="HideTWBExt"/>
          <w:b w:val="0"/>
        </w:rPr>
        <w:t>&lt;RepeatBlock-By&gt;&lt;Members&gt;</w:t>
      </w:r>
      <w:r w:rsidRPr="002B4A69">
        <w:t>Marie-Luce Brasier-Clain, Anne-Sophie Frigout, Mathilde Androuët, Valérie Deloge, Ondřej Knotek, Jana Nagyová, Silvia Sardone, Barbara Bonte, Viktória Ferenc</w:t>
      </w:r>
      <w:r w:rsidRPr="002B4A69">
        <w:rPr>
          <w:rStyle w:val="HideTWBExt"/>
          <w:b w:val="0"/>
        </w:rPr>
        <w:t>&lt;/Members&gt;</w:t>
      </w:r>
    </w:p>
    <w:p w:rsidR="001F04EE" w:rsidRPr="002B4A69" w:rsidP="001F04EE" w14:paraId="599CA166" w14:textId="77777777">
      <w:r w:rsidRPr="002B4A69">
        <w:rPr>
          <w:rStyle w:val="HideTWBExt"/>
        </w:rPr>
        <w:t>&lt;/RepeatBlock-By&gt;</w:t>
      </w:r>
    </w:p>
    <w:p w:rsidR="001F04EE" w:rsidRPr="002B4A69" w:rsidP="001F04EE" w14:paraId="68E8A47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FFA3DFA"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915F7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E286400" w14:textId="77777777">
            <w:pPr>
              <w:keepNext/>
            </w:pPr>
          </w:p>
        </w:tc>
      </w:tr>
      <w:tr w14:paraId="3CA8C8C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A074D3D" w14:textId="77777777">
            <w:pPr>
              <w:pStyle w:val="ColumnHeading"/>
              <w:keepNext/>
              <w:rPr>
                <w:lang w:val="en-GB"/>
              </w:rPr>
            </w:pPr>
            <w:r w:rsidRPr="002B4A69">
              <w:rPr>
                <w:lang w:val="en-GB"/>
              </w:rPr>
              <w:t>Text proposed by the Commission</w:t>
            </w:r>
          </w:p>
        </w:tc>
        <w:tc>
          <w:tcPr>
            <w:tcW w:w="4876" w:type="dxa"/>
          </w:tcPr>
          <w:p w:rsidR="001F04EE" w:rsidRPr="002B4A69" w:rsidP="00723F81" w14:paraId="652AF93F" w14:textId="77777777">
            <w:pPr>
              <w:pStyle w:val="ColumnHeading"/>
              <w:keepNext/>
              <w:rPr>
                <w:lang w:val="en-GB"/>
              </w:rPr>
            </w:pPr>
            <w:r w:rsidRPr="002B4A69">
              <w:rPr>
                <w:lang w:val="en-GB"/>
              </w:rPr>
              <w:t>Amendment</w:t>
            </w:r>
          </w:p>
        </w:tc>
      </w:tr>
      <w:tr w14:paraId="28A232C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22BE498" w14:textId="77777777">
            <w:pPr>
              <w:pStyle w:val="Normal6"/>
              <w:rPr>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w:t>
            </w:r>
            <w:r w:rsidRPr="002B4A69">
              <w:rPr>
                <w:b/>
                <w:bCs/>
                <w:i/>
                <w:iCs/>
                <w:lang w:val="en-GB"/>
              </w:rPr>
              <w:t xml:space="preserve">conditional </w:t>
            </w:r>
            <w:r w:rsidRPr="002B4A69">
              <w:rPr>
                <w:lang w:val="en-GB"/>
              </w:rPr>
              <w:t>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w:t>
            </w:r>
            <w:r w:rsidRPr="002B4A69">
              <w:rPr>
                <w:b/>
                <w:i/>
                <w:lang w:val="en-GB"/>
              </w:rPr>
              <w:t xml:space="preserve"> </w:t>
            </w:r>
            <w:r w:rsidRPr="002B4A69">
              <w:rPr>
                <w:b/>
                <w:bCs/>
                <w:i/>
                <w:iCs/>
                <w:lang w:val="en-GB"/>
              </w:rPr>
              <w:t xml:space="preserve">In line with this Directive introducing investment conditionality rules for free allocation in </w:t>
            </w:r>
            <w:r w:rsidRPr="002B4A69">
              <w:rPr>
                <w:b/>
                <w:bCs/>
                <w:i/>
                <w:iCs/>
                <w:lang w:val="en-GB"/>
              </w:rPr>
              <w:t>the EU ETS from 2031 onwards, those conditionality rules should apply from 2031 onwards also for free allocation to installations to which the CBAM factor is applied.</w:t>
            </w:r>
          </w:p>
        </w:tc>
        <w:tc>
          <w:tcPr>
            <w:tcW w:w="4876" w:type="dxa"/>
          </w:tcPr>
          <w:p w:rsidR="001F04EE" w:rsidRPr="002B4A69" w:rsidP="00723F81" w14:paraId="58ED74AF" w14:textId="77777777">
            <w:pPr>
              <w:pStyle w:val="Normal6"/>
              <w:rPr>
                <w:szCs w:val="24"/>
                <w:lang w:val="en-GB"/>
              </w:rPr>
            </w:pPr>
            <w:r w:rsidRPr="002B4A69">
              <w:rPr>
                <w:lang w:val="en-GB"/>
              </w:rPr>
              <w:t>(58)</w:t>
            </w:r>
            <w:r w:rsidRPr="002B4A69">
              <w:rPr>
                <w:lang w:val="en-GB"/>
              </w:rPr>
              <w:tab/>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free allocation should be provided for CBAM sectors.</w:t>
            </w:r>
            <w:r w:rsidRPr="002B4A69">
              <w:rPr>
                <w:b/>
                <w:i/>
                <w:lang w:val="en-GB"/>
              </w:rPr>
              <w:t xml:space="preserve"> The free allocation of allowances should not be reduced until effective protection is guaranteed.</w:t>
            </w:r>
            <w:r w:rsidRPr="002B4A69">
              <w:rPr>
                <w:lang w:val="en-GB"/>
              </w:rPr>
              <w:t xml:space="preserve">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w:t>
            </w:r>
            <w:r w:rsidRPr="002B4A69">
              <w:rPr>
                <w:b/>
                <w:bCs/>
                <w:i/>
                <w:iCs/>
                <w:lang w:val="en-GB"/>
              </w:rPr>
              <w:t xml:space="preserve">, provided that </w:t>
            </w:r>
            <w:r w:rsidRPr="002B4A69">
              <w:rPr>
                <w:b/>
                <w:bCs/>
                <w:i/>
                <w:iCs/>
                <w:lang w:val="en-GB"/>
              </w:rPr>
              <w:t>effective protection is guaranteed</w:t>
            </w:r>
            <w:r w:rsidRPr="002B4A69">
              <w:rPr>
                <w:lang w:val="en-GB"/>
              </w:rPr>
              <w:t>.</w:t>
            </w:r>
          </w:p>
        </w:tc>
      </w:tr>
    </w:tbl>
    <w:p w:rsidR="001F04EE" w:rsidRPr="002B4A69" w:rsidP="001F04EE" w14:paraId="7182773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3523ABE1" w14:textId="77777777">
      <w:r w:rsidRPr="002B4A69">
        <w:rPr>
          <w:rStyle w:val="HideTWBExt"/>
        </w:rPr>
        <w:t>&lt;/Amend&gt;</w:t>
      </w:r>
    </w:p>
    <w:p w:rsidR="001F04EE" w:rsidRPr="002B4A69" w:rsidP="001F04EE" w14:paraId="4A9F04F9"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464</w:t>
      </w:r>
      <w:r w:rsidRPr="002B4A69">
        <w:rPr>
          <w:rStyle w:val="HideTWBExt"/>
          <w:b w:val="0"/>
          <w:lang w:val="en-GB"/>
        </w:rPr>
        <w:t>&lt;/NumAm&gt;</w:t>
      </w:r>
    </w:p>
    <w:p w:rsidR="001F04EE" w:rsidRPr="002B4A69" w:rsidP="001F04EE" w14:paraId="518EA317" w14:textId="77777777">
      <w:pPr>
        <w:pStyle w:val="NormalBold"/>
      </w:pPr>
      <w:r w:rsidRPr="002B4A69">
        <w:rPr>
          <w:rStyle w:val="HideTWBExt"/>
          <w:b w:val="0"/>
        </w:rPr>
        <w:t>&lt;RepeatBlock-By&gt;&lt;Members&gt;</w:t>
      </w:r>
      <w:r w:rsidRPr="002B4A69">
        <w:t>Pascal Canfin</w:t>
      </w:r>
      <w:r w:rsidRPr="002B4A69">
        <w:rPr>
          <w:rStyle w:val="HideTWBExt"/>
          <w:b w:val="0"/>
        </w:rPr>
        <w:t>&lt;/Members&gt;</w:t>
      </w:r>
    </w:p>
    <w:p w:rsidR="001F04EE" w:rsidRPr="002B4A69" w:rsidP="001F04EE" w14:paraId="68139301" w14:textId="77777777">
      <w:r w:rsidRPr="002B4A69">
        <w:rPr>
          <w:rStyle w:val="HideTWBExt"/>
        </w:rPr>
        <w:t>&lt;/RepeatBlock-By&gt;</w:t>
      </w:r>
    </w:p>
    <w:p w:rsidR="001F04EE" w:rsidRPr="002B4A69" w:rsidP="001F04EE" w14:paraId="51FB6B8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559C010"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DD0B6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F29F65C" w14:textId="77777777">
            <w:pPr>
              <w:keepNext/>
            </w:pPr>
          </w:p>
        </w:tc>
      </w:tr>
      <w:tr w14:paraId="61F1E54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60A478E" w14:textId="77777777">
            <w:pPr>
              <w:pStyle w:val="ColumnHeading"/>
              <w:keepNext/>
              <w:rPr>
                <w:lang w:val="en-GB"/>
              </w:rPr>
            </w:pPr>
            <w:r w:rsidRPr="002B4A69">
              <w:rPr>
                <w:lang w:val="en-GB"/>
              </w:rPr>
              <w:t>Text proposed by the Commission</w:t>
            </w:r>
          </w:p>
        </w:tc>
        <w:tc>
          <w:tcPr>
            <w:tcW w:w="4876" w:type="dxa"/>
          </w:tcPr>
          <w:p w:rsidR="001F04EE" w:rsidRPr="002B4A69" w:rsidP="00723F81" w14:paraId="2367D8B9" w14:textId="77777777">
            <w:pPr>
              <w:pStyle w:val="ColumnHeading"/>
              <w:keepNext/>
              <w:rPr>
                <w:lang w:val="en-GB"/>
              </w:rPr>
            </w:pPr>
            <w:r w:rsidRPr="002B4A69">
              <w:rPr>
                <w:lang w:val="en-GB"/>
              </w:rPr>
              <w:t>Amendment</w:t>
            </w:r>
          </w:p>
        </w:tc>
      </w:tr>
      <w:tr w14:paraId="052EECA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7F5DE37" w14:textId="77777777">
            <w:pPr>
              <w:pStyle w:val="Normal6"/>
              <w:rPr>
                <w:lang w:val="en-GB"/>
              </w:rPr>
            </w:pPr>
            <w:r w:rsidRPr="002B4A69">
              <w:rPr>
                <w:lang w:val="en-GB"/>
              </w:rPr>
              <w:t>(58)</w:t>
            </w:r>
            <w:r w:rsidRPr="002B4A69">
              <w:rPr>
                <w:lang w:val="en-GB"/>
              </w:rPr>
              <w:tab/>
            </w:r>
            <w:r w:rsidRPr="002B4A69">
              <w:rPr>
                <w:b/>
                <w:i/>
                <w:lang w:val="en-GB"/>
              </w:rPr>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w:t>
            </w:r>
            <w:r w:rsidRPr="002B4A69">
              <w:rPr>
                <w:lang w:val="en-GB"/>
              </w:rPr>
              <w:t xml:space="preserve"> international trade rules and </w:t>
            </w:r>
            <w:r w:rsidRPr="002B4A69">
              <w:rPr>
                <w:b/>
                <w:i/>
                <w:lang w:val="en-GB"/>
              </w:rPr>
              <w:t>takes into account</w:t>
            </w:r>
            <w:r w:rsidRPr="002B4A69">
              <w:rPr>
                <w:lang w:val="en-GB"/>
              </w:rPr>
              <w:t xml:space="preserve"> the decarbonisation of installations in the Union, while minimising additional administrative burden, it is appropriate to reduce the phase-out of free allocation in those sectors, with free allocation being phased out fully by the end of </w:t>
            </w:r>
            <w:r w:rsidRPr="002B4A69">
              <w:rPr>
                <w:b/>
                <w:i/>
                <w:lang w:val="en-GB"/>
              </w:rPr>
              <w:t>2037</w:t>
            </w:r>
            <w:r w:rsidRPr="002B4A69">
              <w:rPr>
                <w:lang w:val="en-GB"/>
              </w:rPr>
              <w:t xml:space="preserve">.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In line with this Directive introducing</w:t>
            </w:r>
            <w:r w:rsidRPr="002B4A69">
              <w:rPr>
                <w:lang w:val="en-GB"/>
              </w:rPr>
              <w:t xml:space="preserve"> investment conditionality rules for free allocation </w:t>
            </w:r>
            <w:r w:rsidRPr="002B4A69">
              <w:rPr>
                <w:b/>
                <w:i/>
                <w:lang w:val="en-GB"/>
              </w:rPr>
              <w:t xml:space="preserve">in </w:t>
            </w:r>
            <w:r w:rsidRPr="002B4A69">
              <w:rPr>
                <w:b/>
                <w:i/>
                <w:lang w:val="en-GB"/>
              </w:rPr>
              <w:t>the EU ETS from 2031 onwards, those conditionality rules should apply from 2031 onwards also for</w:t>
            </w:r>
            <w:r w:rsidRPr="002B4A69">
              <w:rPr>
                <w:lang w:val="en-GB"/>
              </w:rPr>
              <w:t xml:space="preserve"> free allocation </w:t>
            </w:r>
            <w:r w:rsidRPr="002B4A69">
              <w:rPr>
                <w:b/>
                <w:i/>
                <w:lang w:val="en-GB"/>
              </w:rPr>
              <w:t>to installations to which the CBAM factor is applied</w:t>
            </w:r>
            <w:r w:rsidRPr="002B4A69">
              <w:rPr>
                <w:lang w:val="en-GB"/>
              </w:rPr>
              <w:t>.</w:t>
            </w:r>
          </w:p>
        </w:tc>
        <w:tc>
          <w:tcPr>
            <w:tcW w:w="4876" w:type="dxa"/>
          </w:tcPr>
          <w:p w:rsidR="001F04EE" w:rsidRPr="002B4A69" w:rsidP="00723F81" w14:paraId="4E5A9C67" w14:textId="77777777">
            <w:pPr>
              <w:pStyle w:val="Normal6"/>
              <w:rPr>
                <w:szCs w:val="24"/>
                <w:lang w:val="en-GB"/>
              </w:rPr>
            </w:pPr>
            <w:r w:rsidRPr="002B4A69">
              <w:rPr>
                <w:lang w:val="en-GB"/>
              </w:rPr>
              <w:t>(58)</w:t>
            </w:r>
            <w:r w:rsidRPr="002B4A69">
              <w:rPr>
                <w:lang w:val="en-GB"/>
              </w:rPr>
              <w:tab/>
            </w:r>
            <w:r w:rsidRPr="002B4A69">
              <w:rPr>
                <w:b/>
                <w:i/>
                <w:lang w:val="en-GB"/>
              </w:rPr>
              <w:t>Taking into account</w:t>
            </w:r>
            <w:r w:rsidRPr="002B4A69">
              <w:rPr>
                <w:lang w:val="en-GB"/>
              </w:rPr>
              <w:t xml:space="preserve"> international trade rules and the decarbonisation of installations in the Union, while minimising additional administrative burden, it is appropriate to reduce the phase-out of free allocation in those sectors, with free allocation being phased out fully by the end of </w:t>
            </w:r>
            <w:r w:rsidRPr="002B4A69">
              <w:rPr>
                <w:b/>
                <w:i/>
                <w:lang w:val="en-GB"/>
              </w:rPr>
              <w:t>2034</w:t>
            </w:r>
            <w:r w:rsidRPr="002B4A69">
              <w:rPr>
                <w:lang w:val="en-GB"/>
              </w:rPr>
              <w:t xml:space="preserve">.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Installations producing goods listed in Annex I to Regulation (EU) 2023/956 should, in respect of those goods, be exempt from the</w:t>
            </w:r>
            <w:r w:rsidRPr="002B4A69">
              <w:rPr>
                <w:lang w:val="en-GB"/>
              </w:rPr>
              <w:t xml:space="preserve"> investment conditionality rules for free allocation</w:t>
            </w:r>
            <w:r w:rsidRPr="002B4A69">
              <w:rPr>
                <w:b/>
                <w:i/>
                <w:lang w:val="en-GB"/>
              </w:rPr>
              <w:t>, as their</w:t>
            </w:r>
            <w:r w:rsidRPr="002B4A69">
              <w:rPr>
                <w:lang w:val="en-GB"/>
              </w:rPr>
              <w:t xml:space="preserve"> free allocation </w:t>
            </w:r>
            <w:r w:rsidRPr="002B4A69">
              <w:rPr>
                <w:b/>
                <w:i/>
                <w:lang w:val="en-GB"/>
              </w:rPr>
              <w:t>is being phased out in accordance with the timeline set out in this Directive</w:t>
            </w:r>
            <w:r w:rsidRPr="002B4A69">
              <w:rPr>
                <w:lang w:val="en-GB"/>
              </w:rPr>
              <w:t xml:space="preserve">. </w:t>
            </w:r>
          </w:p>
        </w:tc>
      </w:tr>
    </w:tbl>
    <w:p w:rsidR="001F04EE" w:rsidRPr="002B4A69" w:rsidP="001F04EE" w14:paraId="7439258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F614644" w14:textId="77777777">
      <w:r w:rsidRPr="002B4A69">
        <w:rPr>
          <w:rStyle w:val="HideTWBExt"/>
        </w:rPr>
        <w:t>&lt;/Amend&gt;</w:t>
      </w:r>
    </w:p>
    <w:p w:rsidR="001F04EE" w:rsidRPr="002B4A69" w:rsidP="001F04EE" w14:paraId="52F785C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465</w:t>
      </w:r>
      <w:r w:rsidRPr="002B4A69">
        <w:rPr>
          <w:rStyle w:val="HideTWBExt"/>
          <w:b w:val="0"/>
          <w:lang w:val="en-GB"/>
        </w:rPr>
        <w:t>&lt;/NumAm&gt;</w:t>
      </w:r>
    </w:p>
    <w:p w:rsidR="001F04EE" w:rsidRPr="002B4A69" w:rsidP="001F04EE" w14:paraId="7CD50F71" w14:textId="77777777">
      <w:pPr>
        <w:pStyle w:val="NormalBold"/>
      </w:pPr>
      <w:r w:rsidRPr="002B4A69">
        <w:rPr>
          <w:rStyle w:val="HideTWBExt"/>
          <w:b w:val="0"/>
        </w:rPr>
        <w:t>&lt;RepeatBlock-By&gt;&lt;Members&gt;</w:t>
      </w:r>
      <w:r w:rsidRPr="002B4A69">
        <w:t>Alexander Bernhuber, Angelika Winzig</w:t>
      </w:r>
      <w:r w:rsidRPr="002B4A69">
        <w:rPr>
          <w:rStyle w:val="HideTWBExt"/>
          <w:b w:val="0"/>
        </w:rPr>
        <w:t>&lt;/Members&gt;</w:t>
      </w:r>
    </w:p>
    <w:p w:rsidR="001F04EE" w:rsidRPr="002B4A69" w:rsidP="001F04EE" w14:paraId="14BE5990" w14:textId="77777777">
      <w:r w:rsidRPr="002B4A69">
        <w:rPr>
          <w:rStyle w:val="HideTWBExt"/>
        </w:rPr>
        <w:t>&lt;/RepeatBlock-By&gt;</w:t>
      </w:r>
    </w:p>
    <w:p w:rsidR="001F04EE" w:rsidRPr="002B4A69" w:rsidP="001F04EE" w14:paraId="657EB85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9739376"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55662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1ED013D" w14:textId="77777777">
            <w:pPr>
              <w:keepNext/>
            </w:pPr>
          </w:p>
        </w:tc>
      </w:tr>
      <w:tr w14:paraId="4F5AB0D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3D2D67" w14:textId="77777777">
            <w:pPr>
              <w:pStyle w:val="ColumnHeading"/>
              <w:keepNext/>
              <w:rPr>
                <w:lang w:val="en-GB"/>
              </w:rPr>
            </w:pPr>
            <w:r w:rsidRPr="002B4A69">
              <w:rPr>
                <w:lang w:val="en-GB"/>
              </w:rPr>
              <w:t>Text proposed by the Commission</w:t>
            </w:r>
          </w:p>
        </w:tc>
        <w:tc>
          <w:tcPr>
            <w:tcW w:w="4876" w:type="dxa"/>
          </w:tcPr>
          <w:p w:rsidR="001F04EE" w:rsidRPr="002B4A69" w:rsidP="00723F81" w14:paraId="3D03A195" w14:textId="77777777">
            <w:pPr>
              <w:pStyle w:val="ColumnHeading"/>
              <w:keepNext/>
              <w:rPr>
                <w:lang w:val="en-GB"/>
              </w:rPr>
            </w:pPr>
            <w:r w:rsidRPr="002B4A69">
              <w:rPr>
                <w:lang w:val="en-GB"/>
              </w:rPr>
              <w:t>Amendment</w:t>
            </w:r>
          </w:p>
        </w:tc>
      </w:tr>
      <w:tr w14:paraId="442CC24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53DF3AD" w14:textId="77777777">
            <w:pPr>
              <w:pStyle w:val="Normal6"/>
              <w:rPr>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w:t>
            </w:r>
            <w:r w:rsidRPr="002B4A69">
              <w:rPr>
                <w:b/>
                <w:i/>
                <w:lang w:val="en-GB"/>
              </w:rPr>
              <w:t>conditional</w:t>
            </w:r>
            <w:r w:rsidRPr="002B4A69">
              <w:rPr>
                <w:lang w:val="en-GB"/>
              </w:rPr>
              <w:t xml:space="preserve">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w:t>
            </w:r>
            <w:r w:rsidRPr="002B4A69">
              <w:rPr>
                <w:b/>
                <w:i/>
                <w:lang w:val="en-GB"/>
              </w:rPr>
              <w:t xml:space="preserve">In line with this Directive introducing investment conditionality rules for free allocation in </w:t>
            </w:r>
            <w:r w:rsidRPr="002B4A69">
              <w:rPr>
                <w:b/>
                <w:i/>
                <w:lang w:val="en-GB"/>
              </w:rPr>
              <w:t>the EU ETS from 2031 onwards, those conditionality rules should apply from 2031 onwards also for free allocation to installations to which the CBAM factor is applied.</w:t>
            </w:r>
          </w:p>
        </w:tc>
        <w:tc>
          <w:tcPr>
            <w:tcW w:w="4876" w:type="dxa"/>
          </w:tcPr>
          <w:p w:rsidR="001F04EE" w:rsidRPr="002B4A69" w:rsidP="00723F81" w14:paraId="14BA2511" w14:textId="77777777">
            <w:pPr>
              <w:pStyle w:val="Normal6"/>
              <w:rPr>
                <w:szCs w:val="24"/>
                <w:lang w:val="en-GB"/>
              </w:rPr>
            </w:pPr>
            <w:r w:rsidRPr="002B4A69">
              <w:rPr>
                <w:lang w:val="en-GB"/>
              </w:rPr>
              <w:t>(58)</w:t>
            </w:r>
            <w:r w:rsidRPr="002B4A69">
              <w:rPr>
                <w:lang w:val="en-GB"/>
              </w:rPr>
              <w:tab/>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w:t>
            </w:r>
            <w:r w:rsidRPr="002B4A69">
              <w:rPr>
                <w:b/>
                <w:i/>
                <w:lang w:val="en-GB"/>
              </w:rPr>
              <w:t>, unless an assessment by the Commission establishes that the carbon border adjustment mechanism does not provide equivalent protection against the risk of carbon leakage for a given sector or subsector, including as regards exports to third countries, in which case free allocation for that sector or subsector should continue until the end of 2040 at the latest</w:t>
            </w:r>
            <w:r w:rsidRPr="002B4A69">
              <w:rPr>
                <w:lang w:val="en-GB"/>
              </w:rPr>
              <w:t xml:space="preserve">. In view of ensuring an achievable phase-in of CBAM factor in free allocation to CBAM goods that will be newly included as a result of future </w:t>
            </w:r>
            <w:r w:rsidRPr="002B4A69">
              <w:rPr>
                <w:lang w:val="en-GB"/>
              </w:rPr>
              <w:t>revisions of Regulation (EU) 2021/1119, it is appropriate to provide for specific phase-out rates for those new CBAM goods, applying as of the five-year period for free allocation that starts after their inclusion in the scope of Annex I to that Regulation.</w:t>
            </w:r>
          </w:p>
        </w:tc>
      </w:tr>
    </w:tbl>
    <w:p w:rsidR="001F04EE" w:rsidRPr="002B4A69" w:rsidP="001F04EE" w14:paraId="042549F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592BF4D"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09C1C684" w14:textId="77777777">
      <w:pPr>
        <w:pStyle w:val="Normal12Italic"/>
        <w:rPr>
          <w:noProof w:val="0"/>
          <w:lang w:val="en-GB"/>
        </w:rPr>
      </w:pPr>
      <w:r w:rsidRPr="002B4A69">
        <w:rPr>
          <w:noProof w:val="0"/>
          <w:lang w:val="en-GB"/>
        </w:rPr>
        <w:t>Consequential amendment to the amendments on Article 10a(1a) and on the investment conditionality.</w:t>
      </w:r>
    </w:p>
    <w:p w:rsidR="001F04EE" w:rsidRPr="002B4A69" w:rsidP="001F04EE" w14:paraId="69E96BC0" w14:textId="77777777">
      <w:r w:rsidRPr="002B4A69">
        <w:rPr>
          <w:rStyle w:val="HideTWBExt"/>
        </w:rPr>
        <w:t>&lt;/Amend&gt;</w:t>
      </w:r>
    </w:p>
    <w:p w:rsidR="001F04EE" w:rsidRPr="002B4A69" w:rsidP="001F04EE" w14:paraId="26506289"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466</w:t>
      </w:r>
      <w:r w:rsidRPr="002B4A69">
        <w:rPr>
          <w:rStyle w:val="HideTWBExt"/>
          <w:b w:val="0"/>
          <w:lang w:val="en-GB"/>
        </w:rPr>
        <w:t>&lt;/NumAm&gt;</w:t>
      </w:r>
    </w:p>
    <w:p w:rsidR="001F04EE" w:rsidRPr="002B4A69" w:rsidP="001F04EE" w14:paraId="74E0E9EC" w14:textId="77777777">
      <w:pPr>
        <w:pStyle w:val="NormalBold"/>
      </w:pPr>
      <w:r w:rsidRPr="002B4A69">
        <w:rPr>
          <w:rStyle w:val="HideTWBExt"/>
          <w:b w:val="0"/>
        </w:rPr>
        <w:t>&lt;RepeatBlock-By&gt;&lt;Members&gt;</w:t>
      </w:r>
      <w:r w:rsidRPr="002B4A69">
        <w:t>Ondřej Knotek, Jana Nagyová, Antonín Staněk, Viktória Ferenc</w:t>
      </w:r>
      <w:r w:rsidRPr="002B4A69">
        <w:rPr>
          <w:rStyle w:val="HideTWBExt"/>
          <w:b w:val="0"/>
        </w:rPr>
        <w:t>&lt;/Members&gt;</w:t>
      </w:r>
    </w:p>
    <w:p w:rsidR="001F04EE" w:rsidRPr="002B4A69" w:rsidP="001F04EE" w14:paraId="737AFFDD" w14:textId="77777777">
      <w:r w:rsidRPr="002B4A69">
        <w:rPr>
          <w:rStyle w:val="HideTWBExt"/>
        </w:rPr>
        <w:t>&lt;/RepeatBlock-By&gt;</w:t>
      </w:r>
    </w:p>
    <w:p w:rsidR="001F04EE" w:rsidRPr="002B4A69" w:rsidP="001F04EE" w14:paraId="50B6A850"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A63D59D" w14:textId="77777777">
      <w:pPr>
        <w:pStyle w:val="NormalBold"/>
      </w:pPr>
      <w:r w:rsidRPr="002B4A69">
        <w:rPr>
          <w:rStyle w:val="HideTWBExt"/>
          <w:b w:val="0"/>
        </w:rPr>
        <w:t>&lt;Article&gt;</w:t>
      </w:r>
      <w:r w:rsidRPr="002B4A69">
        <w:t>Recital 58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0CD0C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306A5A1" w14:textId="77777777">
            <w:pPr>
              <w:keepNext/>
            </w:pPr>
          </w:p>
        </w:tc>
      </w:tr>
      <w:tr w14:paraId="69FC8C7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3B334F9" w14:textId="77777777">
            <w:pPr>
              <w:pStyle w:val="ColumnHeading"/>
              <w:keepNext/>
              <w:rPr>
                <w:lang w:val="en-GB"/>
              </w:rPr>
            </w:pPr>
            <w:r w:rsidRPr="002B4A69">
              <w:rPr>
                <w:lang w:val="en-GB"/>
              </w:rPr>
              <w:t>Text proposed by the Commission</w:t>
            </w:r>
          </w:p>
        </w:tc>
        <w:tc>
          <w:tcPr>
            <w:tcW w:w="4876" w:type="dxa"/>
          </w:tcPr>
          <w:p w:rsidR="001F04EE" w:rsidRPr="002B4A69" w:rsidP="00723F81" w14:paraId="0D03E889" w14:textId="77777777">
            <w:pPr>
              <w:pStyle w:val="ColumnHeading"/>
              <w:keepNext/>
              <w:rPr>
                <w:lang w:val="en-GB"/>
              </w:rPr>
            </w:pPr>
            <w:r w:rsidRPr="002B4A69">
              <w:rPr>
                <w:lang w:val="en-GB"/>
              </w:rPr>
              <w:t>Amendment</w:t>
            </w:r>
          </w:p>
        </w:tc>
      </w:tr>
      <w:tr w14:paraId="653C8CC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8A569A7" w14:textId="77777777">
            <w:pPr>
              <w:pStyle w:val="Normal6"/>
              <w:rPr>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w:t>
            </w:r>
            <w:r w:rsidRPr="002B4A69">
              <w:rPr>
                <w:b/>
                <w:i/>
                <w:lang w:val="en-GB"/>
              </w:rPr>
              <w:t>2037</w:t>
            </w:r>
            <w:r w:rsidRPr="002B4A69">
              <w:rPr>
                <w:lang w:val="en-GB"/>
              </w:rPr>
              <w:t xml:space="preserve">. In view of ensuring an achievable phase-in of CBAM factor in free allocation to CBAM goods that will be newly included as a result of future revisions of Regulation (EU) 2021/1119, it is appropriate to provide for specific phase-out rates for </w:t>
            </w:r>
            <w:r w:rsidRPr="002B4A69">
              <w:rPr>
                <w:lang w:val="en-GB"/>
              </w:rPr>
              <w:t xml:space="preserve">those new CBAM goods, applying as of the five-year period for free allocation that starts after their inclusion in the scope of Annex I to that Regulation. </w:t>
            </w:r>
            <w:r w:rsidRPr="002B4A69">
              <w:rPr>
                <w:b/>
                <w:i/>
                <w:lang w:val="en-GB"/>
              </w:rPr>
              <w:t>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1F04EE" w:rsidRPr="002B4A69" w:rsidP="00723F81" w14:paraId="1CD2FCE5" w14:textId="77777777">
            <w:pPr>
              <w:pStyle w:val="Normal6"/>
              <w:rPr>
                <w:szCs w:val="24"/>
                <w:lang w:val="en-GB"/>
              </w:rPr>
            </w:pPr>
            <w:r w:rsidRPr="002B4A69">
              <w:rPr>
                <w:lang w:val="en-GB"/>
              </w:rPr>
              <w:t>(58)</w:t>
            </w:r>
            <w:r w:rsidRPr="002B4A69">
              <w:rPr>
                <w:lang w:val="en-GB"/>
              </w:rPr>
              <w:tab/>
              <w:t xml:space="preserve">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w:t>
            </w:r>
            <w:r w:rsidRPr="002B4A69">
              <w:rPr>
                <w:b/>
                <w:i/>
                <w:lang w:val="en-GB"/>
              </w:rPr>
              <w:t>at the earliest 2039. This decision should be subject to an impact assessment to be conducted by the Commission covering all relevant technological developments and financial costs</w:t>
            </w:r>
            <w:r w:rsidRPr="002B4A69">
              <w:rPr>
                <w:lang w:val="en-GB"/>
              </w:rPr>
              <w:t xml:space="preserve">. In view of ensuring an achievable phase-in of CBAM factor in </w:t>
            </w:r>
            <w:r w:rsidRPr="002B4A69">
              <w:rPr>
                <w:lang w:val="en-GB"/>
              </w:rPr>
              <w:t>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w:t>
            </w:r>
          </w:p>
        </w:tc>
      </w:tr>
    </w:tbl>
    <w:p w:rsidR="001F04EE" w:rsidRPr="002B4A69" w:rsidP="001F04EE" w14:paraId="5EF1488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977DFD2" w14:textId="77777777">
      <w:r w:rsidRPr="002B4A69">
        <w:rPr>
          <w:rStyle w:val="HideTWBExt"/>
        </w:rPr>
        <w:t>&lt;/Amend&gt;</w:t>
      </w:r>
    </w:p>
    <w:p w:rsidR="001F04EE" w:rsidRPr="002B4A69" w:rsidP="001F04EE" w14:paraId="284F421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467</w:t>
      </w:r>
      <w:r w:rsidRPr="002B4A69">
        <w:rPr>
          <w:rStyle w:val="HideTWBExt"/>
          <w:b w:val="0"/>
          <w:lang w:val="en-GB"/>
        </w:rPr>
        <w:t>&lt;/NumAm&gt;</w:t>
      </w:r>
    </w:p>
    <w:p w:rsidR="001F04EE" w:rsidRPr="002B4A69" w:rsidP="001F04EE" w14:paraId="03A7259B" w14:textId="77777777">
      <w:pPr>
        <w:pStyle w:val="NormalBold"/>
      </w:pPr>
      <w:r w:rsidRPr="002B4A69">
        <w:rPr>
          <w:rStyle w:val="HideTWBExt"/>
          <w:b w:val="0"/>
        </w:rPr>
        <w:t>&lt;RepeatBlock-By&gt;&lt;Members&gt;</w:t>
      </w:r>
      <w:r w:rsidRPr="002B4A69">
        <w:t>Andrea Wechsler, Norbert Herhammer, Verena Mertens, Sabine Verheyen, Marie-Sophie Christ, Eva Maydell, Christian Ehler, Angelika Niebler, Inese Vaidere</w:t>
      </w:r>
      <w:r w:rsidRPr="002B4A69">
        <w:rPr>
          <w:rStyle w:val="HideTWBExt"/>
          <w:b w:val="0"/>
        </w:rPr>
        <w:t>&lt;/Members&gt;</w:t>
      </w:r>
    </w:p>
    <w:p w:rsidR="001F04EE" w:rsidRPr="002B4A69" w:rsidP="001F04EE" w14:paraId="3E5A5618" w14:textId="77777777">
      <w:r w:rsidRPr="002B4A69">
        <w:rPr>
          <w:rStyle w:val="HideTWBExt"/>
        </w:rPr>
        <w:t>&lt;/RepeatBlock-By&gt;</w:t>
      </w:r>
    </w:p>
    <w:p w:rsidR="001F04EE" w:rsidRPr="002B4A69" w:rsidP="001F04EE" w14:paraId="2AA5A5B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FD26260" w14:textId="77777777">
      <w:pPr>
        <w:pStyle w:val="NormalBold"/>
      </w:pPr>
      <w:r w:rsidRPr="002B4A69">
        <w:rPr>
          <w:rStyle w:val="HideTWBExt"/>
          <w:b w:val="0"/>
        </w:rPr>
        <w:t>&lt;Article&gt;</w:t>
      </w:r>
      <w:r w:rsidRPr="002B4A69">
        <w:t>Recital 58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FCF8F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514C602" w14:textId="77777777">
            <w:pPr>
              <w:keepNext/>
            </w:pPr>
          </w:p>
        </w:tc>
      </w:tr>
      <w:tr w14:paraId="6D055F8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BE8FFF1" w14:textId="77777777">
            <w:pPr>
              <w:pStyle w:val="ColumnHeading"/>
              <w:keepNext/>
              <w:rPr>
                <w:lang w:val="en-GB"/>
              </w:rPr>
            </w:pPr>
            <w:r w:rsidRPr="002B4A69">
              <w:rPr>
                <w:lang w:val="en-GB"/>
              </w:rPr>
              <w:t>Text proposed by the Commission</w:t>
            </w:r>
          </w:p>
        </w:tc>
        <w:tc>
          <w:tcPr>
            <w:tcW w:w="4876" w:type="dxa"/>
          </w:tcPr>
          <w:p w:rsidR="001F04EE" w:rsidRPr="002B4A69" w:rsidP="00723F81" w14:paraId="54AF881B" w14:textId="77777777">
            <w:pPr>
              <w:pStyle w:val="ColumnHeading"/>
              <w:keepNext/>
              <w:rPr>
                <w:lang w:val="en-GB"/>
              </w:rPr>
            </w:pPr>
            <w:r w:rsidRPr="002B4A69">
              <w:rPr>
                <w:lang w:val="en-GB"/>
              </w:rPr>
              <w:t>Amendment</w:t>
            </w:r>
          </w:p>
        </w:tc>
      </w:tr>
      <w:tr w14:paraId="7805302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22FAC12" w14:textId="77777777">
            <w:pPr>
              <w:pStyle w:val="Normal6"/>
              <w:rPr>
                <w:lang w:val="en-GB"/>
              </w:rPr>
            </w:pPr>
          </w:p>
        </w:tc>
        <w:tc>
          <w:tcPr>
            <w:tcW w:w="4876" w:type="dxa"/>
          </w:tcPr>
          <w:p w:rsidR="001F04EE" w:rsidRPr="002B4A69" w:rsidP="00723F81" w14:paraId="79E8EE26" w14:textId="77777777">
            <w:pPr>
              <w:pStyle w:val="Normal6"/>
              <w:rPr>
                <w:szCs w:val="24"/>
                <w:lang w:val="en-GB"/>
              </w:rPr>
            </w:pPr>
            <w:r w:rsidRPr="002B4A69">
              <w:rPr>
                <w:b/>
                <w:i/>
                <w:lang w:val="en-GB"/>
              </w:rPr>
              <w:t>(58a)</w:t>
            </w:r>
            <w:r w:rsidRPr="002B4A69">
              <w:rPr>
                <w:b/>
                <w:i/>
                <w:lang w:val="en-GB"/>
              </w:rPr>
              <w:tab/>
              <w:t xml:space="preserve">Since the CBAM established by Regulation (EU) 2023/956 and the Temporary Decarbonisation Fund are recently introduced and untested instruments, it is necessary to monitor, on a sector-by-sector basis, whether they provide adequate protection against the risk of carbon leakage as free allocation to CBAM sectors is phased out. To that end, the Commission should regularly assess defined indicators capturing the relocation of production capacity outside the Union, significant reductions in Union production, increases in the market share held by imports from third countries, and a deterioration in the competitiveness of Union production exported to such third countries. Since a sector may already be experiencing such developments for reasons unrelated to the Union emissions trading system, in particular while it still benefits from a CBAM factor of 100%, those indicators should capture only deterioration that </w:t>
            </w:r>
            <w:r w:rsidRPr="002B4A69">
              <w:rPr>
                <w:b/>
                <w:i/>
                <w:lang w:val="en-GB"/>
              </w:rPr>
              <w:t>exceeds the trend already observed during that reference period, so that the assessment reflects the effect of the phase-out of free allocation rather than pre-existing structural trends. Where the assessment identifies, for a given sector or subsector, that those instruments do not provide sufficient protection against a deterioration, the phase-out of free allocation for that sector or subsector should be halted and, where the situation persists, partially reversed, until the situation improves.</w:t>
            </w:r>
          </w:p>
        </w:tc>
      </w:tr>
    </w:tbl>
    <w:p w:rsidR="001F04EE" w:rsidRPr="002B4A69" w:rsidP="001F04EE" w14:paraId="7A160F6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B58DEC5"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5B670002" w14:textId="77777777">
      <w:pPr>
        <w:pStyle w:val="Normal12Italic"/>
        <w:rPr>
          <w:noProof w:val="0"/>
          <w:lang w:val="en-GB"/>
        </w:rPr>
      </w:pPr>
      <w:r w:rsidRPr="002B4A69">
        <w:rPr>
          <w:noProof w:val="0"/>
          <w:lang w:val="en-GB"/>
        </w:rPr>
        <w:t xml:space="preserve">The amendment introduces a sector-specific and evidence-based review of the effectiveness of CBAM as free allocation is gradually phased out. Since CBAM and the related transitional instruments have not yet demonstrated their effectiveness across all sectors, their impact on carbon leakage should be monitored against objective indicators covering investment relocation, Union production, import penetration and export competitiveness.Comparing developments with pre-existing trends ensures that the assessment captures deterioration associated with the phase-out of free allocation rather than structural market developments unrelated to the EU ETS. Where the assessment demonstrates that CBAM does not provide sufficient protection against carbon leakage, the further reduction of free allocation should be </w:t>
      </w:r>
      <w:r w:rsidRPr="002B4A69">
        <w:rPr>
          <w:noProof w:val="0"/>
          <w:lang w:val="en-GB"/>
        </w:rPr>
        <w:t>temporarily suspended</w:t>
      </w:r>
      <w:r w:rsidRPr="002B4A69">
        <w:rPr>
          <w:noProof w:val="0"/>
          <w:lang w:val="en-GB"/>
        </w:rPr>
        <w:t xml:space="preserve"> and, where the deterioration persists, partially reversed. This provides an evidence-based safeguard for industrial competitiveness while ensuring that any intervention remains targeted and proportionate.</w:t>
      </w:r>
    </w:p>
    <w:p w:rsidR="001F04EE" w:rsidRPr="002B4A69" w:rsidP="001F04EE" w14:paraId="197841C4" w14:textId="77777777">
      <w:r w:rsidRPr="002B4A69">
        <w:rPr>
          <w:rStyle w:val="HideTWBExt"/>
        </w:rPr>
        <w:t>&lt;/Amend&gt;</w:t>
      </w:r>
    </w:p>
    <w:p w:rsidR="001F04EE" w:rsidRPr="002B4A69" w:rsidP="001F04EE" w14:paraId="260F021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468</w:t>
      </w:r>
      <w:r w:rsidRPr="002B4A69">
        <w:rPr>
          <w:rStyle w:val="HideTWBExt"/>
          <w:b w:val="0"/>
          <w:lang w:val="en-GB"/>
        </w:rPr>
        <w:t>&lt;/NumAm&gt;</w:t>
      </w:r>
    </w:p>
    <w:p w:rsidR="001F04EE" w:rsidRPr="002B4A69" w:rsidP="001F04EE" w14:paraId="28CEE247" w14:textId="77777777">
      <w:pPr>
        <w:pStyle w:val="NormalBold"/>
      </w:pPr>
      <w:r w:rsidRPr="002B4A69">
        <w:rPr>
          <w:rStyle w:val="HideTWBExt"/>
          <w:b w:val="0"/>
        </w:rPr>
        <w:t>&lt;RepeatBlock-By&gt;&lt;Members&gt;</w:t>
      </w:r>
      <w:r w:rsidRPr="002B4A69">
        <w:t>Michalis Hadjipantela</w:t>
      </w:r>
      <w:r w:rsidRPr="002B4A69">
        <w:rPr>
          <w:rStyle w:val="HideTWBExt"/>
          <w:b w:val="0"/>
        </w:rPr>
        <w:t>&lt;/Members&gt;</w:t>
      </w:r>
    </w:p>
    <w:p w:rsidR="001F04EE" w:rsidRPr="002B4A69" w:rsidP="001F04EE" w14:paraId="23CB75B1" w14:textId="77777777">
      <w:r w:rsidRPr="002B4A69">
        <w:rPr>
          <w:rStyle w:val="HideTWBExt"/>
        </w:rPr>
        <w:t>&lt;/RepeatBlock-By&gt;</w:t>
      </w:r>
    </w:p>
    <w:p w:rsidR="001F04EE" w:rsidRPr="002B4A69" w:rsidP="001F04EE" w14:paraId="4F6ECE1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8E5D499" w14:textId="77777777">
      <w:pPr>
        <w:pStyle w:val="NormalBold"/>
      </w:pPr>
      <w:r w:rsidRPr="002B4A69">
        <w:rPr>
          <w:rStyle w:val="HideTWBExt"/>
          <w:b w:val="0"/>
        </w:rPr>
        <w:t>&lt;Article&gt;</w:t>
      </w:r>
      <w:r w:rsidRPr="002B4A69">
        <w:t>Recital 58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302DC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419D5E9" w14:textId="77777777">
            <w:pPr>
              <w:keepNext/>
            </w:pPr>
          </w:p>
        </w:tc>
      </w:tr>
      <w:tr w14:paraId="0DB47D6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959E95E" w14:textId="77777777">
            <w:pPr>
              <w:pStyle w:val="ColumnHeading"/>
              <w:keepNext/>
              <w:rPr>
                <w:lang w:val="en-GB"/>
              </w:rPr>
            </w:pPr>
            <w:r w:rsidRPr="002B4A69">
              <w:rPr>
                <w:lang w:val="en-GB"/>
              </w:rPr>
              <w:t>Text proposed by the Commission</w:t>
            </w:r>
          </w:p>
        </w:tc>
        <w:tc>
          <w:tcPr>
            <w:tcW w:w="4876" w:type="dxa"/>
          </w:tcPr>
          <w:p w:rsidR="001F04EE" w:rsidRPr="002B4A69" w:rsidP="00723F81" w14:paraId="295A712C" w14:textId="77777777">
            <w:pPr>
              <w:pStyle w:val="ColumnHeading"/>
              <w:keepNext/>
              <w:rPr>
                <w:lang w:val="en-GB"/>
              </w:rPr>
            </w:pPr>
            <w:r w:rsidRPr="002B4A69">
              <w:rPr>
                <w:lang w:val="en-GB"/>
              </w:rPr>
              <w:t>Amendment</w:t>
            </w:r>
          </w:p>
        </w:tc>
      </w:tr>
      <w:tr w14:paraId="4B0799D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03B98C8" w14:textId="77777777">
            <w:pPr>
              <w:pStyle w:val="Normal6"/>
              <w:rPr>
                <w:lang w:val="en-GB"/>
              </w:rPr>
            </w:pPr>
          </w:p>
        </w:tc>
        <w:tc>
          <w:tcPr>
            <w:tcW w:w="4876" w:type="dxa"/>
          </w:tcPr>
          <w:p w:rsidR="001F04EE" w:rsidRPr="002B4A69" w:rsidP="00723F81" w14:paraId="69610B9E" w14:textId="77777777">
            <w:pPr>
              <w:pStyle w:val="Normal6"/>
              <w:rPr>
                <w:szCs w:val="24"/>
                <w:lang w:val="en-GB"/>
              </w:rPr>
            </w:pPr>
            <w:r w:rsidRPr="002B4A69">
              <w:rPr>
                <w:b/>
                <w:i/>
                <w:lang w:val="en-GB"/>
              </w:rPr>
              <w:t>(58a)</w:t>
            </w:r>
            <w:r w:rsidRPr="002B4A69">
              <w:rPr>
                <w:b/>
                <w:i/>
                <w:lang w:val="en-GB"/>
              </w:rPr>
              <w:tab/>
              <w:t xml:space="preserve">The interaction between free allocation and the carbon border adjustment mechanism should ensure comparable effective carbon-cost exposure for comparable production placed on the Union market. In particular, the specific circumstances of energy-intensive sectors covered by </w:t>
            </w:r>
            <w:r w:rsidRPr="002B4A69">
              <w:rPr>
                <w:b/>
                <w:i/>
                <w:lang w:val="en-GB"/>
              </w:rPr>
              <w:t xml:space="preserve">Regulation (EU) 2023/956, including their exposure to direct and indirect carbon costs, electricity prices and international competition, should be duly </w:t>
            </w:r>
            <w:r w:rsidRPr="002B4A69">
              <w:rPr>
                <w:b/>
                <w:i/>
                <w:lang w:val="en-GB"/>
              </w:rPr>
              <w:t>taken into account</w:t>
            </w:r>
            <w:r w:rsidRPr="002B4A69">
              <w:rPr>
                <w:b/>
                <w:i/>
                <w:lang w:val="en-GB"/>
              </w:rPr>
              <w:t xml:space="preserve"> </w:t>
            </w:r>
            <w:r w:rsidRPr="002B4A69">
              <w:rPr>
                <w:b/>
                <w:i/>
                <w:lang w:val="en-GB"/>
              </w:rPr>
              <w:t>in order to</w:t>
            </w:r>
            <w:r w:rsidRPr="002B4A69">
              <w:rPr>
                <w:b/>
                <w:i/>
                <w:lang w:val="en-GB"/>
              </w:rPr>
              <w:t xml:space="preserve"> prevent carbon and investment leakage. This requires alignment of the applicable free-allocation trajectory, benchmarks and legally relevant conditionality rules, without extending the Invest in EU decarbonisation plan to importers or third-country installations. The effects of other ETS flexibilities and historical allowance holdings should be monitored. Independent, non-integrated cement manufacturers, including small and medium-sized enterprises, should have access to support for verified direct and value-chain emissions reductions. These measures should preserve the Union’s climate objectives and avoid double counting and cumulative overcompensation, while also addressing the risk of carbon leakage and loss of international competitiveness for Union producers exporting goods covered by Regulation (EU) 2023/956 to third-country markets.</w:t>
            </w:r>
          </w:p>
        </w:tc>
      </w:tr>
    </w:tbl>
    <w:p w:rsidR="001F04EE" w:rsidRPr="002B4A69" w:rsidP="001F04EE" w14:paraId="7DA6C1F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16B5B20" w14:textId="77777777">
      <w:r w:rsidRPr="002B4A69">
        <w:rPr>
          <w:rStyle w:val="HideTWBExt"/>
        </w:rPr>
        <w:t>&lt;/Amend&gt;</w:t>
      </w:r>
    </w:p>
    <w:p w:rsidR="001F04EE" w:rsidRPr="002B4A69" w:rsidP="001F04EE" w14:paraId="5ED3E59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469</w:t>
      </w:r>
      <w:r w:rsidRPr="002B4A69">
        <w:rPr>
          <w:rStyle w:val="HideTWBExt"/>
          <w:b w:val="0"/>
          <w:lang w:val="en-GB"/>
        </w:rPr>
        <w:t>&lt;/NumAm&gt;</w:t>
      </w:r>
    </w:p>
    <w:p w:rsidR="001F04EE" w:rsidRPr="002B4A69" w:rsidP="001F04EE" w14:paraId="021BD00A" w14:textId="77777777">
      <w:pPr>
        <w:pStyle w:val="NormalBold"/>
      </w:pPr>
      <w:r w:rsidRPr="002B4A69">
        <w:rPr>
          <w:rStyle w:val="HideTWBExt"/>
          <w:b w:val="0"/>
        </w:rPr>
        <w:t>&lt;RepeatBlock-By&gt;&lt;Members&gt;</w:t>
      </w:r>
      <w:r w:rsidRPr="002B4A69">
        <w:t>Zala Černilec Tomašič, Milan Zver, Romana Tomc, Matej Tonin</w:t>
      </w:r>
      <w:r w:rsidRPr="002B4A69">
        <w:rPr>
          <w:rStyle w:val="HideTWBExt"/>
          <w:b w:val="0"/>
        </w:rPr>
        <w:t>&lt;/Members&gt;</w:t>
      </w:r>
    </w:p>
    <w:p w:rsidR="001F04EE" w:rsidRPr="002B4A69" w:rsidP="001F04EE" w14:paraId="0008BE9E" w14:textId="77777777">
      <w:r w:rsidRPr="002B4A69">
        <w:rPr>
          <w:rStyle w:val="HideTWBExt"/>
        </w:rPr>
        <w:t>&lt;/RepeatBlock-By&gt;</w:t>
      </w:r>
    </w:p>
    <w:p w:rsidR="001F04EE" w:rsidRPr="002B4A69" w:rsidP="001F04EE" w14:paraId="6A85629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A24AF6B" w14:textId="77777777">
      <w:pPr>
        <w:pStyle w:val="NormalBold"/>
      </w:pPr>
      <w:r w:rsidRPr="002B4A69">
        <w:rPr>
          <w:rStyle w:val="HideTWBExt"/>
          <w:b w:val="0"/>
        </w:rPr>
        <w:t>&lt;Article&gt;</w:t>
      </w:r>
      <w:r w:rsidRPr="002B4A69">
        <w:t>Recital 58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F0FE4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C6A5FFC" w14:textId="77777777">
            <w:pPr>
              <w:keepNext/>
            </w:pPr>
          </w:p>
        </w:tc>
      </w:tr>
      <w:tr w14:paraId="3826A94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358627B" w14:textId="77777777">
            <w:pPr>
              <w:pStyle w:val="ColumnHeading"/>
              <w:keepNext/>
              <w:rPr>
                <w:lang w:val="en-GB"/>
              </w:rPr>
            </w:pPr>
            <w:r w:rsidRPr="002B4A69">
              <w:rPr>
                <w:lang w:val="en-GB"/>
              </w:rPr>
              <w:t>Text proposed by the Commission</w:t>
            </w:r>
          </w:p>
        </w:tc>
        <w:tc>
          <w:tcPr>
            <w:tcW w:w="4876" w:type="dxa"/>
          </w:tcPr>
          <w:p w:rsidR="001F04EE" w:rsidRPr="002B4A69" w:rsidP="00723F81" w14:paraId="10C6DD5B" w14:textId="77777777">
            <w:pPr>
              <w:pStyle w:val="ColumnHeading"/>
              <w:keepNext/>
              <w:rPr>
                <w:lang w:val="en-GB"/>
              </w:rPr>
            </w:pPr>
            <w:r w:rsidRPr="002B4A69">
              <w:rPr>
                <w:lang w:val="en-GB"/>
              </w:rPr>
              <w:t>Amendment</w:t>
            </w:r>
          </w:p>
        </w:tc>
      </w:tr>
      <w:tr w14:paraId="323D1BA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E38CBA1" w14:textId="77777777">
            <w:pPr>
              <w:pStyle w:val="Normal6"/>
              <w:rPr>
                <w:lang w:val="en-GB"/>
              </w:rPr>
            </w:pPr>
          </w:p>
        </w:tc>
        <w:tc>
          <w:tcPr>
            <w:tcW w:w="4876" w:type="dxa"/>
          </w:tcPr>
          <w:p w:rsidR="001F04EE" w:rsidRPr="002B4A69" w:rsidP="00723F81" w14:paraId="23E8BA3A" w14:textId="77777777">
            <w:pPr>
              <w:pStyle w:val="Normal6"/>
              <w:rPr>
                <w:szCs w:val="24"/>
                <w:lang w:val="en-GB"/>
              </w:rPr>
            </w:pPr>
            <w:r w:rsidRPr="002B4A69">
              <w:rPr>
                <w:b/>
                <w:i/>
                <w:lang w:val="en-GB"/>
              </w:rPr>
              <w:t>(58a)</w:t>
            </w:r>
            <w:r w:rsidRPr="002B4A69">
              <w:rPr>
                <w:b/>
                <w:i/>
                <w:lang w:val="en-GB"/>
              </w:rPr>
              <w:tab/>
              <w:t xml:space="preserve">The reduction of the Union-wide quantity of allowances through the linear factor should not proceed faster than the pace at which Union industry has access to commercially available low-carbon technologies, to the necessary energy and CO₂ infrastructure and to internationally competitive energy prices, </w:t>
            </w:r>
            <w:r w:rsidRPr="002B4A69">
              <w:rPr>
                <w:b/>
                <w:i/>
                <w:lang w:val="en-GB"/>
              </w:rPr>
              <w:t>and than</w:t>
            </w:r>
            <w:r w:rsidRPr="002B4A69">
              <w:rPr>
                <w:b/>
                <w:i/>
                <w:lang w:val="en-GB"/>
              </w:rPr>
              <w:t xml:space="preserve"> the </w:t>
            </w:r>
            <w:r w:rsidRPr="002B4A69">
              <w:rPr>
                <w:b/>
                <w:i/>
                <w:lang w:val="en-GB"/>
              </w:rPr>
              <w:t>pace at which effective protection against carbon leakage is in place. Further annual reductions of the Union-wide quantity of allowances resulting from the linear factor should therefore be suspended from 2031, pending a comprehensive assessment of the conditions for competitive industrial decarbonisation that is regularly updated, and their resumption should be subject to a new decision of the European Parliament and of the Council. The suspension concerns only the further reductions of the Union-wide quantity of allowances attributable to the linear factor. It should not affect other adjustments of that quantity expressly provided for in this Directive, such as those linked to extensions of the scope of the EU ETS, the monitoring, reporting and surrender obligations of operators or the operation of the market stability reserve.</w:t>
            </w:r>
          </w:p>
        </w:tc>
      </w:tr>
    </w:tbl>
    <w:p w:rsidR="001F04EE" w:rsidRPr="002B4A69" w:rsidP="001F04EE" w14:paraId="6D5A0A8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2523CAD"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17EE80B5" w14:textId="77777777">
      <w:pPr>
        <w:pStyle w:val="Normal12Italic"/>
        <w:rPr>
          <w:noProof w:val="0"/>
          <w:lang w:val="en-GB"/>
        </w:rPr>
      </w:pPr>
      <w:r w:rsidRPr="002B4A69">
        <w:rPr>
          <w:noProof w:val="0"/>
          <w:lang w:val="en-GB"/>
        </w:rPr>
        <w:t>The recital explains the operative suspension proposed in Article 9. The pace of tightening of the cap should follow the real availability of technologies, infrastructure and competitive energy prices, not precede it.</w:t>
      </w:r>
    </w:p>
    <w:p w:rsidR="001F04EE" w:rsidRPr="002B4A69" w:rsidP="001F04EE" w14:paraId="33CC5AA6" w14:textId="77777777">
      <w:r w:rsidRPr="002B4A69">
        <w:rPr>
          <w:rStyle w:val="HideTWBExt"/>
        </w:rPr>
        <w:t>&lt;/Amend&gt;</w:t>
      </w:r>
    </w:p>
    <w:p w:rsidR="001F04EE" w:rsidRPr="002B4A69" w:rsidP="001F04EE" w14:paraId="307D06E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470</w:t>
      </w:r>
      <w:r w:rsidRPr="002B4A69">
        <w:rPr>
          <w:rStyle w:val="HideTWBExt"/>
          <w:b w:val="0"/>
          <w:lang w:val="en-GB"/>
        </w:rPr>
        <w:t>&lt;/NumAm&gt;</w:t>
      </w:r>
    </w:p>
    <w:p w:rsidR="001F04EE" w:rsidRPr="002B4A69" w:rsidP="001F04EE" w14:paraId="477D8B6D"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365ABC73" w14:textId="77777777">
      <w:r w:rsidRPr="002B4A69">
        <w:rPr>
          <w:rStyle w:val="HideTWBExt"/>
        </w:rPr>
        <w:t>&lt;/RepeatBlock-By&gt;</w:t>
      </w:r>
    </w:p>
    <w:p w:rsidR="001F04EE" w:rsidRPr="002B4A69" w:rsidP="001F04EE" w14:paraId="51FC582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8CF8C5D" w14:textId="77777777">
      <w:pPr>
        <w:pStyle w:val="NormalBold"/>
      </w:pPr>
      <w:r w:rsidRPr="002B4A69">
        <w:rPr>
          <w:rStyle w:val="HideTWBExt"/>
          <w:b w:val="0"/>
        </w:rPr>
        <w:t>&lt;Article&gt;</w:t>
      </w:r>
      <w:r w:rsidRPr="002B4A69">
        <w:t>Recital 58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091A2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D48B9B5" w14:textId="77777777">
            <w:pPr>
              <w:keepNext/>
            </w:pPr>
          </w:p>
        </w:tc>
      </w:tr>
      <w:tr w14:paraId="47A85D3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3C9233" w14:textId="77777777">
            <w:pPr>
              <w:pStyle w:val="ColumnHeading"/>
              <w:keepNext/>
              <w:rPr>
                <w:lang w:val="en-GB"/>
              </w:rPr>
            </w:pPr>
            <w:r w:rsidRPr="002B4A69">
              <w:rPr>
                <w:lang w:val="en-GB"/>
              </w:rPr>
              <w:t>Text proposed by the Commission</w:t>
            </w:r>
          </w:p>
        </w:tc>
        <w:tc>
          <w:tcPr>
            <w:tcW w:w="4876" w:type="dxa"/>
          </w:tcPr>
          <w:p w:rsidR="001F04EE" w:rsidRPr="002B4A69" w:rsidP="00723F81" w14:paraId="70C16E10" w14:textId="77777777">
            <w:pPr>
              <w:pStyle w:val="ColumnHeading"/>
              <w:keepNext/>
              <w:rPr>
                <w:lang w:val="en-GB"/>
              </w:rPr>
            </w:pPr>
            <w:r w:rsidRPr="002B4A69">
              <w:rPr>
                <w:lang w:val="en-GB"/>
              </w:rPr>
              <w:t>Amendment</w:t>
            </w:r>
          </w:p>
        </w:tc>
      </w:tr>
      <w:tr w14:paraId="6EB194D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10CD522" w14:textId="77777777">
            <w:pPr>
              <w:pStyle w:val="Normal6"/>
              <w:rPr>
                <w:lang w:val="en-GB"/>
              </w:rPr>
            </w:pPr>
          </w:p>
        </w:tc>
        <w:tc>
          <w:tcPr>
            <w:tcW w:w="4876" w:type="dxa"/>
          </w:tcPr>
          <w:p w:rsidR="001F04EE" w:rsidRPr="002B4A69" w:rsidP="00723F81" w14:paraId="04593E24" w14:textId="77777777">
            <w:pPr>
              <w:pStyle w:val="Normal6"/>
              <w:rPr>
                <w:szCs w:val="24"/>
                <w:lang w:val="en-GB"/>
              </w:rPr>
            </w:pPr>
            <w:r w:rsidRPr="002B4A69">
              <w:rPr>
                <w:b/>
                <w:i/>
                <w:lang w:val="en-GB"/>
              </w:rPr>
              <w:t>(58a)</w:t>
            </w:r>
            <w:r w:rsidRPr="002B4A69">
              <w:rPr>
                <w:b/>
                <w:i/>
                <w:lang w:val="en-GB"/>
              </w:rPr>
              <w:tab/>
              <w:t xml:space="preserve">Union production exposed to competition in third-country markets bears carbon costs arising from the application of Directive 2003/87/EC without benefiting from the protection provided by Regulation (EU) 2023/956 against imports into the Union. This could </w:t>
            </w:r>
            <w:r w:rsidRPr="002B4A69">
              <w:rPr>
                <w:b/>
                <w:i/>
                <w:lang w:val="en-GB"/>
              </w:rPr>
              <w:t xml:space="preserve">create a risk of carbon leakage where Union-produced goods compete in third-country markets with goods produced under lower or no comparable carbon costs. </w:t>
            </w:r>
            <w:r w:rsidRPr="002B4A69">
              <w:rPr>
                <w:b/>
                <w:i/>
                <w:lang w:val="en-GB"/>
              </w:rPr>
              <w:t>In order to</w:t>
            </w:r>
            <w:r w:rsidRPr="002B4A69">
              <w:rPr>
                <w:b/>
                <w:i/>
                <w:lang w:val="en-GB"/>
              </w:rPr>
              <w:t xml:space="preserve"> preserve the environmental effectiveness of Union climate action and prevent the displacement of production towards more carbon-intensive production outside the Union, the surrender obligation under Directive 2003/87/EC should be adjusted for emissions attributable to output effectively exported from the customs territory of the Union. Such adjustment should apply only to eligible exported output and should be based on the applicable product benchmarks, while ensuring appropriate monitoring, verification, traceability and safeguards against double counting and circumvention.</w:t>
            </w:r>
          </w:p>
        </w:tc>
      </w:tr>
    </w:tbl>
    <w:p w:rsidR="001F04EE" w:rsidRPr="002B4A69" w:rsidP="001F04EE" w14:paraId="2DA6D01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3891A94" w14:textId="77777777">
      <w:r w:rsidRPr="002B4A69">
        <w:rPr>
          <w:rStyle w:val="HideTWBExt"/>
        </w:rPr>
        <w:t>&lt;/Amend&gt;</w:t>
      </w:r>
    </w:p>
    <w:p w:rsidR="001F04EE" w:rsidRPr="002B4A69" w:rsidP="001F04EE" w14:paraId="39514FE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471</w:t>
      </w:r>
      <w:r w:rsidRPr="002B4A69">
        <w:rPr>
          <w:rStyle w:val="HideTWBExt"/>
          <w:b w:val="0"/>
          <w:lang w:val="en-GB"/>
        </w:rPr>
        <w:t>&lt;/NumAm&gt;</w:t>
      </w:r>
    </w:p>
    <w:p w:rsidR="001F04EE" w:rsidRPr="002B4A69" w:rsidP="001F04EE" w14:paraId="7F73177F" w14:textId="77777777">
      <w:pPr>
        <w:pStyle w:val="NormalBold"/>
      </w:pPr>
      <w:r w:rsidRPr="002B4A69">
        <w:rPr>
          <w:rStyle w:val="HideTWBExt"/>
          <w:b w:val="0"/>
        </w:rPr>
        <w:t>&lt;RepeatBlock-By&gt;&lt;Members&gt;</w:t>
      </w:r>
      <w:r w:rsidRPr="002B4A69">
        <w:t>François-Xavier Bellamy</w:t>
      </w:r>
      <w:r w:rsidRPr="002B4A69">
        <w:rPr>
          <w:rStyle w:val="HideTWBExt"/>
          <w:b w:val="0"/>
        </w:rPr>
        <w:t>&lt;/Members&gt;</w:t>
      </w:r>
    </w:p>
    <w:p w:rsidR="001F04EE" w:rsidRPr="002B4A69" w:rsidP="001F04EE" w14:paraId="7D596762" w14:textId="77777777">
      <w:r w:rsidRPr="002B4A69">
        <w:rPr>
          <w:rStyle w:val="HideTWBExt"/>
        </w:rPr>
        <w:t>&lt;/RepeatBlock-By&gt;</w:t>
      </w:r>
    </w:p>
    <w:p w:rsidR="001F04EE" w:rsidRPr="002B4A69" w:rsidP="001F04EE" w14:paraId="69E00B5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320FD39" w14:textId="77777777">
      <w:pPr>
        <w:pStyle w:val="NormalBold"/>
      </w:pPr>
      <w:r w:rsidRPr="002B4A69">
        <w:rPr>
          <w:rStyle w:val="HideTWBExt"/>
          <w:b w:val="0"/>
        </w:rPr>
        <w:t>&lt;Article&gt;</w:t>
      </w:r>
      <w:r w:rsidRPr="002B4A69">
        <w:t>Recital 58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2691C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39F5903" w14:textId="77777777">
            <w:pPr>
              <w:keepNext/>
            </w:pPr>
          </w:p>
        </w:tc>
      </w:tr>
      <w:tr w14:paraId="6B36C07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9B21510" w14:textId="77777777">
            <w:pPr>
              <w:pStyle w:val="ColumnHeading"/>
              <w:keepNext/>
              <w:rPr>
                <w:lang w:val="en-GB"/>
              </w:rPr>
            </w:pPr>
            <w:r w:rsidRPr="002B4A69">
              <w:rPr>
                <w:lang w:val="en-GB"/>
              </w:rPr>
              <w:t>Text proposed by the Commission</w:t>
            </w:r>
          </w:p>
        </w:tc>
        <w:tc>
          <w:tcPr>
            <w:tcW w:w="4876" w:type="dxa"/>
          </w:tcPr>
          <w:p w:rsidR="001F04EE" w:rsidRPr="002B4A69" w:rsidP="00723F81" w14:paraId="3FDF0E5C" w14:textId="77777777">
            <w:pPr>
              <w:pStyle w:val="ColumnHeading"/>
              <w:keepNext/>
              <w:rPr>
                <w:lang w:val="en-GB"/>
              </w:rPr>
            </w:pPr>
            <w:r w:rsidRPr="002B4A69">
              <w:rPr>
                <w:lang w:val="en-GB"/>
              </w:rPr>
              <w:t>Amendment</w:t>
            </w:r>
          </w:p>
        </w:tc>
      </w:tr>
      <w:tr w14:paraId="41D8051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E820499" w14:textId="77777777">
            <w:pPr>
              <w:pStyle w:val="Normal6"/>
              <w:rPr>
                <w:lang w:val="en-GB"/>
              </w:rPr>
            </w:pPr>
          </w:p>
        </w:tc>
        <w:tc>
          <w:tcPr>
            <w:tcW w:w="4876" w:type="dxa"/>
          </w:tcPr>
          <w:p w:rsidR="001F04EE" w:rsidRPr="002B4A69" w:rsidP="00723F81" w14:paraId="4CF72F22" w14:textId="77777777">
            <w:pPr>
              <w:pStyle w:val="Normal6"/>
              <w:rPr>
                <w:szCs w:val="24"/>
                <w:lang w:val="en-GB"/>
              </w:rPr>
            </w:pPr>
            <w:r w:rsidRPr="002B4A69">
              <w:rPr>
                <w:b/>
                <w:i/>
                <w:lang w:val="en-GB"/>
              </w:rPr>
              <w:t>(58a)</w:t>
            </w:r>
            <w:r w:rsidRPr="002B4A69">
              <w:rPr>
                <w:b/>
                <w:i/>
                <w:lang w:val="en-GB"/>
              </w:rPr>
              <w:tab/>
              <w:t>Beyond the adjustment of the CBAM factor, Union industry exposed to carbon leakage remains unprotected for the exports it makes to third-country markets, where neither free allocation nor the CBAM applies. The Commission should therefore assess, and where appropriate bring forward, the establishment of an instrument to support the export competitiveness of the sectors covered by Regulation (EU) 2023/956, including the downstream value chains affected by the phase-out of free allocation under this Directive.</w:t>
            </w:r>
          </w:p>
        </w:tc>
      </w:tr>
    </w:tbl>
    <w:p w:rsidR="001F04EE" w:rsidRPr="002B4A69" w:rsidP="001F04EE" w14:paraId="17491A9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A8E6374" w14:textId="77777777">
      <w:r w:rsidRPr="002B4A69">
        <w:rPr>
          <w:rStyle w:val="HideTWBExt"/>
        </w:rPr>
        <w:t>&lt;/Amend&gt;</w:t>
      </w:r>
    </w:p>
    <w:p w:rsidR="001F04EE" w:rsidRPr="002B4A69" w:rsidP="001F04EE" w14:paraId="60D88DE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472</w:t>
      </w:r>
      <w:r w:rsidRPr="002B4A69">
        <w:rPr>
          <w:rStyle w:val="HideTWBExt"/>
          <w:b w:val="0"/>
          <w:lang w:val="en-GB"/>
        </w:rPr>
        <w:t>&lt;/NumAm&gt;</w:t>
      </w:r>
    </w:p>
    <w:p w:rsidR="001F04EE" w:rsidRPr="002B4A69" w:rsidP="001F04EE" w14:paraId="6EC8265D" w14:textId="77777777">
      <w:pPr>
        <w:pStyle w:val="NormalBold"/>
      </w:pPr>
      <w:r w:rsidRPr="002B4A69">
        <w:rPr>
          <w:rStyle w:val="HideTWBExt"/>
          <w:b w:val="0"/>
        </w:rPr>
        <w:t>&lt;RepeatBlock-By&gt;&lt;Members&gt;</w:t>
      </w:r>
      <w:r w:rsidRPr="002B4A69">
        <w:t>Emma Wiesner, Yvan Verougstraete, Sigrid Friis, Stine Bosse, Gerben-Jan Gerbrandy, Anna Stürgkh, Katri Kulmuni, Jeannette Baljeu</w:t>
      </w:r>
      <w:r w:rsidRPr="002B4A69">
        <w:rPr>
          <w:rStyle w:val="HideTWBExt"/>
          <w:b w:val="0"/>
        </w:rPr>
        <w:t>&lt;/Members&gt;</w:t>
      </w:r>
    </w:p>
    <w:p w:rsidR="001F04EE" w:rsidRPr="002B4A69" w:rsidP="001F04EE" w14:paraId="0F74A304" w14:textId="77777777">
      <w:r w:rsidRPr="002B4A69">
        <w:rPr>
          <w:rStyle w:val="HideTWBExt"/>
        </w:rPr>
        <w:t>&lt;/RepeatBlock-By&gt;</w:t>
      </w:r>
    </w:p>
    <w:p w:rsidR="001F04EE" w:rsidRPr="002B4A69" w:rsidP="001F04EE" w14:paraId="089E933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68278C0" w14:textId="77777777">
      <w:pPr>
        <w:pStyle w:val="NormalBold"/>
      </w:pPr>
      <w:r w:rsidRPr="002B4A69">
        <w:rPr>
          <w:rStyle w:val="HideTWBExt"/>
          <w:b w:val="0"/>
        </w:rPr>
        <w:t>&lt;Article&gt;</w:t>
      </w:r>
      <w:r w:rsidRPr="002B4A69">
        <w:t>Recital 58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51A89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65F3A70" w14:textId="77777777">
            <w:pPr>
              <w:keepNext/>
            </w:pPr>
          </w:p>
        </w:tc>
      </w:tr>
      <w:tr w14:paraId="15AE6A2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DBE6546" w14:textId="77777777">
            <w:pPr>
              <w:pStyle w:val="ColumnHeading"/>
              <w:keepNext/>
              <w:rPr>
                <w:lang w:val="en-GB"/>
              </w:rPr>
            </w:pPr>
            <w:r w:rsidRPr="002B4A69">
              <w:rPr>
                <w:lang w:val="en-GB"/>
              </w:rPr>
              <w:t>Text proposed by the Commission</w:t>
            </w:r>
          </w:p>
        </w:tc>
        <w:tc>
          <w:tcPr>
            <w:tcW w:w="4876" w:type="dxa"/>
          </w:tcPr>
          <w:p w:rsidR="001F04EE" w:rsidRPr="002B4A69" w:rsidP="00723F81" w14:paraId="0C403142" w14:textId="77777777">
            <w:pPr>
              <w:pStyle w:val="ColumnHeading"/>
              <w:keepNext/>
              <w:rPr>
                <w:lang w:val="en-GB"/>
              </w:rPr>
            </w:pPr>
            <w:r w:rsidRPr="002B4A69">
              <w:rPr>
                <w:lang w:val="en-GB"/>
              </w:rPr>
              <w:t>Amendment</w:t>
            </w:r>
          </w:p>
        </w:tc>
      </w:tr>
      <w:tr w14:paraId="3753A14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F2AFDFB" w14:textId="77777777">
            <w:pPr>
              <w:pStyle w:val="Normal6"/>
              <w:rPr>
                <w:lang w:val="en-GB"/>
              </w:rPr>
            </w:pPr>
          </w:p>
        </w:tc>
        <w:tc>
          <w:tcPr>
            <w:tcW w:w="4876" w:type="dxa"/>
          </w:tcPr>
          <w:p w:rsidR="001F04EE" w:rsidRPr="002B4A69" w:rsidP="00723F81" w14:paraId="0F5E7FA5" w14:textId="77777777">
            <w:pPr>
              <w:pStyle w:val="Normal6"/>
              <w:rPr>
                <w:szCs w:val="24"/>
                <w:lang w:val="en-GB"/>
              </w:rPr>
            </w:pPr>
            <w:r w:rsidRPr="002B4A69">
              <w:rPr>
                <w:b/>
                <w:i/>
                <w:lang w:val="en-GB"/>
              </w:rPr>
              <w:t>(58a)</w:t>
            </w:r>
            <w:r w:rsidRPr="002B4A69">
              <w:rPr>
                <w:b/>
                <w:i/>
                <w:lang w:val="en-GB"/>
              </w:rPr>
              <w:tab/>
              <w:t>The CBAM protects against imports with lower carbon costs but does not address carbon costs incurred when EU producers export to markets without equivalent pricing. A WTO-compliant targeted export support mechanism should therefore be developed to address this gap while preserving the carbon price signal of the ETS. The Commission should submit a report on options for such a mechanism before 2029, accompanied where appropriate by a legislative proposal.</w:t>
            </w:r>
          </w:p>
        </w:tc>
      </w:tr>
    </w:tbl>
    <w:p w:rsidR="001F04EE" w:rsidRPr="002B4A69" w:rsidP="001F04EE" w14:paraId="1E5EED7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AC80149" w14:textId="77777777">
      <w:r w:rsidRPr="002B4A69">
        <w:rPr>
          <w:rStyle w:val="HideTWBExt"/>
        </w:rPr>
        <w:t>&lt;/Amend&gt;</w:t>
      </w:r>
    </w:p>
    <w:p w:rsidR="001F04EE" w:rsidRPr="002B4A69" w:rsidP="001F04EE" w14:paraId="787F7A1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473</w:t>
      </w:r>
      <w:r w:rsidRPr="002B4A69">
        <w:rPr>
          <w:rStyle w:val="HideTWBExt"/>
          <w:b w:val="0"/>
          <w:lang w:val="en-GB"/>
        </w:rPr>
        <w:t>&lt;/NumAm&gt;</w:t>
      </w:r>
    </w:p>
    <w:p w:rsidR="001F04EE" w:rsidRPr="002B4A69" w:rsidP="001F04EE" w14:paraId="4D7CF00C" w14:textId="77777777">
      <w:pPr>
        <w:pStyle w:val="NormalBold"/>
      </w:pPr>
      <w:r w:rsidRPr="002B4A69">
        <w:rPr>
          <w:rStyle w:val="HideTWBExt"/>
          <w:b w:val="0"/>
        </w:rPr>
        <w:t>&lt;RepeatBlock-By&gt;&lt;Members&gt;</w:t>
      </w:r>
      <w:r w:rsidRPr="002B4A69">
        <w:t>Andrea Wechsler, Norbert Herhammer, Verena Mertens, Sabine Verheyen, Marie-Sophie Christ, Christian Ehler, Angelika Niebler, Inese Vaidere</w:t>
      </w:r>
      <w:r w:rsidRPr="002B4A69">
        <w:rPr>
          <w:rStyle w:val="HideTWBExt"/>
          <w:b w:val="0"/>
        </w:rPr>
        <w:t>&lt;/Members&gt;</w:t>
      </w:r>
    </w:p>
    <w:p w:rsidR="001F04EE" w:rsidRPr="002B4A69" w:rsidP="001F04EE" w14:paraId="4D11CEB5" w14:textId="77777777">
      <w:r w:rsidRPr="002B4A69">
        <w:rPr>
          <w:rStyle w:val="HideTWBExt"/>
        </w:rPr>
        <w:t>&lt;/RepeatBlock-By&gt;</w:t>
      </w:r>
    </w:p>
    <w:p w:rsidR="001F04EE" w:rsidRPr="002B4A69" w:rsidP="001F04EE" w14:paraId="3F33C12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F8504DA" w14:textId="77777777">
      <w:pPr>
        <w:pStyle w:val="NormalBold"/>
      </w:pPr>
      <w:r w:rsidRPr="002B4A69">
        <w:rPr>
          <w:rStyle w:val="HideTWBExt"/>
          <w:b w:val="0"/>
        </w:rPr>
        <w:t>&lt;Article&gt;</w:t>
      </w:r>
      <w:r w:rsidRPr="002B4A69">
        <w:t>Recital 58 b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1E926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D17EE51" w14:textId="77777777">
            <w:pPr>
              <w:keepNext/>
            </w:pPr>
          </w:p>
        </w:tc>
      </w:tr>
      <w:tr w14:paraId="0E275A2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1E493A7" w14:textId="77777777">
            <w:pPr>
              <w:pStyle w:val="ColumnHeading"/>
              <w:keepNext/>
              <w:rPr>
                <w:lang w:val="en-GB"/>
              </w:rPr>
            </w:pPr>
            <w:r w:rsidRPr="002B4A69">
              <w:rPr>
                <w:lang w:val="en-GB"/>
              </w:rPr>
              <w:t>Text proposed by the Commission</w:t>
            </w:r>
          </w:p>
        </w:tc>
        <w:tc>
          <w:tcPr>
            <w:tcW w:w="4876" w:type="dxa"/>
          </w:tcPr>
          <w:p w:rsidR="001F04EE" w:rsidRPr="002B4A69" w:rsidP="00723F81" w14:paraId="090133A8" w14:textId="77777777">
            <w:pPr>
              <w:pStyle w:val="ColumnHeading"/>
              <w:keepNext/>
              <w:rPr>
                <w:lang w:val="en-GB"/>
              </w:rPr>
            </w:pPr>
            <w:r w:rsidRPr="002B4A69">
              <w:rPr>
                <w:lang w:val="en-GB"/>
              </w:rPr>
              <w:t>Amendment</w:t>
            </w:r>
          </w:p>
        </w:tc>
      </w:tr>
      <w:tr w14:paraId="02E60D0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6BB0EEC" w14:textId="77777777">
            <w:pPr>
              <w:pStyle w:val="Normal6"/>
              <w:rPr>
                <w:lang w:val="en-GB"/>
              </w:rPr>
            </w:pPr>
          </w:p>
        </w:tc>
        <w:tc>
          <w:tcPr>
            <w:tcW w:w="4876" w:type="dxa"/>
          </w:tcPr>
          <w:p w:rsidR="001F04EE" w:rsidRPr="002B4A69" w:rsidP="00723F81" w14:paraId="21382B69" w14:textId="77777777">
            <w:pPr>
              <w:pStyle w:val="Normal6"/>
              <w:rPr>
                <w:szCs w:val="24"/>
                <w:lang w:val="en-GB"/>
              </w:rPr>
            </w:pPr>
            <w:r w:rsidRPr="002B4A69">
              <w:rPr>
                <w:b/>
                <w:i/>
                <w:lang w:val="en-GB"/>
              </w:rPr>
              <w:t>(58b)</w:t>
            </w:r>
            <w:r w:rsidRPr="002B4A69">
              <w:rPr>
                <w:b/>
                <w:i/>
                <w:lang w:val="en-GB"/>
              </w:rPr>
              <w:tab/>
              <w:t xml:space="preserve">Article 30(5) and Article 30(6), point (a)(i), of Regulation (EU) 2023/956 require the Commission to assess whether Union goods exported to third countries without a comparable carbon price remain exposed to carbon leakage that the CBAM, being limited to imports, does not address, and, where appropriate, to propose a solution consistent with World </w:t>
            </w:r>
            <w:r w:rsidRPr="002B4A69">
              <w:rPr>
                <w:b/>
                <w:i/>
                <w:lang w:val="en-GB"/>
              </w:rPr>
              <w:t xml:space="preserve">Trade Organization law. The Temporary Decarbonisation Fund addresses this only for 2028 and 2029. This Directive gives permanent effect to that mandate by including, among other indicators related to imports, an export volume indicator and a carbon cost gap indicator specific to the share of a sector's production exported to such third countries. Any resulting increase in free allocation for that export exposure share should, </w:t>
            </w:r>
            <w:r w:rsidRPr="002B4A69">
              <w:rPr>
                <w:b/>
                <w:i/>
                <w:lang w:val="en-GB"/>
              </w:rPr>
              <w:t>at all times</w:t>
            </w:r>
            <w:r w:rsidRPr="002B4A69">
              <w:rPr>
                <w:b/>
                <w:i/>
                <w:lang w:val="en-GB"/>
              </w:rPr>
              <w:t>, be capped at the free allocation that would have been available for the corresponding production had the CBAM factor never been reduced, therefore being in line with World Trade Organization´s Agreements.</w:t>
            </w:r>
          </w:p>
        </w:tc>
      </w:tr>
    </w:tbl>
    <w:p w:rsidR="001F04EE" w:rsidRPr="002B4A69" w:rsidP="001F04EE" w14:paraId="4E8F5E2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D1BBB02"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5BE23F73" w14:textId="77777777">
      <w:pPr>
        <w:pStyle w:val="Normal12Italic"/>
        <w:rPr>
          <w:noProof w:val="0"/>
          <w:lang w:val="en-GB"/>
        </w:rPr>
      </w:pPr>
      <w:r w:rsidRPr="002B4A69">
        <w:rPr>
          <w:noProof w:val="0"/>
          <w:lang w:val="en-GB"/>
        </w:rPr>
        <w:t xml:space="preserve">The amendment provides a permanent and evidence-based safeguard for the export dimension of carbon leakage, which is not addressed by CBAM because CBAM applies to imports into the Union. It gives effect to the review mandate already set out in Regulation (EU) 2023/956 by introducing objective indicators for export exposure and the carbon cost gap, while </w:t>
      </w:r>
      <w:r w:rsidRPr="002B4A69">
        <w:rPr>
          <w:noProof w:val="0"/>
          <w:lang w:val="en-GB"/>
        </w:rPr>
        <w:t>taking into account</w:t>
      </w:r>
      <w:r w:rsidRPr="002B4A69">
        <w:rPr>
          <w:noProof w:val="0"/>
          <w:lang w:val="en-GB"/>
        </w:rPr>
        <w:t xml:space="preserve"> that the Temporary Decarbonisation Fund is limited in time. Any adjustment of free allocation is strictly limited to the export exposure share concerned and capped at the level of free allocation that would have applied in the absence of the CBAM factor. This ensures proportionality, avoids overcompensation and is designed to remain consistent with the Union’s WTO obligations.</w:t>
      </w:r>
    </w:p>
    <w:p w:rsidR="001F04EE" w:rsidRPr="002B4A69" w:rsidP="001F04EE" w14:paraId="11A90535" w14:textId="77777777">
      <w:r w:rsidRPr="002B4A69">
        <w:rPr>
          <w:rStyle w:val="HideTWBExt"/>
        </w:rPr>
        <w:t>&lt;/Amend&gt;</w:t>
      </w:r>
    </w:p>
    <w:p w:rsidR="001F04EE" w:rsidRPr="002B4A69" w:rsidP="001F04EE" w14:paraId="055A860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474</w:t>
      </w:r>
      <w:r w:rsidRPr="002B4A69">
        <w:rPr>
          <w:rStyle w:val="HideTWBExt"/>
          <w:b w:val="0"/>
          <w:lang w:val="en-GB"/>
        </w:rPr>
        <w:t>&lt;/NumAm&gt;</w:t>
      </w:r>
    </w:p>
    <w:p w:rsidR="001F04EE" w:rsidRPr="002B4A69" w:rsidP="001F04EE" w14:paraId="7CD5230B" w14:textId="77777777">
      <w:pPr>
        <w:pStyle w:val="NormalBold"/>
      </w:pPr>
      <w:r w:rsidRPr="002B4A69">
        <w:rPr>
          <w:rStyle w:val="HideTWBExt"/>
          <w:b w:val="0"/>
        </w:rPr>
        <w:t>&lt;RepeatBlock-By&gt;&lt;Members&gt;</w:t>
      </w:r>
      <w:r w:rsidRPr="002B4A69">
        <w:t>François-Xavier Bellamy</w:t>
      </w:r>
      <w:r w:rsidRPr="002B4A69">
        <w:rPr>
          <w:rStyle w:val="HideTWBExt"/>
          <w:b w:val="0"/>
        </w:rPr>
        <w:t>&lt;/Members&gt;</w:t>
      </w:r>
    </w:p>
    <w:p w:rsidR="001F04EE" w:rsidRPr="002B4A69" w:rsidP="001F04EE" w14:paraId="17AE4F0A" w14:textId="77777777">
      <w:r w:rsidRPr="002B4A69">
        <w:rPr>
          <w:rStyle w:val="HideTWBExt"/>
        </w:rPr>
        <w:t>&lt;/RepeatBlock-By&gt;</w:t>
      </w:r>
    </w:p>
    <w:p w:rsidR="001F04EE" w:rsidRPr="002B4A69" w:rsidP="001F04EE" w14:paraId="151AF7C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6A0F353" w14:textId="77777777">
      <w:pPr>
        <w:pStyle w:val="NormalBold"/>
      </w:pPr>
      <w:r w:rsidRPr="002B4A69">
        <w:rPr>
          <w:rStyle w:val="HideTWBExt"/>
          <w:b w:val="0"/>
        </w:rPr>
        <w:t>&lt;Article&gt;</w:t>
      </w:r>
      <w:r w:rsidRPr="002B4A69">
        <w:t>Recital 58 b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E78A0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7A3830E" w14:textId="77777777">
            <w:pPr>
              <w:keepNext/>
            </w:pPr>
          </w:p>
        </w:tc>
      </w:tr>
      <w:tr w14:paraId="6A17656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BA5FAA4" w14:textId="77777777">
            <w:pPr>
              <w:pStyle w:val="ColumnHeading"/>
              <w:keepNext/>
              <w:rPr>
                <w:lang w:val="en-GB"/>
              </w:rPr>
            </w:pPr>
            <w:r w:rsidRPr="002B4A69">
              <w:rPr>
                <w:lang w:val="en-GB"/>
              </w:rPr>
              <w:t>Text proposed by the Commission</w:t>
            </w:r>
          </w:p>
        </w:tc>
        <w:tc>
          <w:tcPr>
            <w:tcW w:w="4876" w:type="dxa"/>
          </w:tcPr>
          <w:p w:rsidR="001F04EE" w:rsidRPr="002B4A69" w:rsidP="00723F81" w14:paraId="698D3AD8" w14:textId="77777777">
            <w:pPr>
              <w:pStyle w:val="ColumnHeading"/>
              <w:keepNext/>
              <w:rPr>
                <w:lang w:val="en-GB"/>
              </w:rPr>
            </w:pPr>
            <w:r w:rsidRPr="002B4A69">
              <w:rPr>
                <w:lang w:val="en-GB"/>
              </w:rPr>
              <w:t>Amendment</w:t>
            </w:r>
          </w:p>
        </w:tc>
      </w:tr>
      <w:tr w14:paraId="37B5D08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E9B1B8F" w14:textId="77777777">
            <w:pPr>
              <w:pStyle w:val="Normal6"/>
              <w:rPr>
                <w:lang w:val="en-GB"/>
              </w:rPr>
            </w:pPr>
          </w:p>
        </w:tc>
        <w:tc>
          <w:tcPr>
            <w:tcW w:w="4876" w:type="dxa"/>
          </w:tcPr>
          <w:p w:rsidR="001F04EE" w:rsidRPr="002B4A69" w:rsidP="00723F81" w14:paraId="3F7CF452" w14:textId="77777777">
            <w:pPr>
              <w:pStyle w:val="Normal6"/>
              <w:rPr>
                <w:szCs w:val="24"/>
                <w:lang w:val="en-GB"/>
              </w:rPr>
            </w:pPr>
            <w:r w:rsidRPr="002B4A69">
              <w:rPr>
                <w:b/>
                <w:i/>
                <w:lang w:val="en-GB"/>
              </w:rPr>
              <w:t>(58b)</w:t>
            </w:r>
            <w:r w:rsidRPr="002B4A69">
              <w:rPr>
                <w:b/>
                <w:i/>
                <w:lang w:val="en-GB"/>
              </w:rPr>
              <w:tab/>
              <w:t xml:space="preserve">For goods listed in Annex I to Regulation (EU) 2023/956 placed on the Union market, the progressive reduction of free allocation is accompanied by the progressive application of the CBAM to imports. No corresponding mechanism addresses the risk of carbon leakage for </w:t>
            </w:r>
            <w:r w:rsidRPr="002B4A69">
              <w:rPr>
                <w:b/>
                <w:i/>
                <w:lang w:val="en-GB"/>
              </w:rPr>
              <w:t xml:space="preserve">Union production exported to third-country markets. It is therefore appropriate to establish an export adjustment for eligible exported production. For goods produced in installations covered by this Directive, the adjustment should take the form of allowances allocated free of charge corresponding only to the benchmark-based free allocation attributable to eligible exported production that is lost </w:t>
            </w:r>
            <w:r w:rsidRPr="002B4A69">
              <w:rPr>
                <w:b/>
                <w:i/>
                <w:lang w:val="en-GB"/>
              </w:rPr>
              <w:t>as a result of</w:t>
            </w:r>
            <w:r w:rsidRPr="002B4A69">
              <w:rPr>
                <w:b/>
                <w:i/>
                <w:lang w:val="en-GB"/>
              </w:rPr>
              <w:t xml:space="preserve"> the CBAM factor.</w:t>
            </w:r>
          </w:p>
        </w:tc>
      </w:tr>
    </w:tbl>
    <w:p w:rsidR="001F04EE" w:rsidRPr="002B4A69" w:rsidP="001F04EE" w14:paraId="550E4DC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0CA6046" w14:textId="77777777">
      <w:r w:rsidRPr="002B4A69">
        <w:rPr>
          <w:rStyle w:val="HideTWBExt"/>
        </w:rPr>
        <w:t>&lt;/Amend&gt;</w:t>
      </w:r>
    </w:p>
    <w:p w:rsidR="001F04EE" w:rsidRPr="002B4A69" w:rsidP="001F04EE" w14:paraId="30F30C7D"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475</w:t>
      </w:r>
      <w:r w:rsidRPr="002B4A69">
        <w:rPr>
          <w:rStyle w:val="HideTWBExt"/>
          <w:b w:val="0"/>
          <w:lang w:val="en-GB"/>
        </w:rPr>
        <w:t>&lt;/NumAm&gt;</w:t>
      </w:r>
    </w:p>
    <w:p w:rsidR="001F04EE" w:rsidRPr="002B4A69" w:rsidP="001F04EE" w14:paraId="7732E7CE"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76F3C637" w14:textId="77777777">
      <w:r w:rsidRPr="002B4A69">
        <w:rPr>
          <w:rStyle w:val="HideTWBExt"/>
        </w:rPr>
        <w:t>&lt;/RepeatBlock-By&gt;</w:t>
      </w:r>
    </w:p>
    <w:p w:rsidR="001F04EE" w:rsidRPr="002B4A69" w:rsidP="001F04EE" w14:paraId="010819E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ED67861" w14:textId="77777777">
      <w:pPr>
        <w:pStyle w:val="NormalBold"/>
      </w:pPr>
      <w:r w:rsidRPr="002B4A69">
        <w:rPr>
          <w:rStyle w:val="HideTWBExt"/>
          <w:b w:val="0"/>
        </w:rPr>
        <w:t>&lt;Article&gt;</w:t>
      </w:r>
      <w:r w:rsidRPr="002B4A69">
        <w:t>Recital 59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21D47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4D4E353" w14:textId="77777777">
            <w:pPr>
              <w:keepNext/>
            </w:pPr>
          </w:p>
        </w:tc>
      </w:tr>
      <w:tr w14:paraId="2A3B5C0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ADF907F" w14:textId="77777777">
            <w:pPr>
              <w:pStyle w:val="ColumnHeading"/>
              <w:keepNext/>
              <w:rPr>
                <w:lang w:val="en-GB"/>
              </w:rPr>
            </w:pPr>
            <w:r w:rsidRPr="002B4A69">
              <w:rPr>
                <w:lang w:val="en-GB"/>
              </w:rPr>
              <w:t>Text proposed by the Commission</w:t>
            </w:r>
          </w:p>
        </w:tc>
        <w:tc>
          <w:tcPr>
            <w:tcW w:w="4876" w:type="dxa"/>
          </w:tcPr>
          <w:p w:rsidR="001F04EE" w:rsidRPr="002B4A69" w:rsidP="00723F81" w14:paraId="6DB740BC" w14:textId="77777777">
            <w:pPr>
              <w:pStyle w:val="ColumnHeading"/>
              <w:keepNext/>
              <w:rPr>
                <w:lang w:val="en-GB"/>
              </w:rPr>
            </w:pPr>
            <w:r w:rsidRPr="002B4A69">
              <w:rPr>
                <w:lang w:val="en-GB"/>
              </w:rPr>
              <w:t>Amendment</w:t>
            </w:r>
          </w:p>
        </w:tc>
      </w:tr>
      <w:tr w14:paraId="1C4BD76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245D8B3" w14:textId="77777777">
            <w:pPr>
              <w:pStyle w:val="Normal6"/>
              <w:rPr>
                <w:lang w:val="en-GB"/>
              </w:rPr>
            </w:pPr>
            <w:r w:rsidRPr="002B4A69">
              <w:rPr>
                <w:b/>
                <w:i/>
                <w:lang w:val="en-GB"/>
              </w:rPr>
              <w:t>(59)</w:t>
            </w:r>
            <w:r w:rsidRPr="002B4A69">
              <w:rPr>
                <w:b/>
                <w:i/>
                <w:lang w:val="en-GB"/>
              </w:rPr>
              <w:tab/>
              <w:t>To maintain adequate protection against the risk of carbon leakage, transitional measures to support certain energy intensive industries in the event of carbon leakage should continue applying until 31 December 2040, except where specific phase-out provisions apply. Free allocation to district heating should be phased out by equal amounts starting in 2030 in view of achieving zero free allocation in 2040.</w:t>
            </w:r>
          </w:p>
        </w:tc>
        <w:tc>
          <w:tcPr>
            <w:tcW w:w="4876" w:type="dxa"/>
          </w:tcPr>
          <w:p w:rsidR="001F04EE" w:rsidRPr="002B4A69" w:rsidP="00723F81" w14:paraId="0C971D4D" w14:textId="77777777">
            <w:pPr>
              <w:pStyle w:val="Normal6"/>
              <w:rPr>
                <w:szCs w:val="24"/>
                <w:lang w:val="en-GB"/>
              </w:rPr>
            </w:pPr>
            <w:r w:rsidRPr="002B4A69">
              <w:rPr>
                <w:b/>
                <w:i/>
                <w:lang w:val="en-GB"/>
              </w:rPr>
              <w:t>deleted</w:t>
            </w:r>
          </w:p>
        </w:tc>
      </w:tr>
    </w:tbl>
    <w:p w:rsidR="001F04EE" w:rsidRPr="002B4A69" w:rsidP="001F04EE" w14:paraId="24929E3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7CCBF75" w14:textId="77777777">
      <w:r w:rsidRPr="002B4A69">
        <w:rPr>
          <w:rStyle w:val="HideTWBExt"/>
        </w:rPr>
        <w:t>&lt;/Amend&gt;</w:t>
      </w:r>
    </w:p>
    <w:p w:rsidR="001F04EE" w:rsidRPr="002B4A69" w:rsidP="001F04EE" w14:paraId="1019BDF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476</w:t>
      </w:r>
      <w:r w:rsidRPr="002B4A69">
        <w:rPr>
          <w:rStyle w:val="HideTWBExt"/>
          <w:b w:val="0"/>
          <w:lang w:val="en-GB"/>
        </w:rPr>
        <w:t>&lt;/NumAm&gt;</w:t>
      </w:r>
    </w:p>
    <w:p w:rsidR="001F04EE" w:rsidRPr="002B4A69" w:rsidP="001F04EE" w14:paraId="4698657F"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5F7A93A6"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7C7F3153"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36943E2E" w14:textId="77777777">
      <w:r w:rsidRPr="002B4A69">
        <w:rPr>
          <w:rStyle w:val="HideTWBExt"/>
        </w:rPr>
        <w:t>&lt;/RepeatBlock-By&gt;</w:t>
      </w:r>
    </w:p>
    <w:p w:rsidR="001F04EE" w:rsidRPr="002B4A69" w:rsidP="001F04EE" w14:paraId="70223C7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C7634DC" w14:textId="77777777">
      <w:pPr>
        <w:pStyle w:val="NormalBold"/>
      </w:pPr>
      <w:r w:rsidRPr="002B4A69">
        <w:rPr>
          <w:rStyle w:val="HideTWBExt"/>
          <w:b w:val="0"/>
        </w:rPr>
        <w:t>&lt;Article&gt;</w:t>
      </w:r>
      <w:r w:rsidRPr="002B4A69">
        <w:t>Recital 59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71A44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DD6CC8B" w14:textId="77777777">
            <w:pPr>
              <w:keepNext/>
            </w:pPr>
          </w:p>
        </w:tc>
      </w:tr>
      <w:tr w14:paraId="13EC384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6B7D89D" w14:textId="77777777">
            <w:pPr>
              <w:pStyle w:val="ColumnHeading"/>
              <w:keepNext/>
              <w:rPr>
                <w:lang w:val="en-GB"/>
              </w:rPr>
            </w:pPr>
            <w:r w:rsidRPr="002B4A69">
              <w:rPr>
                <w:lang w:val="en-GB"/>
              </w:rPr>
              <w:t>Text proposed by the Commission</w:t>
            </w:r>
          </w:p>
        </w:tc>
        <w:tc>
          <w:tcPr>
            <w:tcW w:w="4876" w:type="dxa"/>
          </w:tcPr>
          <w:p w:rsidR="001F04EE" w:rsidRPr="002B4A69" w:rsidP="00723F81" w14:paraId="25FDC7F1" w14:textId="77777777">
            <w:pPr>
              <w:pStyle w:val="ColumnHeading"/>
              <w:keepNext/>
              <w:rPr>
                <w:lang w:val="en-GB"/>
              </w:rPr>
            </w:pPr>
            <w:r w:rsidRPr="002B4A69">
              <w:rPr>
                <w:lang w:val="en-GB"/>
              </w:rPr>
              <w:t>Amendment</w:t>
            </w:r>
          </w:p>
        </w:tc>
      </w:tr>
      <w:tr w14:paraId="78D65C2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837B975" w14:textId="77777777">
            <w:pPr>
              <w:pStyle w:val="Normal6"/>
              <w:rPr>
                <w:lang w:val="en-GB"/>
              </w:rPr>
            </w:pPr>
            <w:r w:rsidRPr="002B4A69">
              <w:rPr>
                <w:lang w:val="en-GB"/>
              </w:rPr>
              <w:t>(59)</w:t>
            </w:r>
            <w:r w:rsidRPr="002B4A69">
              <w:rPr>
                <w:lang w:val="en-GB"/>
              </w:rPr>
              <w:tab/>
              <w:t xml:space="preserve">To maintain adequate protection against the risk of carbon leakage, transitional measures to support certain energy intensive industries in the event of carbon leakage should continue applying until 31 December 2040, except where specific phase-out provisions apply. </w:t>
            </w:r>
            <w:r w:rsidRPr="002B4A69">
              <w:rPr>
                <w:b/>
                <w:i/>
                <w:lang w:val="en-GB"/>
              </w:rPr>
              <w:t>Free allocation to district heating should be phased out by equal amounts starting in 2030 in view of achieving zero free allocation in 2040.</w:t>
            </w:r>
          </w:p>
        </w:tc>
        <w:tc>
          <w:tcPr>
            <w:tcW w:w="4876" w:type="dxa"/>
          </w:tcPr>
          <w:p w:rsidR="001F04EE" w:rsidRPr="002B4A69" w:rsidP="00723F81" w14:paraId="3CD2AA27" w14:textId="77777777">
            <w:pPr>
              <w:pStyle w:val="Normal6"/>
              <w:rPr>
                <w:szCs w:val="24"/>
                <w:lang w:val="en-GB"/>
              </w:rPr>
            </w:pPr>
            <w:r w:rsidRPr="002B4A69">
              <w:rPr>
                <w:lang w:val="en-GB"/>
              </w:rPr>
              <w:t>(59)</w:t>
            </w:r>
            <w:r w:rsidRPr="002B4A69">
              <w:rPr>
                <w:lang w:val="en-GB"/>
              </w:rPr>
              <w:tab/>
              <w:t>To maintain adequate protection against the risk of carbon leakage, transitional measures to support certain energy intensive industries in the event of carbon leakage should continue applying until 31 December 2040, except where specific phase-out provisions apply.</w:t>
            </w:r>
          </w:p>
        </w:tc>
      </w:tr>
    </w:tbl>
    <w:p w:rsidR="001F04EE" w:rsidRPr="002B4A69" w:rsidP="001F04EE" w14:paraId="529B2B8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5E19337" w14:textId="77777777">
      <w:r w:rsidRPr="002B4A69">
        <w:rPr>
          <w:rStyle w:val="HideTWBExt"/>
        </w:rPr>
        <w:t>&lt;/Amend&gt;</w:t>
      </w:r>
    </w:p>
    <w:p w:rsidR="001F04EE" w:rsidRPr="002B4A69" w:rsidP="001F04EE" w14:paraId="35E6C1A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477</w:t>
      </w:r>
      <w:r w:rsidRPr="002B4A69">
        <w:rPr>
          <w:rStyle w:val="HideTWBExt"/>
          <w:b w:val="0"/>
          <w:lang w:val="en-GB"/>
        </w:rPr>
        <w:t>&lt;/NumAm&gt;</w:t>
      </w:r>
    </w:p>
    <w:p w:rsidR="001F04EE" w:rsidRPr="002B4A69" w:rsidP="001F04EE" w14:paraId="709F09FD" w14:textId="77777777">
      <w:pPr>
        <w:pStyle w:val="NormalBold"/>
      </w:pPr>
      <w:r w:rsidRPr="002B4A69">
        <w:rPr>
          <w:rStyle w:val="HideTWBExt"/>
          <w:b w:val="0"/>
        </w:rPr>
        <w:t>&lt;RepeatBlock-By&gt;&lt;Members&gt;</w:t>
      </w:r>
      <w:r w:rsidRPr="002B4A69">
        <w:t>Ondřej Knotek, Jana Nagyová, Antonín Staněk, Viktória Ferenc</w:t>
      </w:r>
      <w:r w:rsidRPr="002B4A69">
        <w:rPr>
          <w:rStyle w:val="HideTWBExt"/>
          <w:b w:val="0"/>
        </w:rPr>
        <w:t>&lt;/Members&gt;</w:t>
      </w:r>
    </w:p>
    <w:p w:rsidR="001F04EE" w:rsidRPr="002B4A69" w:rsidP="001F04EE" w14:paraId="204F1A36" w14:textId="77777777">
      <w:r w:rsidRPr="002B4A69">
        <w:rPr>
          <w:rStyle w:val="HideTWBExt"/>
        </w:rPr>
        <w:t>&lt;/RepeatBlock-By&gt;</w:t>
      </w:r>
    </w:p>
    <w:p w:rsidR="001F04EE" w:rsidRPr="002B4A69" w:rsidP="001F04EE" w14:paraId="15AD414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2AE8C26" w14:textId="77777777">
      <w:pPr>
        <w:pStyle w:val="NormalBold"/>
      </w:pPr>
      <w:r w:rsidRPr="002B4A69">
        <w:rPr>
          <w:rStyle w:val="HideTWBExt"/>
          <w:b w:val="0"/>
        </w:rPr>
        <w:t>&lt;Article&gt;</w:t>
      </w:r>
      <w:r w:rsidRPr="002B4A69">
        <w:t>Recital 59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C3B86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D436698" w14:textId="77777777">
            <w:pPr>
              <w:keepNext/>
            </w:pPr>
          </w:p>
        </w:tc>
      </w:tr>
      <w:tr w14:paraId="5563883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886F3F4" w14:textId="77777777">
            <w:pPr>
              <w:pStyle w:val="ColumnHeading"/>
              <w:keepNext/>
              <w:rPr>
                <w:lang w:val="en-GB"/>
              </w:rPr>
            </w:pPr>
            <w:r w:rsidRPr="002B4A69">
              <w:rPr>
                <w:lang w:val="en-GB"/>
              </w:rPr>
              <w:t>Text proposed by the Commission</w:t>
            </w:r>
          </w:p>
        </w:tc>
        <w:tc>
          <w:tcPr>
            <w:tcW w:w="4876" w:type="dxa"/>
          </w:tcPr>
          <w:p w:rsidR="001F04EE" w:rsidRPr="002B4A69" w:rsidP="00723F81" w14:paraId="1C49C6FD" w14:textId="77777777">
            <w:pPr>
              <w:pStyle w:val="ColumnHeading"/>
              <w:keepNext/>
              <w:rPr>
                <w:lang w:val="en-GB"/>
              </w:rPr>
            </w:pPr>
            <w:r w:rsidRPr="002B4A69">
              <w:rPr>
                <w:lang w:val="en-GB"/>
              </w:rPr>
              <w:t>Amendment</w:t>
            </w:r>
          </w:p>
        </w:tc>
      </w:tr>
      <w:tr w14:paraId="4218240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66E6C11" w14:textId="77777777">
            <w:pPr>
              <w:pStyle w:val="Normal6"/>
              <w:rPr>
                <w:lang w:val="en-GB"/>
              </w:rPr>
            </w:pPr>
            <w:r w:rsidRPr="002B4A69">
              <w:rPr>
                <w:lang w:val="en-GB"/>
              </w:rPr>
              <w:t>(59)</w:t>
            </w:r>
            <w:r w:rsidRPr="002B4A69">
              <w:rPr>
                <w:lang w:val="en-GB"/>
              </w:rPr>
              <w:tab/>
              <w:t xml:space="preserve">To maintain adequate protection against the risk of carbon leakage, transitional measures to support certain energy intensive industries in the event of carbon leakage should continue applying until 31 December 2040, except where specific phase-out provisions apply. </w:t>
            </w:r>
            <w:r w:rsidRPr="002B4A69">
              <w:rPr>
                <w:b/>
                <w:i/>
                <w:lang w:val="en-GB"/>
              </w:rPr>
              <w:t>Free allocation to district heating should be phased out by equal amounts starting in 2030 in view of achieving zero free allocation in 2040.</w:t>
            </w:r>
          </w:p>
        </w:tc>
        <w:tc>
          <w:tcPr>
            <w:tcW w:w="4876" w:type="dxa"/>
          </w:tcPr>
          <w:p w:rsidR="001F04EE" w:rsidRPr="002B4A69" w:rsidP="00723F81" w14:paraId="3534B533" w14:textId="77777777">
            <w:pPr>
              <w:pStyle w:val="Normal6"/>
              <w:rPr>
                <w:szCs w:val="24"/>
                <w:lang w:val="en-GB"/>
              </w:rPr>
            </w:pPr>
            <w:r w:rsidRPr="002B4A69">
              <w:rPr>
                <w:lang w:val="en-GB"/>
              </w:rPr>
              <w:t>(59)</w:t>
            </w:r>
            <w:r w:rsidRPr="002B4A69">
              <w:rPr>
                <w:lang w:val="en-GB"/>
              </w:rPr>
              <w:tab/>
              <w:t xml:space="preserve">To maintain adequate protection against the risk of carbon leakage, transitional measures to support certain energy intensive industries in the event of carbon leakage should continue applying until </w:t>
            </w:r>
            <w:r w:rsidRPr="002B4A69">
              <w:rPr>
                <w:b/>
                <w:i/>
                <w:lang w:val="en-GB"/>
              </w:rPr>
              <w:t>at least</w:t>
            </w:r>
            <w:r w:rsidRPr="002B4A69">
              <w:rPr>
                <w:lang w:val="en-GB"/>
              </w:rPr>
              <w:t xml:space="preserve"> 31 December 2040, except where specific phase-out provisions apply.</w:t>
            </w:r>
          </w:p>
        </w:tc>
      </w:tr>
    </w:tbl>
    <w:p w:rsidR="001F04EE" w:rsidRPr="002B4A69" w:rsidP="001F04EE" w14:paraId="332A9A0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463B997" w14:textId="77777777">
      <w:r w:rsidRPr="002B4A69">
        <w:rPr>
          <w:rStyle w:val="HideTWBExt"/>
        </w:rPr>
        <w:t>&lt;/Amend&gt;</w:t>
      </w:r>
    </w:p>
    <w:p w:rsidR="001F04EE" w:rsidRPr="002B4A69" w:rsidP="001F04EE" w14:paraId="2BC8F62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478</w:t>
      </w:r>
      <w:r w:rsidRPr="002B4A69">
        <w:rPr>
          <w:rStyle w:val="HideTWBExt"/>
          <w:b w:val="0"/>
          <w:lang w:val="en-GB"/>
        </w:rPr>
        <w:t>&lt;/NumAm&gt;</w:t>
      </w:r>
    </w:p>
    <w:p w:rsidR="001F04EE" w:rsidRPr="002B4A69" w:rsidP="001F04EE" w14:paraId="579917FA" w14:textId="77777777">
      <w:pPr>
        <w:pStyle w:val="NormalBold"/>
      </w:pPr>
      <w:r w:rsidRPr="002B4A69">
        <w:rPr>
          <w:rStyle w:val="HideTWBExt"/>
          <w:b w:val="0"/>
        </w:rPr>
        <w:t>&lt;RepeatBlock-By&gt;&lt;Members&gt;</w:t>
      </w:r>
      <w:r w:rsidRPr="002B4A69">
        <w:t>Emma Wiesner, Yvan Verougstraete, Karin Karlsbro</w:t>
      </w:r>
      <w:r w:rsidRPr="002B4A69">
        <w:rPr>
          <w:rStyle w:val="HideTWBExt"/>
          <w:b w:val="0"/>
        </w:rPr>
        <w:t>&lt;/Members&gt;</w:t>
      </w:r>
    </w:p>
    <w:p w:rsidR="001F04EE" w:rsidRPr="002B4A69" w:rsidP="001F04EE" w14:paraId="2739C6C9" w14:textId="77777777">
      <w:r w:rsidRPr="002B4A69">
        <w:rPr>
          <w:rStyle w:val="HideTWBExt"/>
        </w:rPr>
        <w:t>&lt;/RepeatBlock-By&gt;</w:t>
      </w:r>
    </w:p>
    <w:p w:rsidR="001F04EE" w:rsidRPr="002B4A69" w:rsidP="001F04EE" w14:paraId="6E8BD53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580D5FD" w14:textId="77777777">
      <w:pPr>
        <w:pStyle w:val="NormalBold"/>
      </w:pPr>
      <w:r w:rsidRPr="002B4A69">
        <w:rPr>
          <w:rStyle w:val="HideTWBExt"/>
          <w:b w:val="0"/>
        </w:rPr>
        <w:t>&lt;Article&gt;</w:t>
      </w:r>
      <w:r w:rsidRPr="002B4A69">
        <w:t>Recital 59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8DDE1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A9E0761" w14:textId="77777777">
            <w:pPr>
              <w:keepNext/>
            </w:pPr>
          </w:p>
        </w:tc>
      </w:tr>
      <w:tr w14:paraId="6DEFC6C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C8F027B" w14:textId="77777777">
            <w:pPr>
              <w:pStyle w:val="ColumnHeading"/>
              <w:keepNext/>
              <w:rPr>
                <w:lang w:val="en-GB"/>
              </w:rPr>
            </w:pPr>
            <w:r w:rsidRPr="002B4A69">
              <w:rPr>
                <w:lang w:val="en-GB"/>
              </w:rPr>
              <w:t>Text proposed by the Commission</w:t>
            </w:r>
          </w:p>
        </w:tc>
        <w:tc>
          <w:tcPr>
            <w:tcW w:w="4876" w:type="dxa"/>
          </w:tcPr>
          <w:p w:rsidR="001F04EE" w:rsidRPr="002B4A69" w:rsidP="00723F81" w14:paraId="455F23DE" w14:textId="77777777">
            <w:pPr>
              <w:pStyle w:val="ColumnHeading"/>
              <w:keepNext/>
              <w:rPr>
                <w:lang w:val="en-GB"/>
              </w:rPr>
            </w:pPr>
            <w:r w:rsidRPr="002B4A69">
              <w:rPr>
                <w:lang w:val="en-GB"/>
              </w:rPr>
              <w:t>Amendment</w:t>
            </w:r>
          </w:p>
        </w:tc>
      </w:tr>
      <w:tr w14:paraId="2645670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2AA876F" w14:textId="77777777">
            <w:pPr>
              <w:pStyle w:val="Normal6"/>
              <w:rPr>
                <w:lang w:val="en-GB"/>
              </w:rPr>
            </w:pPr>
            <w:r w:rsidRPr="002B4A69">
              <w:rPr>
                <w:lang w:val="en-GB"/>
              </w:rPr>
              <w:t>(59)</w:t>
            </w:r>
            <w:r w:rsidRPr="002B4A69">
              <w:rPr>
                <w:lang w:val="en-GB"/>
              </w:rPr>
              <w:tab/>
              <w:t xml:space="preserve">To maintain adequate protection against the risk of carbon leakage, transitional measures to support certain energy intensive industries in the event of carbon leakage should continue applying until 31 December 2040, except where specific phase-out provisions apply. Free allocation to district heating should be phased out by equal amounts starting in </w:t>
            </w:r>
            <w:r w:rsidRPr="002B4A69">
              <w:rPr>
                <w:b/>
                <w:i/>
                <w:lang w:val="en-GB"/>
              </w:rPr>
              <w:t>2030</w:t>
            </w:r>
            <w:r w:rsidRPr="002B4A69">
              <w:rPr>
                <w:lang w:val="en-GB"/>
              </w:rPr>
              <w:t xml:space="preserve"> in view of achieving zero free allocation in </w:t>
            </w:r>
            <w:r w:rsidRPr="002B4A69">
              <w:rPr>
                <w:b/>
                <w:i/>
                <w:lang w:val="en-GB"/>
              </w:rPr>
              <w:t>2040</w:t>
            </w:r>
            <w:r w:rsidRPr="002B4A69">
              <w:rPr>
                <w:lang w:val="en-GB"/>
              </w:rPr>
              <w:t>.</w:t>
            </w:r>
          </w:p>
        </w:tc>
        <w:tc>
          <w:tcPr>
            <w:tcW w:w="4876" w:type="dxa"/>
          </w:tcPr>
          <w:p w:rsidR="001F04EE" w:rsidRPr="002B4A69" w:rsidP="00723F81" w14:paraId="031A629A" w14:textId="77777777">
            <w:pPr>
              <w:pStyle w:val="Normal6"/>
              <w:rPr>
                <w:szCs w:val="24"/>
                <w:lang w:val="en-GB"/>
              </w:rPr>
            </w:pPr>
            <w:r w:rsidRPr="002B4A69">
              <w:rPr>
                <w:lang w:val="en-GB"/>
              </w:rPr>
              <w:t>(59)</w:t>
            </w:r>
            <w:r w:rsidRPr="002B4A69">
              <w:rPr>
                <w:lang w:val="en-GB"/>
              </w:rPr>
              <w:tab/>
              <w:t xml:space="preserve">To maintain adequate protection against the risk of carbon leakage, transitional measures to support certain energy intensive industries in the event of carbon leakage should continue applying until 31 December 2040, except where specific phase-out provisions apply. Free allocation to district heating should be phased out by equal amounts starting in </w:t>
            </w:r>
            <w:r w:rsidRPr="002B4A69">
              <w:rPr>
                <w:b/>
                <w:i/>
                <w:lang w:val="en-GB"/>
              </w:rPr>
              <w:t>2026</w:t>
            </w:r>
            <w:r w:rsidRPr="002B4A69">
              <w:rPr>
                <w:lang w:val="en-GB"/>
              </w:rPr>
              <w:t xml:space="preserve"> in view of achieving zero free allocation in </w:t>
            </w:r>
            <w:r w:rsidRPr="002B4A69">
              <w:rPr>
                <w:b/>
                <w:i/>
                <w:lang w:val="en-GB"/>
              </w:rPr>
              <w:t>2030</w:t>
            </w:r>
            <w:r w:rsidRPr="002B4A69">
              <w:rPr>
                <w:lang w:val="en-GB"/>
              </w:rPr>
              <w:t>.</w:t>
            </w:r>
          </w:p>
        </w:tc>
      </w:tr>
    </w:tbl>
    <w:p w:rsidR="001F04EE" w:rsidRPr="002B4A69" w:rsidP="001F04EE" w14:paraId="4F8ED43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56FE379"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20767A37" w14:textId="77777777">
      <w:pPr>
        <w:pStyle w:val="Normal12Italic"/>
        <w:rPr>
          <w:noProof w:val="0"/>
          <w:lang w:val="en-GB"/>
        </w:rPr>
      </w:pPr>
      <w:r w:rsidRPr="002B4A69">
        <w:rPr>
          <w:noProof w:val="0"/>
          <w:lang w:val="en-GB"/>
        </w:rPr>
        <w:t>For district heating, continued free allocation beyond 2030 weakens the carbon-price signal and risks delaying investment in decarbonisation of district heating plants. Decarbonising district heating is easier than other sectors currently eligible for free allowances, hence why free allowances for district heating should be phased out by 2030.</w:t>
      </w:r>
    </w:p>
    <w:p w:rsidR="001F04EE" w:rsidRPr="002B4A69" w:rsidP="001F04EE" w14:paraId="7C3B60F9" w14:textId="77777777">
      <w:r w:rsidRPr="002B4A69">
        <w:rPr>
          <w:rStyle w:val="HideTWBExt"/>
        </w:rPr>
        <w:t>&lt;/Amend&gt;</w:t>
      </w:r>
    </w:p>
    <w:p w:rsidR="001F04EE" w:rsidRPr="002B4A69" w:rsidP="001F04EE" w14:paraId="39D6BCE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479</w:t>
      </w:r>
      <w:r w:rsidRPr="002B4A69">
        <w:rPr>
          <w:rStyle w:val="HideTWBExt"/>
          <w:b w:val="0"/>
          <w:lang w:val="en-GB"/>
        </w:rPr>
        <w:t>&lt;/NumAm&gt;</w:t>
      </w:r>
    </w:p>
    <w:p w:rsidR="001F04EE" w:rsidRPr="002B4A69" w:rsidP="001F04EE" w14:paraId="7E190151" w14:textId="77777777">
      <w:pPr>
        <w:pStyle w:val="NormalBold"/>
      </w:pPr>
      <w:r w:rsidRPr="002B4A69">
        <w:rPr>
          <w:rStyle w:val="HideTWBExt"/>
          <w:b w:val="0"/>
        </w:rPr>
        <w:t>&lt;RepeatBlock-By&gt;&lt;Members&gt;</w:t>
      </w:r>
      <w:r w:rsidRPr="002B4A69">
        <w:t>Mohammed Chahim</w:t>
      </w:r>
      <w:r w:rsidRPr="002B4A69">
        <w:rPr>
          <w:rStyle w:val="HideTWBExt"/>
          <w:b w:val="0"/>
        </w:rPr>
        <w:t>&lt;/Members&gt;</w:t>
      </w:r>
    </w:p>
    <w:p w:rsidR="001F04EE" w:rsidRPr="002B4A69" w:rsidP="001F04EE" w14:paraId="20546AC0" w14:textId="77777777">
      <w:r w:rsidRPr="002B4A69">
        <w:rPr>
          <w:rStyle w:val="HideTWBExt"/>
        </w:rPr>
        <w:t>&lt;/RepeatBlock-By&gt;</w:t>
      </w:r>
    </w:p>
    <w:p w:rsidR="001F04EE" w:rsidRPr="002B4A69" w:rsidP="001F04EE" w14:paraId="619017F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FF58014" w14:textId="77777777">
      <w:pPr>
        <w:pStyle w:val="NormalBold"/>
      </w:pPr>
      <w:r w:rsidRPr="002B4A69">
        <w:rPr>
          <w:rStyle w:val="HideTWBExt"/>
          <w:b w:val="0"/>
        </w:rPr>
        <w:t>&lt;Article&gt;</w:t>
      </w:r>
      <w:r w:rsidRPr="002B4A69">
        <w:t>Recital 59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88C1A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83F756E" w14:textId="77777777">
            <w:pPr>
              <w:keepNext/>
            </w:pPr>
          </w:p>
        </w:tc>
      </w:tr>
      <w:tr w14:paraId="0E903C6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A7AAC9E" w14:textId="77777777">
            <w:pPr>
              <w:pStyle w:val="ColumnHeading"/>
              <w:keepNext/>
              <w:rPr>
                <w:lang w:val="en-GB"/>
              </w:rPr>
            </w:pPr>
            <w:r w:rsidRPr="002B4A69">
              <w:rPr>
                <w:lang w:val="en-GB"/>
              </w:rPr>
              <w:t>Text proposed by the Commission</w:t>
            </w:r>
          </w:p>
        </w:tc>
        <w:tc>
          <w:tcPr>
            <w:tcW w:w="4876" w:type="dxa"/>
          </w:tcPr>
          <w:p w:rsidR="001F04EE" w:rsidRPr="002B4A69" w:rsidP="00723F81" w14:paraId="6F3CE7A9" w14:textId="77777777">
            <w:pPr>
              <w:pStyle w:val="ColumnHeading"/>
              <w:keepNext/>
              <w:rPr>
                <w:lang w:val="en-GB"/>
              </w:rPr>
            </w:pPr>
            <w:r w:rsidRPr="002B4A69">
              <w:rPr>
                <w:lang w:val="en-GB"/>
              </w:rPr>
              <w:t>Amendment</w:t>
            </w:r>
          </w:p>
        </w:tc>
      </w:tr>
      <w:tr w14:paraId="10E8BA7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E6AE927" w14:textId="77777777">
            <w:pPr>
              <w:pStyle w:val="Normal6"/>
              <w:rPr>
                <w:lang w:val="en-GB"/>
              </w:rPr>
            </w:pPr>
          </w:p>
        </w:tc>
        <w:tc>
          <w:tcPr>
            <w:tcW w:w="4876" w:type="dxa"/>
          </w:tcPr>
          <w:p w:rsidR="001F04EE" w:rsidRPr="002B4A69" w:rsidP="00723F81" w14:paraId="767F68E9" w14:textId="77777777">
            <w:pPr>
              <w:pStyle w:val="Normal6"/>
              <w:rPr>
                <w:szCs w:val="24"/>
                <w:lang w:val="en-GB"/>
              </w:rPr>
            </w:pPr>
            <w:r w:rsidRPr="002B4A69">
              <w:rPr>
                <w:b/>
                <w:i/>
                <w:lang w:val="en-GB"/>
              </w:rPr>
              <w:t>(59a)</w:t>
            </w:r>
            <w:r w:rsidRPr="002B4A69">
              <w:rPr>
                <w:b/>
                <w:i/>
                <w:lang w:val="en-GB"/>
              </w:rPr>
              <w:tab/>
              <w:t>In light of the urgent need to address energy and transport poverty against the backdrop of global price shocks, further dedicated financial support for the Social Climate Fund established by Regulation (EU) 2023/955 is warranted. To this end, 80 million allowances should be redirected from the quantity that would otherwise be allocated for free, and 20 million allowances from the quantity destined for auctioning under Article 10 of Directive 2003/87/</w:t>
            </w:r>
            <w:r w:rsidRPr="002B4A69">
              <w:rPr>
                <w:b/>
                <w:i/>
                <w:lang w:val="en-GB"/>
              </w:rPr>
              <w:t>EC .</w:t>
            </w:r>
            <w:r w:rsidRPr="002B4A69">
              <w:rPr>
                <w:b/>
                <w:i/>
                <w:lang w:val="en-GB"/>
              </w:rPr>
              <w:t xml:space="preserve"> These 100 million allowances should be auctioned progressively up to 2030 in accordance with established rules, with all </w:t>
            </w:r>
            <w:r w:rsidRPr="002B4A69">
              <w:rPr>
                <w:b/>
                <w:i/>
                <w:lang w:val="en-GB"/>
              </w:rPr>
              <w:t>resulting revenues constituted as external assigned revenue strictly earmarked to finance targeted measures.</w:t>
            </w:r>
          </w:p>
        </w:tc>
      </w:tr>
    </w:tbl>
    <w:p w:rsidR="001F04EE" w:rsidRPr="002B4A69" w:rsidP="001F04EE" w14:paraId="4B47336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58B3EFA" w14:textId="77777777">
      <w:r w:rsidRPr="002B4A69">
        <w:rPr>
          <w:rStyle w:val="HideTWBExt"/>
        </w:rPr>
        <w:t>&lt;/Amend&gt;</w:t>
      </w:r>
    </w:p>
    <w:p w:rsidR="001F04EE" w:rsidRPr="002B4A69" w:rsidP="001F04EE" w14:paraId="5339D4C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480</w:t>
      </w:r>
      <w:r w:rsidRPr="002B4A69">
        <w:rPr>
          <w:rStyle w:val="HideTWBExt"/>
          <w:b w:val="0"/>
          <w:lang w:val="en-GB"/>
        </w:rPr>
        <w:t>&lt;/NumAm&gt;</w:t>
      </w:r>
    </w:p>
    <w:p w:rsidR="001F04EE" w:rsidRPr="002B4A69" w:rsidP="001F04EE" w14:paraId="6CA5D22D"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307D0567"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47452067"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41F8DD0B" w14:textId="77777777">
      <w:r w:rsidRPr="002B4A69">
        <w:rPr>
          <w:rStyle w:val="HideTWBExt"/>
        </w:rPr>
        <w:t>&lt;/RepeatBlock-By&gt;</w:t>
      </w:r>
    </w:p>
    <w:p w:rsidR="001F04EE" w:rsidRPr="002B4A69" w:rsidP="001F04EE" w14:paraId="0344CFB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1E1FF85" w14:textId="77777777">
      <w:pPr>
        <w:pStyle w:val="NormalBold"/>
      </w:pPr>
      <w:r w:rsidRPr="002B4A69">
        <w:rPr>
          <w:rStyle w:val="HideTWBExt"/>
          <w:b w:val="0"/>
        </w:rPr>
        <w:t>&lt;Article&gt;</w:t>
      </w:r>
      <w:r w:rsidRPr="002B4A69">
        <w:t>Recital 60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3B416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61448D7" w14:textId="77777777">
            <w:pPr>
              <w:keepNext/>
            </w:pPr>
          </w:p>
        </w:tc>
      </w:tr>
      <w:tr w14:paraId="72FDC8C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34A0FA5" w14:textId="77777777">
            <w:pPr>
              <w:pStyle w:val="ColumnHeading"/>
              <w:keepNext/>
              <w:rPr>
                <w:lang w:val="en-GB"/>
              </w:rPr>
            </w:pPr>
            <w:r w:rsidRPr="002B4A69">
              <w:rPr>
                <w:lang w:val="en-GB"/>
              </w:rPr>
              <w:t>Text proposed by the Commission</w:t>
            </w:r>
          </w:p>
        </w:tc>
        <w:tc>
          <w:tcPr>
            <w:tcW w:w="4876" w:type="dxa"/>
          </w:tcPr>
          <w:p w:rsidR="001F04EE" w:rsidRPr="002B4A69" w:rsidP="00723F81" w14:paraId="7B47225A" w14:textId="77777777">
            <w:pPr>
              <w:pStyle w:val="ColumnHeading"/>
              <w:keepNext/>
              <w:rPr>
                <w:lang w:val="en-GB"/>
              </w:rPr>
            </w:pPr>
            <w:r w:rsidRPr="002B4A69">
              <w:rPr>
                <w:lang w:val="en-GB"/>
              </w:rPr>
              <w:t>Amendment</w:t>
            </w:r>
          </w:p>
        </w:tc>
      </w:tr>
      <w:tr w14:paraId="4ED681B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D0D9F9E" w14:textId="77777777">
            <w:pPr>
              <w:pStyle w:val="Normal6"/>
              <w:rPr>
                <w:lang w:val="en-GB"/>
              </w:rPr>
            </w:pPr>
            <w:r w:rsidRPr="002B4A69">
              <w:rPr>
                <w:b/>
                <w:i/>
                <w:lang w:val="en-GB"/>
              </w:rPr>
              <w:t>(60)</w:t>
            </w:r>
            <w:r w:rsidRPr="002B4A69">
              <w:rPr>
                <w:b/>
                <w:i/>
                <w:lang w:val="en-GB"/>
              </w:rPr>
              <w:tab/>
              <w:t>Achieving the EU’s 2040 climate target necessitates urgent and deep emission reductions in industry, particularly in energy-intensive sectors, where progress has thus far relied predominantly on energy efficiency gains rather than transformative decarbonisation. At the same time, to drive industrial transition substantial investments are required. Yet, the existing carbon price signal, even when combined with regulatory measures on renewables and energy efficiency, has proven insufficient to incentivise industrial decarbonisation investments, thereby justifying the allocation of allowances to a dedicated EU-level funding instrument, the Industrial Decarbonisation Bank, designed to bridge this gap and accelerate industrial decarbonisation, including through electrification, and enhance Europe’s competitiveness. Member States should be allowed and encouraged to make additional contributions from ETS allocations and related revenues to the Bank to further accelerate industrial decarbonisation in line with national priorities.</w:t>
            </w:r>
          </w:p>
        </w:tc>
        <w:tc>
          <w:tcPr>
            <w:tcW w:w="4876" w:type="dxa"/>
          </w:tcPr>
          <w:p w:rsidR="001F04EE" w:rsidRPr="002B4A69" w:rsidP="00723F81" w14:paraId="5EB131F6" w14:textId="77777777">
            <w:pPr>
              <w:pStyle w:val="Normal6"/>
              <w:rPr>
                <w:szCs w:val="24"/>
                <w:lang w:val="en-GB"/>
              </w:rPr>
            </w:pPr>
            <w:r w:rsidRPr="002B4A69">
              <w:rPr>
                <w:b/>
                <w:i/>
                <w:lang w:val="en-GB"/>
              </w:rPr>
              <w:t>deleted</w:t>
            </w:r>
          </w:p>
        </w:tc>
      </w:tr>
    </w:tbl>
    <w:p w:rsidR="001F04EE" w:rsidRPr="002B4A69" w:rsidP="001F04EE" w14:paraId="163BDB3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154D519" w14:textId="77777777">
      <w:r w:rsidRPr="002B4A69">
        <w:rPr>
          <w:rStyle w:val="HideTWBExt"/>
        </w:rPr>
        <w:t>&lt;/Amend&gt;</w:t>
      </w:r>
    </w:p>
    <w:p w:rsidR="001F04EE" w:rsidRPr="002B4A69" w:rsidP="001F04EE" w14:paraId="6473652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481</w:t>
      </w:r>
      <w:r w:rsidRPr="002B4A69">
        <w:rPr>
          <w:rStyle w:val="HideTWBExt"/>
          <w:b w:val="0"/>
          <w:lang w:val="en-GB"/>
        </w:rPr>
        <w:t>&lt;/NumAm&gt;</w:t>
      </w:r>
    </w:p>
    <w:p w:rsidR="001F04EE" w:rsidRPr="002B4A69" w:rsidP="001F04EE" w14:paraId="39FB86DE" w14:textId="77777777">
      <w:pPr>
        <w:pStyle w:val="NormalBold"/>
      </w:pPr>
      <w:r w:rsidRPr="002B4A69">
        <w:rPr>
          <w:rStyle w:val="HideTWBExt"/>
          <w:b w:val="0"/>
        </w:rPr>
        <w:t>&lt;RepeatBlock-By&gt;&lt;Members&gt;</w:t>
      </w:r>
      <w:r w:rsidRPr="002B4A69">
        <w:t>Ana Vasconcelos, Andreas Glück</w:t>
      </w:r>
      <w:r w:rsidRPr="002B4A69">
        <w:rPr>
          <w:rStyle w:val="HideTWBExt"/>
          <w:b w:val="0"/>
        </w:rPr>
        <w:t>&lt;/Members&gt;</w:t>
      </w:r>
    </w:p>
    <w:p w:rsidR="001F04EE" w:rsidRPr="002B4A69" w:rsidP="001F04EE" w14:paraId="0171D15D" w14:textId="77777777">
      <w:r w:rsidRPr="002B4A69">
        <w:rPr>
          <w:rStyle w:val="HideTWBExt"/>
        </w:rPr>
        <w:t>&lt;/RepeatBlock-By&gt;</w:t>
      </w:r>
    </w:p>
    <w:p w:rsidR="001F04EE" w:rsidRPr="002B4A69" w:rsidP="001F04EE" w14:paraId="067980A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E4A46E9" w14:textId="77777777">
      <w:pPr>
        <w:pStyle w:val="NormalBold"/>
      </w:pPr>
      <w:r w:rsidRPr="002B4A69">
        <w:rPr>
          <w:rStyle w:val="HideTWBExt"/>
          <w:b w:val="0"/>
        </w:rPr>
        <w:t>&lt;Article&gt;</w:t>
      </w:r>
      <w:r w:rsidRPr="002B4A69">
        <w:t>Recital 60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3248F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28F4AB9" w14:textId="77777777">
            <w:pPr>
              <w:keepNext/>
            </w:pPr>
          </w:p>
        </w:tc>
      </w:tr>
      <w:tr w14:paraId="41A925E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A26EB13" w14:textId="77777777">
            <w:pPr>
              <w:pStyle w:val="ColumnHeading"/>
              <w:keepNext/>
              <w:rPr>
                <w:lang w:val="en-GB"/>
              </w:rPr>
            </w:pPr>
            <w:r w:rsidRPr="002B4A69">
              <w:rPr>
                <w:lang w:val="en-GB"/>
              </w:rPr>
              <w:t>Text proposed by the Commission</w:t>
            </w:r>
          </w:p>
        </w:tc>
        <w:tc>
          <w:tcPr>
            <w:tcW w:w="4876" w:type="dxa"/>
          </w:tcPr>
          <w:p w:rsidR="001F04EE" w:rsidRPr="002B4A69" w:rsidP="00723F81" w14:paraId="42152E97" w14:textId="77777777">
            <w:pPr>
              <w:pStyle w:val="ColumnHeading"/>
              <w:keepNext/>
              <w:rPr>
                <w:lang w:val="en-GB"/>
              </w:rPr>
            </w:pPr>
            <w:r w:rsidRPr="002B4A69">
              <w:rPr>
                <w:lang w:val="en-GB"/>
              </w:rPr>
              <w:t>Amendment</w:t>
            </w:r>
          </w:p>
        </w:tc>
      </w:tr>
      <w:tr w14:paraId="6C4F21E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12000F6" w14:textId="77777777">
            <w:pPr>
              <w:pStyle w:val="Normal6"/>
              <w:rPr>
                <w:lang w:val="en-GB"/>
              </w:rPr>
            </w:pPr>
            <w:r w:rsidRPr="002B4A69">
              <w:rPr>
                <w:lang w:val="en-GB"/>
              </w:rPr>
              <w:t>(60)</w:t>
            </w:r>
            <w:r w:rsidRPr="002B4A69">
              <w:rPr>
                <w:lang w:val="en-GB"/>
              </w:rPr>
              <w:tab/>
              <w:t>Achieving the EU’s 2040 climate target necessitates urgent and deep emission reductions in industry, particularly in energy-intensive sectors, where progress has thus far relied predominantly on energy efficiency gains rather than transformative decarbonisation. At the same time, to drive industrial transition substantial investments are required. Yet, the existing carbon price signal, even when combined with regulatory measures on renewables and energy efficiency, has proven insufficient to incentivise industrial decarbonisation investments, thereby justifying the allocation of allowances to a dedicated EU-level funding instrument, the Industrial Decarbonisation Bank, designed to bridge this gap and accelerate industrial decarbonisation, including through electrification, and enhance Europe’s competitiveness. Member States should be allowed and encouraged to make additional contributions from ETS allocations and related revenues to the Bank to further accelerate industrial decarbonisation in line with national priorities.</w:t>
            </w:r>
          </w:p>
        </w:tc>
        <w:tc>
          <w:tcPr>
            <w:tcW w:w="4876" w:type="dxa"/>
          </w:tcPr>
          <w:p w:rsidR="001F04EE" w:rsidRPr="002B4A69" w:rsidP="00723F81" w14:paraId="13D1A261" w14:textId="77777777">
            <w:pPr>
              <w:pStyle w:val="Normal6"/>
              <w:rPr>
                <w:szCs w:val="24"/>
                <w:lang w:val="en-GB"/>
              </w:rPr>
            </w:pPr>
            <w:r w:rsidRPr="002B4A69">
              <w:rPr>
                <w:lang w:val="en-GB"/>
              </w:rPr>
              <w:t>(60)</w:t>
            </w:r>
            <w:r w:rsidRPr="002B4A69">
              <w:rPr>
                <w:lang w:val="en-GB"/>
              </w:rPr>
              <w:tab/>
              <w:t xml:space="preserve">Achieving the EU’s 2040 climate target necessitates urgent and deep emission reductions in industry, particularly in energy-intensive sectors, where progress has thus far relied predominantly on energy efficiency gains rather than transformative decarbonisation. At the same time, to drive industrial transition substantial investments are required. Yet, the existing carbon price signal, even when combined with regulatory measures on renewables and energy efficiency, has proven insufficient to incentivise industrial decarbonisation investments, thereby justifying the allocation of allowances to a dedicated EU-level funding instrument, the Industrial Decarbonisation Bank, designed to bridge this gap and accelerate industrial decarbonisation, including through electrification, and enhance Europe’s competitiveness. </w:t>
            </w:r>
            <w:r w:rsidRPr="002B4A69">
              <w:rPr>
                <w:b/>
                <w:i/>
                <w:lang w:val="en-GB"/>
              </w:rPr>
              <w:t>The Industrial Decarbonisation Bank should support industrial decarbonisation through a predictable, technology-neutral, cost-effective and investment-oriented framework that addresses demonstrated investment barriers, mobilises private capital and provides long-term visibility for investment decisions, while contributing to the competitiveness of Union industry.</w:t>
            </w:r>
            <w:r w:rsidRPr="002B4A69">
              <w:rPr>
                <w:lang w:val="en-GB"/>
              </w:rPr>
              <w:t xml:space="preserve"> Member States should be allowed and encouraged to make additional contributions from ETS allocations and related revenues to the Bank to further accelerate industrial decarbonisation in line with national priorities.</w:t>
            </w:r>
          </w:p>
        </w:tc>
      </w:tr>
    </w:tbl>
    <w:p w:rsidR="001F04EE" w:rsidRPr="002B4A69" w:rsidP="001F04EE" w14:paraId="32D388E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8371F57" w14:textId="77777777">
      <w:r w:rsidRPr="002B4A69">
        <w:rPr>
          <w:rStyle w:val="HideTWBExt"/>
        </w:rPr>
        <w:t>&lt;/Amend&gt;</w:t>
      </w:r>
    </w:p>
    <w:p w:rsidR="001F04EE" w:rsidRPr="002B4A69" w:rsidP="001F04EE" w14:paraId="0F03AD9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482</w:t>
      </w:r>
      <w:r w:rsidRPr="002B4A69">
        <w:rPr>
          <w:rStyle w:val="HideTWBExt"/>
          <w:b w:val="0"/>
          <w:lang w:val="en-GB"/>
        </w:rPr>
        <w:t>&lt;/NumAm&gt;</w:t>
      </w:r>
    </w:p>
    <w:p w:rsidR="001F04EE" w:rsidRPr="002B4A69" w:rsidP="001F04EE" w14:paraId="1B263DA3"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25176544" w14:textId="77777777">
      <w:r w:rsidRPr="002B4A69">
        <w:rPr>
          <w:rStyle w:val="HideTWBExt"/>
        </w:rPr>
        <w:t>&lt;/RepeatBlock-By&gt;</w:t>
      </w:r>
    </w:p>
    <w:p w:rsidR="001F04EE" w:rsidRPr="002B4A69" w:rsidP="001F04EE" w14:paraId="0D94AD6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BCC4D9D" w14:textId="77777777">
      <w:pPr>
        <w:pStyle w:val="NormalBold"/>
      </w:pPr>
      <w:r w:rsidRPr="002B4A69">
        <w:rPr>
          <w:rStyle w:val="HideTWBExt"/>
          <w:b w:val="0"/>
        </w:rPr>
        <w:t>&lt;Article&gt;</w:t>
      </w:r>
      <w:r w:rsidRPr="002B4A69">
        <w:t>Recital 60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D346F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7CA3EAE" w14:textId="77777777">
            <w:pPr>
              <w:keepNext/>
            </w:pPr>
          </w:p>
        </w:tc>
      </w:tr>
      <w:tr w14:paraId="2CA52B5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8575770" w14:textId="77777777">
            <w:pPr>
              <w:pStyle w:val="ColumnHeading"/>
              <w:keepNext/>
              <w:rPr>
                <w:lang w:val="en-GB"/>
              </w:rPr>
            </w:pPr>
            <w:r w:rsidRPr="002B4A69">
              <w:rPr>
                <w:lang w:val="en-GB"/>
              </w:rPr>
              <w:t>Text proposed by the Commission</w:t>
            </w:r>
          </w:p>
        </w:tc>
        <w:tc>
          <w:tcPr>
            <w:tcW w:w="4876" w:type="dxa"/>
          </w:tcPr>
          <w:p w:rsidR="001F04EE" w:rsidRPr="002B4A69" w:rsidP="00723F81" w14:paraId="79C24385" w14:textId="77777777">
            <w:pPr>
              <w:pStyle w:val="ColumnHeading"/>
              <w:keepNext/>
              <w:rPr>
                <w:lang w:val="en-GB"/>
              </w:rPr>
            </w:pPr>
            <w:r w:rsidRPr="002B4A69">
              <w:rPr>
                <w:lang w:val="en-GB"/>
              </w:rPr>
              <w:t>Amendment</w:t>
            </w:r>
          </w:p>
        </w:tc>
      </w:tr>
      <w:tr w14:paraId="39D9FC3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77D9E46" w14:textId="77777777">
            <w:pPr>
              <w:pStyle w:val="Normal6"/>
              <w:rPr>
                <w:lang w:val="en-GB"/>
              </w:rPr>
            </w:pPr>
            <w:r w:rsidRPr="002B4A69">
              <w:rPr>
                <w:lang w:val="en-GB"/>
              </w:rPr>
              <w:t>(60)</w:t>
            </w:r>
            <w:r w:rsidRPr="002B4A69">
              <w:rPr>
                <w:lang w:val="en-GB"/>
              </w:rPr>
              <w:tab/>
              <w:t xml:space="preserve">Achieving the EU’s 2040 climate target necessitates urgent and deep emission reductions in industry, particularly in energy-intensive sectors, where progress has thus far relied predominantly on energy efficiency gains rather than transformative decarbonisation. At the same time, to drive industrial transition substantial investments are required. Yet, the existing carbon price signal, even when combined with regulatory measures on renewables and energy efficiency, has proven insufficient to incentivise industrial decarbonisation investments, thereby justifying the allocation of allowances to a dedicated EU-level funding instrument, the Industrial Decarbonisation Bank, designed to bridge this gap and accelerate industrial decarbonisation, </w:t>
            </w:r>
            <w:r w:rsidRPr="002B4A69">
              <w:rPr>
                <w:b/>
                <w:i/>
                <w:lang w:val="en-GB"/>
              </w:rPr>
              <w:t>including</w:t>
            </w:r>
            <w:r w:rsidRPr="002B4A69">
              <w:rPr>
                <w:lang w:val="en-GB"/>
              </w:rPr>
              <w:t xml:space="preserve"> through electrification, and enhance Europe’s competitiveness. Member States should be allowed and encouraged to make additional contributions from ETS allocations and related revenues to the Bank to further accelerate industrial decarbonisation in line with national priorities.</w:t>
            </w:r>
          </w:p>
        </w:tc>
        <w:tc>
          <w:tcPr>
            <w:tcW w:w="4876" w:type="dxa"/>
          </w:tcPr>
          <w:p w:rsidR="001F04EE" w:rsidRPr="002B4A69" w:rsidP="00723F81" w14:paraId="092DB734" w14:textId="77777777">
            <w:pPr>
              <w:pStyle w:val="Normal6"/>
              <w:rPr>
                <w:szCs w:val="24"/>
                <w:lang w:val="en-GB"/>
              </w:rPr>
            </w:pPr>
            <w:r w:rsidRPr="002B4A69">
              <w:rPr>
                <w:lang w:val="en-GB"/>
              </w:rPr>
              <w:t>(60)</w:t>
            </w:r>
            <w:r w:rsidRPr="002B4A69">
              <w:rPr>
                <w:lang w:val="en-GB"/>
              </w:rPr>
              <w:tab/>
              <w:t xml:space="preserve">Achieving the EU’s 2040 climate target necessitates urgent and deep emission reductions in industry, particularly in energy-intensive sectors, where progress has thus far relied predominantly on energy efficiency gains rather than transformative decarbonisation. At the same time, to drive industrial transition substantial investments are required. Yet, the existing carbon price signal, even when combined with regulatory measures on renewables and energy efficiency, has proven insufficient to incentivise industrial decarbonisation investments, thereby justifying the allocation of allowances to a dedicated EU-level funding instrument, the Industrial </w:t>
            </w:r>
            <w:r w:rsidRPr="002B4A69">
              <w:rPr>
                <w:b/>
                <w:i/>
                <w:lang w:val="en-GB"/>
              </w:rPr>
              <w:t>Electrification and</w:t>
            </w:r>
            <w:r w:rsidRPr="002B4A69">
              <w:rPr>
                <w:lang w:val="en-GB"/>
              </w:rPr>
              <w:t xml:space="preserve"> Decarbonisation Bank, designed to bridge this gap and accelerate industrial decarbonisation, </w:t>
            </w:r>
            <w:r w:rsidRPr="002B4A69">
              <w:rPr>
                <w:b/>
                <w:i/>
                <w:lang w:val="en-GB"/>
              </w:rPr>
              <w:t>especially</w:t>
            </w:r>
            <w:r w:rsidRPr="002B4A69">
              <w:rPr>
                <w:lang w:val="en-GB"/>
              </w:rPr>
              <w:t xml:space="preserve"> through electrification, and enhance Europe’s competitiveness. Member States should be allowed and encouraged to make additional contributions from ETS allocations and related revenues to the Bank to further accelerate industrial decarbonisation in line with national priorities.</w:t>
            </w:r>
          </w:p>
        </w:tc>
      </w:tr>
    </w:tbl>
    <w:p w:rsidR="001F04EE" w:rsidRPr="002B4A69" w:rsidP="001F04EE" w14:paraId="7AAD97E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0A97585" w14:textId="77777777">
      <w:r w:rsidRPr="002B4A69">
        <w:rPr>
          <w:rStyle w:val="HideTWBExt"/>
        </w:rPr>
        <w:t>&lt;/Amend&gt;</w:t>
      </w:r>
    </w:p>
    <w:p w:rsidR="001F04EE" w:rsidRPr="002B4A69" w:rsidP="001F04EE" w14:paraId="479C69BB"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483</w:t>
      </w:r>
      <w:r w:rsidRPr="002B4A69">
        <w:rPr>
          <w:rStyle w:val="HideTWBExt"/>
          <w:b w:val="0"/>
          <w:lang w:val="en-GB"/>
        </w:rPr>
        <w:t>&lt;/NumAm&gt;</w:t>
      </w:r>
    </w:p>
    <w:p w:rsidR="001F04EE" w:rsidRPr="002B4A69" w:rsidP="001F04EE" w14:paraId="5691030C" w14:textId="77777777">
      <w:pPr>
        <w:pStyle w:val="NormalBold"/>
      </w:pPr>
      <w:r w:rsidRPr="002B4A69">
        <w:rPr>
          <w:rStyle w:val="HideTWBExt"/>
          <w:b w:val="0"/>
        </w:rPr>
        <w:t>&lt;RepeatBlock-By&gt;&lt;Members&gt;</w:t>
      </w:r>
      <w:r w:rsidRPr="002B4A69">
        <w:t>Jens Gieseke, Ralf Seekatz, Sophia Kircher, Norbert Herhammer, Gheorghe Falcă, Andrea Wechsler, Borja Giménez Larraz, Isabelle Le Callennec</w:t>
      </w:r>
      <w:r w:rsidRPr="002B4A69">
        <w:rPr>
          <w:rStyle w:val="HideTWBExt"/>
          <w:b w:val="0"/>
        </w:rPr>
        <w:t>&lt;/Members&gt;</w:t>
      </w:r>
    </w:p>
    <w:p w:rsidR="001F04EE" w:rsidRPr="002B4A69" w:rsidP="001F04EE" w14:paraId="142ED494" w14:textId="77777777">
      <w:r w:rsidRPr="002B4A69">
        <w:rPr>
          <w:rStyle w:val="HideTWBExt"/>
        </w:rPr>
        <w:t>&lt;/RepeatBlock-By&gt;</w:t>
      </w:r>
    </w:p>
    <w:p w:rsidR="001F04EE" w:rsidRPr="002B4A69" w:rsidP="001F04EE" w14:paraId="639DF6D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E13CECE" w14:textId="77777777">
      <w:pPr>
        <w:pStyle w:val="NormalBold"/>
      </w:pPr>
      <w:r w:rsidRPr="002B4A69">
        <w:rPr>
          <w:rStyle w:val="HideTWBExt"/>
          <w:b w:val="0"/>
        </w:rPr>
        <w:t>&lt;Article&gt;</w:t>
      </w:r>
      <w:r w:rsidRPr="002B4A69">
        <w:t>Recital 61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82C57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8F184DD" w14:textId="77777777">
            <w:pPr>
              <w:keepNext/>
            </w:pPr>
          </w:p>
        </w:tc>
      </w:tr>
      <w:tr w14:paraId="2DC32F9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DE1C08" w14:textId="77777777">
            <w:pPr>
              <w:pStyle w:val="ColumnHeading"/>
              <w:keepNext/>
              <w:rPr>
                <w:lang w:val="en-GB"/>
              </w:rPr>
            </w:pPr>
            <w:r w:rsidRPr="002B4A69">
              <w:rPr>
                <w:lang w:val="en-GB"/>
              </w:rPr>
              <w:t>Text proposed by the Commission</w:t>
            </w:r>
          </w:p>
        </w:tc>
        <w:tc>
          <w:tcPr>
            <w:tcW w:w="4876" w:type="dxa"/>
          </w:tcPr>
          <w:p w:rsidR="001F04EE" w:rsidRPr="002B4A69" w:rsidP="00723F81" w14:paraId="0EE6226C" w14:textId="77777777">
            <w:pPr>
              <w:pStyle w:val="ColumnHeading"/>
              <w:keepNext/>
              <w:rPr>
                <w:lang w:val="en-GB"/>
              </w:rPr>
            </w:pPr>
            <w:r w:rsidRPr="002B4A69">
              <w:rPr>
                <w:lang w:val="en-GB"/>
              </w:rPr>
              <w:t>Amendment</w:t>
            </w:r>
          </w:p>
        </w:tc>
      </w:tr>
      <w:tr w14:paraId="1342C7A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405DA6C" w14:textId="77777777">
            <w:pPr>
              <w:pStyle w:val="Normal6"/>
              <w:rPr>
                <w:lang w:val="en-GB"/>
              </w:rPr>
            </w:pPr>
            <w:r w:rsidRPr="002B4A69">
              <w:rPr>
                <w:lang w:val="en-GB"/>
              </w:rPr>
              <w:t>(61)</w:t>
            </w:r>
            <w:r w:rsidRPr="002B4A69">
              <w:rPr>
                <w:lang w:val="en-GB"/>
              </w:rPr>
              <w:tab/>
              <w:t xml:space="preserve">The Innovation Fund should continue to support innovative low-carbon technologies across all eligible sectors, including those covered by the CBAM, to ensure that breakthrough solutions reach commercial scale, bridging the gap between demonstration and market readiness in the transition. It should therefore continue to focus on innovation, supporting early-stage, high-risk technologies, while the Industrial Decarbonisation Bank (IDB) should support the scale-up and roll-out of more mature technologies in energy-intensive industries while building resilient value chains and contributing to energy system integration. Electrification will be a prime decarbonisation pathway as outlined in the Electrification Action Plan. Alignment with the requirements of the Net-Zero Industry Act and the Industrial Accelerator Act, including regarding EU content, as well as circular economy principles, should be ensured. With its comprehensive approach from abatement to transformation and its more focused sectoral scope, the Industrial Decarbonisation Bank should support both the decarbonisation of existing installations and the deployment of new low-carbon or zero-emission production capacity, including processes that substitute carbon-intensive industrial products or methods, also by bio-based material, products and methods, and as such can also result in the generation of permanent carbon removals. In this context, also combustion activities below 20 MW should be able to benefit from the support. </w:t>
            </w:r>
            <w:r w:rsidRPr="002B4A69">
              <w:rPr>
                <w:lang w:val="en-GB"/>
              </w:rPr>
              <w:t>In order to</w:t>
            </w:r>
            <w:r w:rsidRPr="002B4A69">
              <w:rPr>
                <w:lang w:val="en-GB"/>
              </w:rPr>
              <w:t xml:space="preserve"> preserve the Union’s capacity to support the development, scale-up and deployment of innovative low-carbon technologies, it is necessary to ensure that the overall financial means expected for the Innovation Fund remain </w:t>
            </w:r>
            <w:r w:rsidRPr="002B4A69">
              <w:rPr>
                <w:lang w:val="en-GB"/>
              </w:rPr>
              <w:t xml:space="preserve">available. 50 million allowances from the free allocation buffer up to 2030 were envisaged to contribute to the financing of the Innovation Fund, thereby providing an essential planning assumption for the timely preparation and implementation of projects towards the end of this decade. By 2028, the Innovation Fund should have committed almost all of its available resources and continued support for such projects requires timely replenishment from the Member States’ auction volume and a predictable funding basis, notably </w:t>
            </w:r>
            <w:r w:rsidRPr="002B4A69">
              <w:rPr>
                <w:lang w:val="en-GB"/>
              </w:rPr>
              <w:t>where</w:t>
            </w:r>
            <w:r w:rsidRPr="002B4A69">
              <w:rPr>
                <w:lang w:val="en-GB"/>
              </w:rPr>
              <w:t>, due to the operation of the rules on free allocation, part of the allowances originally envisaged from the free allocation buffer available for the Innovation Fund would no longer be available for that purpose.</w:t>
            </w:r>
          </w:p>
        </w:tc>
        <w:tc>
          <w:tcPr>
            <w:tcW w:w="4876" w:type="dxa"/>
          </w:tcPr>
          <w:p w:rsidR="001F04EE" w:rsidRPr="002B4A69" w:rsidP="00723F81" w14:paraId="5F9932E8" w14:textId="77777777">
            <w:pPr>
              <w:pStyle w:val="Normal6"/>
              <w:rPr>
                <w:szCs w:val="24"/>
                <w:lang w:val="en-GB"/>
              </w:rPr>
            </w:pPr>
            <w:r w:rsidRPr="002B4A69">
              <w:rPr>
                <w:lang w:val="en-GB"/>
              </w:rPr>
              <w:t>(61)</w:t>
            </w:r>
            <w:r w:rsidRPr="002B4A69">
              <w:rPr>
                <w:lang w:val="en-GB"/>
              </w:rPr>
              <w:tab/>
              <w:t xml:space="preserve">The Innovation Fund should continue to support innovative low-carbon technologies across all eligible sectors, including those covered by the CBAM, to ensure that breakthrough solutions reach commercial scale, bridging the gap between demonstration and market readiness in the transition. It should therefore continue to focus on innovation, supporting early-stage, high-risk technologies, while the Industrial Decarbonisation Bank (IDB) should support the scale-up and roll-out of more mature technologies in energy-intensive </w:t>
            </w:r>
            <w:r w:rsidRPr="002B4A69">
              <w:rPr>
                <w:b/>
                <w:i/>
                <w:lang w:val="en-GB"/>
              </w:rPr>
              <w:t>and hard-to-abate</w:t>
            </w:r>
            <w:r w:rsidRPr="002B4A69">
              <w:rPr>
                <w:lang w:val="en-GB"/>
              </w:rPr>
              <w:t xml:space="preserve"> industries while building resilient value chains and contributing to energy system integration. Electrification will be a prime decarbonisation pathway </w:t>
            </w:r>
            <w:r w:rsidRPr="002B4A69">
              <w:rPr>
                <w:b/>
                <w:i/>
                <w:lang w:val="en-GB"/>
              </w:rPr>
              <w:t>for stationary installations</w:t>
            </w:r>
            <w:r w:rsidRPr="002B4A69">
              <w:rPr>
                <w:lang w:val="en-GB"/>
              </w:rPr>
              <w:t xml:space="preserve"> as outlined in the Electrification Action Plan. Alignment with the requirements of the Net-Zero Industry Act and the Industrial Accelerator Act, including regarding EU content, as well as circular economy principles, should be ensured</w:t>
            </w:r>
            <w:r w:rsidRPr="002B4A69">
              <w:rPr>
                <w:b/>
                <w:i/>
                <w:lang w:val="en-GB"/>
              </w:rPr>
              <w:t>. Sustainable transport fuels will be a key pathway to decarbonising aviation and maritime transport, alongside innovative technologies and supporting infrastructure, as outlined in the Sustainable Transport Investment Plan</w:t>
            </w:r>
            <w:r w:rsidRPr="002B4A69">
              <w:rPr>
                <w:lang w:val="en-GB"/>
              </w:rPr>
              <w:t xml:space="preserve">. With its comprehensive approach from abatement to transformation and its more focused sectoral scope, the Industrial Decarbonisation Bank should support both the decarbonisation of existing installations and the deployment of new low-carbon or zero-emission production capacity, including processes that substitute carbon-intensive industrial products or methods, also by bio-based material, products and methods, and as such can also result in the generation of permanent carbon removals. In this context, also combustion activities </w:t>
            </w:r>
            <w:r w:rsidRPr="002B4A69">
              <w:rPr>
                <w:lang w:val="en-GB"/>
              </w:rPr>
              <w:t>below 20 MW should be able to benefit from the support</w:t>
            </w:r>
            <w:r w:rsidRPr="002B4A69">
              <w:rPr>
                <w:b/>
                <w:i/>
                <w:lang w:val="en-GB"/>
              </w:rPr>
              <w:t>. The Industrial Decarbonisation Bank should also support the decarbonisation of hard-to-abate transport sectors through measures to scale up the production, supply and uptake of sustainable transport fuels and other low- and zero-carbon energy sources, deploy innovative technologies, and decarbonise associated infrastructure</w:t>
            </w:r>
            <w:r w:rsidRPr="002B4A69">
              <w:rPr>
                <w:lang w:val="en-GB"/>
              </w:rPr>
              <w:t xml:space="preserve">. </w:t>
            </w:r>
            <w:r w:rsidRPr="002B4A69">
              <w:rPr>
                <w:lang w:val="en-GB"/>
              </w:rPr>
              <w:t>In order to</w:t>
            </w:r>
            <w:r w:rsidRPr="002B4A69">
              <w:rPr>
                <w:lang w:val="en-GB"/>
              </w:rPr>
              <w:t xml:space="preserve"> preserve the Union’s capacity to support the development, scale-up and deployment of innovative low-carbon technologies, it is necessary to ensure that the overall financial means expected for the Innovation Fund remain available. 50 million allowances from the free allocation buffer up to 2030 were envisaged to contribute to the financing of the Innovation Fund, thereby providing an essential planning assumption for the timely preparation and implementation of projects towards the end of this decade. By 2028, the Innovation Fund should have committed almost all of its available resources and continued support for such projects requires timely replenishment from the Member States’ auction volume and a predictable funding basis, notably </w:t>
            </w:r>
            <w:r w:rsidRPr="002B4A69">
              <w:rPr>
                <w:lang w:val="en-GB"/>
              </w:rPr>
              <w:t>where</w:t>
            </w:r>
            <w:r w:rsidRPr="002B4A69">
              <w:rPr>
                <w:lang w:val="en-GB"/>
              </w:rPr>
              <w:t>, due to the operation of the rules on free allocation, part of the allowances originally envisaged from the free allocation buffer available for the Innovation Fund would no longer be available for that purpose.</w:t>
            </w:r>
          </w:p>
        </w:tc>
      </w:tr>
    </w:tbl>
    <w:p w:rsidR="001F04EE" w:rsidRPr="002B4A69" w:rsidP="001F04EE" w14:paraId="03F2DFB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77D14DF" w14:textId="77777777">
      <w:r w:rsidRPr="002B4A69">
        <w:rPr>
          <w:rStyle w:val="HideTWBExt"/>
        </w:rPr>
        <w:t>&lt;/Amend&gt;</w:t>
      </w:r>
    </w:p>
    <w:p w:rsidR="001F04EE" w:rsidRPr="002B4A69" w:rsidP="001F04EE" w14:paraId="4645B67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484</w:t>
      </w:r>
      <w:r w:rsidRPr="002B4A69">
        <w:rPr>
          <w:rStyle w:val="HideTWBExt"/>
          <w:b w:val="0"/>
          <w:lang w:val="en-GB"/>
        </w:rPr>
        <w:t>&lt;/NumAm&gt;</w:t>
      </w:r>
    </w:p>
    <w:p w:rsidR="001F04EE" w:rsidRPr="002B4A69" w:rsidP="001F04EE" w14:paraId="7B752407"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57F420F8" w14:textId="77777777">
      <w:r w:rsidRPr="002B4A69">
        <w:rPr>
          <w:rStyle w:val="HideTWBExt"/>
        </w:rPr>
        <w:t>&lt;/RepeatBlock-By&gt;</w:t>
      </w:r>
    </w:p>
    <w:p w:rsidR="001F04EE" w:rsidRPr="002B4A69" w:rsidP="001F04EE" w14:paraId="4BA1B0D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5094341" w14:textId="77777777">
      <w:pPr>
        <w:pStyle w:val="NormalBold"/>
      </w:pPr>
      <w:r w:rsidRPr="002B4A69">
        <w:rPr>
          <w:rStyle w:val="HideTWBExt"/>
          <w:b w:val="0"/>
        </w:rPr>
        <w:t>&lt;Article&gt;</w:t>
      </w:r>
      <w:r w:rsidRPr="002B4A69">
        <w:t>Recital 61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AB0A25"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F65DBB9" w14:textId="77777777">
            <w:pPr>
              <w:keepNext/>
            </w:pPr>
          </w:p>
        </w:tc>
      </w:tr>
      <w:tr w14:paraId="34EA552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9B10149" w14:textId="77777777">
            <w:pPr>
              <w:pStyle w:val="ColumnHeading"/>
              <w:keepNext/>
              <w:rPr>
                <w:lang w:val="en-GB"/>
              </w:rPr>
            </w:pPr>
            <w:r w:rsidRPr="002B4A69">
              <w:rPr>
                <w:lang w:val="en-GB"/>
              </w:rPr>
              <w:t>Text proposed by the Commission</w:t>
            </w:r>
          </w:p>
        </w:tc>
        <w:tc>
          <w:tcPr>
            <w:tcW w:w="4876" w:type="dxa"/>
          </w:tcPr>
          <w:p w:rsidR="001F04EE" w:rsidRPr="002B4A69" w:rsidP="00723F81" w14:paraId="568B312C" w14:textId="77777777">
            <w:pPr>
              <w:pStyle w:val="ColumnHeading"/>
              <w:keepNext/>
              <w:rPr>
                <w:lang w:val="en-GB"/>
              </w:rPr>
            </w:pPr>
            <w:r w:rsidRPr="002B4A69">
              <w:rPr>
                <w:lang w:val="en-GB"/>
              </w:rPr>
              <w:t>Amendment</w:t>
            </w:r>
          </w:p>
        </w:tc>
      </w:tr>
      <w:tr w14:paraId="6293AA2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CD18FCA" w14:textId="77777777">
            <w:pPr>
              <w:pStyle w:val="Normal6"/>
              <w:rPr>
                <w:lang w:val="en-GB"/>
              </w:rPr>
            </w:pPr>
            <w:r w:rsidRPr="002B4A69">
              <w:rPr>
                <w:lang w:val="en-GB"/>
              </w:rPr>
              <w:t>(61)</w:t>
            </w:r>
            <w:r w:rsidRPr="002B4A69">
              <w:rPr>
                <w:lang w:val="en-GB"/>
              </w:rPr>
              <w:tab/>
              <w:t>The Innovation Fund should continue to support innovative low-carbon technologies across all eligible sectors, including those covered by the CBAM, to ensure that breakthrough solutions reach commercial scale, bridging the gap between demonstration and market readiness in the transition. It should therefore continue to focus on innovation, supporting early-stage, high-risk technologies, while the Industrial Decarbonisation Bank (</w:t>
            </w:r>
            <w:r w:rsidRPr="002B4A69">
              <w:rPr>
                <w:b/>
                <w:i/>
                <w:lang w:val="en-GB"/>
              </w:rPr>
              <w:t>IDB</w:t>
            </w:r>
            <w:r w:rsidRPr="002B4A69">
              <w:rPr>
                <w:lang w:val="en-GB"/>
              </w:rPr>
              <w:t xml:space="preserve">) should support the scale-up and roll-out of more mature technologies in energy-intensive industries while building resilient value chains and contributing to energy system integration. Electrification will be </w:t>
            </w:r>
            <w:r w:rsidRPr="002B4A69">
              <w:rPr>
                <w:b/>
                <w:i/>
                <w:lang w:val="en-GB"/>
              </w:rPr>
              <w:t>a prime</w:t>
            </w:r>
            <w:r w:rsidRPr="002B4A69">
              <w:rPr>
                <w:lang w:val="en-GB"/>
              </w:rPr>
              <w:t xml:space="preserve"> decarbonisation pathway as outlined in the Electrification Action Plan. Alignment with the requirements of the Net-Zero Industry Act and the Industrial Accelerator Act, including regarding EU content, as well as circular economy principles, should be ensured. With its comprehensive approach from abatement to transformation and its more focused sectoral scope, the Industrial Decarbonisation Bank should support both the decarbonisation of existing installations and the deployment of new low-carbon or zero-emission production capacity, including processes that substitute carbon-intensive industrial products or methods, also by bio-based material, products and methods, and as such can also result in the generation of permanent carbon removals. In this context, also combustion activities below 20 MW should be able to benefit from the support. </w:t>
            </w:r>
            <w:r w:rsidRPr="002B4A69">
              <w:rPr>
                <w:lang w:val="en-GB"/>
              </w:rPr>
              <w:t>In order to</w:t>
            </w:r>
            <w:r w:rsidRPr="002B4A69">
              <w:rPr>
                <w:lang w:val="en-GB"/>
              </w:rPr>
              <w:t xml:space="preserve"> preserve the Union’s capacity to support the development, scale-up and deployment of innovative low-carbon technologies, it is necessary to ensure that the overall financial means expected for the Innovation Fund remain available. 50 million allowances from the free allocation buffer up to 2030 were </w:t>
            </w:r>
            <w:r w:rsidRPr="002B4A69">
              <w:rPr>
                <w:lang w:val="en-GB"/>
              </w:rPr>
              <w:t xml:space="preserve">envisaged to contribute to the financing of the Innovation Fund, thereby providing an essential planning assumption for the timely preparation and implementation of projects towards the end of this decade. By 2028, the Innovation Fund should have committed almost all of its available resources and continued support for such projects requires timely replenishment from the Member States’ auction volume and a predictable funding basis, notably </w:t>
            </w:r>
            <w:r w:rsidRPr="002B4A69">
              <w:rPr>
                <w:lang w:val="en-GB"/>
              </w:rPr>
              <w:t>where</w:t>
            </w:r>
            <w:r w:rsidRPr="002B4A69">
              <w:rPr>
                <w:lang w:val="en-GB"/>
              </w:rPr>
              <w:t>, due to the operation of the rules on free allocation, part of the allowances originally envisaged from the free allocation buffer available for the Innovation Fund would no longer be available for that purpose.</w:t>
            </w:r>
          </w:p>
        </w:tc>
        <w:tc>
          <w:tcPr>
            <w:tcW w:w="4876" w:type="dxa"/>
          </w:tcPr>
          <w:p w:rsidR="001F04EE" w:rsidRPr="002B4A69" w:rsidP="00723F81" w14:paraId="2E85EAF6" w14:textId="77777777">
            <w:pPr>
              <w:pStyle w:val="Normal6"/>
              <w:rPr>
                <w:szCs w:val="24"/>
                <w:lang w:val="en-GB"/>
              </w:rPr>
            </w:pPr>
            <w:r w:rsidRPr="002B4A69">
              <w:rPr>
                <w:lang w:val="en-GB"/>
              </w:rPr>
              <w:t>(61)</w:t>
            </w:r>
            <w:r w:rsidRPr="002B4A69">
              <w:rPr>
                <w:lang w:val="en-GB"/>
              </w:rPr>
              <w:tab/>
              <w:t xml:space="preserve">The Innovation Fund should continue to support innovative low-carbon technologies across all eligible sectors, including those covered by the CBAM, to ensure that breakthrough solutions reach commercial scale, bridging the gap between demonstration and market readiness in the transition. It should therefore continue to focus on innovation, supporting early-stage, high-risk technologies, while the Industrial </w:t>
            </w:r>
            <w:r w:rsidRPr="002B4A69">
              <w:rPr>
                <w:b/>
                <w:i/>
                <w:lang w:val="en-GB"/>
              </w:rPr>
              <w:t>Electrification and</w:t>
            </w:r>
            <w:r w:rsidRPr="002B4A69">
              <w:rPr>
                <w:lang w:val="en-GB"/>
              </w:rPr>
              <w:t xml:space="preserve"> Decarbonisation Bank (</w:t>
            </w:r>
            <w:r w:rsidRPr="002B4A69">
              <w:rPr>
                <w:b/>
                <w:i/>
                <w:lang w:val="en-GB"/>
              </w:rPr>
              <w:t>IEDB</w:t>
            </w:r>
            <w:r w:rsidRPr="002B4A69">
              <w:rPr>
                <w:lang w:val="en-GB"/>
              </w:rPr>
              <w:t xml:space="preserve">) should support the scale-up and roll-out of more mature technologies in energy-intensive industries while building resilient value chains and contributing to energy system integration. Electrification will be </w:t>
            </w:r>
            <w:r w:rsidRPr="002B4A69">
              <w:rPr>
                <w:b/>
                <w:i/>
                <w:lang w:val="en-GB"/>
              </w:rPr>
              <w:t>the primary and most cost-effective</w:t>
            </w:r>
            <w:r w:rsidRPr="002B4A69">
              <w:rPr>
                <w:lang w:val="en-GB"/>
              </w:rPr>
              <w:t xml:space="preserve"> decarbonisation pathway as outlined in the Electrification Action Plan. Alignment with the requirements of the Net-Zero Industry Act and the Industrial Accelerator Act, including regarding EU content, as well as circular economy principles, should be ensured. With its comprehensive approach from abatement to transformation and its more focused sectoral scope, the Industrial </w:t>
            </w:r>
            <w:r w:rsidRPr="002B4A69">
              <w:rPr>
                <w:b/>
                <w:i/>
                <w:lang w:val="en-GB"/>
              </w:rPr>
              <w:t>Electrification and</w:t>
            </w:r>
            <w:r w:rsidRPr="002B4A69">
              <w:rPr>
                <w:lang w:val="en-GB"/>
              </w:rPr>
              <w:t xml:space="preserve"> Decarbonisation Bank should support both the decarbonisation of existing installations and the deployment of new low-carbon or zero-emission production capacity, including processes that substitute carbon-intensive industrial products or methods, also by bio-based material, products and methods, and as such can also result in the generation of permanent carbon removals. In this context, also combustion activities below 20 MW should be able to benefit from the support. </w:t>
            </w:r>
            <w:r w:rsidRPr="002B4A69">
              <w:rPr>
                <w:lang w:val="en-GB"/>
              </w:rPr>
              <w:t>In order to</w:t>
            </w:r>
            <w:r w:rsidRPr="002B4A69">
              <w:rPr>
                <w:lang w:val="en-GB"/>
              </w:rPr>
              <w:t xml:space="preserve"> preserve the Union’s capacity to support the development, scale-up and deployment of innovative low-carbon technologies, it is necessary to ensure that the overall financial means expected for the Innovation Fund remain available. 50 </w:t>
            </w:r>
            <w:r w:rsidRPr="002B4A69">
              <w:rPr>
                <w:lang w:val="en-GB"/>
              </w:rPr>
              <w:t xml:space="preserve">million allowances from the free allocation buffer up to 2030 were envisaged to contribute to the financing of the Innovation Fund, thereby providing an essential planning assumption for the timely preparation and implementation of projects towards the end of this decade. By 2028, the Innovation Fund should have committed almost all of its available resources and continued support for such projects requires timely replenishment from the Member States’ auction volume and a predictable funding basis, notably </w:t>
            </w:r>
            <w:r w:rsidRPr="002B4A69">
              <w:rPr>
                <w:lang w:val="en-GB"/>
              </w:rPr>
              <w:t>where</w:t>
            </w:r>
            <w:r w:rsidRPr="002B4A69">
              <w:rPr>
                <w:lang w:val="en-GB"/>
              </w:rPr>
              <w:t xml:space="preserve">, due to the operation of the rules on free allocation, part of the allowances originally envisaged from the free allocation buffer available for the Innovation Fund would no longer be available for that purpose. </w:t>
            </w:r>
            <w:r w:rsidRPr="002B4A69">
              <w:rPr>
                <w:b/>
                <w:i/>
                <w:lang w:val="en-GB"/>
              </w:rPr>
              <w:t>In that case, the difference should be taken from the quantity which would otherwise be allocated for free pursuant to Article 10a of Directive 2003/87/EC.</w:t>
            </w:r>
          </w:p>
        </w:tc>
      </w:tr>
    </w:tbl>
    <w:p w:rsidR="001F04EE" w:rsidRPr="002B4A69" w:rsidP="001F04EE" w14:paraId="55F331E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DCEF476" w14:textId="77777777">
      <w:r w:rsidRPr="002B4A69">
        <w:rPr>
          <w:rStyle w:val="HideTWBExt"/>
        </w:rPr>
        <w:t>&lt;/Amend&gt;</w:t>
      </w:r>
    </w:p>
    <w:p w:rsidR="001F04EE" w:rsidRPr="002B4A69" w:rsidP="001F04EE" w14:paraId="3667131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485</w:t>
      </w:r>
      <w:r w:rsidRPr="002B4A69">
        <w:rPr>
          <w:rStyle w:val="HideTWBExt"/>
          <w:b w:val="0"/>
          <w:lang w:val="en-GB"/>
        </w:rPr>
        <w:t>&lt;/NumAm&gt;</w:t>
      </w:r>
    </w:p>
    <w:p w:rsidR="001F04EE" w:rsidRPr="002B4A69" w:rsidP="001F04EE" w14:paraId="2B53CFB1" w14:textId="77777777">
      <w:pPr>
        <w:pStyle w:val="NormalBold"/>
      </w:pPr>
      <w:r w:rsidRPr="002B4A69">
        <w:rPr>
          <w:rStyle w:val="HideTWBExt"/>
          <w:b w:val="0"/>
        </w:rPr>
        <w:t>&lt;RepeatBlock-By&gt;&lt;Members&gt;</w:t>
      </w:r>
      <w:r w:rsidRPr="002B4A69">
        <w:t>Emma Wiesner, Pascal Canfin, Yvan Verougstraete, Gerben-Jan Gerbrandy, Anna Stürgkh, Katri Kulmuni, Jeannette Baljeu</w:t>
      </w:r>
      <w:r w:rsidRPr="002B4A69">
        <w:rPr>
          <w:rStyle w:val="HideTWBExt"/>
          <w:b w:val="0"/>
        </w:rPr>
        <w:t>&lt;/Members&gt;</w:t>
      </w:r>
    </w:p>
    <w:p w:rsidR="001F04EE" w:rsidRPr="002B4A69" w:rsidP="001F04EE" w14:paraId="49538295" w14:textId="77777777">
      <w:r w:rsidRPr="002B4A69">
        <w:rPr>
          <w:rStyle w:val="HideTWBExt"/>
        </w:rPr>
        <w:t>&lt;/RepeatBlock-By&gt;</w:t>
      </w:r>
    </w:p>
    <w:p w:rsidR="001F04EE" w:rsidRPr="002B4A69" w:rsidP="001F04EE" w14:paraId="23C55A5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5273E4D" w14:textId="77777777">
      <w:pPr>
        <w:pStyle w:val="NormalBold"/>
      </w:pPr>
      <w:r w:rsidRPr="002B4A69">
        <w:rPr>
          <w:rStyle w:val="HideTWBExt"/>
          <w:b w:val="0"/>
        </w:rPr>
        <w:t>&lt;Article&gt;</w:t>
      </w:r>
      <w:r w:rsidRPr="002B4A69">
        <w:t>Recital 61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68FE8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D8DFE7E" w14:textId="77777777">
            <w:pPr>
              <w:keepNext/>
            </w:pPr>
          </w:p>
        </w:tc>
      </w:tr>
      <w:tr w14:paraId="31AB135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5F9DB02" w14:textId="77777777">
            <w:pPr>
              <w:pStyle w:val="ColumnHeading"/>
              <w:keepNext/>
              <w:rPr>
                <w:lang w:val="en-GB"/>
              </w:rPr>
            </w:pPr>
            <w:r w:rsidRPr="002B4A69">
              <w:rPr>
                <w:lang w:val="en-GB"/>
              </w:rPr>
              <w:t>Text proposed by the Commission</w:t>
            </w:r>
          </w:p>
        </w:tc>
        <w:tc>
          <w:tcPr>
            <w:tcW w:w="4876" w:type="dxa"/>
          </w:tcPr>
          <w:p w:rsidR="001F04EE" w:rsidRPr="002B4A69" w:rsidP="00723F81" w14:paraId="1D53C4A1" w14:textId="77777777">
            <w:pPr>
              <w:pStyle w:val="ColumnHeading"/>
              <w:keepNext/>
              <w:rPr>
                <w:lang w:val="en-GB"/>
              </w:rPr>
            </w:pPr>
            <w:r w:rsidRPr="002B4A69">
              <w:rPr>
                <w:lang w:val="en-GB"/>
              </w:rPr>
              <w:t>Amendment</w:t>
            </w:r>
          </w:p>
        </w:tc>
      </w:tr>
      <w:tr w14:paraId="06A1FA4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B124CC0" w14:textId="77777777">
            <w:pPr>
              <w:pStyle w:val="Normal6"/>
              <w:rPr>
                <w:lang w:val="en-GB"/>
              </w:rPr>
            </w:pPr>
            <w:r w:rsidRPr="002B4A69">
              <w:rPr>
                <w:lang w:val="en-GB"/>
              </w:rPr>
              <w:t>(61)</w:t>
            </w:r>
            <w:r w:rsidRPr="002B4A69">
              <w:rPr>
                <w:lang w:val="en-GB"/>
              </w:rPr>
              <w:tab/>
              <w:t xml:space="preserve">The Innovation Fund should continue to support innovative low-carbon technologies across all eligible sectors, including those covered by the CBAM, to ensure that breakthrough solutions reach commercial scale, bridging the gap between demonstration and market readiness in the transition. It should therefore continue to focus on innovation, supporting early-stage, high-risk technologies, while the Industrial Decarbonisation Bank (IDB) should </w:t>
            </w:r>
            <w:r w:rsidRPr="002B4A69">
              <w:rPr>
                <w:lang w:val="en-GB"/>
              </w:rPr>
              <w:t xml:space="preserve">support the scale-up and roll-out of more mature technologies in energy-intensive industries while building resilient value chains and contributing to energy system integration. Electrification will be a prime decarbonisation pathway as outlined in the Electrification Action Plan. Alignment with the requirements of the Net-Zero Industry Act and the Industrial Accelerator Act, including regarding EU content, as well as circular economy principles, should be ensured. With its comprehensive approach from abatement to transformation and its more focused sectoral scope, the Industrial Decarbonisation Bank should support both the decarbonisation of existing installations and the deployment of new low-carbon or zero-emission production capacity, including processes that substitute carbon-intensive industrial products or methods, also by bio-based material, products and methods, and as such can also result in the generation of permanent carbon removals. In this context, also combustion activities below 20 MW should be able to benefit from the support. </w:t>
            </w:r>
            <w:r w:rsidRPr="002B4A69">
              <w:rPr>
                <w:lang w:val="en-GB"/>
              </w:rPr>
              <w:t>In order to</w:t>
            </w:r>
            <w:r w:rsidRPr="002B4A69">
              <w:rPr>
                <w:lang w:val="en-GB"/>
              </w:rPr>
              <w:t xml:space="preserve"> preserve the Union’s capacity to support the development, scale-up and deployment of innovative low-carbon technologies, it is necessary to ensure that the overall financial means expected for the Innovation Fund remain available. 50 million allowances from the free allocation buffer up to 2030 were envisaged to contribute to the financing of the Innovation Fund, thereby providing an essential planning assumption for the timely preparation and implementation of projects towards the end of this decade. By 2028, the Innovation Fund should have committed almost all of its available resources and continued support for such projects requires timely replenishment from the Member States’ auction volume and a predictable funding basis, notably </w:t>
            </w:r>
            <w:r w:rsidRPr="002B4A69">
              <w:rPr>
                <w:lang w:val="en-GB"/>
              </w:rPr>
              <w:t>where</w:t>
            </w:r>
            <w:r w:rsidRPr="002B4A69">
              <w:rPr>
                <w:lang w:val="en-GB"/>
              </w:rPr>
              <w:t xml:space="preserve">, due to the operation of the rules on free allocation, part of the allowances originally envisaged from the free allocation buffer available for the </w:t>
            </w:r>
            <w:r w:rsidRPr="002B4A69">
              <w:rPr>
                <w:lang w:val="en-GB"/>
              </w:rPr>
              <w:t>Innovation Fund would no longer be available for that purpose.</w:t>
            </w:r>
          </w:p>
        </w:tc>
        <w:tc>
          <w:tcPr>
            <w:tcW w:w="4876" w:type="dxa"/>
          </w:tcPr>
          <w:p w:rsidR="001F04EE" w:rsidRPr="002B4A69" w:rsidP="00723F81" w14:paraId="58170830" w14:textId="77777777">
            <w:pPr>
              <w:pStyle w:val="Normal6"/>
              <w:rPr>
                <w:szCs w:val="24"/>
                <w:lang w:val="en-GB"/>
              </w:rPr>
            </w:pPr>
            <w:r w:rsidRPr="002B4A69">
              <w:rPr>
                <w:lang w:val="en-GB"/>
              </w:rPr>
              <w:t>(61)</w:t>
            </w:r>
            <w:r w:rsidRPr="002B4A69">
              <w:rPr>
                <w:lang w:val="en-GB"/>
              </w:rPr>
              <w:tab/>
              <w:t>The Innovation Fund should continue to support innovative low-carbon technologies across all eligible sectors, including those covered by the CBAM, to ensure that breakthrough solutions</w:t>
            </w:r>
            <w:r w:rsidRPr="002B4A69">
              <w:rPr>
                <w:b/>
                <w:i/>
                <w:lang w:val="en-GB"/>
              </w:rPr>
              <w:t>, besides first-of-a-kind (FOAK) solutions,</w:t>
            </w:r>
            <w:r w:rsidRPr="002B4A69">
              <w:rPr>
                <w:lang w:val="en-GB"/>
              </w:rPr>
              <w:t xml:space="preserve"> reach commercial scale, bridging the gap between demonstration and market readiness in the transition</w:t>
            </w:r>
            <w:r w:rsidRPr="002B4A69">
              <w:rPr>
                <w:b/>
                <w:i/>
                <w:lang w:val="en-GB"/>
              </w:rPr>
              <w:t xml:space="preserve">, also as regards second-of-a-kind (SOAK) and nth-of-a-kind (NOAK) projects, which replicate proven solutions but continue to face </w:t>
            </w:r>
            <w:r w:rsidRPr="002B4A69">
              <w:rPr>
                <w:b/>
                <w:i/>
                <w:lang w:val="en-GB"/>
              </w:rPr>
              <w:t>elevated costs and financing barriers until learning effects reduce costs, and whose replication is essential to broad market uptake</w:t>
            </w:r>
            <w:r w:rsidRPr="002B4A69">
              <w:rPr>
                <w:lang w:val="en-GB"/>
              </w:rPr>
              <w:t xml:space="preserve">. It should therefore continue to focus on innovation, supporting early-stage, high-risk technologies, while the Industrial Decarbonisation Bank (IDB) should support the scale-up and roll-out of more mature technologies in energy-intensive industries while building resilient value chains and contributing to energy system integration. Electrification will be a prime decarbonisation pathway as outlined in the Electrification Action Plan. Alignment with the requirements of the Net-Zero Industry Act and the Industrial Accelerator Act, including regarding EU content, as well as circular economy principles, should be ensured. With its comprehensive approach from abatement to transformation and its more focused sectoral scope, the Industrial Decarbonisation Bank should support both the decarbonisation of existing installations and the deployment of new low-carbon or zero-emission production capacity, including processes that substitute carbon-intensive industrial products or methods, also by bio-based material, products and methods, and as such can also result in the generation of permanent carbon removals. In this context, also combustion activities below 20 MW should be able to benefit from the support. </w:t>
            </w:r>
            <w:r w:rsidRPr="002B4A69">
              <w:rPr>
                <w:lang w:val="en-GB"/>
              </w:rPr>
              <w:t>In order to</w:t>
            </w:r>
            <w:r w:rsidRPr="002B4A69">
              <w:rPr>
                <w:lang w:val="en-GB"/>
              </w:rPr>
              <w:t xml:space="preserve"> preserve the Union’s capacity to support the development, scale-up and deployment of innovative low-carbon technologies, it is necessary to ensure that the overall financial means expected for the Innovation Fund remain available. 50 million allowances from the free allocation buffer up to 2030 were envisaged to contribute to the financing of the Innovation Fund, thereby providing an essential planning assumption for the timely preparation and implementation of projects towards the end of this decade. By 2028, the Innovation Fund should have committed almost all of its available </w:t>
            </w:r>
            <w:r w:rsidRPr="002B4A69">
              <w:rPr>
                <w:lang w:val="en-GB"/>
              </w:rPr>
              <w:t xml:space="preserve">resources and continued support for such projects requires timely replenishment from the Member States’ auction volume and a predictable funding basis, notably </w:t>
            </w:r>
            <w:r w:rsidRPr="002B4A69">
              <w:rPr>
                <w:lang w:val="en-GB"/>
              </w:rPr>
              <w:t>where</w:t>
            </w:r>
            <w:r w:rsidRPr="002B4A69">
              <w:rPr>
                <w:lang w:val="en-GB"/>
              </w:rPr>
              <w:t>, due to the operation of the rules on free allocation, part of the allowances originally envisaged from the free allocation buffer available for the Innovation Fund would no longer be available for that purpose.</w:t>
            </w:r>
          </w:p>
        </w:tc>
      </w:tr>
    </w:tbl>
    <w:p w:rsidR="001F04EE" w:rsidRPr="002B4A69" w:rsidP="001F04EE" w14:paraId="0F0A107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0257274"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07A496D9" w14:textId="77777777">
      <w:pPr>
        <w:pStyle w:val="Normal12Italic"/>
        <w:rPr>
          <w:noProof w:val="0"/>
          <w:lang w:val="en-GB"/>
        </w:rPr>
      </w:pPr>
      <w:r w:rsidRPr="002B4A69">
        <w:rPr>
          <w:noProof w:val="0"/>
          <w:lang w:val="en-GB"/>
        </w:rPr>
        <w:t xml:space="preserve">It is known that the step between the first-of-a-kind and the second/n-th-of-a-kind solution often leads to stranded assets and commercialisation gaps, because once projects are completed, these solutions no longer qualify as an </w:t>
      </w:r>
      <w:r w:rsidRPr="002B4A69">
        <w:rPr>
          <w:noProof w:val="0"/>
          <w:lang w:val="en-GB"/>
        </w:rPr>
        <w:t>innovation, but</w:t>
      </w:r>
      <w:r w:rsidRPr="002B4A69">
        <w:rPr>
          <w:noProof w:val="0"/>
          <w:lang w:val="en-GB"/>
        </w:rPr>
        <w:t xml:space="preserve"> are at the same time not yet mature. This change, also reflected in the operative part, ensures that the two investment instruments also target support for projects in between phases, without which the Union's investment in first-of-a-kind projects would not translate into industrial-scale deployment.</w:t>
      </w:r>
    </w:p>
    <w:p w:rsidR="001F04EE" w:rsidRPr="002B4A69" w:rsidP="001F04EE" w14:paraId="503BB9FB" w14:textId="77777777">
      <w:r w:rsidRPr="002B4A69">
        <w:rPr>
          <w:rStyle w:val="HideTWBExt"/>
        </w:rPr>
        <w:t>&lt;/Amend&gt;</w:t>
      </w:r>
    </w:p>
    <w:p w:rsidR="001F04EE" w:rsidRPr="002B4A69" w:rsidP="001F04EE" w14:paraId="1CD9FE4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486</w:t>
      </w:r>
      <w:r w:rsidRPr="002B4A69">
        <w:rPr>
          <w:rStyle w:val="HideTWBExt"/>
          <w:b w:val="0"/>
          <w:lang w:val="en-GB"/>
        </w:rPr>
        <w:t>&lt;/NumAm&gt;</w:t>
      </w:r>
    </w:p>
    <w:p w:rsidR="001F04EE" w:rsidRPr="002B4A69" w:rsidP="001F04EE" w14:paraId="71FCAAAE" w14:textId="77777777">
      <w:pPr>
        <w:pStyle w:val="NormalBold"/>
      </w:pPr>
      <w:r w:rsidRPr="002B4A69">
        <w:rPr>
          <w:rStyle w:val="HideTWBExt"/>
          <w:b w:val="0"/>
        </w:rPr>
        <w:t>&lt;RepeatBlock-By&gt;&lt;Members&gt;</w:t>
      </w:r>
      <w:r w:rsidRPr="002B4A69">
        <w:t>Peter Liese, Jessica Polfjärd, Manuela Ripa, Niels Flemming Hansen, Ingeborg Ter Laak, Seán Kelly, Martine Kemp, Lídia Pereira, Liesbet Sommen, Wouter Beke, Pascal Arimont</w:t>
      </w:r>
      <w:r w:rsidRPr="002B4A69">
        <w:rPr>
          <w:rStyle w:val="HideTWBExt"/>
          <w:b w:val="0"/>
        </w:rPr>
        <w:t>&lt;/Members&gt;</w:t>
      </w:r>
    </w:p>
    <w:p w:rsidR="001F04EE" w:rsidRPr="002B4A69" w:rsidP="001F04EE" w14:paraId="052CBA98" w14:textId="77777777">
      <w:r w:rsidRPr="002B4A69">
        <w:rPr>
          <w:rStyle w:val="HideTWBExt"/>
        </w:rPr>
        <w:t>&lt;/RepeatBlock-By&gt;</w:t>
      </w:r>
    </w:p>
    <w:p w:rsidR="001F04EE" w:rsidRPr="002B4A69" w:rsidP="001F04EE" w14:paraId="1FFF038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5382A1E" w14:textId="77777777">
      <w:pPr>
        <w:pStyle w:val="NormalBold"/>
      </w:pPr>
      <w:r w:rsidRPr="002B4A69">
        <w:rPr>
          <w:rStyle w:val="HideTWBExt"/>
          <w:b w:val="0"/>
        </w:rPr>
        <w:t>&lt;Article&gt;</w:t>
      </w:r>
      <w:r w:rsidRPr="002B4A69">
        <w:t>Recital 61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6B525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6B477F9" w14:textId="77777777">
            <w:pPr>
              <w:keepNext/>
            </w:pPr>
          </w:p>
        </w:tc>
      </w:tr>
      <w:tr w14:paraId="4EA532A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442A700" w14:textId="77777777">
            <w:pPr>
              <w:pStyle w:val="ColumnHeading"/>
              <w:keepNext/>
              <w:rPr>
                <w:lang w:val="en-GB"/>
              </w:rPr>
            </w:pPr>
            <w:r w:rsidRPr="002B4A69">
              <w:rPr>
                <w:lang w:val="en-GB"/>
              </w:rPr>
              <w:t>Text proposed by the Commission</w:t>
            </w:r>
          </w:p>
        </w:tc>
        <w:tc>
          <w:tcPr>
            <w:tcW w:w="4876" w:type="dxa"/>
          </w:tcPr>
          <w:p w:rsidR="001F04EE" w:rsidRPr="002B4A69" w:rsidP="00723F81" w14:paraId="1C0D8B49" w14:textId="77777777">
            <w:pPr>
              <w:pStyle w:val="ColumnHeading"/>
              <w:keepNext/>
              <w:rPr>
                <w:lang w:val="en-GB"/>
              </w:rPr>
            </w:pPr>
            <w:r w:rsidRPr="002B4A69">
              <w:rPr>
                <w:lang w:val="en-GB"/>
              </w:rPr>
              <w:t>Amendment</w:t>
            </w:r>
          </w:p>
        </w:tc>
      </w:tr>
      <w:tr w14:paraId="60389CF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2952748" w14:textId="77777777">
            <w:pPr>
              <w:pStyle w:val="Normal6"/>
              <w:rPr>
                <w:lang w:val="en-GB"/>
              </w:rPr>
            </w:pPr>
          </w:p>
        </w:tc>
        <w:tc>
          <w:tcPr>
            <w:tcW w:w="4876" w:type="dxa"/>
          </w:tcPr>
          <w:p w:rsidR="001F04EE" w:rsidRPr="002B4A69" w:rsidP="00723F81" w14:paraId="1F10BD3D" w14:textId="77777777">
            <w:pPr>
              <w:pStyle w:val="Normal6"/>
              <w:rPr>
                <w:szCs w:val="24"/>
                <w:lang w:val="en-GB"/>
              </w:rPr>
            </w:pPr>
            <w:r w:rsidRPr="002B4A69">
              <w:rPr>
                <w:b/>
                <w:i/>
                <w:lang w:val="en-GB"/>
              </w:rPr>
              <w:t>(61a)</w:t>
            </w:r>
            <w:r w:rsidRPr="002B4A69">
              <w:rPr>
                <w:b/>
                <w:i/>
                <w:lang w:val="en-GB"/>
              </w:rPr>
              <w:tab/>
              <w:t>To ensure that companies that invested at an early stage in large-scale projects of low-carbon production within the Union do not suffer an unforeseen competitive disadvantage in their operational expenditures (‘OPEX’) due to a CO</w:t>
            </w:r>
            <w:r w:rsidRPr="002B4A69">
              <w:rPr>
                <w:b/>
                <w:i/>
                <w:vertAlign w:val="subscript"/>
                <w:lang w:val="en-GB"/>
              </w:rPr>
              <w:t>2</w:t>
            </w:r>
            <w:r w:rsidRPr="002B4A69">
              <w:rPr>
                <w:lang w:val="en-GB"/>
              </w:rPr>
              <w:t xml:space="preserve"> </w:t>
            </w:r>
            <w:r w:rsidRPr="002B4A69">
              <w:rPr>
                <w:b/>
                <w:i/>
                <w:lang w:val="en-GB"/>
              </w:rPr>
              <w:t xml:space="preserve">price signal that might be significantly lower than set out by the current legislation, a First-Mover Compensation Instrument (‘FMCI’) should be established. Specifically, said instrument should reimburse the difference between the actual EUA market price and the projected strike price to companies that took final investment </w:t>
            </w:r>
            <w:r w:rsidRPr="002B4A69">
              <w:rPr>
                <w:b/>
                <w:i/>
                <w:lang w:val="en-GB"/>
              </w:rPr>
              <w:t>decisions (‘FIDs’) for direct electrification, process and fuel switching (incl. hydrogen-based production), and carbon capture and storage projects prior to 31 December 2025. The support should be granted by means of a two-sided Carbon Contract for Difference (‘CCfD’) and disbursed upon verified GHG abatement. Support under the FMCI should be financed from ETS revenues and granted from 2028 onwards, segmented into five-year periods.</w:t>
            </w:r>
          </w:p>
        </w:tc>
      </w:tr>
    </w:tbl>
    <w:p w:rsidR="001F04EE" w:rsidRPr="002B4A69" w:rsidP="001F04EE" w14:paraId="76EA4E0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5BF3E87"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4CE8381" w14:textId="77777777">
      <w:pPr>
        <w:pStyle w:val="Normal12Italic"/>
        <w:rPr>
          <w:noProof w:val="0"/>
          <w:lang w:val="en-GB"/>
        </w:rPr>
      </w:pPr>
      <w:r w:rsidRPr="002B4A69">
        <w:rPr>
          <w:noProof w:val="0"/>
          <w:lang w:val="en-GB"/>
        </w:rPr>
        <w:t xml:space="preserve">To protect first movers in industrial decarbonisation from an unforeseen competitive disadvantage due to a weaker CO2 price than they expected when making the investment, a First-Mover Compensation Instrument (‘FMCI’) should be established. This will bridge any price gap, if occurring, through two-sided Carbon Contracts for Difference and thus safeguard first </w:t>
      </w:r>
      <w:r w:rsidRPr="002B4A69">
        <w:rPr>
          <w:noProof w:val="0"/>
          <w:lang w:val="en-GB"/>
        </w:rPr>
        <w:t>movers</w:t>
      </w:r>
      <w:r w:rsidRPr="002B4A69">
        <w:rPr>
          <w:noProof w:val="0"/>
          <w:lang w:val="en-GB"/>
        </w:rPr>
        <w:t xml:space="preserve"> investments.</w:t>
      </w:r>
    </w:p>
    <w:p w:rsidR="001F04EE" w:rsidRPr="002B4A69" w:rsidP="001F04EE" w14:paraId="6197CA1F" w14:textId="77777777">
      <w:r w:rsidRPr="002B4A69">
        <w:rPr>
          <w:rStyle w:val="HideTWBExt"/>
        </w:rPr>
        <w:t>&lt;/Amend&gt;</w:t>
      </w:r>
    </w:p>
    <w:p w:rsidR="001F04EE" w:rsidRPr="002B4A69" w:rsidP="001F04EE" w14:paraId="0A82698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487</w:t>
      </w:r>
      <w:r w:rsidRPr="002B4A69">
        <w:rPr>
          <w:rStyle w:val="HideTWBExt"/>
          <w:b w:val="0"/>
          <w:lang w:val="en-GB"/>
        </w:rPr>
        <w:t>&lt;/NumAm&gt;</w:t>
      </w:r>
    </w:p>
    <w:p w:rsidR="001F04EE" w:rsidRPr="002B4A69" w:rsidP="001F04EE" w14:paraId="48168694" w14:textId="77777777">
      <w:pPr>
        <w:pStyle w:val="NormalBold"/>
      </w:pPr>
      <w:r w:rsidRPr="002B4A69">
        <w:rPr>
          <w:rStyle w:val="HideTWBExt"/>
          <w:b w:val="0"/>
        </w:rPr>
        <w:t>&lt;RepeatBlock-By&gt;&lt;Members&gt;</w:t>
      </w:r>
      <w:r w:rsidRPr="002B4A69">
        <w:t>Matteo Ricci</w:t>
      </w:r>
      <w:r w:rsidRPr="002B4A69">
        <w:rPr>
          <w:rStyle w:val="HideTWBExt"/>
          <w:b w:val="0"/>
        </w:rPr>
        <w:t>&lt;/Members&gt;</w:t>
      </w:r>
    </w:p>
    <w:p w:rsidR="001F04EE" w:rsidRPr="002B4A69" w:rsidP="001F04EE" w14:paraId="2335BA41" w14:textId="77777777">
      <w:r w:rsidRPr="002B4A69">
        <w:rPr>
          <w:rStyle w:val="HideTWBExt"/>
        </w:rPr>
        <w:t>&lt;/RepeatBlock-By&gt;</w:t>
      </w:r>
    </w:p>
    <w:p w:rsidR="001F04EE" w:rsidRPr="002B4A69" w:rsidP="001F04EE" w14:paraId="5F3704F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CC637CB" w14:textId="77777777">
      <w:pPr>
        <w:pStyle w:val="NormalBold"/>
      </w:pPr>
      <w:r w:rsidRPr="002B4A69">
        <w:rPr>
          <w:rStyle w:val="HideTWBExt"/>
          <w:b w:val="0"/>
        </w:rPr>
        <w:t>&lt;Article&gt;</w:t>
      </w:r>
      <w:r w:rsidRPr="002B4A69">
        <w:t>Recital 61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13181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B574C33" w14:textId="77777777">
            <w:pPr>
              <w:keepNext/>
            </w:pPr>
          </w:p>
        </w:tc>
      </w:tr>
      <w:tr w14:paraId="1EAEC95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A911DB3" w14:textId="77777777">
            <w:pPr>
              <w:pStyle w:val="ColumnHeading"/>
              <w:keepNext/>
              <w:rPr>
                <w:lang w:val="en-GB"/>
              </w:rPr>
            </w:pPr>
            <w:r w:rsidRPr="002B4A69">
              <w:rPr>
                <w:lang w:val="en-GB"/>
              </w:rPr>
              <w:t>Text proposed by the Commission</w:t>
            </w:r>
          </w:p>
        </w:tc>
        <w:tc>
          <w:tcPr>
            <w:tcW w:w="4876" w:type="dxa"/>
          </w:tcPr>
          <w:p w:rsidR="001F04EE" w:rsidRPr="002B4A69" w:rsidP="00723F81" w14:paraId="6C2D3DF5" w14:textId="77777777">
            <w:pPr>
              <w:pStyle w:val="ColumnHeading"/>
              <w:keepNext/>
              <w:rPr>
                <w:lang w:val="en-GB"/>
              </w:rPr>
            </w:pPr>
            <w:r w:rsidRPr="002B4A69">
              <w:rPr>
                <w:lang w:val="en-GB"/>
              </w:rPr>
              <w:t>Amendment</w:t>
            </w:r>
          </w:p>
        </w:tc>
      </w:tr>
      <w:tr w14:paraId="45114A9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26F6A85" w14:textId="77777777">
            <w:pPr>
              <w:pStyle w:val="Normal6"/>
              <w:rPr>
                <w:lang w:val="en-GB"/>
              </w:rPr>
            </w:pPr>
          </w:p>
        </w:tc>
        <w:tc>
          <w:tcPr>
            <w:tcW w:w="4876" w:type="dxa"/>
          </w:tcPr>
          <w:p w:rsidR="001F04EE" w:rsidRPr="002B4A69" w:rsidP="00723F81" w14:paraId="77564E93" w14:textId="77777777">
            <w:pPr>
              <w:pStyle w:val="Normal6"/>
              <w:rPr>
                <w:szCs w:val="24"/>
                <w:lang w:val="en-GB"/>
              </w:rPr>
            </w:pPr>
            <w:r w:rsidRPr="002B4A69">
              <w:rPr>
                <w:b/>
                <w:i/>
                <w:lang w:val="en-GB"/>
              </w:rPr>
              <w:t>(61a)</w:t>
            </w:r>
            <w:r w:rsidRPr="002B4A69">
              <w:rPr>
                <w:b/>
                <w:i/>
                <w:lang w:val="en-GB"/>
              </w:rPr>
              <w:tab/>
              <w:t>The funding instruments established or extended by this Directive should be available to all sectors covered by the EU ETS on equivalent terms. Maritime transport and aviation are hard-to-abate sectors characterised by long asset lifetimes, high capital intensity and a current scarcity of alternatives to fossil fuels. For this reason, the Innovation Fund should dedicate a specific budget to first-of-a-kind and demonstration projects in maritime transport and aviation.</w:t>
            </w:r>
          </w:p>
        </w:tc>
      </w:tr>
    </w:tbl>
    <w:p w:rsidR="001F04EE" w:rsidRPr="002B4A69" w:rsidP="001F04EE" w14:paraId="4366B5E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65D4A37" w14:textId="77777777">
      <w:r w:rsidRPr="002B4A69">
        <w:rPr>
          <w:rStyle w:val="HideTWBExt"/>
        </w:rPr>
        <w:t>&lt;/Amend&gt;</w:t>
      </w:r>
    </w:p>
    <w:p w:rsidR="001F04EE" w:rsidRPr="002B4A69" w:rsidP="001F04EE" w14:paraId="5AEE506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488</w:t>
      </w:r>
      <w:r w:rsidRPr="002B4A69">
        <w:rPr>
          <w:rStyle w:val="HideTWBExt"/>
          <w:b w:val="0"/>
          <w:lang w:val="en-GB"/>
        </w:rPr>
        <w:t>&lt;/NumAm&gt;</w:t>
      </w:r>
    </w:p>
    <w:p w:rsidR="001F04EE" w:rsidRPr="002B4A69" w:rsidP="001F04EE" w14:paraId="03907577" w14:textId="77777777">
      <w:pPr>
        <w:pStyle w:val="NormalBold"/>
      </w:pPr>
      <w:r w:rsidRPr="002B4A69">
        <w:rPr>
          <w:rStyle w:val="HideTWBExt"/>
          <w:b w:val="0"/>
        </w:rPr>
        <w:t>&lt;RepeatBlock-By&gt;&lt;Members&gt;</w:t>
      </w:r>
      <w:r w:rsidRPr="002B4A69">
        <w:t>Jessica Polfjärd</w:t>
      </w:r>
      <w:r w:rsidRPr="002B4A69">
        <w:rPr>
          <w:rStyle w:val="HideTWBExt"/>
          <w:b w:val="0"/>
        </w:rPr>
        <w:t>&lt;/Members&gt;</w:t>
      </w:r>
    </w:p>
    <w:p w:rsidR="001F04EE" w:rsidRPr="002B4A69" w:rsidP="001F04EE" w14:paraId="57F7001D" w14:textId="77777777">
      <w:r w:rsidRPr="002B4A69">
        <w:rPr>
          <w:rStyle w:val="HideTWBExt"/>
        </w:rPr>
        <w:t>&lt;/RepeatBlock-By&gt;</w:t>
      </w:r>
    </w:p>
    <w:p w:rsidR="001F04EE" w:rsidRPr="002B4A69" w:rsidP="001F04EE" w14:paraId="39CC46F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CCBDAFB"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9F5F3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39CBA2E" w14:textId="77777777">
            <w:pPr>
              <w:keepNext/>
            </w:pPr>
          </w:p>
        </w:tc>
      </w:tr>
      <w:tr w14:paraId="1CDC5E1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315698D" w14:textId="77777777">
            <w:pPr>
              <w:pStyle w:val="ColumnHeading"/>
              <w:keepNext/>
              <w:rPr>
                <w:lang w:val="en-GB"/>
              </w:rPr>
            </w:pPr>
            <w:r w:rsidRPr="002B4A69">
              <w:rPr>
                <w:lang w:val="en-GB"/>
              </w:rPr>
              <w:t>Text proposed by the Commission</w:t>
            </w:r>
          </w:p>
        </w:tc>
        <w:tc>
          <w:tcPr>
            <w:tcW w:w="4876" w:type="dxa"/>
          </w:tcPr>
          <w:p w:rsidR="001F04EE" w:rsidRPr="002B4A69" w:rsidP="00723F81" w14:paraId="377EF727" w14:textId="77777777">
            <w:pPr>
              <w:pStyle w:val="ColumnHeading"/>
              <w:keepNext/>
              <w:rPr>
                <w:lang w:val="en-GB"/>
              </w:rPr>
            </w:pPr>
            <w:r w:rsidRPr="002B4A69">
              <w:rPr>
                <w:lang w:val="en-GB"/>
              </w:rPr>
              <w:t>Amendment</w:t>
            </w:r>
          </w:p>
        </w:tc>
      </w:tr>
      <w:tr w14:paraId="7BF8944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D12B122" w14:textId="77777777">
            <w:pPr>
              <w:pStyle w:val="Normal6"/>
              <w:rPr>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w:t>
            </w:r>
            <w:r w:rsidRPr="002B4A69">
              <w:rPr>
                <w:b/>
                <w:i/>
                <w:lang w:val="en-GB"/>
              </w:rPr>
              <w:t>CO₂</w:t>
            </w:r>
            <w:r w:rsidRPr="002B4A69">
              <w:rPr>
                <w:lang w:val="en-GB"/>
              </w:rPr>
              <w:t xml:space="preserve">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w:t>
            </w:r>
            <w:r w:rsidRPr="002B4A69">
              <w:rPr>
                <w:b/>
                <w:i/>
                <w:lang w:val="en-GB"/>
              </w:rPr>
              <w:t>based on a funding gap analysis</w:t>
            </w:r>
            <w:r w:rsidRPr="002B4A69">
              <w:rPr>
                <w:lang w:val="en-GB"/>
              </w:rPr>
              <w:t xml:space="preserve"> using the best available knowledge regarding the specific type and cost of the technologies supported </w:t>
            </w:r>
            <w:r w:rsidRPr="002B4A69">
              <w:rPr>
                <w:b/>
                <w:i/>
                <w:lang w:val="en-GB"/>
              </w:rPr>
              <w:t>as well as taking into account the need</w:t>
            </w:r>
            <w:r w:rsidRPr="002B4A69">
              <w:rPr>
                <w:lang w:val="en-GB"/>
              </w:rPr>
              <w:t xml:space="preserve"> to ensure </w:t>
            </w:r>
            <w:r w:rsidRPr="002B4A69">
              <w:rPr>
                <w:b/>
                <w:i/>
                <w:lang w:val="en-GB"/>
              </w:rPr>
              <w:t>the proportionality of the</w:t>
            </w:r>
            <w:r w:rsidRPr="002B4A69">
              <w:rPr>
                <w:lang w:val="en-GB"/>
              </w:rPr>
              <w:t xml:space="preserve"> support. The Commission should periodically assess those Terms and Conditions in the light of the experience gained and market developments.</w:t>
            </w:r>
          </w:p>
        </w:tc>
        <w:tc>
          <w:tcPr>
            <w:tcW w:w="4876" w:type="dxa"/>
          </w:tcPr>
          <w:p w:rsidR="001F04EE" w:rsidRPr="002B4A69" w:rsidP="00723F81" w14:paraId="61224D33" w14:textId="77777777">
            <w:pPr>
              <w:pStyle w:val="Normal6"/>
              <w:rPr>
                <w:szCs w:val="24"/>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w:t>
            </w:r>
            <w:r w:rsidRPr="002B4A69">
              <w:rPr>
                <w:b/>
                <w:i/>
                <w:lang w:val="en-GB"/>
              </w:rPr>
              <w:t>CO</w:t>
            </w:r>
            <w:r w:rsidRPr="002B4A69">
              <w:rPr>
                <w:b/>
                <w:i/>
                <w:vertAlign w:val="subscript"/>
                <w:lang w:val="en-GB"/>
              </w:rPr>
              <w:t>2</w:t>
            </w:r>
            <w:r w:rsidRPr="002B4A69">
              <w:rPr>
                <w:lang w:val="en-GB"/>
              </w:rPr>
              <w:t xml:space="preserve">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w:t>
            </w:r>
            <w:r w:rsidRPr="002B4A69">
              <w:rPr>
                <w:b/>
                <w:i/>
                <w:lang w:val="en-GB"/>
              </w:rPr>
              <w:t>set at a level that makes low-carbon production commercially viable at scale,</w:t>
            </w:r>
            <w:r w:rsidRPr="002B4A69">
              <w:rPr>
                <w:lang w:val="en-GB"/>
              </w:rPr>
              <w:t xml:space="preserve"> using the best available knowledge regarding the specific type and cost of the technologies supported</w:t>
            </w:r>
            <w:r w:rsidRPr="002B4A69">
              <w:rPr>
                <w:b/>
                <w:i/>
                <w:lang w:val="en-GB"/>
              </w:rPr>
              <w:t>. The premium is paid per tonne of CO</w:t>
            </w:r>
            <w:r w:rsidRPr="002B4A69">
              <w:rPr>
                <w:b/>
                <w:i/>
                <w:vertAlign w:val="subscript"/>
                <w:lang w:val="en-GB"/>
              </w:rPr>
              <w:t>2</w:t>
            </w:r>
            <w:r w:rsidRPr="002B4A69">
              <w:rPr>
                <w:lang w:val="en-GB"/>
              </w:rPr>
              <w:t xml:space="preserve"> </w:t>
            </w:r>
            <w:r w:rsidRPr="002B4A69">
              <w:rPr>
                <w:b/>
                <w:i/>
                <w:lang w:val="en-GB"/>
              </w:rPr>
              <w:t>avoided in verified low-carbon production and does not depend on the price a producer obtains for its products.</w:t>
            </w:r>
            <w:r w:rsidRPr="002B4A69">
              <w:rPr>
                <w:lang w:val="en-GB"/>
              </w:rPr>
              <w:t xml:space="preserve"> To ensure </w:t>
            </w:r>
            <w:r w:rsidRPr="002B4A69">
              <w:rPr>
                <w:b/>
                <w:i/>
                <w:lang w:val="en-GB"/>
              </w:rPr>
              <w:t xml:space="preserve">a level playing field for </w:t>
            </w:r>
            <w:r w:rsidRPr="002B4A69">
              <w:rPr>
                <w:b/>
                <w:i/>
                <w:lang w:val="en-GB"/>
              </w:rPr>
              <w:t>first-movers</w:t>
            </w:r>
            <w:r w:rsidRPr="002B4A69">
              <w:rPr>
                <w:b/>
                <w:i/>
                <w:lang w:val="en-GB"/>
              </w:rPr>
              <w:t xml:space="preserve"> and frontrunners investing in decarbonisation, projects in the same decarbonisation pathway awarded</w:t>
            </w:r>
            <w:r w:rsidRPr="002B4A69">
              <w:rPr>
                <w:lang w:val="en-GB"/>
              </w:rPr>
              <w:t xml:space="preserve"> support </w:t>
            </w:r>
            <w:r w:rsidRPr="002B4A69">
              <w:rPr>
                <w:b/>
                <w:i/>
                <w:lang w:val="en-GB"/>
              </w:rPr>
              <w:t xml:space="preserve">from the ETS Investment Booster should be awarded the same fixed carbon </w:t>
            </w:r>
            <w:r w:rsidRPr="002B4A69">
              <w:rPr>
                <w:b/>
                <w:i/>
                <w:lang w:val="en-GB"/>
              </w:rPr>
              <w:t>premium rate per tonne of CO</w:t>
            </w:r>
            <w:r w:rsidRPr="002B4A69">
              <w:rPr>
                <w:b/>
                <w:i/>
                <w:vertAlign w:val="subscript"/>
                <w:lang w:val="en-GB"/>
              </w:rPr>
              <w:t>2</w:t>
            </w:r>
            <w:r w:rsidRPr="002B4A69">
              <w:rPr>
                <w:lang w:val="en-GB"/>
              </w:rPr>
              <w:t xml:space="preserve"> </w:t>
            </w:r>
            <w:r w:rsidRPr="002B4A69">
              <w:rPr>
                <w:b/>
                <w:i/>
                <w:lang w:val="en-GB"/>
              </w:rPr>
              <w:t xml:space="preserve">avoided. This should also apply to </w:t>
            </w:r>
            <w:r w:rsidRPr="002B4A69">
              <w:rPr>
                <w:b/>
                <w:i/>
                <w:lang w:val="en-GB"/>
              </w:rPr>
              <w:t>first-movers</w:t>
            </w:r>
            <w:r w:rsidRPr="002B4A69">
              <w:rPr>
                <w:b/>
                <w:i/>
                <w:lang w:val="en-GB"/>
              </w:rPr>
              <w:t xml:space="preserve"> that have already reached construction or production of </w:t>
            </w:r>
            <w:r w:rsidRPr="002B4A69">
              <w:rPr>
                <w:b/>
                <w:i/>
                <w:lang w:val="en-GB"/>
              </w:rPr>
              <w:t>lowcarbon</w:t>
            </w:r>
            <w:r w:rsidRPr="002B4A69">
              <w:rPr>
                <w:b/>
                <w:i/>
                <w:lang w:val="en-GB"/>
              </w:rPr>
              <w:t xml:space="preserve"> or near-zero emission products covered in Annex 1, which should be awarded the same fixed carbon premium rate per tonne of CO</w:t>
            </w:r>
            <w:r w:rsidRPr="002B4A69">
              <w:rPr>
                <w:b/>
                <w:i/>
                <w:vertAlign w:val="subscript"/>
                <w:lang w:val="en-GB"/>
              </w:rPr>
              <w:t>2</w:t>
            </w:r>
            <w:r w:rsidRPr="002B4A69">
              <w:rPr>
                <w:lang w:val="en-GB"/>
              </w:rPr>
              <w:t xml:space="preserve"> </w:t>
            </w:r>
            <w:r w:rsidRPr="002B4A69">
              <w:rPr>
                <w:b/>
                <w:i/>
                <w:lang w:val="en-GB"/>
              </w:rPr>
              <w:t>avoided as projects in earlier development stages</w:t>
            </w:r>
            <w:r w:rsidRPr="002B4A69">
              <w:rPr>
                <w:lang w:val="en-GB"/>
              </w:rPr>
              <w:t>. The Commission should periodically assess those Terms and Conditions in the light of the experience gained and market developments.</w:t>
            </w:r>
          </w:p>
        </w:tc>
      </w:tr>
    </w:tbl>
    <w:p w:rsidR="001F04EE" w:rsidRPr="002B4A69" w:rsidP="001F04EE" w14:paraId="0A5DB0E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7585579"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22D3EEB5" w14:textId="77777777">
      <w:pPr>
        <w:pStyle w:val="Normal12Italic"/>
        <w:rPr>
          <w:noProof w:val="0"/>
          <w:lang w:val="en-GB"/>
        </w:rPr>
      </w:pPr>
      <w:r w:rsidRPr="002B4A69">
        <w:rPr>
          <w:noProof w:val="0"/>
          <w:lang w:val="en-GB"/>
        </w:rPr>
        <w:t>Ensuring a level playing field between early movers and those delaying decarbonisation investments is essential, while avoiding penalties for businesses that have already reached Final Investment Decision, construction, or production.</w:t>
      </w:r>
    </w:p>
    <w:p w:rsidR="001F04EE" w:rsidRPr="002B4A69" w:rsidP="001F04EE" w14:paraId="377950E0" w14:textId="77777777">
      <w:r w:rsidRPr="002B4A69">
        <w:rPr>
          <w:rStyle w:val="HideTWBExt"/>
        </w:rPr>
        <w:t>&lt;/Amend&gt;</w:t>
      </w:r>
    </w:p>
    <w:p w:rsidR="001F04EE" w:rsidRPr="002B4A69" w:rsidP="001F04EE" w14:paraId="5B54BA1D"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489</w:t>
      </w:r>
      <w:r w:rsidRPr="002B4A69">
        <w:rPr>
          <w:rStyle w:val="HideTWBExt"/>
          <w:b w:val="0"/>
          <w:lang w:val="en-GB"/>
        </w:rPr>
        <w:t>&lt;/NumAm&gt;</w:t>
      </w:r>
    </w:p>
    <w:p w:rsidR="001F04EE" w:rsidRPr="002B4A69" w:rsidP="001F04EE" w14:paraId="5C74D8AE" w14:textId="77777777">
      <w:pPr>
        <w:pStyle w:val="NormalBold"/>
      </w:pPr>
      <w:r w:rsidRPr="002B4A69">
        <w:rPr>
          <w:rStyle w:val="HideTWBExt"/>
          <w:b w:val="0"/>
        </w:rPr>
        <w:t>&lt;RepeatBlock-By&gt;&lt;Members&gt;</w:t>
      </w:r>
      <w:r w:rsidRPr="002B4A69">
        <w:t>Heléne Fritzon</w:t>
      </w:r>
      <w:r w:rsidRPr="002B4A69">
        <w:rPr>
          <w:rStyle w:val="HideTWBExt"/>
          <w:b w:val="0"/>
        </w:rPr>
        <w:t>&lt;/Members&gt;</w:t>
      </w:r>
    </w:p>
    <w:p w:rsidR="001F04EE" w:rsidRPr="002B4A69" w:rsidP="001F04EE" w14:paraId="09A96581" w14:textId="77777777">
      <w:r w:rsidRPr="002B4A69">
        <w:rPr>
          <w:rStyle w:val="HideTWBExt"/>
        </w:rPr>
        <w:t>&lt;/RepeatBlock-By&gt;</w:t>
      </w:r>
    </w:p>
    <w:p w:rsidR="001F04EE" w:rsidRPr="002B4A69" w:rsidP="001F04EE" w14:paraId="42A7B49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6C8F86D"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2D158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6EF3E12" w14:textId="77777777">
            <w:pPr>
              <w:keepNext/>
            </w:pPr>
          </w:p>
        </w:tc>
      </w:tr>
      <w:tr w14:paraId="48E2880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9F9F7A" w14:textId="77777777">
            <w:pPr>
              <w:pStyle w:val="ColumnHeading"/>
              <w:keepNext/>
              <w:rPr>
                <w:lang w:val="en-GB"/>
              </w:rPr>
            </w:pPr>
            <w:r w:rsidRPr="002B4A69">
              <w:rPr>
                <w:lang w:val="en-GB"/>
              </w:rPr>
              <w:t>Text proposed by the Commission</w:t>
            </w:r>
          </w:p>
        </w:tc>
        <w:tc>
          <w:tcPr>
            <w:tcW w:w="4876" w:type="dxa"/>
          </w:tcPr>
          <w:p w:rsidR="001F04EE" w:rsidRPr="002B4A69" w:rsidP="00723F81" w14:paraId="7DB5F770" w14:textId="77777777">
            <w:pPr>
              <w:pStyle w:val="ColumnHeading"/>
              <w:keepNext/>
              <w:rPr>
                <w:lang w:val="en-GB"/>
              </w:rPr>
            </w:pPr>
            <w:r w:rsidRPr="002B4A69">
              <w:rPr>
                <w:lang w:val="en-GB"/>
              </w:rPr>
              <w:t>Amendment</w:t>
            </w:r>
          </w:p>
        </w:tc>
      </w:tr>
      <w:tr w14:paraId="3081FDF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588AC8A" w14:textId="77777777">
            <w:pPr>
              <w:pStyle w:val="Normal6"/>
              <w:rPr>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w:t>
            </w:r>
            <w:r w:rsidRPr="002B4A69">
              <w:rPr>
                <w:lang w:val="en-GB"/>
              </w:rPr>
              <w:t>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w:t>
            </w:r>
            <w:r w:rsidRPr="002B4A69">
              <w:rPr>
                <w:b/>
                <w:i/>
                <w:lang w:val="en-GB"/>
              </w:rPr>
              <w:t>based on a funding gap analysis</w:t>
            </w:r>
            <w:r w:rsidRPr="002B4A69">
              <w:rPr>
                <w:lang w:val="en-GB"/>
              </w:rPr>
              <w:t xml:space="preserve">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c>
          <w:tcPr>
            <w:tcW w:w="4876" w:type="dxa"/>
          </w:tcPr>
          <w:p w:rsidR="001F04EE" w:rsidRPr="002B4A69" w:rsidP="00723F81" w14:paraId="574FEE9E" w14:textId="77777777">
            <w:pPr>
              <w:pStyle w:val="Normal6"/>
              <w:rPr>
                <w:szCs w:val="24"/>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w:t>
            </w:r>
            <w:r w:rsidRPr="002B4A69">
              <w:rPr>
                <w:lang w:val="en-GB"/>
              </w:rPr>
              <w:t>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w:t>
            </w:r>
            <w:r w:rsidRPr="002B4A69">
              <w:rPr>
                <w:b/>
                <w:i/>
                <w:lang w:val="en-GB"/>
              </w:rPr>
              <w:t>set at a level that makes low-carbon production commerically viable at scale,</w:t>
            </w:r>
            <w:r w:rsidRPr="002B4A69">
              <w:rPr>
                <w:lang w:val="en-GB"/>
              </w:rPr>
              <w:t xml:space="preserve"> using the best available knowledge regarding the specific type and cost of the technologies supported as well as taking into account the need to ensure the proportionality of the support. The </w:t>
            </w:r>
            <w:r w:rsidRPr="002B4A69">
              <w:rPr>
                <w:b/>
                <w:i/>
                <w:lang w:val="en-GB"/>
              </w:rPr>
              <w:t>premium is paid per tonne of CO</w:t>
            </w:r>
            <w:r w:rsidRPr="002B4A69">
              <w:rPr>
                <w:b/>
                <w:i/>
                <w:vertAlign w:val="subscript"/>
                <w:lang w:val="en-GB"/>
              </w:rPr>
              <w:t>2</w:t>
            </w:r>
            <w:r w:rsidRPr="002B4A69">
              <w:rPr>
                <w:lang w:val="en-GB"/>
              </w:rPr>
              <w:t xml:space="preserve"> </w:t>
            </w:r>
            <w:r w:rsidRPr="002B4A69">
              <w:rPr>
                <w:b/>
                <w:i/>
                <w:lang w:val="en-GB"/>
              </w:rPr>
              <w:t xml:space="preserve">avoided in verified low-carbon production and does not depend on the price a producer obtains for its products. To ensure a level playing field for </w:t>
            </w:r>
            <w:r w:rsidRPr="002B4A69">
              <w:rPr>
                <w:b/>
                <w:i/>
                <w:lang w:val="en-GB"/>
              </w:rPr>
              <w:t>first-movers</w:t>
            </w:r>
            <w:r w:rsidRPr="002B4A69">
              <w:rPr>
                <w:b/>
                <w:i/>
                <w:lang w:val="en-GB"/>
              </w:rPr>
              <w:t xml:space="preserve"> and frontrunners investing in decarbonisation, projects in the same decarbonisation pathway awarded support from the ETS Investment Booster should be awarded the same fixed carbon premium rate per tonne of CO</w:t>
            </w:r>
            <w:r w:rsidRPr="002B4A69">
              <w:rPr>
                <w:b/>
                <w:i/>
                <w:vertAlign w:val="subscript"/>
                <w:lang w:val="en-GB"/>
              </w:rPr>
              <w:t>2</w:t>
            </w:r>
            <w:r w:rsidRPr="002B4A69">
              <w:rPr>
                <w:lang w:val="en-GB"/>
              </w:rPr>
              <w:t xml:space="preserve"> </w:t>
            </w:r>
            <w:r w:rsidRPr="002B4A69">
              <w:rPr>
                <w:b/>
                <w:i/>
                <w:lang w:val="en-GB"/>
              </w:rPr>
              <w:t xml:space="preserve">avoided. This should also apply to </w:t>
            </w:r>
            <w:r w:rsidRPr="002B4A69">
              <w:rPr>
                <w:b/>
                <w:i/>
                <w:lang w:val="en-GB"/>
              </w:rPr>
              <w:t>first-movers</w:t>
            </w:r>
            <w:r w:rsidRPr="002B4A69">
              <w:rPr>
                <w:b/>
                <w:i/>
                <w:lang w:val="en-GB"/>
              </w:rPr>
              <w:t xml:space="preserve"> that have already reached construction or production of low-carbon or near-zero emission products covered in Annex 1, which should be awarded the same fixed carbon premium rate per tonne of CO</w:t>
            </w:r>
            <w:r w:rsidRPr="002B4A69">
              <w:rPr>
                <w:b/>
                <w:i/>
                <w:vertAlign w:val="subscript"/>
                <w:lang w:val="en-GB"/>
              </w:rPr>
              <w:t>2</w:t>
            </w:r>
            <w:r w:rsidRPr="002B4A69">
              <w:rPr>
                <w:lang w:val="en-GB"/>
              </w:rPr>
              <w:t xml:space="preserve"> </w:t>
            </w:r>
            <w:r w:rsidRPr="002B4A69">
              <w:rPr>
                <w:b/>
                <w:i/>
                <w:lang w:val="en-GB"/>
              </w:rPr>
              <w:t>avoided as projects in earlier development stages The</w:t>
            </w:r>
            <w:r w:rsidRPr="002B4A69">
              <w:rPr>
                <w:lang w:val="en-GB"/>
              </w:rPr>
              <w:t xml:space="preserve"> Commission should periodically assess those Terms and Conditions in the light of the experience gained and market developments.</w:t>
            </w:r>
          </w:p>
        </w:tc>
      </w:tr>
    </w:tbl>
    <w:p w:rsidR="001F04EE" w:rsidRPr="002B4A69" w:rsidP="001F04EE" w14:paraId="05F99D8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41D8DAD" w14:textId="77777777">
      <w:r w:rsidRPr="002B4A69">
        <w:rPr>
          <w:rStyle w:val="HideTWBExt"/>
        </w:rPr>
        <w:t>&lt;/Amend&gt;</w:t>
      </w:r>
    </w:p>
    <w:p w:rsidR="001F04EE" w:rsidRPr="002B4A69" w:rsidP="001F04EE" w14:paraId="3CE3A30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490</w:t>
      </w:r>
      <w:r w:rsidRPr="002B4A69">
        <w:rPr>
          <w:rStyle w:val="HideTWBExt"/>
          <w:b w:val="0"/>
          <w:lang w:val="en-GB"/>
        </w:rPr>
        <w:t>&lt;/NumAm&gt;</w:t>
      </w:r>
    </w:p>
    <w:p w:rsidR="001F04EE" w:rsidRPr="002B4A69" w:rsidP="001F04EE" w14:paraId="03F3523E" w14:textId="77777777">
      <w:pPr>
        <w:pStyle w:val="NormalBold"/>
      </w:pPr>
      <w:r w:rsidRPr="002B4A69">
        <w:rPr>
          <w:rStyle w:val="HideTWBExt"/>
          <w:b w:val="0"/>
        </w:rPr>
        <w:t>&lt;RepeatBlock-By&gt;&lt;Members&gt;</w:t>
      </w:r>
      <w:r w:rsidRPr="002B4A69">
        <w:t>Jacek Ozdoba</w:t>
      </w:r>
      <w:r w:rsidRPr="002B4A69">
        <w:rPr>
          <w:rStyle w:val="HideTWBExt"/>
          <w:b w:val="0"/>
        </w:rPr>
        <w:t>&lt;/Members&gt;</w:t>
      </w:r>
    </w:p>
    <w:p w:rsidR="001F04EE" w:rsidRPr="002B4A69" w:rsidP="001F04EE" w14:paraId="28A6B532" w14:textId="77777777">
      <w:r w:rsidRPr="002B4A69">
        <w:rPr>
          <w:rStyle w:val="HideTWBExt"/>
        </w:rPr>
        <w:t>&lt;/RepeatBlock-By&gt;</w:t>
      </w:r>
    </w:p>
    <w:p w:rsidR="001F04EE" w:rsidRPr="002B4A69" w:rsidP="001F04EE" w14:paraId="1E81FA2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B65C250"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426D2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9DC80B6" w14:textId="77777777">
            <w:pPr>
              <w:keepNext/>
            </w:pPr>
          </w:p>
        </w:tc>
      </w:tr>
      <w:tr w14:paraId="124459F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E62635B" w14:textId="77777777">
            <w:pPr>
              <w:pStyle w:val="ColumnHeading"/>
              <w:keepNext/>
              <w:rPr>
                <w:lang w:val="en-GB"/>
              </w:rPr>
            </w:pPr>
            <w:r w:rsidRPr="002B4A69">
              <w:rPr>
                <w:lang w:val="en-GB"/>
              </w:rPr>
              <w:t>Text proposed by the Commission</w:t>
            </w:r>
          </w:p>
        </w:tc>
        <w:tc>
          <w:tcPr>
            <w:tcW w:w="4876" w:type="dxa"/>
          </w:tcPr>
          <w:p w:rsidR="001F04EE" w:rsidRPr="002B4A69" w:rsidP="00723F81" w14:paraId="4F8A935E" w14:textId="77777777">
            <w:pPr>
              <w:pStyle w:val="ColumnHeading"/>
              <w:keepNext/>
              <w:rPr>
                <w:lang w:val="en-GB"/>
              </w:rPr>
            </w:pPr>
            <w:r w:rsidRPr="002B4A69">
              <w:rPr>
                <w:lang w:val="en-GB"/>
              </w:rPr>
              <w:t>Amendment</w:t>
            </w:r>
          </w:p>
        </w:tc>
      </w:tr>
      <w:tr w14:paraId="27EC1EA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3CF468" w14:textId="77777777">
            <w:pPr>
              <w:pStyle w:val="Normal6"/>
              <w:rPr>
                <w:lang w:val="en-GB"/>
              </w:rPr>
            </w:pPr>
            <w:r w:rsidRPr="002B4A69">
              <w:rPr>
                <w:lang w:val="en-GB"/>
              </w:rPr>
              <w:t>(62)</w:t>
            </w:r>
            <w:r w:rsidRPr="002B4A69">
              <w:rPr>
                <w:lang w:val="en-GB"/>
              </w:rPr>
              <w:tab/>
              <w:t xml:space="preserve">The first phase of the Industrial Decarbonisation Bank should be the </w:t>
            </w:r>
            <w:r w:rsidRPr="002B4A69">
              <w:rPr>
                <w:b/>
                <w:bCs/>
                <w:i/>
                <w:iCs/>
                <w:lang w:val="en-GB"/>
              </w:rPr>
              <w:t xml:space="preserve">ETS </w:t>
            </w:r>
            <w:r w:rsidRPr="002B4A69">
              <w:rPr>
                <w:lang w:val="en-GB"/>
              </w:rPr>
              <w:t>Investment Booster financed by 400 million allowances.</w:t>
            </w:r>
            <w:r w:rsidRPr="002B4A69">
              <w:rPr>
                <w:b/>
                <w:i/>
                <w:lang w:val="en-GB"/>
              </w:rPr>
              <w:t xml:space="preserve"> </w:t>
            </w:r>
            <w:r w:rsidRPr="002B4A69">
              <w:rPr>
                <w:b/>
                <w:bCs/>
                <w:i/>
                <w:iCs/>
                <w:lang w:val="en-GB"/>
              </w:rPr>
              <w:t>To fast-track decarbonisation investments through speed, the ETS Investment Booster, operating on a ‘first in, first served’ basis, should provide fixed carbon premia per tonne of CO₂ avoided and paid in ETS allowances.</w:t>
            </w:r>
            <w:r w:rsidRPr="002B4A69">
              <w:rPr>
                <w:lang w:val="en-GB"/>
              </w:rPr>
              <w:t xml:space="preserve">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c>
          <w:tcPr>
            <w:tcW w:w="4876" w:type="dxa"/>
          </w:tcPr>
          <w:p w:rsidR="001F04EE" w:rsidRPr="002B4A69" w:rsidP="00723F81" w14:paraId="34792E25" w14:textId="77777777">
            <w:pPr>
              <w:pStyle w:val="Normal6"/>
              <w:rPr>
                <w:szCs w:val="24"/>
                <w:lang w:val="en-GB"/>
              </w:rPr>
            </w:pPr>
            <w:r w:rsidRPr="002B4A69">
              <w:rPr>
                <w:lang w:val="en-GB"/>
              </w:rPr>
              <w:t>(62)</w:t>
            </w:r>
            <w:r w:rsidRPr="002B4A69">
              <w:rPr>
                <w:lang w:val="en-GB"/>
              </w:rPr>
              <w:tab/>
              <w:t>The first phase of the Industrial Decarbonisation Bank should be the Investment Booster financed by 400 million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r>
    </w:tbl>
    <w:p w:rsidR="001F04EE" w:rsidRPr="002B4A69" w:rsidP="001F04EE" w14:paraId="2860C50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{PL}</w:t>
      </w:r>
      <w:r w:rsidRPr="002B4A69">
        <w:rPr>
          <w:noProof w:val="0"/>
          <w:lang w:val="en-GB"/>
        </w:rPr>
        <w:t>pl</w:t>
      </w:r>
      <w:r w:rsidRPr="002B4A69">
        <w:rPr>
          <w:rStyle w:val="HideTWBExt"/>
          <w:lang w:val="en-GB"/>
        </w:rPr>
        <w:t>&lt;/Original&gt;</w:t>
      </w:r>
    </w:p>
    <w:p w:rsidR="001F04EE" w:rsidRPr="002B4A69" w:rsidP="001F04EE" w14:paraId="2372BD7D" w14:textId="77777777">
      <w:r w:rsidRPr="002B4A69">
        <w:rPr>
          <w:rStyle w:val="HideTWBExt"/>
        </w:rPr>
        <w:t>&lt;/Amend&gt;</w:t>
      </w:r>
    </w:p>
    <w:p w:rsidR="001F04EE" w:rsidRPr="002B4A69" w:rsidP="001F04EE" w14:paraId="315226D9"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491</w:t>
      </w:r>
      <w:r w:rsidRPr="002B4A69">
        <w:rPr>
          <w:rStyle w:val="HideTWBExt"/>
          <w:b w:val="0"/>
          <w:lang w:val="en-GB"/>
        </w:rPr>
        <w:t>&lt;/NumAm&gt;</w:t>
      </w:r>
    </w:p>
    <w:p w:rsidR="001F04EE" w:rsidRPr="002B4A69" w:rsidP="001F04EE" w14:paraId="37A91D03" w14:textId="77777777">
      <w:pPr>
        <w:pStyle w:val="NormalBold"/>
      </w:pPr>
      <w:r w:rsidRPr="002B4A69">
        <w:rPr>
          <w:rStyle w:val="HideTWBExt"/>
          <w:b w:val="0"/>
        </w:rPr>
        <w:t>&lt;RepeatBlock-By&gt;&lt;Members&gt;</w:t>
      </w:r>
      <w:r w:rsidRPr="002B4A69">
        <w:t>Sophie Wilmès, Olivier Chastel, Benoit Cassart, Katri Kulmuni</w:t>
      </w:r>
      <w:r w:rsidRPr="002B4A69">
        <w:rPr>
          <w:rStyle w:val="HideTWBExt"/>
          <w:b w:val="0"/>
        </w:rPr>
        <w:t>&lt;/Members&gt;</w:t>
      </w:r>
    </w:p>
    <w:p w:rsidR="001F04EE" w:rsidRPr="002B4A69" w:rsidP="001F04EE" w14:paraId="6DCACF2F" w14:textId="77777777">
      <w:r w:rsidRPr="002B4A69">
        <w:rPr>
          <w:rStyle w:val="HideTWBExt"/>
        </w:rPr>
        <w:t>&lt;/RepeatBlock-By&gt;</w:t>
      </w:r>
    </w:p>
    <w:p w:rsidR="001F04EE" w:rsidRPr="002B4A69" w:rsidP="001F04EE" w14:paraId="187B28C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7D80095"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3400C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49B2700" w14:textId="77777777">
            <w:pPr>
              <w:keepNext/>
            </w:pPr>
          </w:p>
        </w:tc>
      </w:tr>
      <w:tr w14:paraId="251560D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90F44C2" w14:textId="77777777">
            <w:pPr>
              <w:pStyle w:val="ColumnHeading"/>
              <w:keepNext/>
              <w:rPr>
                <w:lang w:val="en-GB"/>
              </w:rPr>
            </w:pPr>
            <w:r w:rsidRPr="002B4A69">
              <w:rPr>
                <w:lang w:val="en-GB"/>
              </w:rPr>
              <w:t>Text proposed by the Commission</w:t>
            </w:r>
          </w:p>
        </w:tc>
        <w:tc>
          <w:tcPr>
            <w:tcW w:w="4876" w:type="dxa"/>
          </w:tcPr>
          <w:p w:rsidR="001F04EE" w:rsidRPr="002B4A69" w:rsidP="00723F81" w14:paraId="39CDBE96" w14:textId="77777777">
            <w:pPr>
              <w:pStyle w:val="ColumnHeading"/>
              <w:keepNext/>
              <w:rPr>
                <w:lang w:val="en-GB"/>
              </w:rPr>
            </w:pPr>
            <w:r w:rsidRPr="002B4A69">
              <w:rPr>
                <w:lang w:val="en-GB"/>
              </w:rPr>
              <w:t>Amendment</w:t>
            </w:r>
          </w:p>
        </w:tc>
      </w:tr>
      <w:tr w14:paraId="4D28A8E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031554D" w14:textId="77777777">
            <w:pPr>
              <w:pStyle w:val="Normal6"/>
              <w:rPr>
                <w:lang w:val="en-GB"/>
              </w:rPr>
            </w:pPr>
            <w:r w:rsidRPr="002B4A69">
              <w:rPr>
                <w:lang w:val="en-GB"/>
              </w:rPr>
              <w:t>(62)</w:t>
            </w:r>
            <w:r w:rsidRPr="002B4A69">
              <w:rPr>
                <w:lang w:val="en-GB"/>
              </w:rPr>
              <w:tab/>
              <w:t>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w:t>
            </w:r>
            <w:r w:rsidRPr="002B4A69">
              <w:rPr>
                <w:b/>
                <w:i/>
                <w:lang w:val="en-GB"/>
              </w:rPr>
              <w:t>. It should also ensure solidarity by ringfencing allowances for Member States facing higher investment challenges due to lower income or greater abatement needs</w:t>
            </w:r>
            <w:r w:rsidRPr="002B4A69">
              <w:rPr>
                <w:lang w:val="en-GB"/>
              </w:rPr>
              <w:t>.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c>
          <w:tcPr>
            <w:tcW w:w="4876" w:type="dxa"/>
          </w:tcPr>
          <w:p w:rsidR="001F04EE" w:rsidRPr="002B4A69" w:rsidP="00723F81" w14:paraId="3FA2371A" w14:textId="77777777">
            <w:pPr>
              <w:pStyle w:val="Normal6"/>
              <w:rPr>
                <w:szCs w:val="24"/>
                <w:lang w:val="en-GB"/>
              </w:rPr>
            </w:pPr>
            <w:r w:rsidRPr="002B4A69">
              <w:rPr>
                <w:lang w:val="en-GB"/>
              </w:rPr>
              <w:t>(62)</w:t>
            </w:r>
            <w:r w:rsidRPr="002B4A69">
              <w:rPr>
                <w:lang w:val="en-GB"/>
              </w:rPr>
              <w:tab/>
              <w:t>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r>
    </w:tbl>
    <w:p w:rsidR="001F04EE" w:rsidRPr="002B4A69" w:rsidP="001F04EE" w14:paraId="2BE4723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5FDBE8E" w14:textId="77777777">
      <w:r w:rsidRPr="002B4A69">
        <w:rPr>
          <w:rStyle w:val="HideTWBExt"/>
        </w:rPr>
        <w:t>&lt;/Amend&gt;</w:t>
      </w:r>
    </w:p>
    <w:p w:rsidR="001F04EE" w:rsidRPr="002B4A69" w:rsidP="001F04EE" w14:paraId="7922886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492</w:t>
      </w:r>
      <w:r w:rsidRPr="002B4A69">
        <w:rPr>
          <w:rStyle w:val="HideTWBExt"/>
          <w:b w:val="0"/>
          <w:lang w:val="en-GB"/>
        </w:rPr>
        <w:t>&lt;/NumAm&gt;</w:t>
      </w:r>
    </w:p>
    <w:p w:rsidR="001F04EE" w:rsidRPr="002B4A69" w:rsidP="001F04EE" w14:paraId="3CD7CEEE" w14:textId="77777777">
      <w:pPr>
        <w:pStyle w:val="NormalBold"/>
      </w:pPr>
      <w:r w:rsidRPr="002B4A69">
        <w:rPr>
          <w:rStyle w:val="HideTWBExt"/>
          <w:b w:val="0"/>
        </w:rPr>
        <w:t>&lt;RepeatBlock-By&gt;&lt;Members&gt;</w:t>
      </w:r>
      <w:r w:rsidRPr="002B4A69">
        <w:t>Jeannette Baljeu</w:t>
      </w:r>
      <w:r w:rsidRPr="002B4A69">
        <w:rPr>
          <w:rStyle w:val="HideTWBExt"/>
          <w:b w:val="0"/>
        </w:rPr>
        <w:t>&lt;/Members&gt;</w:t>
      </w:r>
    </w:p>
    <w:p w:rsidR="001F04EE" w:rsidRPr="002B4A69" w:rsidP="001F04EE" w14:paraId="3E2A4F83" w14:textId="77777777">
      <w:r w:rsidRPr="002B4A69">
        <w:rPr>
          <w:rStyle w:val="HideTWBExt"/>
        </w:rPr>
        <w:t>&lt;/RepeatBlock-By&gt;</w:t>
      </w:r>
    </w:p>
    <w:p w:rsidR="001F04EE" w:rsidRPr="002B4A69" w:rsidP="001F04EE" w14:paraId="78392044"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297BC13"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E6BD4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21709FB" w14:textId="77777777">
            <w:pPr>
              <w:keepNext/>
            </w:pPr>
          </w:p>
        </w:tc>
      </w:tr>
      <w:tr w14:paraId="4E96EB2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6F8E1A8" w14:textId="77777777">
            <w:pPr>
              <w:pStyle w:val="ColumnHeading"/>
              <w:keepNext/>
              <w:rPr>
                <w:lang w:val="en-GB"/>
              </w:rPr>
            </w:pPr>
            <w:r w:rsidRPr="002B4A69">
              <w:rPr>
                <w:lang w:val="en-GB"/>
              </w:rPr>
              <w:t>Text proposed by the Commission</w:t>
            </w:r>
          </w:p>
        </w:tc>
        <w:tc>
          <w:tcPr>
            <w:tcW w:w="4876" w:type="dxa"/>
          </w:tcPr>
          <w:p w:rsidR="001F04EE" w:rsidRPr="002B4A69" w:rsidP="00723F81" w14:paraId="34F5A3BA" w14:textId="77777777">
            <w:pPr>
              <w:pStyle w:val="ColumnHeading"/>
              <w:keepNext/>
              <w:rPr>
                <w:lang w:val="en-GB"/>
              </w:rPr>
            </w:pPr>
            <w:r w:rsidRPr="002B4A69">
              <w:rPr>
                <w:lang w:val="en-GB"/>
              </w:rPr>
              <w:t>Amendment</w:t>
            </w:r>
          </w:p>
        </w:tc>
      </w:tr>
      <w:tr w14:paraId="769F077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EC886DF" w14:textId="77777777">
            <w:pPr>
              <w:pStyle w:val="Normal6"/>
              <w:rPr>
                <w:lang w:val="en-GB"/>
              </w:rPr>
            </w:pPr>
            <w:r w:rsidRPr="002B4A69">
              <w:rPr>
                <w:lang w:val="en-GB"/>
              </w:rPr>
              <w:t>(62)</w:t>
            </w:r>
            <w:r w:rsidRPr="002B4A69">
              <w:rPr>
                <w:lang w:val="en-GB"/>
              </w:rPr>
              <w:tab/>
              <w:t>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w:t>
            </w:r>
            <w:r w:rsidRPr="002B4A69">
              <w:rPr>
                <w:b/>
                <w:i/>
                <w:lang w:val="en-GB"/>
              </w:rPr>
              <w:t>. It should also ensure solidarity by ringfencing allowances for Member States facing higher investment challenges due to lower income or greater abatement needs</w:t>
            </w:r>
            <w:r w:rsidRPr="002B4A69">
              <w:rPr>
                <w:lang w:val="en-GB"/>
              </w:rPr>
              <w:t>.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c>
          <w:tcPr>
            <w:tcW w:w="4876" w:type="dxa"/>
          </w:tcPr>
          <w:p w:rsidR="001F04EE" w:rsidRPr="002B4A69" w:rsidP="00723F81" w14:paraId="3DEADFF8" w14:textId="77777777">
            <w:pPr>
              <w:pStyle w:val="Normal6"/>
              <w:rPr>
                <w:szCs w:val="24"/>
                <w:lang w:val="en-GB"/>
              </w:rPr>
            </w:pPr>
            <w:r w:rsidRPr="002B4A69">
              <w:rPr>
                <w:lang w:val="en-GB"/>
              </w:rPr>
              <w:t>(62)</w:t>
            </w:r>
            <w:r w:rsidRPr="002B4A69">
              <w:rPr>
                <w:lang w:val="en-GB"/>
              </w:rPr>
              <w:tab/>
              <w:t>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r>
    </w:tbl>
    <w:p w:rsidR="001F04EE" w:rsidRPr="002B4A69" w:rsidP="001F04EE" w14:paraId="4DEDEF9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C0D56D6"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6C9278E" w14:textId="77777777">
      <w:pPr>
        <w:pStyle w:val="Normal12Italic"/>
        <w:rPr>
          <w:noProof w:val="0"/>
          <w:lang w:val="en-GB"/>
        </w:rPr>
      </w:pPr>
      <w:r w:rsidRPr="002B4A69">
        <w:rPr>
          <w:noProof w:val="0"/>
          <w:lang w:val="en-GB"/>
        </w:rPr>
        <w:t>Consequential amendment aligning the recital with the deletion of the Investment Booster reservation for lower-income Member States.</w:t>
      </w:r>
    </w:p>
    <w:p w:rsidR="001F04EE" w:rsidRPr="002B4A69" w:rsidP="001F04EE" w14:paraId="4DFF6E4B" w14:textId="77777777">
      <w:r w:rsidRPr="002B4A69">
        <w:rPr>
          <w:rStyle w:val="HideTWBExt"/>
        </w:rPr>
        <w:t>&lt;/Amend&gt;</w:t>
      </w:r>
    </w:p>
    <w:p w:rsidR="001F04EE" w:rsidRPr="002B4A69" w:rsidP="001F04EE" w14:paraId="3EFB518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493</w:t>
      </w:r>
      <w:r w:rsidRPr="002B4A69">
        <w:rPr>
          <w:rStyle w:val="HideTWBExt"/>
          <w:b w:val="0"/>
          <w:lang w:val="en-GB"/>
        </w:rPr>
        <w:t>&lt;/NumAm&gt;</w:t>
      </w:r>
    </w:p>
    <w:p w:rsidR="001F04EE" w:rsidRPr="002B4A69" w:rsidP="001F04EE" w14:paraId="4A73014E" w14:textId="77777777">
      <w:pPr>
        <w:pStyle w:val="NormalBold"/>
      </w:pPr>
      <w:r w:rsidRPr="002B4A69">
        <w:rPr>
          <w:rStyle w:val="HideTWBExt"/>
          <w:b w:val="0"/>
        </w:rPr>
        <w:t>&lt;RepeatBlock-By&gt;&lt;Members&gt;</w:t>
      </w:r>
      <w:r w:rsidRPr="002B4A69">
        <w:t>Jeannette Baljeu, Andreas Glück</w:t>
      </w:r>
      <w:r w:rsidRPr="002B4A69">
        <w:rPr>
          <w:rStyle w:val="HideTWBExt"/>
          <w:b w:val="0"/>
        </w:rPr>
        <w:t>&lt;/Members&gt;</w:t>
      </w:r>
    </w:p>
    <w:p w:rsidR="001F04EE" w:rsidRPr="002B4A69" w:rsidP="001F04EE" w14:paraId="3905EAB3" w14:textId="77777777">
      <w:r w:rsidRPr="002B4A69">
        <w:rPr>
          <w:rStyle w:val="HideTWBExt"/>
        </w:rPr>
        <w:t>&lt;/RepeatBlock-By&gt;</w:t>
      </w:r>
    </w:p>
    <w:p w:rsidR="001F04EE" w:rsidRPr="002B4A69" w:rsidP="001F04EE" w14:paraId="330994F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1A3B912"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D0AFC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0FFA102" w14:textId="77777777">
            <w:pPr>
              <w:keepNext/>
            </w:pPr>
          </w:p>
        </w:tc>
      </w:tr>
      <w:tr w14:paraId="6D26A65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5F44E44" w14:textId="77777777">
            <w:pPr>
              <w:pStyle w:val="ColumnHeading"/>
              <w:keepNext/>
              <w:rPr>
                <w:lang w:val="en-GB"/>
              </w:rPr>
            </w:pPr>
            <w:r w:rsidRPr="002B4A69">
              <w:rPr>
                <w:lang w:val="en-GB"/>
              </w:rPr>
              <w:t>Text proposed by the Commission</w:t>
            </w:r>
          </w:p>
        </w:tc>
        <w:tc>
          <w:tcPr>
            <w:tcW w:w="4876" w:type="dxa"/>
          </w:tcPr>
          <w:p w:rsidR="001F04EE" w:rsidRPr="002B4A69" w:rsidP="00723F81" w14:paraId="186B72FA" w14:textId="77777777">
            <w:pPr>
              <w:pStyle w:val="ColumnHeading"/>
              <w:keepNext/>
              <w:rPr>
                <w:lang w:val="en-GB"/>
              </w:rPr>
            </w:pPr>
            <w:r w:rsidRPr="002B4A69">
              <w:rPr>
                <w:lang w:val="en-GB"/>
              </w:rPr>
              <w:t>Amendment</w:t>
            </w:r>
          </w:p>
        </w:tc>
      </w:tr>
      <w:tr w14:paraId="0147E1E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EC8BA1C" w14:textId="77777777">
            <w:pPr>
              <w:pStyle w:val="Normal6"/>
              <w:rPr>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w:t>
            </w:r>
            <w:r w:rsidRPr="002B4A69">
              <w:rPr>
                <w:b/>
                <w:i/>
                <w:lang w:val="en-GB"/>
              </w:rPr>
              <w:t>fast-track</w:t>
            </w:r>
            <w:r w:rsidRPr="002B4A69">
              <w:rPr>
                <w:lang w:val="en-GB"/>
              </w:rPr>
              <w:t xml:space="preserve"> decarbonisation investments </w:t>
            </w:r>
            <w:r w:rsidRPr="002B4A69">
              <w:rPr>
                <w:b/>
                <w:i/>
                <w:lang w:val="en-GB"/>
              </w:rPr>
              <w:t>through speed</w:t>
            </w:r>
            <w:r w:rsidRPr="002B4A69">
              <w:rPr>
                <w:lang w:val="en-GB"/>
              </w:rPr>
              <w:t xml:space="preserve">, the ETS Investment Booster, </w:t>
            </w:r>
            <w:r w:rsidRPr="002B4A69">
              <w:rPr>
                <w:b/>
                <w:i/>
                <w:lang w:val="en-GB"/>
              </w:rPr>
              <w:t>operating on a ‘first in, first served’ basis</w:t>
            </w:r>
            <w:r w:rsidRPr="002B4A69">
              <w:rPr>
                <w:lang w:val="en-GB"/>
              </w:rPr>
              <w:t>,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c>
          <w:tcPr>
            <w:tcW w:w="4876" w:type="dxa"/>
          </w:tcPr>
          <w:p w:rsidR="001F04EE" w:rsidRPr="002B4A69" w:rsidP="00723F81" w14:paraId="7598C844" w14:textId="77777777">
            <w:pPr>
              <w:pStyle w:val="Normal6"/>
              <w:rPr>
                <w:szCs w:val="24"/>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w:t>
            </w:r>
            <w:r w:rsidRPr="002B4A69">
              <w:rPr>
                <w:b/>
                <w:i/>
                <w:lang w:val="en-GB"/>
              </w:rPr>
              <w:t>accelerate</w:t>
            </w:r>
            <w:r w:rsidRPr="002B4A69">
              <w:rPr>
                <w:lang w:val="en-GB"/>
              </w:rPr>
              <w:t xml:space="preserve"> decarbonisation investments, the ETS Investment Booster, </w:t>
            </w:r>
            <w:r w:rsidRPr="002B4A69">
              <w:rPr>
                <w:b/>
                <w:i/>
                <w:lang w:val="en-GB"/>
              </w:rPr>
              <w:t>selecting projects on impact, excellence and cost-effectiveness</w:t>
            </w:r>
            <w:r w:rsidRPr="002B4A69">
              <w:rPr>
                <w:lang w:val="en-GB"/>
              </w:rPr>
              <w:t>,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r>
    </w:tbl>
    <w:p w:rsidR="001F04EE" w:rsidRPr="002B4A69" w:rsidP="001F04EE" w14:paraId="3DB1FE8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07DA5C7" w14:textId="77777777">
      <w:r w:rsidRPr="002B4A69">
        <w:rPr>
          <w:rStyle w:val="HideTWBExt"/>
        </w:rPr>
        <w:t>&lt;/Amend&gt;</w:t>
      </w:r>
    </w:p>
    <w:p w:rsidR="001F04EE" w:rsidRPr="002B4A69" w:rsidP="001F04EE" w14:paraId="1D3D526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494</w:t>
      </w:r>
      <w:r w:rsidRPr="002B4A69">
        <w:rPr>
          <w:rStyle w:val="HideTWBExt"/>
          <w:b w:val="0"/>
          <w:lang w:val="en-GB"/>
        </w:rPr>
        <w:t>&lt;/NumAm&gt;</w:t>
      </w:r>
    </w:p>
    <w:p w:rsidR="001F04EE" w:rsidRPr="002B4A69" w:rsidP="001F04EE" w14:paraId="548ED79D" w14:textId="77777777">
      <w:pPr>
        <w:pStyle w:val="NormalBold"/>
      </w:pPr>
      <w:r w:rsidRPr="002B4A69">
        <w:rPr>
          <w:rStyle w:val="HideTWBExt"/>
          <w:b w:val="0"/>
        </w:rPr>
        <w:t>&lt;RepeatBlock-By&gt;&lt;Members&gt;</w:t>
      </w:r>
      <w:r w:rsidRPr="002B4A69">
        <w:t>Emma Wiesner, Yvan Verougstraete, Gerben-Jan Gerbrandy, Anna Stürgkh, Jeannette Baljeu</w:t>
      </w:r>
      <w:r w:rsidRPr="002B4A69">
        <w:rPr>
          <w:rStyle w:val="HideTWBExt"/>
          <w:b w:val="0"/>
        </w:rPr>
        <w:t>&lt;/Members&gt;</w:t>
      </w:r>
    </w:p>
    <w:p w:rsidR="001F04EE" w:rsidRPr="002B4A69" w:rsidP="001F04EE" w14:paraId="06F28398" w14:textId="77777777">
      <w:r w:rsidRPr="002B4A69">
        <w:rPr>
          <w:rStyle w:val="HideTWBExt"/>
        </w:rPr>
        <w:t>&lt;/RepeatBlock-By&gt;</w:t>
      </w:r>
    </w:p>
    <w:p w:rsidR="001F04EE" w:rsidRPr="002B4A69" w:rsidP="001F04EE" w14:paraId="20AF24B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A20CA7C"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D937A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704EBDC" w14:textId="77777777">
            <w:pPr>
              <w:keepNext/>
            </w:pPr>
          </w:p>
        </w:tc>
      </w:tr>
      <w:tr w14:paraId="46AF19C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238EE9E" w14:textId="77777777">
            <w:pPr>
              <w:pStyle w:val="ColumnHeading"/>
              <w:keepNext/>
              <w:rPr>
                <w:lang w:val="en-GB"/>
              </w:rPr>
            </w:pPr>
            <w:r w:rsidRPr="002B4A69">
              <w:rPr>
                <w:lang w:val="en-GB"/>
              </w:rPr>
              <w:t>Text proposed by the Commission</w:t>
            </w:r>
          </w:p>
        </w:tc>
        <w:tc>
          <w:tcPr>
            <w:tcW w:w="4876" w:type="dxa"/>
          </w:tcPr>
          <w:p w:rsidR="001F04EE" w:rsidRPr="002B4A69" w:rsidP="00723F81" w14:paraId="2D26DB12" w14:textId="77777777">
            <w:pPr>
              <w:pStyle w:val="ColumnHeading"/>
              <w:keepNext/>
              <w:rPr>
                <w:lang w:val="en-GB"/>
              </w:rPr>
            </w:pPr>
            <w:r w:rsidRPr="002B4A69">
              <w:rPr>
                <w:lang w:val="en-GB"/>
              </w:rPr>
              <w:t>Amendment</w:t>
            </w:r>
          </w:p>
        </w:tc>
      </w:tr>
      <w:tr w14:paraId="5CACF83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67DCCA0" w14:textId="77777777">
            <w:pPr>
              <w:pStyle w:val="Normal6"/>
              <w:rPr>
                <w:lang w:val="en-GB"/>
              </w:rPr>
            </w:pPr>
            <w:r w:rsidRPr="002B4A69">
              <w:rPr>
                <w:lang w:val="en-GB"/>
              </w:rPr>
              <w:t>(62)</w:t>
            </w:r>
            <w:r w:rsidRPr="002B4A69">
              <w:rPr>
                <w:lang w:val="en-GB"/>
              </w:rPr>
              <w:tab/>
              <w:t>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c>
          <w:tcPr>
            <w:tcW w:w="4876" w:type="dxa"/>
          </w:tcPr>
          <w:p w:rsidR="001F04EE" w:rsidRPr="002B4A69" w:rsidP="00723F81" w14:paraId="631FF954" w14:textId="77777777">
            <w:pPr>
              <w:pStyle w:val="Normal6"/>
              <w:rPr>
                <w:szCs w:val="24"/>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w:t>
            </w:r>
            <w:r w:rsidRPr="002B4A69">
              <w:rPr>
                <w:b/>
                <w:i/>
                <w:lang w:val="en-GB"/>
              </w:rPr>
              <w:t>or Carbon Contracts for Difference (CCfDs)</w:t>
            </w:r>
            <w:r w:rsidRPr="002B4A69">
              <w:rPr>
                <w:lang w:val="en-GB"/>
              </w:rPr>
              <w:t>,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r>
    </w:tbl>
    <w:p w:rsidR="001F04EE" w:rsidRPr="002B4A69" w:rsidP="001F04EE" w14:paraId="72BC052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21E0CC5" w14:textId="77777777">
      <w:r w:rsidRPr="002B4A69">
        <w:rPr>
          <w:rStyle w:val="HideTWBExt"/>
        </w:rPr>
        <w:t>&lt;/Amend&gt;</w:t>
      </w:r>
    </w:p>
    <w:p w:rsidR="001F04EE" w:rsidRPr="002B4A69" w:rsidP="001F04EE" w14:paraId="535874F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495</w:t>
      </w:r>
      <w:r w:rsidRPr="002B4A69">
        <w:rPr>
          <w:rStyle w:val="HideTWBExt"/>
          <w:b w:val="0"/>
          <w:lang w:val="en-GB"/>
        </w:rPr>
        <w:t>&lt;/NumAm&gt;</w:t>
      </w:r>
    </w:p>
    <w:p w:rsidR="001F04EE" w:rsidRPr="002B4A69" w:rsidP="001F04EE" w14:paraId="038BE686"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29175E66" w14:textId="77777777">
      <w:r w:rsidRPr="002B4A69">
        <w:rPr>
          <w:rStyle w:val="HideTWBExt"/>
        </w:rPr>
        <w:t>&lt;/RepeatBlock-By&gt;</w:t>
      </w:r>
    </w:p>
    <w:p w:rsidR="001F04EE" w:rsidRPr="002B4A69" w:rsidP="001F04EE" w14:paraId="008D3FF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5DC3A41" w14:textId="77777777">
      <w:pPr>
        <w:pStyle w:val="NormalBold"/>
      </w:pPr>
      <w:r w:rsidRPr="002B4A69">
        <w:rPr>
          <w:rStyle w:val="HideTWBExt"/>
          <w:b w:val="0"/>
        </w:rPr>
        <w:t>&lt;Article&gt;</w:t>
      </w:r>
      <w:r w:rsidRPr="002B4A69">
        <w:t>Recital 62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28536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CB3A0B0" w14:textId="77777777">
            <w:pPr>
              <w:keepNext/>
            </w:pPr>
          </w:p>
        </w:tc>
      </w:tr>
      <w:tr w14:paraId="21C8EA4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014A3F5" w14:textId="77777777">
            <w:pPr>
              <w:pStyle w:val="ColumnHeading"/>
              <w:keepNext/>
              <w:rPr>
                <w:lang w:val="en-GB"/>
              </w:rPr>
            </w:pPr>
            <w:r w:rsidRPr="002B4A69">
              <w:rPr>
                <w:lang w:val="en-GB"/>
              </w:rPr>
              <w:t>Text proposed by the Commission</w:t>
            </w:r>
          </w:p>
        </w:tc>
        <w:tc>
          <w:tcPr>
            <w:tcW w:w="4876" w:type="dxa"/>
          </w:tcPr>
          <w:p w:rsidR="001F04EE" w:rsidRPr="002B4A69" w:rsidP="00723F81" w14:paraId="12E2CC6B" w14:textId="77777777">
            <w:pPr>
              <w:pStyle w:val="ColumnHeading"/>
              <w:keepNext/>
              <w:rPr>
                <w:lang w:val="en-GB"/>
              </w:rPr>
            </w:pPr>
            <w:r w:rsidRPr="002B4A69">
              <w:rPr>
                <w:lang w:val="en-GB"/>
              </w:rPr>
              <w:t>Amendment</w:t>
            </w:r>
          </w:p>
        </w:tc>
      </w:tr>
      <w:tr w14:paraId="79B8DDC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3CFA119" w14:textId="77777777">
            <w:pPr>
              <w:pStyle w:val="Normal6"/>
              <w:rPr>
                <w:lang w:val="en-GB"/>
              </w:rPr>
            </w:pPr>
            <w:r w:rsidRPr="002B4A69">
              <w:rPr>
                <w:lang w:val="en-GB"/>
              </w:rPr>
              <w:t>(62)</w:t>
            </w:r>
            <w:r w:rsidRPr="002B4A69">
              <w:rPr>
                <w:lang w:val="en-GB"/>
              </w:rPr>
              <w:tab/>
              <w:t xml:space="preserve">The first phase of the Industrial Decarbonisation Bank should be the ETS Investment Booster financed by 400 million allowances. To fast-track decarbonisation investments through speed, the ETS Investment Booster, operating on </w:t>
            </w:r>
            <w:r w:rsidRPr="002B4A69">
              <w:rPr>
                <w:b/>
                <w:i/>
                <w:lang w:val="en-GB"/>
              </w:rPr>
              <w:t>a ‘first in,</w:t>
            </w:r>
            <w:r w:rsidRPr="002B4A69">
              <w:rPr>
                <w:lang w:val="en-GB"/>
              </w:rPr>
              <w:t xml:space="preserve"> first </w:t>
            </w:r>
            <w:r w:rsidRPr="002B4A69">
              <w:rPr>
                <w:b/>
                <w:i/>
                <w:lang w:val="en-GB"/>
              </w:rPr>
              <w:t>served’ basis</w:t>
            </w:r>
            <w:r w:rsidRPr="002B4A69">
              <w:rPr>
                <w:lang w:val="en-GB"/>
              </w:rPr>
              <w:t>,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c>
          <w:tcPr>
            <w:tcW w:w="4876" w:type="dxa"/>
          </w:tcPr>
          <w:p w:rsidR="001F04EE" w:rsidRPr="002B4A69" w:rsidP="00723F81" w14:paraId="3F63FB9F" w14:textId="77777777">
            <w:pPr>
              <w:pStyle w:val="Normal6"/>
              <w:rPr>
                <w:szCs w:val="24"/>
                <w:lang w:val="en-GB"/>
              </w:rPr>
            </w:pPr>
            <w:r w:rsidRPr="002B4A69">
              <w:rPr>
                <w:lang w:val="en-GB"/>
              </w:rPr>
              <w:t>(62)</w:t>
            </w:r>
            <w:r w:rsidRPr="002B4A69">
              <w:rPr>
                <w:lang w:val="en-GB"/>
              </w:rPr>
              <w:tab/>
              <w:t xml:space="preserve">The first phase of the Industrial </w:t>
            </w:r>
            <w:r w:rsidRPr="002B4A69">
              <w:rPr>
                <w:b/>
                <w:i/>
                <w:lang w:val="en-GB"/>
              </w:rPr>
              <w:t>Electrification and</w:t>
            </w:r>
            <w:r w:rsidRPr="002B4A69">
              <w:rPr>
                <w:lang w:val="en-GB"/>
              </w:rPr>
              <w:t xml:space="preserve"> Decarbonisation Bank should be the ETS Investment Booster financed by 400 million allowances. To fast-track decarbonisation investments through speed, the ETS Investment Booster, operating on </w:t>
            </w:r>
            <w:r w:rsidRPr="002B4A69">
              <w:rPr>
                <w:b/>
                <w:i/>
                <w:lang w:val="en-GB"/>
              </w:rPr>
              <w:t>an electrification</w:t>
            </w:r>
            <w:r w:rsidRPr="002B4A69">
              <w:rPr>
                <w:lang w:val="en-GB"/>
              </w:rPr>
              <w:t xml:space="preserve"> first </w:t>
            </w:r>
            <w:r w:rsidRPr="002B4A69">
              <w:rPr>
                <w:b/>
                <w:i/>
                <w:lang w:val="en-GB"/>
              </w:rPr>
              <w:t>principle</w:t>
            </w:r>
            <w:r w:rsidRPr="002B4A69">
              <w:rPr>
                <w:lang w:val="en-GB"/>
              </w:rPr>
              <w:t>, should provide fixed carbon premia per tonne of CO₂ avoided and paid in ETS allowances. It should also 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 In order to ensure the best value for money, the Commission should develop Terms and Conditions for differentiated decarbonisation pathways, setting inter alia the fixed carbon premium rate per tonne of CO</w:t>
            </w:r>
            <w:r w:rsidRPr="002B4A69">
              <w:rPr>
                <w:vertAlign w:val="subscript"/>
                <w:lang w:val="en-GB"/>
              </w:rPr>
              <w:t>2</w:t>
            </w:r>
            <w:r w:rsidRPr="002B4A69">
              <w:rPr>
                <w:lang w:val="en-GB"/>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tc>
      </w:tr>
    </w:tbl>
    <w:p w:rsidR="001F04EE" w:rsidRPr="002B4A69" w:rsidP="001F04EE" w14:paraId="4421CF8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0241230" w14:textId="77777777">
      <w:r w:rsidRPr="002B4A69">
        <w:rPr>
          <w:rStyle w:val="HideTWBExt"/>
        </w:rPr>
        <w:t>&lt;/Amend&gt;</w:t>
      </w:r>
    </w:p>
    <w:p w:rsidR="001F04EE" w:rsidRPr="002B4A69" w:rsidP="001F04EE" w14:paraId="4084227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496</w:t>
      </w:r>
      <w:r w:rsidRPr="002B4A69">
        <w:rPr>
          <w:rStyle w:val="HideTWBExt"/>
          <w:b w:val="0"/>
          <w:lang w:val="en-GB"/>
        </w:rPr>
        <w:t>&lt;/NumAm&gt;</w:t>
      </w:r>
    </w:p>
    <w:p w:rsidR="001F04EE" w:rsidRPr="002B4A69" w:rsidP="001F04EE" w14:paraId="282A50BF" w14:textId="77777777">
      <w:pPr>
        <w:pStyle w:val="NormalBold"/>
      </w:pPr>
      <w:r w:rsidRPr="002B4A69">
        <w:rPr>
          <w:rStyle w:val="HideTWBExt"/>
          <w:b w:val="0"/>
        </w:rPr>
        <w:t>&lt;RepeatBlock-By&gt;&lt;Members&gt;</w:t>
      </w:r>
      <w:r w:rsidRPr="002B4A69">
        <w:t>Jessica Polfjärd</w:t>
      </w:r>
      <w:r w:rsidRPr="002B4A69">
        <w:rPr>
          <w:rStyle w:val="HideTWBExt"/>
          <w:b w:val="0"/>
        </w:rPr>
        <w:t>&lt;/Members&gt;</w:t>
      </w:r>
    </w:p>
    <w:p w:rsidR="001F04EE" w:rsidRPr="002B4A69" w:rsidP="001F04EE" w14:paraId="7A688759" w14:textId="77777777">
      <w:r w:rsidRPr="002B4A69">
        <w:rPr>
          <w:rStyle w:val="HideTWBExt"/>
        </w:rPr>
        <w:t>&lt;/RepeatBlock-By&gt;</w:t>
      </w:r>
    </w:p>
    <w:p w:rsidR="001F04EE" w:rsidRPr="002B4A69" w:rsidP="001F04EE" w14:paraId="171D6AF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E9DC638" w14:textId="77777777">
      <w:pPr>
        <w:pStyle w:val="NormalBold"/>
      </w:pPr>
      <w:r w:rsidRPr="002B4A69">
        <w:rPr>
          <w:rStyle w:val="HideTWBExt"/>
          <w:b w:val="0"/>
        </w:rPr>
        <w:t>&lt;Article&gt;</w:t>
      </w:r>
      <w:r w:rsidRPr="002B4A69">
        <w:t>Recital 62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B40EB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5CA4488" w14:textId="77777777">
            <w:pPr>
              <w:keepNext/>
            </w:pPr>
          </w:p>
        </w:tc>
      </w:tr>
      <w:tr w14:paraId="01BAB4F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5A55F3D" w14:textId="77777777">
            <w:pPr>
              <w:pStyle w:val="ColumnHeading"/>
              <w:keepNext/>
              <w:rPr>
                <w:lang w:val="en-GB"/>
              </w:rPr>
            </w:pPr>
            <w:r w:rsidRPr="002B4A69">
              <w:rPr>
                <w:lang w:val="en-GB"/>
              </w:rPr>
              <w:t>Text proposed by the Commission</w:t>
            </w:r>
          </w:p>
        </w:tc>
        <w:tc>
          <w:tcPr>
            <w:tcW w:w="4876" w:type="dxa"/>
          </w:tcPr>
          <w:p w:rsidR="001F04EE" w:rsidRPr="002B4A69" w:rsidP="00723F81" w14:paraId="1443A26C" w14:textId="77777777">
            <w:pPr>
              <w:pStyle w:val="ColumnHeading"/>
              <w:keepNext/>
              <w:rPr>
                <w:lang w:val="en-GB"/>
              </w:rPr>
            </w:pPr>
            <w:r w:rsidRPr="002B4A69">
              <w:rPr>
                <w:lang w:val="en-GB"/>
              </w:rPr>
              <w:t>Amendment</w:t>
            </w:r>
          </w:p>
        </w:tc>
      </w:tr>
      <w:tr w14:paraId="008EED5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2BE511B" w14:textId="77777777">
            <w:pPr>
              <w:pStyle w:val="Normal6"/>
              <w:rPr>
                <w:lang w:val="en-GB"/>
              </w:rPr>
            </w:pPr>
          </w:p>
        </w:tc>
        <w:tc>
          <w:tcPr>
            <w:tcW w:w="4876" w:type="dxa"/>
          </w:tcPr>
          <w:p w:rsidR="001F04EE" w:rsidRPr="002B4A69" w:rsidP="00723F81" w14:paraId="0A3A7B0A" w14:textId="77777777">
            <w:pPr>
              <w:pStyle w:val="Normal6"/>
              <w:rPr>
                <w:szCs w:val="24"/>
                <w:lang w:val="en-GB"/>
              </w:rPr>
            </w:pPr>
            <w:r w:rsidRPr="002B4A69">
              <w:rPr>
                <w:b/>
                <w:i/>
                <w:lang w:val="en-GB"/>
              </w:rPr>
              <w:t>(62a)</w:t>
            </w:r>
            <w:r w:rsidRPr="002B4A69">
              <w:rPr>
                <w:b/>
                <w:i/>
                <w:lang w:val="en-GB"/>
              </w:rPr>
              <w:tab/>
              <w:t xml:space="preserve">To ensure a level playing field for </w:t>
            </w:r>
            <w:r w:rsidRPr="002B4A69">
              <w:rPr>
                <w:b/>
                <w:i/>
                <w:lang w:val="en-GB"/>
              </w:rPr>
              <w:t>first-movers</w:t>
            </w:r>
            <w:r w:rsidRPr="002B4A69">
              <w:rPr>
                <w:b/>
                <w:i/>
                <w:lang w:val="en-GB"/>
              </w:rPr>
              <w:t xml:space="preserve"> and frontrunners investing in decarbonisation, projects awarded support from the ETS Investment Booster shall be eligble also for </w:t>
            </w:r>
            <w:r w:rsidRPr="002B4A69">
              <w:rPr>
                <w:b/>
                <w:i/>
                <w:lang w:val="en-GB"/>
              </w:rPr>
              <w:t>first-movers</w:t>
            </w:r>
            <w:r w:rsidRPr="002B4A69">
              <w:rPr>
                <w:b/>
                <w:i/>
                <w:lang w:val="en-GB"/>
              </w:rPr>
              <w:t xml:space="preserve"> that already reached final investment decision for decarbonisation projects covered in Annex 1. The first-mover projects that have already reached final investment decision shall be awarded the same fixed carbon premium rate per tonne of CO</w:t>
            </w:r>
            <w:r w:rsidRPr="002B4A69">
              <w:rPr>
                <w:b/>
                <w:i/>
                <w:vertAlign w:val="subscript"/>
                <w:lang w:val="en-GB"/>
              </w:rPr>
              <w:t>2</w:t>
            </w:r>
            <w:r w:rsidRPr="002B4A69">
              <w:rPr>
                <w:lang w:val="en-GB"/>
              </w:rPr>
              <w:t xml:space="preserve"> </w:t>
            </w:r>
            <w:r w:rsidRPr="002B4A69">
              <w:rPr>
                <w:b/>
                <w:i/>
                <w:lang w:val="en-GB"/>
              </w:rPr>
              <w:t>avoided as projects in earlier development stages.</w:t>
            </w:r>
          </w:p>
        </w:tc>
      </w:tr>
    </w:tbl>
    <w:p w:rsidR="001F04EE" w:rsidRPr="002B4A69" w:rsidP="001F04EE" w14:paraId="06344A7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F18CC76"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15689010" w14:textId="77777777">
      <w:pPr>
        <w:pStyle w:val="Normal12Italic"/>
        <w:rPr>
          <w:noProof w:val="0"/>
          <w:lang w:val="en-GB"/>
        </w:rPr>
      </w:pPr>
      <w:r w:rsidRPr="002B4A69">
        <w:rPr>
          <w:noProof w:val="0"/>
          <w:lang w:val="en-GB"/>
        </w:rPr>
        <w:t>It is important to ensure fair competition between companies that have already invested in decarbonisation and those that have waited to invest. Companies that have already made investment decisions, started construction or begun production should not be disadvantaged.</w:t>
      </w:r>
    </w:p>
    <w:p w:rsidR="001F04EE" w:rsidRPr="002B4A69" w:rsidP="001F04EE" w14:paraId="676B6B0C" w14:textId="77777777">
      <w:r w:rsidRPr="002B4A69">
        <w:rPr>
          <w:rStyle w:val="HideTWBExt"/>
        </w:rPr>
        <w:t>&lt;/Amend&gt;</w:t>
      </w:r>
    </w:p>
    <w:p w:rsidR="001F04EE" w:rsidRPr="002B4A69" w:rsidP="001F04EE" w14:paraId="33BB6B2B"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497</w:t>
      </w:r>
      <w:r w:rsidRPr="002B4A69">
        <w:rPr>
          <w:rStyle w:val="HideTWBExt"/>
          <w:b w:val="0"/>
          <w:lang w:val="en-GB"/>
        </w:rPr>
        <w:t>&lt;/NumAm&gt;</w:t>
      </w:r>
    </w:p>
    <w:p w:rsidR="001F04EE" w:rsidRPr="002B4A69" w:rsidP="001F04EE" w14:paraId="380B1003" w14:textId="77777777">
      <w:pPr>
        <w:pStyle w:val="NormalBold"/>
      </w:pPr>
      <w:r w:rsidRPr="002B4A69">
        <w:rPr>
          <w:rStyle w:val="HideTWBExt"/>
          <w:b w:val="0"/>
        </w:rPr>
        <w:t>&lt;RepeatBlock-By&gt;&lt;Members&gt;</w:t>
      </w:r>
      <w:r w:rsidRPr="002B4A69">
        <w:t>Jessica Polfjärd</w:t>
      </w:r>
      <w:r w:rsidRPr="002B4A69">
        <w:rPr>
          <w:rStyle w:val="HideTWBExt"/>
          <w:b w:val="0"/>
        </w:rPr>
        <w:t>&lt;/Members&gt;</w:t>
      </w:r>
    </w:p>
    <w:p w:rsidR="001F04EE" w:rsidRPr="002B4A69" w:rsidP="001F04EE" w14:paraId="1B721032" w14:textId="77777777">
      <w:r w:rsidRPr="002B4A69">
        <w:rPr>
          <w:rStyle w:val="HideTWBExt"/>
        </w:rPr>
        <w:t>&lt;/RepeatBlock-By&gt;</w:t>
      </w:r>
    </w:p>
    <w:p w:rsidR="001F04EE" w:rsidRPr="002B4A69" w:rsidP="001F04EE" w14:paraId="01E3FE1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298A855" w14:textId="77777777">
      <w:pPr>
        <w:pStyle w:val="NormalBold"/>
      </w:pPr>
      <w:r w:rsidRPr="002B4A69">
        <w:rPr>
          <w:rStyle w:val="HideTWBExt"/>
          <w:b w:val="0"/>
        </w:rPr>
        <w:t>&lt;Article&gt;</w:t>
      </w:r>
      <w:r w:rsidRPr="002B4A69">
        <w:t>Recital 63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12C14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57E79C8" w14:textId="77777777">
            <w:pPr>
              <w:keepNext/>
            </w:pPr>
          </w:p>
        </w:tc>
      </w:tr>
      <w:tr w14:paraId="0258382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A8D8F8C" w14:textId="77777777">
            <w:pPr>
              <w:pStyle w:val="ColumnHeading"/>
              <w:keepNext/>
              <w:rPr>
                <w:lang w:val="en-GB"/>
              </w:rPr>
            </w:pPr>
            <w:r w:rsidRPr="002B4A69">
              <w:rPr>
                <w:lang w:val="en-GB"/>
              </w:rPr>
              <w:t>Text proposed by the Commission</w:t>
            </w:r>
          </w:p>
        </w:tc>
        <w:tc>
          <w:tcPr>
            <w:tcW w:w="4876" w:type="dxa"/>
          </w:tcPr>
          <w:p w:rsidR="001F04EE" w:rsidRPr="002B4A69" w:rsidP="00723F81" w14:paraId="43C89DBD" w14:textId="77777777">
            <w:pPr>
              <w:pStyle w:val="ColumnHeading"/>
              <w:keepNext/>
              <w:rPr>
                <w:lang w:val="en-GB"/>
              </w:rPr>
            </w:pPr>
            <w:r w:rsidRPr="002B4A69">
              <w:rPr>
                <w:lang w:val="en-GB"/>
              </w:rPr>
              <w:t>Amendment</w:t>
            </w:r>
          </w:p>
        </w:tc>
      </w:tr>
      <w:tr w14:paraId="57A1553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D6DDCA6" w14:textId="77777777">
            <w:pPr>
              <w:pStyle w:val="Normal6"/>
              <w:rPr>
                <w:lang w:val="en-GB"/>
              </w:rPr>
            </w:pPr>
            <w:r w:rsidRPr="002B4A69">
              <w:rPr>
                <w:lang w:val="en-GB"/>
              </w:rPr>
              <w:t>(63)</w:t>
            </w:r>
            <w:r w:rsidRPr="002B4A69">
              <w:rPr>
                <w:lang w:val="en-GB"/>
              </w:rPr>
              <w:tab/>
              <w:t xml:space="preserve">The Investment Booster should be followed by a second phase whereby the Industrial Decarbonisation Bank would continue to support the scale-up and roll-out of mature decarbonisation technologies for energy-intensive industries, including through guaranteeing a level of the carbon </w:t>
            </w:r>
            <w:r w:rsidRPr="002B4A69">
              <w:rPr>
                <w:lang w:val="en-GB"/>
              </w:rPr>
              <w:t>price, thereby de-risking investments and ensuring long-term revenue stability for decarbonisation efforts through mechanisms such as Carbon Contracts for Difference (CCfDs) or fixed carbon premia , disbursed upon verified GHG abatement, and accelerating industrial decarbonisation. In implementing the Industrial Decarbonisation Bank phase 2, the Commission should strive to ensure effective, quality-based geographical coverage across the Union. To boost Europe’s industrial decarbonisation and turn every euro into investment early-on, the Industrial Decarbonisation Bank must move fast. Once the Investment Booster has fully deployed its allowances, the Industrial Decarbonisation Bank should open Phase 2, ensuring continued firepower for industrial decarbonisation well before 2031.</w:t>
            </w:r>
          </w:p>
        </w:tc>
        <w:tc>
          <w:tcPr>
            <w:tcW w:w="4876" w:type="dxa"/>
          </w:tcPr>
          <w:p w:rsidR="001F04EE" w:rsidRPr="002B4A69" w:rsidP="00723F81" w14:paraId="4AB6888D" w14:textId="77777777">
            <w:pPr>
              <w:pStyle w:val="Normal6"/>
              <w:rPr>
                <w:szCs w:val="24"/>
                <w:lang w:val="en-GB"/>
              </w:rPr>
            </w:pPr>
            <w:r w:rsidRPr="002B4A69">
              <w:rPr>
                <w:lang w:val="en-GB"/>
              </w:rPr>
              <w:t>(63)</w:t>
            </w:r>
            <w:r w:rsidRPr="002B4A69">
              <w:rPr>
                <w:lang w:val="en-GB"/>
              </w:rPr>
              <w:tab/>
              <w:t xml:space="preserve">The Investment Booster should be followed by a second phase whereby the Industrial Decarbonisation Bank would continue to support the scale-up and roll-out of mature decarbonisation technologies for energy-intensive industries, including through guaranteeing a level of the carbon </w:t>
            </w:r>
            <w:r w:rsidRPr="002B4A69">
              <w:rPr>
                <w:lang w:val="en-GB"/>
              </w:rPr>
              <w:t xml:space="preserve">price, thereby de-risking investments and ensuring long-term revenue stability for decarbonisation efforts through mechanisms such as Carbon Contracts for Difference (CCfDs) or fixed carbon premia, disbursed upon verified GHG abatement, and accelerating industrial decarbonisation. In implementing the Industrial Decarbonisation Bank phase 2, the Commission should strive to ensure effective, quality-based geographical coverage across the Union. </w:t>
            </w:r>
            <w:r w:rsidRPr="002B4A69">
              <w:rPr>
                <w:b/>
                <w:i/>
                <w:lang w:val="en-GB"/>
              </w:rPr>
              <w:t xml:space="preserve">The competitive bidding procedures should rank eligible projects primarily </w:t>
            </w:r>
            <w:r w:rsidRPr="002B4A69">
              <w:rPr>
                <w:b/>
                <w:i/>
                <w:lang w:val="en-GB"/>
              </w:rPr>
              <w:t>on the basis of</w:t>
            </w:r>
            <w:r w:rsidRPr="002B4A69">
              <w:rPr>
                <w:b/>
                <w:i/>
                <w:lang w:val="en-GB"/>
              </w:rPr>
              <w:t xml:space="preserve"> their cost-effectiveness, measured as the quantity of greenhouse gas emissions avoided or removed per euro of support requested, </w:t>
            </w:r>
            <w:r w:rsidRPr="002B4A69">
              <w:rPr>
                <w:b/>
                <w:i/>
                <w:lang w:val="en-GB"/>
              </w:rPr>
              <w:t>so as to</w:t>
            </w:r>
            <w:r w:rsidRPr="002B4A69">
              <w:rPr>
                <w:b/>
                <w:i/>
                <w:lang w:val="en-GB"/>
              </w:rPr>
              <w:t xml:space="preserve"> maximise the abatement delivered by each euro of Union support.</w:t>
            </w:r>
            <w:r w:rsidRPr="002B4A69">
              <w:rPr>
                <w:lang w:val="en-GB"/>
              </w:rPr>
              <w:t xml:space="preserve"> To boost Europe’s industrial decarbonisation and turn every euro into investment early-on, the Industrial Decarbonisation Bank must move fast</w:t>
            </w:r>
            <w:r w:rsidRPr="002B4A69">
              <w:rPr>
                <w:b/>
                <w:i/>
                <w:lang w:val="en-GB"/>
              </w:rPr>
              <w:t>.</w:t>
            </w:r>
            <w:r w:rsidRPr="002B4A69">
              <w:rPr>
                <w:lang w:val="en-GB"/>
              </w:rPr>
              <w:t xml:space="preserve"> </w:t>
            </w:r>
            <w:r w:rsidRPr="002B4A69">
              <w:rPr>
                <w:b/>
                <w:i/>
                <w:lang w:val="en-GB"/>
              </w:rPr>
              <w:t xml:space="preserve">In order to facilitate investment decisions and ensure the predictability and bankability of projects, the Commission should open the application period and launch the first competitive bidding procedure for the award of Carbon Contracts for Difference as of 2028, even where support from the allowances reserved for the period from 2031 to 2040 is disbursed from 2031 onwards. To ensure a level playing field for </w:t>
            </w:r>
            <w:r w:rsidRPr="002B4A69">
              <w:rPr>
                <w:b/>
                <w:i/>
                <w:lang w:val="en-GB"/>
              </w:rPr>
              <w:t>first-movers</w:t>
            </w:r>
            <w:r w:rsidRPr="002B4A69">
              <w:rPr>
                <w:b/>
                <w:i/>
                <w:lang w:val="en-GB"/>
              </w:rPr>
              <w:t xml:space="preserve"> that have already reached construction or production of low-carbon or near-zero emission products covered in Annex 1, these projects should also be eligible for support from the Industrial Decarbonisation Bank Phase 2, thereby derisking operations and ensuring long-term revenue stability</w:t>
            </w:r>
            <w:r w:rsidRPr="002B4A69">
              <w:rPr>
                <w:lang w:val="en-GB"/>
              </w:rPr>
              <w:t>. Once the Investment Booster has fully deployed its allowances, the Industrial Decarbonisation Bank should open Phase 2, ensuring continued firepower for industrial decarbonisation well before 2031.</w:t>
            </w:r>
          </w:p>
        </w:tc>
      </w:tr>
    </w:tbl>
    <w:p w:rsidR="001F04EE" w:rsidRPr="002B4A69" w:rsidP="001F04EE" w14:paraId="634E666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1BB9EAA"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25C2B567" w14:textId="77777777">
      <w:pPr>
        <w:pStyle w:val="Normal12Italic"/>
        <w:rPr>
          <w:noProof w:val="0"/>
          <w:lang w:val="en-GB"/>
        </w:rPr>
      </w:pPr>
      <w:r w:rsidRPr="002B4A69">
        <w:rPr>
          <w:noProof w:val="0"/>
          <w:lang w:val="en-GB"/>
        </w:rPr>
        <w:t>Bankability and derisking require investment certainty well ahead of first disbursement. Opening applications and the first competitive bidding round in 2028 would enable projects to secure financing based on a contracted strike price, while support remains tied to allowances reserved for 2031–2040. To avoid disadvantaging projects already under construction or in production, they should also be eligible for IDB Phase 2 support. Awards should prioritise the highest CO₂ abatement per euro of Union support to maximise emission reductions.</w:t>
      </w:r>
    </w:p>
    <w:p w:rsidR="001F04EE" w:rsidRPr="002B4A69" w:rsidP="001F04EE" w14:paraId="39B5FB7F" w14:textId="77777777">
      <w:r w:rsidRPr="002B4A69">
        <w:rPr>
          <w:rStyle w:val="HideTWBExt"/>
        </w:rPr>
        <w:t>&lt;/Amend&gt;</w:t>
      </w:r>
    </w:p>
    <w:p w:rsidR="001F04EE" w:rsidRPr="002B4A69" w:rsidP="001F04EE" w14:paraId="5797A009"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498</w:t>
      </w:r>
      <w:r w:rsidRPr="002B4A69">
        <w:rPr>
          <w:rStyle w:val="HideTWBExt"/>
          <w:b w:val="0"/>
          <w:lang w:val="en-GB"/>
        </w:rPr>
        <w:t>&lt;/NumAm&gt;</w:t>
      </w:r>
    </w:p>
    <w:p w:rsidR="001F04EE" w:rsidRPr="002B4A69" w:rsidP="001F04EE" w14:paraId="6EE36AB5" w14:textId="77777777">
      <w:pPr>
        <w:pStyle w:val="NormalBold"/>
      </w:pPr>
      <w:r w:rsidRPr="002B4A69">
        <w:rPr>
          <w:rStyle w:val="HideTWBExt"/>
          <w:b w:val="0"/>
        </w:rPr>
        <w:t>&lt;RepeatBlock-By&gt;&lt;Members&gt;</w:t>
      </w:r>
      <w:r w:rsidRPr="002B4A69">
        <w:t>Ana Vasconcelos, Andreas Glück</w:t>
      </w:r>
      <w:r w:rsidRPr="002B4A69">
        <w:rPr>
          <w:rStyle w:val="HideTWBExt"/>
          <w:b w:val="0"/>
        </w:rPr>
        <w:t>&lt;/Members&gt;</w:t>
      </w:r>
    </w:p>
    <w:p w:rsidR="001F04EE" w:rsidRPr="002B4A69" w:rsidP="001F04EE" w14:paraId="2581A21C" w14:textId="77777777">
      <w:r w:rsidRPr="002B4A69">
        <w:rPr>
          <w:rStyle w:val="HideTWBExt"/>
        </w:rPr>
        <w:t>&lt;/RepeatBlock-By&gt;</w:t>
      </w:r>
    </w:p>
    <w:p w:rsidR="001F04EE" w:rsidRPr="002B4A69" w:rsidP="001F04EE" w14:paraId="7934C57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8894AE3" w14:textId="77777777">
      <w:pPr>
        <w:pStyle w:val="NormalBold"/>
      </w:pPr>
      <w:r w:rsidRPr="002B4A69">
        <w:rPr>
          <w:rStyle w:val="HideTWBExt"/>
          <w:b w:val="0"/>
        </w:rPr>
        <w:t>&lt;Article&gt;</w:t>
      </w:r>
      <w:r w:rsidRPr="002B4A69">
        <w:t>Recital 63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0119B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60AD7AE" w14:textId="77777777">
            <w:pPr>
              <w:keepNext/>
            </w:pPr>
          </w:p>
        </w:tc>
      </w:tr>
      <w:tr w14:paraId="3A8D7BB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450DE0" w14:textId="77777777">
            <w:pPr>
              <w:pStyle w:val="ColumnHeading"/>
              <w:keepNext/>
              <w:rPr>
                <w:lang w:val="en-GB"/>
              </w:rPr>
            </w:pPr>
            <w:r w:rsidRPr="002B4A69">
              <w:rPr>
                <w:lang w:val="en-GB"/>
              </w:rPr>
              <w:t>Text proposed by the Commission</w:t>
            </w:r>
          </w:p>
        </w:tc>
        <w:tc>
          <w:tcPr>
            <w:tcW w:w="4876" w:type="dxa"/>
          </w:tcPr>
          <w:p w:rsidR="001F04EE" w:rsidRPr="002B4A69" w:rsidP="00723F81" w14:paraId="36321647" w14:textId="77777777">
            <w:pPr>
              <w:pStyle w:val="ColumnHeading"/>
              <w:keepNext/>
              <w:rPr>
                <w:lang w:val="en-GB"/>
              </w:rPr>
            </w:pPr>
            <w:r w:rsidRPr="002B4A69">
              <w:rPr>
                <w:lang w:val="en-GB"/>
              </w:rPr>
              <w:t>Amendment</w:t>
            </w:r>
          </w:p>
        </w:tc>
      </w:tr>
      <w:tr w14:paraId="055985F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0CFA764" w14:textId="77777777">
            <w:pPr>
              <w:pStyle w:val="Normal6"/>
              <w:rPr>
                <w:lang w:val="en-GB"/>
              </w:rPr>
            </w:pPr>
            <w:r w:rsidRPr="002B4A69">
              <w:rPr>
                <w:lang w:val="en-GB"/>
              </w:rPr>
              <w:t>(63)</w:t>
            </w:r>
            <w:r w:rsidRPr="002B4A69">
              <w:rPr>
                <w:lang w:val="en-GB"/>
              </w:rPr>
              <w:tab/>
              <w:t xml:space="preserve">The Investment Booster should be followed by a second phase whereby the Industrial Decarbonisation Bank would continue to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premia , disbursed upon verified GHG abatement, and accelerating industrial decarbonisation. In implementing the Industrial Decarbonisation Bank phase 2, the Commission should strive to ensure effective, quality-based geographical coverage across the Union. To boost Europe’s industrial decarbonisation and turn every euro into investment early-on, the Industrial Decarbonisation Bank must move fast. Once the Investment Booster has fully deployed its allowances, the Industrial Decarbonisation Bank should open Phase 2, ensuring continued firepower for industrial decarbonisation </w:t>
            </w:r>
            <w:r w:rsidRPr="002B4A69">
              <w:rPr>
                <w:lang w:val="en-GB"/>
              </w:rPr>
              <w:t>well before 2031.</w:t>
            </w:r>
          </w:p>
        </w:tc>
        <w:tc>
          <w:tcPr>
            <w:tcW w:w="4876" w:type="dxa"/>
          </w:tcPr>
          <w:p w:rsidR="001F04EE" w:rsidRPr="002B4A69" w:rsidP="00723F81" w14:paraId="1955A2F6" w14:textId="77777777">
            <w:pPr>
              <w:pStyle w:val="Normal6"/>
              <w:rPr>
                <w:szCs w:val="24"/>
                <w:lang w:val="en-GB"/>
              </w:rPr>
            </w:pPr>
            <w:r w:rsidRPr="002B4A69">
              <w:rPr>
                <w:lang w:val="en-GB"/>
              </w:rPr>
              <w:t>(63)</w:t>
            </w:r>
            <w:r w:rsidRPr="002B4A69">
              <w:rPr>
                <w:lang w:val="en-GB"/>
              </w:rPr>
              <w:tab/>
              <w:t xml:space="preserve">The Investment Booster should be followed by a second phase whereby the Industrial Decarbonisation Bank would continue to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premia , disbursed upon verified GHG abatement, and accelerating industrial decarbonisation. </w:t>
            </w:r>
            <w:r w:rsidRPr="002B4A69">
              <w:rPr>
                <w:b/>
                <w:i/>
                <w:lang w:val="en-GB"/>
              </w:rPr>
              <w:t>The Industrial Decarbonisation Bank should allocate support through technology-neutral competitive measures to address demonstrated financing barriers for industrial decarbonisation projects, thereby accelerating the deployment of cost-effective low-carbon solutions and strengthening the competitiveness of Union industry.</w:t>
            </w:r>
            <w:r w:rsidRPr="002B4A69">
              <w:rPr>
                <w:lang w:val="en-GB"/>
              </w:rPr>
              <w:t xml:space="preserve"> In implementing the Industrial Decarbonisation Bank phase 2, the Commission should strive to ensure effective, quality-based geographical </w:t>
            </w:r>
            <w:r w:rsidRPr="002B4A69">
              <w:rPr>
                <w:lang w:val="en-GB"/>
              </w:rPr>
              <w:t>coverage across the Union. To boost Europe’s industrial decarbonisation and turn every euro into investment early-on, the Industrial Decarbonisation Bank must move fast. Once the Investment Booster has fully deployed its allowances, the Industrial Decarbonisation Bank should open Phase 2, ensuring continued firepower for industrial decarbonisation well before 2031.</w:t>
            </w:r>
          </w:p>
        </w:tc>
      </w:tr>
    </w:tbl>
    <w:p w:rsidR="001F04EE" w:rsidRPr="002B4A69" w:rsidP="001F04EE" w14:paraId="5675435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BA4A4E3" w14:textId="77777777">
      <w:r w:rsidRPr="002B4A69">
        <w:rPr>
          <w:rStyle w:val="HideTWBExt"/>
        </w:rPr>
        <w:t>&lt;/Amend&gt;</w:t>
      </w:r>
    </w:p>
    <w:p w:rsidR="001F04EE" w:rsidRPr="002B4A69" w:rsidP="001F04EE" w14:paraId="4D9DB55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499</w:t>
      </w:r>
      <w:r w:rsidRPr="002B4A69">
        <w:rPr>
          <w:rStyle w:val="HideTWBExt"/>
          <w:b w:val="0"/>
          <w:lang w:val="en-GB"/>
        </w:rPr>
        <w:t>&lt;/NumAm&gt;</w:t>
      </w:r>
    </w:p>
    <w:p w:rsidR="001F04EE" w:rsidRPr="002B4A69" w:rsidP="001F04EE" w14:paraId="36430D45" w14:textId="77777777">
      <w:pPr>
        <w:pStyle w:val="NormalBold"/>
      </w:pPr>
      <w:r w:rsidRPr="002B4A69">
        <w:rPr>
          <w:rStyle w:val="HideTWBExt"/>
          <w:b w:val="0"/>
        </w:rPr>
        <w:t>&lt;RepeatBlock-By&gt;&lt;Members&gt;</w:t>
      </w:r>
      <w:r w:rsidRPr="002B4A69">
        <w:t>Andrea Wechsler, Norbert Herhammer, Verena Mertens, Sabine Verheyen, Marie-Sophie Christ, Christian Ehler, Angelika Niebler</w:t>
      </w:r>
      <w:r w:rsidRPr="002B4A69">
        <w:rPr>
          <w:rStyle w:val="HideTWBExt"/>
          <w:b w:val="0"/>
        </w:rPr>
        <w:t>&lt;/Members&gt;</w:t>
      </w:r>
    </w:p>
    <w:p w:rsidR="001F04EE" w:rsidRPr="002B4A69" w:rsidP="001F04EE" w14:paraId="4560F19F" w14:textId="77777777">
      <w:r w:rsidRPr="002B4A69">
        <w:rPr>
          <w:rStyle w:val="HideTWBExt"/>
        </w:rPr>
        <w:t>&lt;/RepeatBlock-By&gt;</w:t>
      </w:r>
    </w:p>
    <w:p w:rsidR="001F04EE" w:rsidRPr="002B4A69" w:rsidP="001F04EE" w14:paraId="33224DA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60916C5" w14:textId="77777777">
      <w:pPr>
        <w:pStyle w:val="NormalBold"/>
      </w:pPr>
      <w:r w:rsidRPr="002B4A69">
        <w:rPr>
          <w:rStyle w:val="HideTWBExt"/>
          <w:b w:val="0"/>
        </w:rPr>
        <w:t>&lt;Article&gt;</w:t>
      </w:r>
      <w:r w:rsidRPr="002B4A69">
        <w:t>Recital 63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46441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5BB5204" w14:textId="77777777">
            <w:pPr>
              <w:keepNext/>
            </w:pPr>
          </w:p>
        </w:tc>
      </w:tr>
      <w:tr w14:paraId="4260888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8AFCC26" w14:textId="77777777">
            <w:pPr>
              <w:pStyle w:val="ColumnHeading"/>
              <w:keepNext/>
              <w:rPr>
                <w:lang w:val="en-GB"/>
              </w:rPr>
            </w:pPr>
            <w:r w:rsidRPr="002B4A69">
              <w:rPr>
                <w:lang w:val="en-GB"/>
              </w:rPr>
              <w:t>Text proposed by the Commission</w:t>
            </w:r>
          </w:p>
        </w:tc>
        <w:tc>
          <w:tcPr>
            <w:tcW w:w="4876" w:type="dxa"/>
          </w:tcPr>
          <w:p w:rsidR="001F04EE" w:rsidRPr="002B4A69" w:rsidP="00723F81" w14:paraId="1B37AFD0" w14:textId="77777777">
            <w:pPr>
              <w:pStyle w:val="ColumnHeading"/>
              <w:keepNext/>
              <w:rPr>
                <w:lang w:val="en-GB"/>
              </w:rPr>
            </w:pPr>
            <w:r w:rsidRPr="002B4A69">
              <w:rPr>
                <w:lang w:val="en-GB"/>
              </w:rPr>
              <w:t>Amendment</w:t>
            </w:r>
          </w:p>
        </w:tc>
      </w:tr>
      <w:tr w14:paraId="4ED342A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C621483" w14:textId="77777777">
            <w:pPr>
              <w:pStyle w:val="Normal6"/>
              <w:rPr>
                <w:lang w:val="en-GB"/>
              </w:rPr>
            </w:pPr>
            <w:r w:rsidRPr="002B4A69">
              <w:rPr>
                <w:lang w:val="en-GB"/>
              </w:rPr>
              <w:t>(63)</w:t>
            </w:r>
            <w:r w:rsidRPr="002B4A69">
              <w:rPr>
                <w:lang w:val="en-GB"/>
              </w:rPr>
              <w:tab/>
              <w:t xml:space="preserve">The Investment Booster should be followed by a second phase whereby the Industrial Decarbonisation Bank would continue to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premia , disbursed upon verified GHG abatement, and accelerating industrial decarbonisation. In implementing the Industrial Decarbonisation Bank phase 2, the Commission should strive to ensure effective, quality-based geographical coverage across the Union. To boost Europe’s industrial decarbonisation and turn every euro into investment early-on, the Industrial Decarbonisation Bank must move fast. Once the Investment Booster has fully deployed its allowances, the Industrial Decarbonisation Bank should </w:t>
            </w:r>
            <w:r w:rsidRPr="002B4A69">
              <w:rPr>
                <w:lang w:val="en-GB"/>
              </w:rPr>
              <w:t>open Phase 2, ensuring continued firepower for industrial decarbonisation well before 2031.</w:t>
            </w:r>
          </w:p>
        </w:tc>
        <w:tc>
          <w:tcPr>
            <w:tcW w:w="4876" w:type="dxa"/>
          </w:tcPr>
          <w:p w:rsidR="001F04EE" w:rsidRPr="002B4A69" w:rsidP="00723F81" w14:paraId="29B98FED" w14:textId="77777777">
            <w:pPr>
              <w:pStyle w:val="Normal6"/>
              <w:rPr>
                <w:szCs w:val="24"/>
                <w:lang w:val="en-GB"/>
              </w:rPr>
            </w:pPr>
            <w:r w:rsidRPr="002B4A69">
              <w:rPr>
                <w:lang w:val="en-GB"/>
              </w:rPr>
              <w:t>(63)</w:t>
            </w:r>
            <w:r w:rsidRPr="002B4A69">
              <w:rPr>
                <w:lang w:val="en-GB"/>
              </w:rPr>
              <w:tab/>
              <w:t xml:space="preserve">The Investment Booster should be followed by a second phase whereby the Industrial Decarbonisation Bank would continue to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premia , disbursed upon verified GHG abatement, and accelerating industrial decarbonisation. In implementing the Industrial Decarbonisation Bank phase 2, the Commission should strive to ensure effective, quality-based geographical coverage across the Union. </w:t>
            </w:r>
            <w:r w:rsidRPr="002B4A69">
              <w:rPr>
                <w:b/>
                <w:i/>
                <w:lang w:val="en-GB"/>
              </w:rPr>
              <w:t xml:space="preserve">The competitive bidding procedures should rank eligible projects primarily </w:t>
            </w:r>
            <w:r w:rsidRPr="002B4A69">
              <w:rPr>
                <w:b/>
                <w:i/>
                <w:lang w:val="en-GB"/>
              </w:rPr>
              <w:t>on the basis of</w:t>
            </w:r>
            <w:r w:rsidRPr="002B4A69">
              <w:rPr>
                <w:b/>
                <w:i/>
                <w:lang w:val="en-GB"/>
              </w:rPr>
              <w:t xml:space="preserve"> their cost-effectiveness, measured as the quantity of greenhouse gas emissions avoided or removed per euro of support requested, </w:t>
            </w:r>
            <w:r w:rsidRPr="002B4A69">
              <w:rPr>
                <w:b/>
                <w:i/>
                <w:lang w:val="en-GB"/>
              </w:rPr>
              <w:t>so as to</w:t>
            </w:r>
            <w:r w:rsidRPr="002B4A69">
              <w:rPr>
                <w:b/>
                <w:i/>
                <w:lang w:val="en-GB"/>
              </w:rPr>
              <w:t xml:space="preserve"> maximise the </w:t>
            </w:r>
            <w:r w:rsidRPr="002B4A69">
              <w:rPr>
                <w:b/>
                <w:i/>
                <w:lang w:val="en-GB"/>
              </w:rPr>
              <w:t>abatement delivered by each euro of Union support.</w:t>
            </w:r>
            <w:r w:rsidRPr="002B4A69">
              <w:rPr>
                <w:lang w:val="en-GB"/>
              </w:rPr>
              <w:t xml:space="preserve"> To boost Europe’s industrial decarbonisation and turn every euro into investment early-on, the Industrial Decarbonisation Bank must move fast. Once the Investment Booster has fully deployed its allowances, the Industrial Decarbonisation Bank should open Phase 2, ensuring continued firepower for industrial decarbonisation well before 2031.</w:t>
            </w:r>
          </w:p>
        </w:tc>
      </w:tr>
    </w:tbl>
    <w:p w:rsidR="001F04EE" w:rsidRPr="002B4A69" w:rsidP="001F04EE" w14:paraId="19AFD19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9074833"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7769798E" w14:textId="77777777">
      <w:pPr>
        <w:pStyle w:val="Normal12Italic"/>
        <w:rPr>
          <w:noProof w:val="0"/>
          <w:lang w:val="en-GB"/>
        </w:rPr>
      </w:pPr>
      <w:r w:rsidRPr="002B4A69">
        <w:rPr>
          <w:noProof w:val="0"/>
          <w:lang w:val="en-GB"/>
        </w:rPr>
        <w:t>The amendment strengthens the efficiency of the Industrial Decarbonisation Bank by making cost-effectiveness the primary criterion in competitive bidding procedures. Ranking projects according to the amount of greenhouse gas emissions avoided or removed per euro of support helps ensure that limited Union resources deliver the greatest possible decarbonisation impact. This improves the effectiveness and transparency of the funding mechanism while preserving the possibility to take additional qualitative criteria into account where appropriate.</w:t>
      </w:r>
    </w:p>
    <w:p w:rsidR="001F04EE" w:rsidRPr="002B4A69" w:rsidP="001F04EE" w14:paraId="24694329" w14:textId="77777777">
      <w:r w:rsidRPr="002B4A69">
        <w:rPr>
          <w:rStyle w:val="HideTWBExt"/>
        </w:rPr>
        <w:t>&lt;/Amend&gt;</w:t>
      </w:r>
    </w:p>
    <w:p w:rsidR="001F04EE" w:rsidRPr="002B4A69" w:rsidP="001F04EE" w14:paraId="3C8EEC0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500</w:t>
      </w:r>
      <w:r w:rsidRPr="002B4A69">
        <w:rPr>
          <w:rStyle w:val="HideTWBExt"/>
          <w:b w:val="0"/>
          <w:lang w:val="en-GB"/>
        </w:rPr>
        <w:t>&lt;/NumAm&gt;</w:t>
      </w:r>
    </w:p>
    <w:p w:rsidR="001F04EE" w:rsidRPr="002B4A69" w:rsidP="001F04EE" w14:paraId="52024D25"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3D56548A" w14:textId="77777777">
      <w:r w:rsidRPr="002B4A69">
        <w:rPr>
          <w:rStyle w:val="HideTWBExt"/>
        </w:rPr>
        <w:t>&lt;/RepeatBlock-By&gt;</w:t>
      </w:r>
    </w:p>
    <w:p w:rsidR="001F04EE" w:rsidRPr="002B4A69" w:rsidP="001F04EE" w14:paraId="33F612A4"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235F59F" w14:textId="77777777">
      <w:pPr>
        <w:pStyle w:val="NormalBold"/>
      </w:pPr>
      <w:r w:rsidRPr="002B4A69">
        <w:rPr>
          <w:rStyle w:val="HideTWBExt"/>
          <w:b w:val="0"/>
        </w:rPr>
        <w:t>&lt;Article&gt;</w:t>
      </w:r>
      <w:r w:rsidRPr="002B4A69">
        <w:t>Recital 63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18E18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B1C98A5" w14:textId="77777777">
            <w:pPr>
              <w:keepNext/>
            </w:pPr>
          </w:p>
        </w:tc>
      </w:tr>
      <w:tr w14:paraId="55994DB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C903AD4" w14:textId="77777777">
            <w:pPr>
              <w:pStyle w:val="ColumnHeading"/>
              <w:keepNext/>
              <w:rPr>
                <w:lang w:val="en-GB"/>
              </w:rPr>
            </w:pPr>
            <w:r w:rsidRPr="002B4A69">
              <w:rPr>
                <w:lang w:val="en-GB"/>
              </w:rPr>
              <w:t>Text proposed by the Commission</w:t>
            </w:r>
          </w:p>
        </w:tc>
        <w:tc>
          <w:tcPr>
            <w:tcW w:w="4876" w:type="dxa"/>
          </w:tcPr>
          <w:p w:rsidR="001F04EE" w:rsidRPr="002B4A69" w:rsidP="00723F81" w14:paraId="342DA17F" w14:textId="77777777">
            <w:pPr>
              <w:pStyle w:val="ColumnHeading"/>
              <w:keepNext/>
              <w:rPr>
                <w:lang w:val="en-GB"/>
              </w:rPr>
            </w:pPr>
            <w:r w:rsidRPr="002B4A69">
              <w:rPr>
                <w:lang w:val="en-GB"/>
              </w:rPr>
              <w:t>Amendment</w:t>
            </w:r>
          </w:p>
        </w:tc>
      </w:tr>
      <w:tr w14:paraId="5DDD57E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484C3C" w14:textId="77777777">
            <w:pPr>
              <w:pStyle w:val="Normal6"/>
              <w:rPr>
                <w:lang w:val="en-GB"/>
              </w:rPr>
            </w:pPr>
            <w:r w:rsidRPr="002B4A69">
              <w:rPr>
                <w:lang w:val="en-GB"/>
              </w:rPr>
              <w:t>(63)</w:t>
            </w:r>
            <w:r w:rsidRPr="002B4A69">
              <w:rPr>
                <w:lang w:val="en-GB"/>
              </w:rPr>
              <w:tab/>
              <w:t xml:space="preserve">The Investment Booster should be followed by a second phase whereby the Industrial Decarbonisation Bank would continue to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premia , disbursed upon verified GHG abatement, and accelerating industrial decarbonisation. In implementing the Industrial </w:t>
            </w:r>
            <w:r w:rsidRPr="002B4A69">
              <w:rPr>
                <w:lang w:val="en-GB"/>
              </w:rPr>
              <w:t>Decarbonisation Bank phase 2, the Commission should strive to ensure effective, quality-based geographical coverage across the Union. To boost Europe’s industrial decarbonisation and turn every euro into investment early-on, the Industrial Decarbonisation Bank must move fast. Once the Investment Booster has fully deployed its allowances, the Industrial Decarbonisation Bank should open Phase 2, ensuring continued firepower for industrial decarbonisation well before 2031.</w:t>
            </w:r>
          </w:p>
        </w:tc>
        <w:tc>
          <w:tcPr>
            <w:tcW w:w="4876" w:type="dxa"/>
          </w:tcPr>
          <w:p w:rsidR="001F04EE" w:rsidRPr="002B4A69" w:rsidP="00723F81" w14:paraId="71A18E4F" w14:textId="77777777">
            <w:pPr>
              <w:pStyle w:val="Normal6"/>
              <w:rPr>
                <w:szCs w:val="24"/>
                <w:lang w:val="en-GB"/>
              </w:rPr>
            </w:pPr>
            <w:r w:rsidRPr="002B4A69">
              <w:rPr>
                <w:lang w:val="en-GB"/>
              </w:rPr>
              <w:t>(63)</w:t>
            </w:r>
            <w:r w:rsidRPr="002B4A69">
              <w:rPr>
                <w:lang w:val="en-GB"/>
              </w:rPr>
              <w:tab/>
              <w:t xml:space="preserve">The Investment Booster should be followed by a second phase whereby the Industrial </w:t>
            </w:r>
            <w:r w:rsidRPr="002B4A69">
              <w:rPr>
                <w:b/>
                <w:i/>
                <w:lang w:val="en-GB"/>
              </w:rPr>
              <w:t>Electrification and</w:t>
            </w:r>
            <w:r w:rsidRPr="002B4A69">
              <w:rPr>
                <w:lang w:val="en-GB"/>
              </w:rPr>
              <w:t xml:space="preserve"> Decarbonisation Bank would continue to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premia , disbursed upon verified GHG abatement, and accelerating industrial decarbonisation. </w:t>
            </w:r>
            <w:r w:rsidRPr="002B4A69">
              <w:rPr>
                <w:b/>
                <w:i/>
                <w:lang w:val="en-GB"/>
              </w:rPr>
              <w:t>Competitive bidding procedures should be organised by sector or by groups of comparable technology pathways based on an electrification first principle.</w:t>
            </w:r>
            <w:r w:rsidRPr="002B4A69">
              <w:rPr>
                <w:lang w:val="en-GB"/>
              </w:rPr>
              <w:t xml:space="preserve"> In implementing the Industrial </w:t>
            </w:r>
            <w:r w:rsidRPr="002B4A69">
              <w:rPr>
                <w:b/>
                <w:i/>
                <w:lang w:val="en-GB"/>
              </w:rPr>
              <w:t>Electrification and</w:t>
            </w:r>
            <w:r w:rsidRPr="002B4A69">
              <w:rPr>
                <w:lang w:val="en-GB"/>
              </w:rPr>
              <w:t xml:space="preserve"> Decarbonisation Bank phase 2, the Commission should strive to ensure effective, quality-based geographical coverage across the Union. To boost Europe’s industrial decarbonisation and turn every euro into investment early-on, the Industrial </w:t>
            </w:r>
            <w:r w:rsidRPr="002B4A69">
              <w:rPr>
                <w:b/>
                <w:i/>
                <w:lang w:val="en-GB"/>
              </w:rPr>
              <w:t>Electrification and</w:t>
            </w:r>
            <w:r w:rsidRPr="002B4A69">
              <w:rPr>
                <w:lang w:val="en-GB"/>
              </w:rPr>
              <w:t xml:space="preserve"> Decarbonisation Bank must move fast. Once the Investment Booster has fully deployed its allowances, the Industrial </w:t>
            </w:r>
            <w:r w:rsidRPr="002B4A69">
              <w:rPr>
                <w:b/>
                <w:i/>
                <w:lang w:val="en-GB"/>
              </w:rPr>
              <w:t>Electrification and</w:t>
            </w:r>
            <w:r w:rsidRPr="002B4A69">
              <w:rPr>
                <w:lang w:val="en-GB"/>
              </w:rPr>
              <w:t xml:space="preserve"> Decarbonisation Bank should open Phase 2, ensuring continued firepower for industrial decarbonisation well before 2031.</w:t>
            </w:r>
          </w:p>
        </w:tc>
      </w:tr>
    </w:tbl>
    <w:p w:rsidR="001F04EE" w:rsidRPr="002B4A69" w:rsidP="001F04EE" w14:paraId="0F82CFE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86DA7BB" w14:textId="77777777">
      <w:r w:rsidRPr="002B4A69">
        <w:rPr>
          <w:rStyle w:val="HideTWBExt"/>
        </w:rPr>
        <w:t>&lt;/Amend&gt;</w:t>
      </w:r>
    </w:p>
    <w:p w:rsidR="001F04EE" w:rsidRPr="002B4A69" w:rsidP="001F04EE" w14:paraId="2CD4D5A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501</w:t>
      </w:r>
      <w:r w:rsidRPr="002B4A69">
        <w:rPr>
          <w:rStyle w:val="HideTWBExt"/>
          <w:b w:val="0"/>
          <w:lang w:val="en-GB"/>
        </w:rPr>
        <w:t>&lt;/NumAm&gt;</w:t>
      </w:r>
    </w:p>
    <w:p w:rsidR="001F04EE" w:rsidRPr="002B4A69" w:rsidP="001F04EE" w14:paraId="7C14F993"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4BB7660D"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55D2DF0E"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15C4103A" w14:textId="77777777">
      <w:r w:rsidRPr="002B4A69">
        <w:rPr>
          <w:rStyle w:val="HideTWBExt"/>
        </w:rPr>
        <w:t>&lt;/RepeatBlock-By&gt;</w:t>
      </w:r>
    </w:p>
    <w:p w:rsidR="001F04EE" w:rsidRPr="002B4A69" w:rsidP="001F04EE" w14:paraId="1DAF496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89ECC94" w14:textId="77777777">
      <w:pPr>
        <w:pStyle w:val="NormalBold"/>
      </w:pPr>
      <w:r w:rsidRPr="002B4A69">
        <w:rPr>
          <w:rStyle w:val="HideTWBExt"/>
          <w:b w:val="0"/>
        </w:rPr>
        <w:t>&lt;Article&gt;</w:t>
      </w:r>
      <w:r w:rsidRPr="002B4A69">
        <w:t>Recital 63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E9BAB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F1B2867" w14:textId="77777777">
            <w:pPr>
              <w:keepNext/>
            </w:pPr>
          </w:p>
        </w:tc>
      </w:tr>
      <w:tr w14:paraId="71E594D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4AC6994" w14:textId="77777777">
            <w:pPr>
              <w:pStyle w:val="ColumnHeading"/>
              <w:keepNext/>
              <w:rPr>
                <w:lang w:val="en-GB"/>
              </w:rPr>
            </w:pPr>
            <w:r w:rsidRPr="002B4A69">
              <w:rPr>
                <w:lang w:val="en-GB"/>
              </w:rPr>
              <w:t>Text proposed by the Commission</w:t>
            </w:r>
          </w:p>
        </w:tc>
        <w:tc>
          <w:tcPr>
            <w:tcW w:w="4876" w:type="dxa"/>
          </w:tcPr>
          <w:p w:rsidR="001F04EE" w:rsidRPr="002B4A69" w:rsidP="00723F81" w14:paraId="655B129A" w14:textId="77777777">
            <w:pPr>
              <w:pStyle w:val="ColumnHeading"/>
              <w:keepNext/>
              <w:rPr>
                <w:lang w:val="en-GB"/>
              </w:rPr>
            </w:pPr>
            <w:r w:rsidRPr="002B4A69">
              <w:rPr>
                <w:lang w:val="en-GB"/>
              </w:rPr>
              <w:t>Amendment</w:t>
            </w:r>
          </w:p>
        </w:tc>
      </w:tr>
      <w:tr w14:paraId="7B97E8F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F8C7984" w14:textId="77777777">
            <w:pPr>
              <w:pStyle w:val="Normal6"/>
              <w:rPr>
                <w:lang w:val="en-GB"/>
              </w:rPr>
            </w:pPr>
            <w:r w:rsidRPr="002B4A69">
              <w:rPr>
                <w:lang w:val="en-GB"/>
              </w:rPr>
              <w:t>(63)</w:t>
            </w:r>
            <w:r w:rsidRPr="002B4A69">
              <w:rPr>
                <w:lang w:val="en-GB"/>
              </w:rPr>
              <w:tab/>
              <w:t xml:space="preserve">The Investment Booster should </w:t>
            </w:r>
            <w:r w:rsidRPr="002B4A69">
              <w:rPr>
                <w:b/>
                <w:i/>
                <w:lang w:val="en-GB"/>
              </w:rPr>
              <w:t>be followed by a second phase whereby the Industrial Decarbonisation Bank would continue to</w:t>
            </w:r>
            <w:r w:rsidRPr="002B4A69">
              <w:rPr>
                <w:lang w:val="en-GB"/>
              </w:rPr>
              <w:t xml:space="preserve">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premia , disbursed upon verified GHG abatement, and accelerating industrial decarbonisation. </w:t>
            </w:r>
            <w:r w:rsidRPr="002B4A69">
              <w:rPr>
                <w:b/>
                <w:i/>
                <w:lang w:val="en-GB"/>
              </w:rPr>
              <w:t>In implementing the Industrial Decarbonisation Bank phase 2,</w:t>
            </w:r>
            <w:r w:rsidRPr="002B4A69">
              <w:rPr>
                <w:lang w:val="en-GB"/>
              </w:rPr>
              <w:t xml:space="preserve"> the Commission should strive to ensure effective, quality-based geographical coverage across the Union. </w:t>
            </w:r>
            <w:r w:rsidRPr="002B4A69">
              <w:rPr>
                <w:b/>
                <w:i/>
                <w:lang w:val="en-GB"/>
              </w:rPr>
              <w:t>To boost Europe’s industrial decarbonisation and turn every euro into investment early-on, the Industrial Decarbonisation Bank must move fast.</w:t>
            </w:r>
            <w:r w:rsidRPr="002B4A69">
              <w:rPr>
                <w:lang w:val="en-GB"/>
              </w:rPr>
              <w:t xml:space="preserve"> Once the Investment Booster has fully deployed its allowances, the Industrial Decarbonisation Bank </w:t>
            </w:r>
            <w:r w:rsidRPr="002B4A69">
              <w:rPr>
                <w:b/>
                <w:i/>
                <w:lang w:val="en-GB"/>
              </w:rPr>
              <w:t>should</w:t>
            </w:r>
            <w:r w:rsidRPr="002B4A69">
              <w:rPr>
                <w:lang w:val="en-GB"/>
              </w:rPr>
              <w:t xml:space="preserve"> open Phase 2, </w:t>
            </w:r>
            <w:r w:rsidRPr="002B4A69">
              <w:rPr>
                <w:b/>
                <w:i/>
                <w:lang w:val="en-GB"/>
              </w:rPr>
              <w:t>ensuring</w:t>
            </w:r>
            <w:r w:rsidRPr="002B4A69">
              <w:rPr>
                <w:lang w:val="en-GB"/>
              </w:rPr>
              <w:t xml:space="preserve"> continued </w:t>
            </w:r>
            <w:r w:rsidRPr="002B4A69">
              <w:rPr>
                <w:b/>
                <w:i/>
                <w:lang w:val="en-GB"/>
              </w:rPr>
              <w:t>firepower</w:t>
            </w:r>
            <w:r w:rsidRPr="002B4A69">
              <w:rPr>
                <w:lang w:val="en-GB"/>
              </w:rPr>
              <w:t xml:space="preserve"> for industrial decarbonisation well before 2031.</w:t>
            </w:r>
          </w:p>
        </w:tc>
        <w:tc>
          <w:tcPr>
            <w:tcW w:w="4876" w:type="dxa"/>
          </w:tcPr>
          <w:p w:rsidR="001F04EE" w:rsidRPr="002B4A69" w:rsidP="00723F81" w14:paraId="1B1E7C6C" w14:textId="77777777">
            <w:pPr>
              <w:pStyle w:val="Normal6"/>
              <w:rPr>
                <w:szCs w:val="24"/>
                <w:lang w:val="en-GB"/>
              </w:rPr>
            </w:pPr>
            <w:r w:rsidRPr="002B4A69">
              <w:rPr>
                <w:lang w:val="en-GB"/>
              </w:rPr>
              <w:t>(63)</w:t>
            </w:r>
            <w:r w:rsidRPr="002B4A69">
              <w:rPr>
                <w:lang w:val="en-GB"/>
              </w:rPr>
              <w:tab/>
              <w:t xml:space="preserve">The Investment Booster should support the scale-up and roll-out of mature decarbonisation technologies for energy-intensive industries, including through guaranteeing a level of the carbon price, thereby de-risking investments and ensuring long-term revenue stability for decarbonisation efforts through mechanisms such as Carbon Contracts for Difference (CCfDs) or fixed carbon </w:t>
            </w:r>
            <w:r w:rsidRPr="002B4A69">
              <w:rPr>
                <w:lang w:val="en-GB"/>
              </w:rPr>
              <w:t>premia ,</w:t>
            </w:r>
            <w:r w:rsidRPr="002B4A69">
              <w:rPr>
                <w:lang w:val="en-GB"/>
              </w:rPr>
              <w:t xml:space="preserve"> disbursed upon verified GHG abatement, and accelerating industrial decarbonisation. The Commission should strive to ensure effective, quality-based geographical </w:t>
            </w:r>
            <w:r w:rsidRPr="002B4A69">
              <w:rPr>
                <w:lang w:val="en-GB"/>
              </w:rPr>
              <w:t xml:space="preserve">coverage across the Union. Once the Investment Booster has fully deployed its allowances, the Industrial Decarbonisation Bank </w:t>
            </w:r>
            <w:r w:rsidRPr="002B4A69">
              <w:rPr>
                <w:b/>
                <w:i/>
                <w:lang w:val="en-GB"/>
              </w:rPr>
              <w:t>may</w:t>
            </w:r>
            <w:r w:rsidRPr="002B4A69">
              <w:rPr>
                <w:lang w:val="en-GB"/>
              </w:rPr>
              <w:t xml:space="preserve"> open Phase 2, </w:t>
            </w:r>
            <w:r w:rsidRPr="002B4A69">
              <w:rPr>
                <w:b/>
                <w:i/>
                <w:lang w:val="en-GB"/>
              </w:rPr>
              <w:t>to help</w:t>
            </w:r>
            <w:r w:rsidRPr="002B4A69">
              <w:rPr>
                <w:lang w:val="en-GB"/>
              </w:rPr>
              <w:t xml:space="preserve"> continued </w:t>
            </w:r>
            <w:r w:rsidRPr="002B4A69">
              <w:rPr>
                <w:b/>
                <w:i/>
                <w:lang w:val="en-GB"/>
              </w:rPr>
              <w:t>efforts</w:t>
            </w:r>
            <w:r w:rsidRPr="002B4A69">
              <w:rPr>
                <w:lang w:val="en-GB"/>
              </w:rPr>
              <w:t xml:space="preserve"> for industrial decarbonisation well before 2031 </w:t>
            </w:r>
            <w:r w:rsidRPr="002B4A69">
              <w:rPr>
                <w:b/>
                <w:i/>
                <w:lang w:val="en-GB"/>
              </w:rPr>
              <w:t>while ensuring competitiveness of the Union industry</w:t>
            </w:r>
            <w:r w:rsidRPr="002B4A69">
              <w:rPr>
                <w:lang w:val="en-GB"/>
              </w:rPr>
              <w:t>.</w:t>
            </w:r>
          </w:p>
        </w:tc>
      </w:tr>
    </w:tbl>
    <w:p w:rsidR="001F04EE" w:rsidRPr="002B4A69" w:rsidP="001F04EE" w14:paraId="0DD037C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7F77E45" w14:textId="77777777">
      <w:r w:rsidRPr="002B4A69">
        <w:rPr>
          <w:rStyle w:val="HideTWBExt"/>
        </w:rPr>
        <w:t>&lt;/Amend&gt;</w:t>
      </w:r>
    </w:p>
    <w:p w:rsidR="001F04EE" w:rsidRPr="002B4A69" w:rsidP="001F04EE" w14:paraId="1B11478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502</w:t>
      </w:r>
      <w:r w:rsidRPr="002B4A69">
        <w:rPr>
          <w:rStyle w:val="HideTWBExt"/>
          <w:b w:val="0"/>
          <w:lang w:val="en-GB"/>
        </w:rPr>
        <w:t>&lt;/NumAm&gt;</w:t>
      </w:r>
    </w:p>
    <w:p w:rsidR="001F04EE" w:rsidRPr="002B4A69" w:rsidP="001F04EE" w14:paraId="00F230F5"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664CE6D7"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2F40BD05"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61A031DF" w14:textId="77777777">
      <w:r w:rsidRPr="002B4A69">
        <w:rPr>
          <w:rStyle w:val="HideTWBExt"/>
        </w:rPr>
        <w:t>&lt;/RepeatBlock-By&gt;</w:t>
      </w:r>
    </w:p>
    <w:p w:rsidR="001F04EE" w:rsidRPr="002B4A69" w:rsidP="001F04EE" w14:paraId="59A615A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39A4345" w14:textId="77777777">
      <w:pPr>
        <w:pStyle w:val="NormalBold"/>
      </w:pPr>
      <w:r w:rsidRPr="002B4A69">
        <w:rPr>
          <w:rStyle w:val="HideTWBExt"/>
          <w:b w:val="0"/>
        </w:rPr>
        <w:t>&lt;Article&gt;</w:t>
      </w:r>
      <w:r w:rsidRPr="002B4A69">
        <w:t>Recital 64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3FDF3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0139B76" w14:textId="77777777">
            <w:pPr>
              <w:keepNext/>
            </w:pPr>
          </w:p>
        </w:tc>
      </w:tr>
      <w:tr w14:paraId="5EF5EE2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C627F7F" w14:textId="77777777">
            <w:pPr>
              <w:pStyle w:val="ColumnHeading"/>
              <w:keepNext/>
              <w:rPr>
                <w:lang w:val="en-GB"/>
              </w:rPr>
            </w:pPr>
            <w:r w:rsidRPr="002B4A69">
              <w:rPr>
                <w:lang w:val="en-GB"/>
              </w:rPr>
              <w:t>Text proposed by the Commission</w:t>
            </w:r>
          </w:p>
        </w:tc>
        <w:tc>
          <w:tcPr>
            <w:tcW w:w="4876" w:type="dxa"/>
          </w:tcPr>
          <w:p w:rsidR="001F04EE" w:rsidRPr="002B4A69" w:rsidP="00723F81" w14:paraId="39C1E834" w14:textId="77777777">
            <w:pPr>
              <w:pStyle w:val="ColumnHeading"/>
              <w:keepNext/>
              <w:rPr>
                <w:lang w:val="en-GB"/>
              </w:rPr>
            </w:pPr>
            <w:r w:rsidRPr="002B4A69">
              <w:rPr>
                <w:lang w:val="en-GB"/>
              </w:rPr>
              <w:t>Amendment</w:t>
            </w:r>
          </w:p>
        </w:tc>
      </w:tr>
      <w:tr w14:paraId="72B7E71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BBE3127" w14:textId="77777777">
            <w:pPr>
              <w:pStyle w:val="Normal6"/>
              <w:rPr>
                <w:lang w:val="en-GB"/>
              </w:rPr>
            </w:pPr>
            <w:r w:rsidRPr="002B4A69">
              <w:rPr>
                <w:b/>
                <w:i/>
                <w:lang w:val="en-GB"/>
              </w:rPr>
              <w:t>(64)</w:t>
            </w:r>
            <w:r w:rsidRPr="002B4A69">
              <w:rPr>
                <w:b/>
                <w:i/>
                <w:lang w:val="en-GB"/>
              </w:rPr>
              <w:tab/>
              <w:t>To ensure coherent and reinforced support for industrial decarbonisation, enhancing both climate and competitiveness objectives, the Commission should maximise synergies between the Industrial Decarbonisation Bank (IDB) and the European Competitiveness Fund (ECF). To this end, the proposed ‘competitiveness seal’ should be awarded to projects fulfilling all requirements for support under the Industrial Decarbonisation Bank, thereby streamlining access to complementary funding.</w:t>
            </w:r>
          </w:p>
        </w:tc>
        <w:tc>
          <w:tcPr>
            <w:tcW w:w="4876" w:type="dxa"/>
          </w:tcPr>
          <w:p w:rsidR="001F04EE" w:rsidRPr="002B4A69" w:rsidP="00723F81" w14:paraId="6A70569E" w14:textId="77777777">
            <w:pPr>
              <w:pStyle w:val="Normal6"/>
              <w:rPr>
                <w:szCs w:val="24"/>
                <w:lang w:val="en-GB"/>
              </w:rPr>
            </w:pPr>
            <w:r w:rsidRPr="002B4A69">
              <w:rPr>
                <w:b/>
                <w:i/>
                <w:lang w:val="en-GB"/>
              </w:rPr>
              <w:t>deleted</w:t>
            </w:r>
          </w:p>
        </w:tc>
      </w:tr>
    </w:tbl>
    <w:p w:rsidR="001F04EE" w:rsidRPr="002B4A69" w:rsidP="001F04EE" w14:paraId="1429CC6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2926980" w14:textId="77777777">
      <w:r w:rsidRPr="002B4A69">
        <w:rPr>
          <w:rStyle w:val="HideTWBExt"/>
        </w:rPr>
        <w:t>&lt;/Amend&gt;</w:t>
      </w:r>
    </w:p>
    <w:p w:rsidR="001F04EE" w:rsidRPr="002B4A69" w:rsidP="001F04EE" w14:paraId="3BCDA4E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503</w:t>
      </w:r>
      <w:r w:rsidRPr="002B4A69">
        <w:rPr>
          <w:rStyle w:val="HideTWBExt"/>
          <w:b w:val="0"/>
          <w:lang w:val="en-GB"/>
        </w:rPr>
        <w:t>&lt;/NumAm&gt;</w:t>
      </w:r>
    </w:p>
    <w:p w:rsidR="001F04EE" w:rsidRPr="002B4A69" w:rsidP="001F04EE" w14:paraId="5B3B64E4"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109A6329" w14:textId="77777777">
      <w:r w:rsidRPr="002B4A69">
        <w:rPr>
          <w:rStyle w:val="HideTWBExt"/>
        </w:rPr>
        <w:t>&lt;/RepeatBlock-By&gt;</w:t>
      </w:r>
    </w:p>
    <w:p w:rsidR="001F04EE" w:rsidRPr="002B4A69" w:rsidP="001F04EE" w14:paraId="0DDAD7B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F9152D5" w14:textId="77777777">
      <w:pPr>
        <w:pStyle w:val="NormalBold"/>
      </w:pPr>
      <w:r w:rsidRPr="002B4A69">
        <w:rPr>
          <w:rStyle w:val="HideTWBExt"/>
          <w:b w:val="0"/>
        </w:rPr>
        <w:t>&lt;Article&gt;</w:t>
      </w:r>
      <w:r w:rsidRPr="002B4A69">
        <w:t>Recital 64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D946F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5236B54" w14:textId="77777777">
            <w:pPr>
              <w:keepNext/>
            </w:pPr>
          </w:p>
        </w:tc>
      </w:tr>
      <w:tr w14:paraId="1D08C9A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C843637" w14:textId="77777777">
            <w:pPr>
              <w:pStyle w:val="ColumnHeading"/>
              <w:keepNext/>
              <w:rPr>
                <w:lang w:val="en-GB"/>
              </w:rPr>
            </w:pPr>
            <w:r w:rsidRPr="002B4A69">
              <w:rPr>
                <w:lang w:val="en-GB"/>
              </w:rPr>
              <w:t>Text proposed by the Commission</w:t>
            </w:r>
          </w:p>
        </w:tc>
        <w:tc>
          <w:tcPr>
            <w:tcW w:w="4876" w:type="dxa"/>
          </w:tcPr>
          <w:p w:rsidR="001F04EE" w:rsidRPr="002B4A69" w:rsidP="00723F81" w14:paraId="5720B691" w14:textId="77777777">
            <w:pPr>
              <w:pStyle w:val="ColumnHeading"/>
              <w:keepNext/>
              <w:rPr>
                <w:lang w:val="en-GB"/>
              </w:rPr>
            </w:pPr>
            <w:r w:rsidRPr="002B4A69">
              <w:rPr>
                <w:lang w:val="en-GB"/>
              </w:rPr>
              <w:t>Amendment</w:t>
            </w:r>
          </w:p>
        </w:tc>
      </w:tr>
      <w:tr w14:paraId="00B8A6F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2D7BA9" w14:textId="77777777">
            <w:pPr>
              <w:pStyle w:val="Normal6"/>
              <w:rPr>
                <w:lang w:val="en-GB"/>
              </w:rPr>
            </w:pPr>
            <w:r w:rsidRPr="002B4A69">
              <w:rPr>
                <w:lang w:val="en-GB"/>
              </w:rPr>
              <w:t>(64)</w:t>
            </w:r>
            <w:r w:rsidRPr="002B4A69">
              <w:rPr>
                <w:lang w:val="en-GB"/>
              </w:rPr>
              <w:tab/>
              <w:t>To ensure coherent and reinforced support for industrial decarbonisation, enhancing both climate and competitiveness objectives, the Commission should maximise synergies between the Industrial Decarbonisation Bank (</w:t>
            </w:r>
            <w:r w:rsidRPr="002B4A69">
              <w:rPr>
                <w:b/>
                <w:i/>
                <w:lang w:val="en-GB"/>
              </w:rPr>
              <w:t>IDB</w:t>
            </w:r>
            <w:r w:rsidRPr="002B4A69">
              <w:rPr>
                <w:lang w:val="en-GB"/>
              </w:rPr>
              <w:t>) and the European Competitiveness Fund (ECF). To this end, the proposed ‘competitiveness seal’ should be awarded to projects fulfilling all requirements for support under the Industrial Decarbonisation Bank, thereby streamlining access to complementary funding.</w:t>
            </w:r>
          </w:p>
        </w:tc>
        <w:tc>
          <w:tcPr>
            <w:tcW w:w="4876" w:type="dxa"/>
          </w:tcPr>
          <w:p w:rsidR="001F04EE" w:rsidRPr="002B4A69" w:rsidP="00723F81" w14:paraId="6CEDFABA" w14:textId="77777777">
            <w:pPr>
              <w:pStyle w:val="Normal6"/>
              <w:rPr>
                <w:szCs w:val="24"/>
                <w:lang w:val="en-GB"/>
              </w:rPr>
            </w:pPr>
            <w:r w:rsidRPr="002B4A69">
              <w:rPr>
                <w:lang w:val="en-GB"/>
              </w:rPr>
              <w:t>(64)</w:t>
            </w:r>
            <w:r w:rsidRPr="002B4A69">
              <w:rPr>
                <w:lang w:val="en-GB"/>
              </w:rPr>
              <w:tab/>
              <w:t xml:space="preserve">To ensure coherent and reinforced support for industrial decarbonisation, enhancing both climate and competitiveness objectives, the Commission should maximise synergies between the Industrial </w:t>
            </w:r>
            <w:r w:rsidRPr="002B4A69">
              <w:rPr>
                <w:b/>
                <w:i/>
                <w:lang w:val="en-GB"/>
              </w:rPr>
              <w:t>Electrification and</w:t>
            </w:r>
            <w:r w:rsidRPr="002B4A69">
              <w:rPr>
                <w:lang w:val="en-GB"/>
              </w:rPr>
              <w:t xml:space="preserve"> Decarbonisation Bank (</w:t>
            </w:r>
            <w:r w:rsidRPr="002B4A69">
              <w:rPr>
                <w:b/>
                <w:i/>
                <w:lang w:val="en-GB"/>
              </w:rPr>
              <w:t>IEDB</w:t>
            </w:r>
            <w:r w:rsidRPr="002B4A69">
              <w:rPr>
                <w:lang w:val="en-GB"/>
              </w:rPr>
              <w:t xml:space="preserve">) and the European Competitiveness Fund (ECF). To this end, the proposed ‘competitiveness seal’ should be awarded to projects fulfilling all requirements for support under the Industrial </w:t>
            </w:r>
            <w:r w:rsidRPr="002B4A69">
              <w:rPr>
                <w:b/>
                <w:i/>
                <w:lang w:val="en-GB"/>
              </w:rPr>
              <w:t>Electrification and</w:t>
            </w:r>
            <w:r w:rsidRPr="002B4A69">
              <w:rPr>
                <w:lang w:val="en-GB"/>
              </w:rPr>
              <w:t xml:space="preserve"> Decarbonisation Bank, thereby streamlining access to complementary funding.</w:t>
            </w:r>
          </w:p>
        </w:tc>
      </w:tr>
    </w:tbl>
    <w:p w:rsidR="001F04EE" w:rsidRPr="002B4A69" w:rsidP="001F04EE" w14:paraId="46EADD4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B389EF4" w14:textId="77777777">
      <w:r w:rsidRPr="002B4A69">
        <w:rPr>
          <w:rStyle w:val="HideTWBExt"/>
        </w:rPr>
        <w:t>&lt;/Amend&gt;</w:t>
      </w:r>
    </w:p>
    <w:p w:rsidR="001F04EE" w:rsidRPr="002B4A69" w:rsidP="001F04EE" w14:paraId="6549C2E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504</w:t>
      </w:r>
      <w:r w:rsidRPr="002B4A69">
        <w:rPr>
          <w:rStyle w:val="HideTWBExt"/>
          <w:b w:val="0"/>
          <w:lang w:val="en-GB"/>
        </w:rPr>
        <w:t>&lt;/NumAm&gt;</w:t>
      </w:r>
    </w:p>
    <w:p w:rsidR="001F04EE" w:rsidRPr="002B4A69" w:rsidP="001F04EE" w14:paraId="59C707A3" w14:textId="77777777">
      <w:pPr>
        <w:pStyle w:val="NormalBold"/>
      </w:pPr>
      <w:r w:rsidRPr="002B4A69">
        <w:rPr>
          <w:rStyle w:val="HideTWBExt"/>
          <w:b w:val="0"/>
        </w:rPr>
        <w:t>&lt;RepeatBlock-By&gt;&lt;Members&gt;</w:t>
      </w:r>
      <w:r w:rsidRPr="002B4A69">
        <w:t>Pascal Canfin</w:t>
      </w:r>
      <w:r w:rsidRPr="002B4A69">
        <w:rPr>
          <w:rStyle w:val="HideTWBExt"/>
          <w:b w:val="0"/>
        </w:rPr>
        <w:t>&lt;/Members&gt;</w:t>
      </w:r>
    </w:p>
    <w:p w:rsidR="001F04EE" w:rsidRPr="002B4A69" w:rsidP="001F04EE" w14:paraId="437CCB63" w14:textId="77777777">
      <w:r w:rsidRPr="002B4A69">
        <w:rPr>
          <w:rStyle w:val="HideTWBExt"/>
        </w:rPr>
        <w:t>&lt;/RepeatBlock-By&gt;</w:t>
      </w:r>
    </w:p>
    <w:p w:rsidR="001F04EE" w:rsidRPr="002B4A69" w:rsidP="001F04EE" w14:paraId="2593604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1E0FF99" w14:textId="77777777">
      <w:pPr>
        <w:pStyle w:val="NormalBold"/>
      </w:pPr>
      <w:r w:rsidRPr="002B4A69">
        <w:rPr>
          <w:rStyle w:val="HideTWBExt"/>
          <w:b w:val="0"/>
        </w:rPr>
        <w:t>&lt;Article&gt;</w:t>
      </w:r>
      <w:r w:rsidRPr="002B4A69">
        <w:t>Recital 64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948E4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FBA63D4" w14:textId="77777777">
            <w:pPr>
              <w:keepNext/>
            </w:pPr>
          </w:p>
        </w:tc>
      </w:tr>
      <w:tr w14:paraId="148C9C6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23714B" w14:textId="77777777">
            <w:pPr>
              <w:pStyle w:val="ColumnHeading"/>
              <w:keepNext/>
              <w:rPr>
                <w:lang w:val="en-GB"/>
              </w:rPr>
            </w:pPr>
            <w:r w:rsidRPr="002B4A69">
              <w:rPr>
                <w:lang w:val="en-GB"/>
              </w:rPr>
              <w:t>Text proposed by the Commission</w:t>
            </w:r>
          </w:p>
        </w:tc>
        <w:tc>
          <w:tcPr>
            <w:tcW w:w="4876" w:type="dxa"/>
          </w:tcPr>
          <w:p w:rsidR="001F04EE" w:rsidRPr="002B4A69" w:rsidP="00723F81" w14:paraId="2CBE1DDE" w14:textId="77777777">
            <w:pPr>
              <w:pStyle w:val="ColumnHeading"/>
              <w:keepNext/>
              <w:rPr>
                <w:lang w:val="en-GB"/>
              </w:rPr>
            </w:pPr>
            <w:r w:rsidRPr="002B4A69">
              <w:rPr>
                <w:lang w:val="en-GB"/>
              </w:rPr>
              <w:t>Amendment</w:t>
            </w:r>
          </w:p>
        </w:tc>
      </w:tr>
      <w:tr w14:paraId="1FAECB1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158CB38" w14:textId="77777777">
            <w:pPr>
              <w:pStyle w:val="Normal6"/>
              <w:rPr>
                <w:lang w:val="en-GB"/>
              </w:rPr>
            </w:pPr>
          </w:p>
        </w:tc>
        <w:tc>
          <w:tcPr>
            <w:tcW w:w="4876" w:type="dxa"/>
          </w:tcPr>
          <w:p w:rsidR="001F04EE" w:rsidRPr="002B4A69" w:rsidP="00723F81" w14:paraId="76791F32" w14:textId="77777777">
            <w:pPr>
              <w:pStyle w:val="Normal6"/>
              <w:rPr>
                <w:szCs w:val="24"/>
                <w:lang w:val="en-GB"/>
              </w:rPr>
            </w:pPr>
            <w:r w:rsidRPr="002B4A69">
              <w:rPr>
                <w:b/>
                <w:i/>
                <w:lang w:val="en-GB"/>
              </w:rPr>
              <w:t>(64a)</w:t>
            </w:r>
            <w:r w:rsidRPr="002B4A69">
              <w:rPr>
                <w:b/>
                <w:i/>
                <w:lang w:val="en-GB"/>
              </w:rPr>
              <w:tab/>
              <w:t xml:space="preserve">The phasing out of free allocation for installations producing goods covered by Regulation (EU) 2023/956 may give rise to a remaining risk of carbon leakage in export markets, where Union producers compete with producers that are not subject to comparable carbon constraints. To address that risk in the period 2031-2040, it is appropriate to establish a Decarbonisation Fund. The Fund should support both operators of installations covered by Directive 2003/87/EC and downstream operators which, while not </w:t>
            </w:r>
            <w:r w:rsidRPr="002B4A69">
              <w:rPr>
                <w:b/>
                <w:i/>
                <w:lang w:val="en-GB"/>
              </w:rPr>
              <w:t>directly covered by that Directive, bear carbon costs passed through from the use of goods covered by Regulation (EU) 2023/956 as inputs in their production processes. Such support should be conditional on verifiable decarbonisation efforts by the beneficiaries, so that it contributes to the environmental objectives of Directive 2003/87/</w:t>
            </w:r>
            <w:r w:rsidRPr="002B4A69">
              <w:rPr>
                <w:b/>
                <w:i/>
                <w:lang w:val="en-GB"/>
              </w:rPr>
              <w:t>EC, and</w:t>
            </w:r>
            <w:r w:rsidRPr="002B4A69">
              <w:rPr>
                <w:b/>
                <w:i/>
                <w:lang w:val="en-GB"/>
              </w:rPr>
              <w:t xml:space="preserve"> should be designed and implemented in a manner consistent with the Union's international obligations, including under the WTO agreements.</w:t>
            </w:r>
          </w:p>
        </w:tc>
      </w:tr>
    </w:tbl>
    <w:p w:rsidR="001F04EE" w:rsidRPr="002B4A69" w:rsidP="001F04EE" w14:paraId="0FB2B41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5B36B56" w14:textId="77777777">
      <w:r w:rsidRPr="002B4A69">
        <w:rPr>
          <w:rStyle w:val="HideTWBExt"/>
        </w:rPr>
        <w:t>&lt;/Amend&gt;</w:t>
      </w:r>
    </w:p>
    <w:p w:rsidR="001F04EE" w:rsidRPr="002B4A69" w:rsidP="001F04EE" w14:paraId="0D64B6E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505</w:t>
      </w:r>
      <w:r w:rsidRPr="002B4A69">
        <w:rPr>
          <w:rStyle w:val="HideTWBExt"/>
          <w:b w:val="0"/>
          <w:lang w:val="en-GB"/>
        </w:rPr>
        <w:t>&lt;/NumAm&gt;</w:t>
      </w:r>
    </w:p>
    <w:p w:rsidR="001F04EE" w:rsidRPr="002B4A69" w:rsidP="001F04EE" w14:paraId="6BC933C0" w14:textId="77777777">
      <w:pPr>
        <w:pStyle w:val="NormalBold"/>
      </w:pPr>
      <w:r w:rsidRPr="002B4A69">
        <w:rPr>
          <w:rStyle w:val="HideTWBExt"/>
          <w:b w:val="0"/>
        </w:rPr>
        <w:t>&lt;RepeatBlock-By&gt;&lt;Members&gt;</w:t>
      </w:r>
      <w:r w:rsidRPr="002B4A69">
        <w:t>Emma Wiesner, Yvan Verougstraete, Gerben-Jan Gerbrandy, Anna Stürgkh, Jeannette Baljeu</w:t>
      </w:r>
      <w:r w:rsidRPr="002B4A69">
        <w:rPr>
          <w:rStyle w:val="HideTWBExt"/>
          <w:b w:val="0"/>
        </w:rPr>
        <w:t>&lt;/Members&gt;</w:t>
      </w:r>
    </w:p>
    <w:p w:rsidR="001F04EE" w:rsidRPr="002B4A69" w:rsidP="001F04EE" w14:paraId="20D32E4F" w14:textId="77777777">
      <w:r w:rsidRPr="002B4A69">
        <w:rPr>
          <w:rStyle w:val="HideTWBExt"/>
        </w:rPr>
        <w:t>&lt;/RepeatBlock-By&gt;</w:t>
      </w:r>
    </w:p>
    <w:p w:rsidR="001F04EE" w:rsidRPr="002B4A69" w:rsidP="001F04EE" w14:paraId="60A4535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B1EAEEA" w14:textId="77777777">
      <w:pPr>
        <w:pStyle w:val="NormalBold"/>
      </w:pPr>
      <w:r w:rsidRPr="002B4A69">
        <w:rPr>
          <w:rStyle w:val="HideTWBExt"/>
          <w:b w:val="0"/>
        </w:rPr>
        <w:t>&lt;Article&gt;</w:t>
      </w:r>
      <w:r w:rsidRPr="002B4A69">
        <w:t>Recital 65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ECD86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3290D38" w14:textId="77777777">
            <w:pPr>
              <w:keepNext/>
            </w:pPr>
          </w:p>
        </w:tc>
      </w:tr>
      <w:tr w14:paraId="5B957C7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1362CE8" w14:textId="77777777">
            <w:pPr>
              <w:pStyle w:val="ColumnHeading"/>
              <w:keepNext/>
              <w:rPr>
                <w:lang w:val="en-GB"/>
              </w:rPr>
            </w:pPr>
            <w:r w:rsidRPr="002B4A69">
              <w:rPr>
                <w:lang w:val="en-GB"/>
              </w:rPr>
              <w:t>Text proposed by the Commission</w:t>
            </w:r>
          </w:p>
        </w:tc>
        <w:tc>
          <w:tcPr>
            <w:tcW w:w="4876" w:type="dxa"/>
          </w:tcPr>
          <w:p w:rsidR="001F04EE" w:rsidRPr="002B4A69" w:rsidP="00723F81" w14:paraId="666569B7" w14:textId="77777777">
            <w:pPr>
              <w:pStyle w:val="ColumnHeading"/>
              <w:keepNext/>
              <w:rPr>
                <w:lang w:val="en-GB"/>
              </w:rPr>
            </w:pPr>
            <w:r w:rsidRPr="002B4A69">
              <w:rPr>
                <w:lang w:val="en-GB"/>
              </w:rPr>
              <w:t>Amendment</w:t>
            </w:r>
          </w:p>
        </w:tc>
      </w:tr>
      <w:tr w14:paraId="1BCA22A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0D53CD9" w14:textId="77777777">
            <w:pPr>
              <w:pStyle w:val="Normal6"/>
              <w:rPr>
                <w:lang w:val="en-GB"/>
              </w:rPr>
            </w:pPr>
            <w:r w:rsidRPr="002B4A69">
              <w:rPr>
                <w:lang w:val="en-GB"/>
              </w:rPr>
              <w:t>(65)</w:t>
            </w:r>
            <w:r w:rsidRPr="002B4A69">
              <w:rPr>
                <w:lang w:val="en-GB"/>
              </w:rPr>
              <w:tab/>
              <w:t>The Modernisation Fund plays a critical role in ensuring fairness and solidarity by supporting lower-income Member States in their transition to a climate-neutral economy. To enhance its effectiveness and align it with the Union’s 2040 framework targeted adjustments are necessary</w:t>
            </w:r>
            <w:r w:rsidRPr="002B4A69">
              <w:rPr>
                <w:b/>
                <w:i/>
                <w:lang w:val="en-GB"/>
              </w:rPr>
              <w:t xml:space="preserve">. Sized at 2,0%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w:t>
            </w:r>
            <w:r w:rsidRPr="002B4A69">
              <w:rPr>
                <w:b/>
                <w:i/>
                <w:lang w:val="en-GB"/>
              </w:rPr>
              <w:t>energy-intensive industries and power generation, including CCS and CCU and electrification, while ensuring efficient use of auction revenues</w:t>
            </w:r>
            <w:r w:rsidRPr="002B4A69">
              <w:rPr>
                <w:lang w:val="en-GB"/>
              </w:rPr>
              <w:t xml:space="preserve">.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c>
          <w:tcPr>
            <w:tcW w:w="4876" w:type="dxa"/>
          </w:tcPr>
          <w:p w:rsidR="001F04EE" w:rsidRPr="002B4A69" w:rsidP="00723F81" w14:paraId="5F8C1338" w14:textId="77777777">
            <w:pPr>
              <w:pStyle w:val="Normal6"/>
              <w:rPr>
                <w:szCs w:val="24"/>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w:t>
            </w:r>
            <w:r w:rsidRPr="002B4A69">
              <w:rPr>
                <w:lang w:val="en-GB"/>
              </w:rPr>
              <w:t xml:space="preserve">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r>
      <w:tr w14:paraId="37C706A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49F9225" w14:textId="77777777">
            <w:pPr>
              <w:pStyle w:val="Normal6"/>
              <w:rPr>
                <w:lang w:val="en-GB"/>
              </w:rPr>
            </w:pPr>
            <w:r w:rsidRPr="002B4A69">
              <w:rPr>
                <w:lang w:val="en-GB"/>
              </w:rPr>
              <w:t>__________________</w:t>
            </w:r>
          </w:p>
        </w:tc>
        <w:tc>
          <w:tcPr>
            <w:tcW w:w="4876" w:type="dxa"/>
          </w:tcPr>
          <w:p w:rsidR="001F04EE" w:rsidRPr="002B4A69" w:rsidP="00723F81" w14:paraId="68B6617E" w14:textId="77777777">
            <w:pPr>
              <w:pStyle w:val="Normal6"/>
              <w:rPr>
                <w:szCs w:val="24"/>
                <w:lang w:val="en-GB"/>
              </w:rPr>
            </w:pPr>
            <w:r w:rsidRPr="002B4A69">
              <w:rPr>
                <w:lang w:val="en-GB"/>
              </w:rPr>
              <w:t>__________________</w:t>
            </w:r>
          </w:p>
        </w:tc>
      </w:tr>
      <w:tr w14:paraId="0D70549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955F885" w14:textId="77777777">
            <w:pPr>
              <w:pStyle w:val="Normal6"/>
              <w:rPr>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c>
          <w:tcPr>
            <w:tcW w:w="4876" w:type="dxa"/>
          </w:tcPr>
          <w:p w:rsidR="001F04EE" w:rsidRPr="002B4A69" w:rsidP="00723F81" w14:paraId="222C02B3" w14:textId="77777777">
            <w:pPr>
              <w:pStyle w:val="Normal6"/>
              <w:rPr>
                <w:szCs w:val="24"/>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r>
    </w:tbl>
    <w:p w:rsidR="001F04EE" w:rsidRPr="002B4A69" w:rsidP="001F04EE" w14:paraId="2969C3E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98C49DB"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75FA3C75" w14:textId="77777777">
      <w:pPr>
        <w:pStyle w:val="Normal12Italic"/>
        <w:rPr>
          <w:noProof w:val="0"/>
          <w:lang w:val="en-GB"/>
        </w:rPr>
      </w:pPr>
      <w:r w:rsidRPr="002B4A69">
        <w:rPr>
          <w:noProof w:val="0"/>
          <w:lang w:val="en-GB"/>
        </w:rPr>
        <w:t xml:space="preserve">The IDB should not be geographically </w:t>
      </w:r>
      <w:r w:rsidRPr="002B4A69">
        <w:rPr>
          <w:noProof w:val="0"/>
          <w:lang w:val="en-GB"/>
        </w:rPr>
        <w:t>ringfenced, but</w:t>
      </w:r>
      <w:r w:rsidRPr="002B4A69">
        <w:rPr>
          <w:noProof w:val="0"/>
          <w:lang w:val="en-GB"/>
        </w:rPr>
        <w:t xml:space="preserve"> should support projects </w:t>
      </w:r>
      <w:r w:rsidRPr="002B4A69">
        <w:rPr>
          <w:noProof w:val="0"/>
          <w:lang w:val="en-GB"/>
        </w:rPr>
        <w:t>all across</w:t>
      </w:r>
      <w:r w:rsidRPr="002B4A69">
        <w:rPr>
          <w:noProof w:val="0"/>
          <w:lang w:val="en-GB"/>
        </w:rPr>
        <w:t xml:space="preserve"> the EU based on excellence criteria, rather than geographic distribution.</w:t>
      </w:r>
    </w:p>
    <w:p w:rsidR="001F04EE" w:rsidRPr="002B4A69" w:rsidP="001F04EE" w14:paraId="1BEE55E8" w14:textId="77777777">
      <w:r w:rsidRPr="002B4A69">
        <w:rPr>
          <w:rStyle w:val="HideTWBExt"/>
        </w:rPr>
        <w:t>&lt;/Amend&gt;</w:t>
      </w:r>
    </w:p>
    <w:p w:rsidR="001F04EE" w:rsidRPr="002B4A69" w:rsidP="001F04EE" w14:paraId="43FC8F9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506</w:t>
      </w:r>
      <w:r w:rsidRPr="002B4A69">
        <w:rPr>
          <w:rStyle w:val="HideTWBExt"/>
          <w:b w:val="0"/>
          <w:lang w:val="en-GB"/>
        </w:rPr>
        <w:t>&lt;/NumAm&gt;</w:t>
      </w:r>
    </w:p>
    <w:p w:rsidR="001F04EE" w:rsidRPr="002B4A69" w:rsidP="001F04EE" w14:paraId="4B1C5D1B" w14:textId="77777777">
      <w:pPr>
        <w:pStyle w:val="NormalBold"/>
      </w:pPr>
      <w:r w:rsidRPr="002B4A69">
        <w:rPr>
          <w:rStyle w:val="HideTWBExt"/>
          <w:b w:val="0"/>
        </w:rPr>
        <w:t>&lt;RepeatBlock-By&gt;&lt;Members&gt;</w:t>
      </w:r>
      <w:r w:rsidRPr="002B4A69">
        <w:t>Ondřej Knotek, Jana Nagyová, Antonín Staněk, Viktória Ferenc</w:t>
      </w:r>
      <w:r w:rsidRPr="002B4A69">
        <w:rPr>
          <w:rStyle w:val="HideTWBExt"/>
          <w:b w:val="0"/>
        </w:rPr>
        <w:t>&lt;/Members&gt;</w:t>
      </w:r>
    </w:p>
    <w:p w:rsidR="001F04EE" w:rsidRPr="002B4A69" w:rsidP="001F04EE" w14:paraId="1A2CADD3" w14:textId="77777777">
      <w:r w:rsidRPr="002B4A69">
        <w:rPr>
          <w:rStyle w:val="HideTWBExt"/>
        </w:rPr>
        <w:t>&lt;/RepeatBlock-By&gt;</w:t>
      </w:r>
    </w:p>
    <w:p w:rsidR="001F04EE" w:rsidRPr="002B4A69" w:rsidP="001F04EE" w14:paraId="3F15496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EADAE6A" w14:textId="77777777">
      <w:pPr>
        <w:pStyle w:val="NormalBold"/>
      </w:pPr>
      <w:r w:rsidRPr="002B4A69">
        <w:rPr>
          <w:rStyle w:val="HideTWBExt"/>
          <w:b w:val="0"/>
        </w:rPr>
        <w:t>&lt;Article&gt;</w:t>
      </w:r>
      <w:r w:rsidRPr="002B4A69">
        <w:t>Recital 65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EA6D2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808E29C" w14:textId="77777777">
            <w:pPr>
              <w:keepNext/>
            </w:pPr>
          </w:p>
        </w:tc>
      </w:tr>
      <w:tr w14:paraId="78D34CD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6AACB7" w14:textId="77777777">
            <w:pPr>
              <w:pStyle w:val="ColumnHeading"/>
              <w:keepNext/>
              <w:rPr>
                <w:lang w:val="en-GB"/>
              </w:rPr>
            </w:pPr>
            <w:r w:rsidRPr="002B4A69">
              <w:rPr>
                <w:lang w:val="en-GB"/>
              </w:rPr>
              <w:t>Text proposed by the Commission</w:t>
            </w:r>
          </w:p>
        </w:tc>
        <w:tc>
          <w:tcPr>
            <w:tcW w:w="4876" w:type="dxa"/>
          </w:tcPr>
          <w:p w:rsidR="001F04EE" w:rsidRPr="002B4A69" w:rsidP="00723F81" w14:paraId="4270B4C2" w14:textId="77777777">
            <w:pPr>
              <w:pStyle w:val="ColumnHeading"/>
              <w:keepNext/>
              <w:rPr>
                <w:lang w:val="en-GB"/>
              </w:rPr>
            </w:pPr>
            <w:r w:rsidRPr="002B4A69">
              <w:rPr>
                <w:lang w:val="en-GB"/>
              </w:rPr>
              <w:t>Amendment</w:t>
            </w:r>
          </w:p>
        </w:tc>
      </w:tr>
      <w:tr w14:paraId="3019ABD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D38CB0C" w14:textId="77777777">
            <w:pPr>
              <w:pStyle w:val="Normal6"/>
              <w:rPr>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2B4A69">
              <w:rPr>
                <w:b/>
                <w:i/>
                <w:lang w:val="en-GB"/>
              </w:rPr>
              <w:t>2</w:t>
            </w:r>
            <w:r w:rsidRPr="002B4A69">
              <w:rPr>
                <w:lang w:val="en-GB"/>
              </w:rPr>
              <w:t xml:space="preserve">,0%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w:t>
            </w:r>
            <w:r w:rsidRPr="002B4A69">
              <w:rPr>
                <w:b/>
                <w:i/>
                <w:lang w:val="en-GB"/>
              </w:rPr>
              <w:t xml:space="preserve">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w:t>
            </w:r>
            <w:r w:rsidRPr="002B4A69">
              <w:rPr>
                <w:b/>
                <w:i/>
                <w:lang w:val="en-GB"/>
              </w:rPr>
              <w:t>spending of auction revenues.</w:t>
            </w:r>
            <w:r w:rsidRPr="002B4A69">
              <w:rPr>
                <w:lang w:val="en-GB"/>
              </w:rPr>
              <w:t xml:space="preserve"> Member States should </w:t>
            </w:r>
            <w:r w:rsidRPr="002B4A69">
              <w:rPr>
                <w:b/>
                <w:i/>
                <w:lang w:val="en-GB"/>
              </w:rPr>
              <w:t>further</w:t>
            </w:r>
            <w:r w:rsidRPr="002B4A69">
              <w:rPr>
                <w:lang w:val="en-GB"/>
              </w:rPr>
              <w:t xml:space="preserve">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c>
          <w:tcPr>
            <w:tcW w:w="4876" w:type="dxa"/>
          </w:tcPr>
          <w:p w:rsidR="001F04EE" w:rsidRPr="002B4A69" w:rsidP="00723F81" w14:paraId="66D26280" w14:textId="77777777">
            <w:pPr>
              <w:pStyle w:val="Normal6"/>
              <w:rPr>
                <w:szCs w:val="24"/>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2B4A69">
              <w:rPr>
                <w:b/>
                <w:i/>
                <w:lang w:val="en-GB"/>
              </w:rPr>
              <w:t>5</w:t>
            </w:r>
            <w:r w:rsidRPr="002B4A69">
              <w:rPr>
                <w:lang w:val="en-GB"/>
              </w:rPr>
              <w:t xml:space="preserve">,0%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Member States should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w:t>
            </w:r>
            <w:r w:rsidRPr="002B4A69">
              <w:rPr>
                <w:lang w:val="en-GB"/>
              </w:rPr>
              <w:t xml:space="preserve">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r>
      <w:tr w14:paraId="5212290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E2C4DA" w14:textId="77777777">
            <w:pPr>
              <w:pStyle w:val="Normal6"/>
              <w:rPr>
                <w:lang w:val="en-GB"/>
              </w:rPr>
            </w:pPr>
            <w:r w:rsidRPr="002B4A69">
              <w:rPr>
                <w:lang w:val="en-GB"/>
              </w:rPr>
              <w:t>__________________</w:t>
            </w:r>
          </w:p>
        </w:tc>
        <w:tc>
          <w:tcPr>
            <w:tcW w:w="4876" w:type="dxa"/>
          </w:tcPr>
          <w:p w:rsidR="001F04EE" w:rsidRPr="002B4A69" w:rsidP="00723F81" w14:paraId="0DA6C64D" w14:textId="77777777">
            <w:pPr>
              <w:pStyle w:val="Normal6"/>
              <w:rPr>
                <w:szCs w:val="24"/>
                <w:lang w:val="en-GB"/>
              </w:rPr>
            </w:pPr>
            <w:r w:rsidRPr="002B4A69">
              <w:rPr>
                <w:lang w:val="en-GB"/>
              </w:rPr>
              <w:t>__________________</w:t>
            </w:r>
          </w:p>
        </w:tc>
      </w:tr>
      <w:tr w14:paraId="6CB8E65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BDB097" w14:textId="77777777">
            <w:pPr>
              <w:pStyle w:val="Normal6"/>
              <w:rPr>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c>
          <w:tcPr>
            <w:tcW w:w="4876" w:type="dxa"/>
          </w:tcPr>
          <w:p w:rsidR="001F04EE" w:rsidRPr="002B4A69" w:rsidP="00723F81" w14:paraId="112C54AB" w14:textId="77777777">
            <w:pPr>
              <w:pStyle w:val="Normal6"/>
              <w:rPr>
                <w:szCs w:val="24"/>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r>
    </w:tbl>
    <w:p w:rsidR="001F04EE" w:rsidRPr="002B4A69" w:rsidP="001F04EE" w14:paraId="0C6A20C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E784589" w14:textId="77777777">
      <w:r w:rsidRPr="002B4A69">
        <w:rPr>
          <w:rStyle w:val="HideTWBExt"/>
        </w:rPr>
        <w:t>&lt;/Amend&gt;</w:t>
      </w:r>
    </w:p>
    <w:p w:rsidR="001F04EE" w:rsidRPr="002B4A69" w:rsidP="001F04EE" w14:paraId="18599BC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507</w:t>
      </w:r>
      <w:r w:rsidRPr="002B4A69">
        <w:rPr>
          <w:rStyle w:val="HideTWBExt"/>
          <w:b w:val="0"/>
          <w:lang w:val="en-GB"/>
        </w:rPr>
        <w:t>&lt;/NumAm&gt;</w:t>
      </w:r>
    </w:p>
    <w:p w:rsidR="001F04EE" w:rsidRPr="002B4A69" w:rsidP="001F04EE" w14:paraId="40B9B67F" w14:textId="77777777">
      <w:pPr>
        <w:pStyle w:val="NormalBold"/>
      </w:pPr>
      <w:r w:rsidRPr="002B4A69">
        <w:rPr>
          <w:rStyle w:val="HideTWBExt"/>
          <w:b w:val="0"/>
        </w:rPr>
        <w:t>&lt;RepeatBlock-By&gt;&lt;Members&gt;</w:t>
      </w:r>
      <w:r w:rsidRPr="002B4A69">
        <w:t>Jeannette Baljeu, Andreas Glück</w:t>
      </w:r>
      <w:r w:rsidRPr="002B4A69">
        <w:rPr>
          <w:rStyle w:val="HideTWBExt"/>
          <w:b w:val="0"/>
        </w:rPr>
        <w:t>&lt;/Members&gt;</w:t>
      </w:r>
    </w:p>
    <w:p w:rsidR="001F04EE" w:rsidRPr="002B4A69" w:rsidP="001F04EE" w14:paraId="2F9B0F7D" w14:textId="77777777">
      <w:r w:rsidRPr="002B4A69">
        <w:rPr>
          <w:rStyle w:val="HideTWBExt"/>
        </w:rPr>
        <w:t>&lt;/RepeatBlock-By&gt;</w:t>
      </w:r>
    </w:p>
    <w:p w:rsidR="001F04EE" w:rsidRPr="002B4A69" w:rsidP="001F04EE" w14:paraId="6AADF0B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DF8B988" w14:textId="77777777">
      <w:pPr>
        <w:pStyle w:val="NormalBold"/>
      </w:pPr>
      <w:r w:rsidRPr="002B4A69">
        <w:rPr>
          <w:rStyle w:val="HideTWBExt"/>
          <w:b w:val="0"/>
        </w:rPr>
        <w:t>&lt;Article&gt;</w:t>
      </w:r>
      <w:r w:rsidRPr="002B4A69">
        <w:t>Recital 65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2B052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9F26575" w14:textId="77777777">
            <w:pPr>
              <w:keepNext/>
            </w:pPr>
          </w:p>
        </w:tc>
      </w:tr>
      <w:tr w14:paraId="4F5225F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472A115" w14:textId="77777777">
            <w:pPr>
              <w:pStyle w:val="ColumnHeading"/>
              <w:keepNext/>
              <w:rPr>
                <w:lang w:val="en-GB"/>
              </w:rPr>
            </w:pPr>
            <w:r w:rsidRPr="002B4A69">
              <w:rPr>
                <w:lang w:val="en-GB"/>
              </w:rPr>
              <w:t>Text proposed by the Commission</w:t>
            </w:r>
          </w:p>
        </w:tc>
        <w:tc>
          <w:tcPr>
            <w:tcW w:w="4876" w:type="dxa"/>
          </w:tcPr>
          <w:p w:rsidR="001F04EE" w:rsidRPr="002B4A69" w:rsidP="00723F81" w14:paraId="7C9A87A1" w14:textId="77777777">
            <w:pPr>
              <w:pStyle w:val="ColumnHeading"/>
              <w:keepNext/>
              <w:rPr>
                <w:lang w:val="en-GB"/>
              </w:rPr>
            </w:pPr>
            <w:r w:rsidRPr="002B4A69">
              <w:rPr>
                <w:lang w:val="en-GB"/>
              </w:rPr>
              <w:t>Amendment</w:t>
            </w:r>
          </w:p>
        </w:tc>
      </w:tr>
      <w:tr w14:paraId="576BF88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8880E1" w14:textId="77777777">
            <w:pPr>
              <w:pStyle w:val="Normal6"/>
              <w:rPr>
                <w:lang w:val="en-GB"/>
              </w:rPr>
            </w:pPr>
            <w:r w:rsidRPr="002B4A69">
              <w:rPr>
                <w:lang w:val="en-GB"/>
              </w:rPr>
              <w:t>(65)</w:t>
            </w:r>
            <w:r w:rsidRPr="002B4A69">
              <w:rPr>
                <w:lang w:val="en-GB"/>
              </w:rPr>
              <w:tab/>
              <w:t xml:space="preserve">The Modernisation Fund plays a critical role in ensuring fairness and </w:t>
            </w:r>
            <w:r w:rsidRPr="002B4A69">
              <w:rPr>
                <w:lang w:val="en-GB"/>
              </w:rPr>
              <w:t xml:space="preserve">solidarity by supporting lower-income Member States in their transition to a climate-neutral economy. To enhance its effectiveness and align it with the Union’s 2040 framework targeted adjustments are necessary. Sized at 2,0% of the overall ETS cap, it will ensure a balanced allocation of resources, optimising support where it is most needed while reflecting the evolving economic capacities of Member States. </w:t>
            </w:r>
            <w:r w:rsidRPr="002B4A69">
              <w:rPr>
                <w:b/>
                <w:i/>
                <w:lang w:val="en-GB"/>
              </w:rPr>
              <w:t>To accelerate industrial decarbonisation required to meet the 2040 climate target</w:t>
            </w:r>
            <w:r w:rsidRPr="002B4A69">
              <w:rPr>
                <w:lang w:val="en-GB"/>
              </w:rPr>
              <w:t xml:space="preserve">, </w:t>
            </w:r>
            <w:r w:rsidRPr="002B4A69">
              <w:rPr>
                <w:b/>
                <w:i/>
                <w:lang w:val="en-GB"/>
              </w:rPr>
              <w:t>an additional 0.5% of the ETS cap should be allocated to beneficiary Member States through the Industrial Decarbonisation Bank. Together with an</w:t>
            </w:r>
            <w:r w:rsidRPr="002B4A69">
              <w:rPr>
                <w:lang w:val="en-GB"/>
              </w:rPr>
              <w:t xml:space="preserve"> expanded scope, </w:t>
            </w:r>
            <w:r w:rsidRPr="002B4A69">
              <w:rPr>
                <w:b/>
                <w:i/>
                <w:lang w:val="en-GB"/>
              </w:rPr>
              <w:t>this</w:t>
            </w:r>
            <w:r w:rsidRPr="002B4A69">
              <w:rPr>
                <w:lang w:val="en-GB"/>
              </w:rPr>
              <w:t xml:space="preserve">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w:t>
            </w:r>
            <w:r w:rsidRPr="002B4A69">
              <w:rPr>
                <w:lang w:val="en-GB"/>
              </w:rPr>
              <w:t xml:space="preserve">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c>
          <w:tcPr>
            <w:tcW w:w="4876" w:type="dxa"/>
          </w:tcPr>
          <w:p w:rsidR="001F04EE" w:rsidRPr="002B4A69" w:rsidP="00723F81" w14:paraId="18C4F808" w14:textId="77777777">
            <w:pPr>
              <w:pStyle w:val="Normal6"/>
              <w:rPr>
                <w:szCs w:val="24"/>
                <w:lang w:val="en-GB"/>
              </w:rPr>
            </w:pPr>
            <w:r w:rsidRPr="002B4A69">
              <w:rPr>
                <w:lang w:val="en-GB"/>
              </w:rPr>
              <w:t>(65)</w:t>
            </w:r>
            <w:r w:rsidRPr="002B4A69">
              <w:rPr>
                <w:lang w:val="en-GB"/>
              </w:rPr>
              <w:tab/>
              <w:t xml:space="preserve">The Modernisation Fund plays a critical role in ensuring fairness and </w:t>
            </w:r>
            <w:r w:rsidRPr="002B4A69">
              <w:rPr>
                <w:lang w:val="en-GB"/>
              </w:rPr>
              <w:t xml:space="preserve">solidarity by supporting lower-income Member States in their transition to a climate-neutral economy. To enhance its effectiveness and align it with the Union’s 2040 framework targeted adjustments are necessary. Sized at 2,0% of the overall ETS cap, it will ensure a balanced allocation of resources, optimising support where it is most needed while reflecting the evolving economic capacities of Member States. </w:t>
            </w:r>
            <w:r w:rsidRPr="002B4A69">
              <w:rPr>
                <w:b/>
                <w:i/>
                <w:lang w:val="en-GB"/>
              </w:rPr>
              <w:t>The Modernisation Fund</w:t>
            </w:r>
            <w:r w:rsidRPr="002B4A69">
              <w:rPr>
                <w:lang w:val="en-GB"/>
              </w:rPr>
              <w:t xml:space="preserve">, </w:t>
            </w:r>
            <w:r w:rsidRPr="002B4A69">
              <w:rPr>
                <w:b/>
                <w:i/>
                <w:lang w:val="en-GB"/>
              </w:rPr>
              <w:t>with its</w:t>
            </w:r>
            <w:r w:rsidRPr="002B4A69">
              <w:rPr>
                <w:lang w:val="en-GB"/>
              </w:rPr>
              <w:t xml:space="preserve"> expanded scope,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w:t>
            </w:r>
            <w:r w:rsidRPr="002B4A69">
              <w:rPr>
                <w:lang w:val="en-GB"/>
              </w:rPr>
              <w:t>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r>
      <w:tr w14:paraId="2B8B53B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42A915C" w14:textId="77777777">
            <w:pPr>
              <w:pStyle w:val="Normal6"/>
              <w:rPr>
                <w:lang w:val="en-GB"/>
              </w:rPr>
            </w:pPr>
            <w:r w:rsidRPr="002B4A69">
              <w:rPr>
                <w:lang w:val="en-GB"/>
              </w:rPr>
              <w:t>__________________</w:t>
            </w:r>
          </w:p>
        </w:tc>
        <w:tc>
          <w:tcPr>
            <w:tcW w:w="4876" w:type="dxa"/>
          </w:tcPr>
          <w:p w:rsidR="001F04EE" w:rsidRPr="002B4A69" w:rsidP="00723F81" w14:paraId="50175E59" w14:textId="77777777">
            <w:pPr>
              <w:pStyle w:val="Normal6"/>
              <w:rPr>
                <w:szCs w:val="24"/>
                <w:lang w:val="en-GB"/>
              </w:rPr>
            </w:pPr>
            <w:r w:rsidRPr="002B4A69">
              <w:rPr>
                <w:lang w:val="en-GB"/>
              </w:rPr>
              <w:t>__________________</w:t>
            </w:r>
          </w:p>
        </w:tc>
      </w:tr>
      <w:tr w14:paraId="34A5F3C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B16CBED" w14:textId="77777777">
            <w:pPr>
              <w:pStyle w:val="Normal6"/>
              <w:rPr>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c>
          <w:tcPr>
            <w:tcW w:w="4876" w:type="dxa"/>
          </w:tcPr>
          <w:p w:rsidR="001F04EE" w:rsidRPr="002B4A69" w:rsidP="00723F81" w14:paraId="549A0B07" w14:textId="77777777">
            <w:pPr>
              <w:pStyle w:val="Normal6"/>
              <w:rPr>
                <w:szCs w:val="24"/>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r>
    </w:tbl>
    <w:p w:rsidR="001F04EE" w:rsidRPr="002B4A69" w:rsidP="001F04EE" w14:paraId="5D85997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95C6BD3"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19A16D73" w14:textId="77777777">
      <w:pPr>
        <w:pStyle w:val="Normal12Italic"/>
        <w:rPr>
          <w:noProof w:val="0"/>
          <w:lang w:val="en-GB"/>
        </w:rPr>
      </w:pPr>
      <w:r w:rsidRPr="002B4A69">
        <w:rPr>
          <w:noProof w:val="0"/>
          <w:lang w:val="en-GB"/>
        </w:rPr>
        <w:t>The Modernisation Fund already provides targeted support to lower-income Member States. Deleting the additional 0.5% reservation avoids a further allocation based on national income, preserves Member States’ auction revenues and supports equal access to industrial decarbonisation funding across the Union.</w:t>
      </w:r>
    </w:p>
    <w:p w:rsidR="001F04EE" w:rsidRPr="002B4A69" w:rsidP="001F04EE" w14:paraId="60F0888D" w14:textId="77777777">
      <w:r w:rsidRPr="002B4A69">
        <w:rPr>
          <w:rStyle w:val="HideTWBExt"/>
        </w:rPr>
        <w:t>&lt;/Amend&gt;</w:t>
      </w:r>
    </w:p>
    <w:p w:rsidR="001F04EE" w:rsidRPr="002B4A69" w:rsidP="001F04EE" w14:paraId="42EFF63D"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508</w:t>
      </w:r>
      <w:r w:rsidRPr="002B4A69">
        <w:rPr>
          <w:rStyle w:val="HideTWBExt"/>
          <w:b w:val="0"/>
          <w:lang w:val="en-GB"/>
        </w:rPr>
        <w:t>&lt;/NumAm&gt;</w:t>
      </w:r>
    </w:p>
    <w:p w:rsidR="001F04EE" w:rsidRPr="002B4A69" w:rsidP="001F04EE" w14:paraId="0AC65542"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75C1894F" w14:textId="77777777">
      <w:r w:rsidRPr="002B4A69">
        <w:rPr>
          <w:rStyle w:val="HideTWBExt"/>
        </w:rPr>
        <w:t>&lt;/RepeatBlock-By&gt;</w:t>
      </w:r>
    </w:p>
    <w:p w:rsidR="001F04EE" w:rsidRPr="002B4A69" w:rsidP="001F04EE" w14:paraId="1CBD8EB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F18D56D" w14:textId="77777777">
      <w:pPr>
        <w:pStyle w:val="NormalBold"/>
      </w:pPr>
      <w:r w:rsidRPr="002B4A69">
        <w:rPr>
          <w:rStyle w:val="HideTWBExt"/>
          <w:b w:val="0"/>
        </w:rPr>
        <w:t>&lt;Article&gt;</w:t>
      </w:r>
      <w:r w:rsidRPr="002B4A69">
        <w:t>Recital 65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E2055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6C0935B" w14:textId="77777777">
            <w:pPr>
              <w:keepNext/>
            </w:pPr>
          </w:p>
        </w:tc>
      </w:tr>
      <w:tr w14:paraId="4628199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DF2C68B" w14:textId="77777777">
            <w:pPr>
              <w:pStyle w:val="ColumnHeading"/>
              <w:keepNext/>
              <w:rPr>
                <w:lang w:val="en-GB"/>
              </w:rPr>
            </w:pPr>
            <w:r w:rsidRPr="002B4A69">
              <w:rPr>
                <w:lang w:val="en-GB"/>
              </w:rPr>
              <w:t>Text proposed by the Commission</w:t>
            </w:r>
          </w:p>
        </w:tc>
        <w:tc>
          <w:tcPr>
            <w:tcW w:w="4876" w:type="dxa"/>
          </w:tcPr>
          <w:p w:rsidR="001F04EE" w:rsidRPr="002B4A69" w:rsidP="00723F81" w14:paraId="15B7C5B3" w14:textId="77777777">
            <w:pPr>
              <w:pStyle w:val="ColumnHeading"/>
              <w:keepNext/>
              <w:rPr>
                <w:lang w:val="en-GB"/>
              </w:rPr>
            </w:pPr>
            <w:r w:rsidRPr="002B4A69">
              <w:rPr>
                <w:lang w:val="en-GB"/>
              </w:rPr>
              <w:t>Amendment</w:t>
            </w:r>
          </w:p>
        </w:tc>
      </w:tr>
      <w:tr w14:paraId="4EFE3EC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B6AFDEB" w14:textId="77777777">
            <w:pPr>
              <w:pStyle w:val="Normal6"/>
              <w:rPr>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2,0% of the overall ETS cap, it will ensure a balanced allocation of resources, optimising support where it is most needed while reflecting the evolving economic capacities of Member </w:t>
            </w:r>
            <w:r w:rsidRPr="002B4A69">
              <w:rPr>
                <w:lang w:val="en-GB"/>
              </w:rPr>
              <w:t xml:space="preserve">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w:t>
            </w:r>
            <w:r w:rsidRPr="002B4A69">
              <w:rPr>
                <w:b/>
                <w:i/>
                <w:lang w:val="en-GB"/>
              </w:rPr>
              <w:t>including CCS and CCU and</w:t>
            </w:r>
            <w:r w:rsidRPr="002B4A69">
              <w:rPr>
                <w:lang w:val="en-GB"/>
              </w:rPr>
              <w:t xml:space="preserve"> electrification, while ensuring efficient use of auction revenues.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w:t>
            </w:r>
            <w:r w:rsidRPr="002B4A69">
              <w:rPr>
                <w:b/>
                <w:i/>
                <w:lang w:val="en-GB"/>
              </w:rPr>
              <w:t>including, where relevant, support for investments in CCS, CCU,</w:t>
            </w:r>
            <w:r w:rsidRPr="002B4A69">
              <w:rPr>
                <w:lang w:val="en-GB"/>
              </w:rPr>
              <w:t xml:space="preserve">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c>
          <w:tcPr>
            <w:tcW w:w="4876" w:type="dxa"/>
          </w:tcPr>
          <w:p w:rsidR="001F04EE" w:rsidRPr="002B4A69" w:rsidP="00723F81" w14:paraId="229BD31A" w14:textId="77777777">
            <w:pPr>
              <w:pStyle w:val="Normal6"/>
              <w:rPr>
                <w:szCs w:val="24"/>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2,0% of the overall ETS cap, it will ensure a balanced allocation of resources, optimising support where it is most needed while reflecting the evolving economic capacities of Member </w:t>
            </w:r>
            <w:r w:rsidRPr="002B4A69">
              <w:rPr>
                <w:lang w:val="en-GB"/>
              </w:rPr>
              <w:t xml:space="preserve">States. To accelerate industrial decarbonisation required to meet the 2040 climate target, an additional 0.5% of the ETS cap should be allocated to beneficiary Member States through the Industrial </w:t>
            </w:r>
            <w:r w:rsidRPr="002B4A69">
              <w:rPr>
                <w:b/>
                <w:i/>
                <w:lang w:val="en-GB"/>
              </w:rPr>
              <w:t>Electrification and</w:t>
            </w:r>
            <w:r w:rsidRPr="002B4A69">
              <w:rPr>
                <w:lang w:val="en-GB"/>
              </w:rPr>
              <w:t xml:space="preserve"> Decarbonisation Bank. Together with an expanded scope, this will provide financial support to a broader range of innovative, scalable solutions critical to reducing emissions in energy-intensive industries and power generation, </w:t>
            </w:r>
            <w:r w:rsidRPr="002B4A69">
              <w:rPr>
                <w:b/>
                <w:i/>
                <w:lang w:val="en-GB"/>
              </w:rPr>
              <w:t>primarily for</w:t>
            </w:r>
            <w:r w:rsidRPr="002B4A69">
              <w:rPr>
                <w:lang w:val="en-GB"/>
              </w:rPr>
              <w:t xml:space="preserve"> electrification, while ensuring efficient use of auction revenues.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w:t>
            </w:r>
            <w:r w:rsidRPr="002B4A69">
              <w:rPr>
                <w:b/>
                <w:i/>
                <w:lang w:val="en-GB"/>
              </w:rPr>
              <w:t>primarily through</w:t>
            </w:r>
            <w:r w:rsidRPr="002B4A69">
              <w:rPr>
                <w:lang w:val="en-GB"/>
              </w:rPr>
              <w:t xml:space="preserve"> electrification and</w:t>
            </w:r>
            <w:r w:rsidRPr="002B4A69">
              <w:rPr>
                <w:b/>
                <w:i/>
                <w:lang w:val="en-GB"/>
              </w:rPr>
              <w:t xml:space="preserve">, where that is not feasible, by using CCS and CCU. The Modernisation Fund should also provide support </w:t>
            </w:r>
            <w:r w:rsidRPr="002B4A69">
              <w:rPr>
                <w:b/>
                <w:i/>
                <w:lang w:val="en-GB"/>
              </w:rPr>
              <w:t>for the</w:t>
            </w:r>
            <w:r w:rsidRPr="002B4A69">
              <w:rPr>
                <w:lang w:val="en-GB"/>
              </w:rPr>
              <w:t xml:space="preserve"> production of</w:t>
            </w:r>
            <w:r w:rsidRPr="002B4A69">
              <w:rPr>
                <w:lang w:val="en-GB"/>
              </w:rPr>
              <w:t xml:space="preserve">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r>
      <w:tr w14:paraId="1120282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ABBF45A" w14:textId="77777777">
            <w:pPr>
              <w:pStyle w:val="Normal6"/>
              <w:rPr>
                <w:lang w:val="en-GB"/>
              </w:rPr>
            </w:pPr>
            <w:r w:rsidRPr="002B4A69">
              <w:rPr>
                <w:lang w:val="en-GB"/>
              </w:rPr>
              <w:t>__________________</w:t>
            </w:r>
          </w:p>
        </w:tc>
        <w:tc>
          <w:tcPr>
            <w:tcW w:w="4876" w:type="dxa"/>
          </w:tcPr>
          <w:p w:rsidR="001F04EE" w:rsidRPr="002B4A69" w:rsidP="00723F81" w14:paraId="6799C4CF" w14:textId="77777777">
            <w:pPr>
              <w:pStyle w:val="Normal6"/>
              <w:rPr>
                <w:szCs w:val="24"/>
                <w:lang w:val="en-GB"/>
              </w:rPr>
            </w:pPr>
            <w:r w:rsidRPr="002B4A69">
              <w:rPr>
                <w:lang w:val="en-GB"/>
              </w:rPr>
              <w:t>__________________</w:t>
            </w:r>
          </w:p>
        </w:tc>
      </w:tr>
      <w:tr w14:paraId="05FBC3F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9B1D3D6" w14:textId="77777777">
            <w:pPr>
              <w:pStyle w:val="Normal6"/>
              <w:rPr>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c>
          <w:tcPr>
            <w:tcW w:w="4876" w:type="dxa"/>
          </w:tcPr>
          <w:p w:rsidR="001F04EE" w:rsidRPr="002B4A69" w:rsidP="00723F81" w14:paraId="561886E4" w14:textId="77777777">
            <w:pPr>
              <w:pStyle w:val="Normal6"/>
              <w:rPr>
                <w:szCs w:val="24"/>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r>
    </w:tbl>
    <w:p w:rsidR="001F04EE" w:rsidRPr="002B4A69" w:rsidP="001F04EE" w14:paraId="269A1DE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17AA0E2" w14:textId="77777777">
      <w:r w:rsidRPr="002B4A69">
        <w:rPr>
          <w:rStyle w:val="HideTWBExt"/>
        </w:rPr>
        <w:t>&lt;/Amend&gt;</w:t>
      </w:r>
    </w:p>
    <w:p w:rsidR="001F04EE" w:rsidRPr="002B4A69" w:rsidP="001F04EE" w14:paraId="10BF38E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509</w:t>
      </w:r>
      <w:r w:rsidRPr="002B4A69">
        <w:rPr>
          <w:rStyle w:val="HideTWBExt"/>
          <w:b w:val="0"/>
          <w:lang w:val="en-GB"/>
        </w:rPr>
        <w:t>&lt;/NumAm&gt;</w:t>
      </w:r>
    </w:p>
    <w:p w:rsidR="001F04EE" w:rsidRPr="002B4A69" w:rsidP="001F04EE" w14:paraId="12F7C30D" w14:textId="77777777">
      <w:pPr>
        <w:pStyle w:val="NormalBold"/>
      </w:pPr>
      <w:r w:rsidRPr="002B4A69">
        <w:rPr>
          <w:rStyle w:val="HideTWBExt"/>
          <w:b w:val="0"/>
        </w:rPr>
        <w:t>&lt;RepeatBlock-By&gt;&lt;Members&gt;</w:t>
      </w:r>
      <w:r w:rsidRPr="002B4A69">
        <w:t>Alexandr Vondra, Ondřej Krutílek, Anna Zalewska, Aurelijus Veryga, Laurence Trochu, Adrian-George Axinia</w:t>
      </w:r>
      <w:r w:rsidRPr="002B4A69">
        <w:rPr>
          <w:rStyle w:val="HideTWBExt"/>
          <w:b w:val="0"/>
        </w:rPr>
        <w:t>&lt;/Members&gt;</w:t>
      </w:r>
    </w:p>
    <w:p w:rsidR="001F04EE" w:rsidRPr="002B4A69" w:rsidP="001F04EE" w14:paraId="4602933A" w14:textId="77777777">
      <w:r w:rsidRPr="002B4A69">
        <w:rPr>
          <w:rStyle w:val="HideTWBExt"/>
        </w:rPr>
        <w:t>&lt;/RepeatBlock-By&gt;</w:t>
      </w:r>
    </w:p>
    <w:p w:rsidR="001F04EE" w:rsidRPr="002B4A69" w:rsidP="001F04EE" w14:paraId="6BD6F92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1221CC6" w14:textId="77777777">
      <w:pPr>
        <w:pStyle w:val="NormalBold"/>
      </w:pPr>
      <w:r w:rsidRPr="002B4A69">
        <w:rPr>
          <w:rStyle w:val="HideTWBExt"/>
          <w:b w:val="0"/>
        </w:rPr>
        <w:t>&lt;Article&gt;</w:t>
      </w:r>
      <w:r w:rsidRPr="002B4A69">
        <w:t>Recital 65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5640B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4B6A14A" w14:textId="77777777">
            <w:pPr>
              <w:keepNext/>
            </w:pPr>
          </w:p>
        </w:tc>
      </w:tr>
      <w:tr w14:paraId="5BEB7E3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0FC919B" w14:textId="77777777">
            <w:pPr>
              <w:pStyle w:val="ColumnHeading"/>
              <w:keepNext/>
              <w:rPr>
                <w:lang w:val="en-GB"/>
              </w:rPr>
            </w:pPr>
            <w:r w:rsidRPr="002B4A69">
              <w:rPr>
                <w:lang w:val="en-GB"/>
              </w:rPr>
              <w:t>Text proposed by the Commission</w:t>
            </w:r>
          </w:p>
        </w:tc>
        <w:tc>
          <w:tcPr>
            <w:tcW w:w="4876" w:type="dxa"/>
          </w:tcPr>
          <w:p w:rsidR="001F04EE" w:rsidRPr="002B4A69" w:rsidP="00723F81" w14:paraId="146AAFEB" w14:textId="77777777">
            <w:pPr>
              <w:pStyle w:val="ColumnHeading"/>
              <w:keepNext/>
              <w:rPr>
                <w:lang w:val="en-GB"/>
              </w:rPr>
            </w:pPr>
            <w:r w:rsidRPr="002B4A69">
              <w:rPr>
                <w:lang w:val="en-GB"/>
              </w:rPr>
              <w:t>Amendment</w:t>
            </w:r>
          </w:p>
        </w:tc>
      </w:tr>
      <w:tr w14:paraId="1270CA0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4561EDB" w14:textId="77777777">
            <w:pPr>
              <w:pStyle w:val="Normal6"/>
              <w:rPr>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2B4A69">
              <w:rPr>
                <w:b/>
                <w:i/>
                <w:lang w:val="en-GB"/>
              </w:rPr>
              <w:t>2</w:t>
            </w:r>
            <w:r w:rsidRPr="002B4A69">
              <w:rPr>
                <w:lang w:val="en-GB"/>
              </w:rPr>
              <w:t>,</w:t>
            </w:r>
            <w:r w:rsidRPr="002B4A69">
              <w:rPr>
                <w:b/>
                <w:i/>
                <w:lang w:val="en-GB"/>
              </w:rPr>
              <w:t>0%</w:t>
            </w:r>
            <w:r w:rsidRPr="002B4A69">
              <w:rPr>
                <w:lang w:val="en-GB"/>
              </w:rPr>
              <w:t xml:space="preserve">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w:t>
            </w:r>
            <w:r w:rsidRPr="002B4A69">
              <w:rPr>
                <w:lang w:val="en-GB"/>
              </w:rPr>
              <w:t xml:space="preserve">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c>
          <w:tcPr>
            <w:tcW w:w="4876" w:type="dxa"/>
          </w:tcPr>
          <w:p w:rsidR="001F04EE" w:rsidRPr="002B4A69" w:rsidP="00723F81" w14:paraId="26EAA2B5" w14:textId="77777777">
            <w:pPr>
              <w:pStyle w:val="Normal6"/>
              <w:rPr>
                <w:szCs w:val="24"/>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2B4A69">
              <w:rPr>
                <w:b/>
                <w:i/>
                <w:lang w:val="en-GB"/>
              </w:rPr>
              <w:t>4</w:t>
            </w:r>
            <w:r w:rsidRPr="002B4A69">
              <w:rPr>
                <w:lang w:val="en-GB"/>
              </w:rPr>
              <w:t>,</w:t>
            </w:r>
            <w:r w:rsidRPr="002B4A69">
              <w:rPr>
                <w:b/>
                <w:i/>
                <w:lang w:val="en-GB"/>
              </w:rPr>
              <w:t>5%</w:t>
            </w:r>
            <w:r w:rsidRPr="002B4A69">
              <w:rPr>
                <w:lang w:val="en-GB"/>
              </w:rPr>
              <w:t xml:space="preserve">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w:t>
            </w:r>
            <w:r w:rsidRPr="002B4A69">
              <w:rPr>
                <w:lang w:val="en-GB"/>
              </w:rPr>
              <w:t xml:space="preserve">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w:t>
            </w:r>
            <w:r w:rsidRPr="002B4A69">
              <w:rPr>
                <w:b/>
                <w:i/>
                <w:lang w:val="en-GB"/>
              </w:rPr>
              <w:t>size of the industrial base link to the</w:t>
            </w:r>
            <w:r w:rsidRPr="002B4A69">
              <w:rPr>
                <w:lang w:val="en-GB"/>
              </w:rPr>
              <w:t xml:space="preserve">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r>
      <w:tr w14:paraId="37D0039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C025073" w14:textId="77777777">
            <w:pPr>
              <w:pStyle w:val="Normal6"/>
              <w:rPr>
                <w:lang w:val="en-GB"/>
              </w:rPr>
            </w:pPr>
            <w:r w:rsidRPr="002B4A69">
              <w:rPr>
                <w:lang w:val="en-GB"/>
              </w:rPr>
              <w:t>__________________</w:t>
            </w:r>
          </w:p>
        </w:tc>
        <w:tc>
          <w:tcPr>
            <w:tcW w:w="4876" w:type="dxa"/>
          </w:tcPr>
          <w:p w:rsidR="001F04EE" w:rsidRPr="002B4A69" w:rsidP="00723F81" w14:paraId="4FD4F536" w14:textId="77777777">
            <w:pPr>
              <w:pStyle w:val="Normal6"/>
              <w:rPr>
                <w:szCs w:val="24"/>
                <w:lang w:val="en-GB"/>
              </w:rPr>
            </w:pPr>
            <w:r w:rsidRPr="002B4A69">
              <w:rPr>
                <w:lang w:val="en-GB"/>
              </w:rPr>
              <w:t>__________________</w:t>
            </w:r>
          </w:p>
        </w:tc>
      </w:tr>
      <w:tr w14:paraId="285B1E5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227868F" w14:textId="77777777">
            <w:pPr>
              <w:pStyle w:val="Normal6"/>
              <w:rPr>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c>
          <w:tcPr>
            <w:tcW w:w="4876" w:type="dxa"/>
          </w:tcPr>
          <w:p w:rsidR="001F04EE" w:rsidRPr="002B4A69" w:rsidP="00723F81" w14:paraId="016204B4" w14:textId="77777777">
            <w:pPr>
              <w:pStyle w:val="Normal6"/>
              <w:rPr>
                <w:szCs w:val="24"/>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r>
    </w:tbl>
    <w:p w:rsidR="001F04EE" w:rsidRPr="002B4A69" w:rsidP="001F04EE" w14:paraId="4AA6FAB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2ED3C67" w14:textId="77777777">
      <w:r w:rsidRPr="002B4A69">
        <w:rPr>
          <w:rStyle w:val="HideTWBExt"/>
        </w:rPr>
        <w:t>&lt;/Amend&gt;</w:t>
      </w:r>
    </w:p>
    <w:p w:rsidR="001F04EE" w:rsidRPr="002B4A69" w:rsidP="001F04EE" w14:paraId="4522556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510</w:t>
      </w:r>
      <w:r w:rsidRPr="002B4A69">
        <w:rPr>
          <w:rStyle w:val="HideTWBExt"/>
          <w:b w:val="0"/>
          <w:lang w:val="en-GB"/>
        </w:rPr>
        <w:t>&lt;/NumAm&gt;</w:t>
      </w:r>
    </w:p>
    <w:p w:rsidR="001F04EE" w:rsidRPr="002B4A69" w:rsidP="001F04EE" w14:paraId="5133F324" w14:textId="77777777">
      <w:pPr>
        <w:pStyle w:val="NormalBold"/>
      </w:pPr>
      <w:r w:rsidRPr="002B4A69">
        <w:rPr>
          <w:rStyle w:val="HideTWBExt"/>
          <w:b w:val="0"/>
        </w:rPr>
        <w:t>&lt;RepeatBlock-By&gt;&lt;Members&gt;</w:t>
      </w:r>
      <w:r w:rsidRPr="002B4A69">
        <w:t>Danuše Nerudová</w:t>
      </w:r>
      <w:r w:rsidRPr="002B4A69">
        <w:rPr>
          <w:rStyle w:val="HideTWBExt"/>
          <w:b w:val="0"/>
        </w:rPr>
        <w:t>&lt;/Members&gt;</w:t>
      </w:r>
    </w:p>
    <w:p w:rsidR="001F04EE" w:rsidRPr="002B4A69" w:rsidP="001F04EE" w14:paraId="51037CED" w14:textId="77777777">
      <w:r w:rsidRPr="002B4A69">
        <w:rPr>
          <w:rStyle w:val="HideTWBExt"/>
        </w:rPr>
        <w:t>&lt;/RepeatBlock-By&gt;</w:t>
      </w:r>
    </w:p>
    <w:p w:rsidR="001F04EE" w:rsidRPr="002B4A69" w:rsidP="001F04EE" w14:paraId="0DDC699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BCA8E81" w14:textId="77777777">
      <w:pPr>
        <w:pStyle w:val="NormalBold"/>
      </w:pPr>
      <w:r w:rsidRPr="002B4A69">
        <w:rPr>
          <w:rStyle w:val="HideTWBExt"/>
          <w:b w:val="0"/>
        </w:rPr>
        <w:t>&lt;Article&gt;</w:t>
      </w:r>
      <w:r w:rsidRPr="002B4A69">
        <w:t>Recital 65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913C4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4C9D8DD" w14:textId="77777777">
            <w:pPr>
              <w:keepNext/>
            </w:pPr>
          </w:p>
        </w:tc>
      </w:tr>
      <w:tr w14:paraId="7EB49FE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4C226CB" w14:textId="77777777">
            <w:pPr>
              <w:pStyle w:val="ColumnHeading"/>
              <w:keepNext/>
              <w:rPr>
                <w:lang w:val="en-GB"/>
              </w:rPr>
            </w:pPr>
            <w:r w:rsidRPr="002B4A69">
              <w:rPr>
                <w:lang w:val="en-GB"/>
              </w:rPr>
              <w:t>Text proposed by the Commission</w:t>
            </w:r>
          </w:p>
        </w:tc>
        <w:tc>
          <w:tcPr>
            <w:tcW w:w="4876" w:type="dxa"/>
          </w:tcPr>
          <w:p w:rsidR="001F04EE" w:rsidRPr="002B4A69" w:rsidP="00723F81" w14:paraId="1756F9AA" w14:textId="77777777">
            <w:pPr>
              <w:pStyle w:val="ColumnHeading"/>
              <w:keepNext/>
              <w:rPr>
                <w:lang w:val="en-GB"/>
              </w:rPr>
            </w:pPr>
            <w:r w:rsidRPr="002B4A69">
              <w:rPr>
                <w:lang w:val="en-GB"/>
              </w:rPr>
              <w:t>Amendment</w:t>
            </w:r>
          </w:p>
        </w:tc>
      </w:tr>
      <w:tr w14:paraId="0FAC706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2678D7A" w14:textId="77777777">
            <w:pPr>
              <w:pStyle w:val="Normal6"/>
              <w:rPr>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2B4A69">
              <w:rPr>
                <w:b/>
                <w:i/>
                <w:lang w:val="en-GB"/>
              </w:rPr>
              <w:t>2</w:t>
            </w:r>
            <w:r w:rsidRPr="002B4A69">
              <w:rPr>
                <w:lang w:val="en-GB"/>
              </w:rPr>
              <w:t>,</w:t>
            </w:r>
            <w:r w:rsidRPr="002B4A69">
              <w:rPr>
                <w:b/>
                <w:i/>
                <w:lang w:val="en-GB"/>
              </w:rPr>
              <w:t>0%</w:t>
            </w:r>
            <w:r w:rsidRPr="002B4A69">
              <w:rPr>
                <w:lang w:val="en-GB"/>
              </w:rPr>
              <w:t xml:space="preserve">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w:t>
            </w:r>
            <w:r w:rsidRPr="002B4A69">
              <w:rPr>
                <w:lang w:val="en-GB"/>
              </w:rPr>
              <w:t xml:space="preserve">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c>
          <w:tcPr>
            <w:tcW w:w="4876" w:type="dxa"/>
          </w:tcPr>
          <w:p w:rsidR="001F04EE" w:rsidRPr="002B4A69" w:rsidP="00723F81" w14:paraId="09AB6774" w14:textId="77777777">
            <w:pPr>
              <w:pStyle w:val="Normal6"/>
              <w:rPr>
                <w:szCs w:val="24"/>
                <w:lang w:val="en-GB"/>
              </w:rPr>
            </w:pPr>
            <w:r w:rsidRPr="002B4A69">
              <w:rPr>
                <w:lang w:val="en-GB"/>
              </w:rPr>
              <w:t>(65)</w:t>
            </w:r>
            <w:r w:rsidRPr="002B4A69">
              <w:rPr>
                <w:lang w:val="en-GB"/>
              </w:rPr>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2B4A69">
              <w:rPr>
                <w:b/>
                <w:i/>
                <w:lang w:val="en-GB"/>
              </w:rPr>
              <w:t>3</w:t>
            </w:r>
            <w:r w:rsidRPr="002B4A69">
              <w:rPr>
                <w:lang w:val="en-GB"/>
              </w:rPr>
              <w:t>,</w:t>
            </w:r>
            <w:r w:rsidRPr="002B4A69">
              <w:rPr>
                <w:b/>
                <w:i/>
                <w:lang w:val="en-GB"/>
              </w:rPr>
              <w:t>5%</w:t>
            </w:r>
            <w:r w:rsidRPr="002B4A69">
              <w:rPr>
                <w:lang w:val="en-GB"/>
              </w:rPr>
              <w:t xml:space="preserve">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redistribution for reasons of solidarity should be channeled through the Modernisation Fund to maximise their impact. For the same reason, the other Member States benefitting from the 10% solidarity redistribution should use those allowances for priority areas for spending 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w:t>
            </w:r>
            <w:r w:rsidRPr="002B4A69">
              <w:rPr>
                <w:lang w:val="en-GB"/>
              </w:rPr>
              <w:t xml:space="preserve">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w:t>
            </w:r>
            <w:r w:rsidRPr="002B4A69">
              <w:rPr>
                <w:lang w:val="en-GB"/>
              </w:rPr>
              <w:t>In order to</w:t>
            </w:r>
            <w:r w:rsidRPr="002B4A69">
              <w:rPr>
                <w:lang w:val="en-GB"/>
              </w:rPr>
              <w:t xml:space="preserve"> protect the financial interests of the Union, support under the Modernisation Fund should be implemented in accordance with Regulation (EU, Euratom) 2020/</w:t>
            </w:r>
            <w:r w:rsidRPr="002B4A69">
              <w:rPr>
                <w:lang w:val="en-GB"/>
              </w:rPr>
              <w:t>2092</w:t>
            </w:r>
            <w:r w:rsidRPr="002B4A69">
              <w:rPr>
                <w:vertAlign w:val="superscript"/>
                <w:lang w:val="en-GB"/>
              </w:rPr>
              <w:t>25</w:t>
            </w:r>
            <w:r w:rsidRPr="002B4A69">
              <w:rPr>
                <w:lang w:val="en-GB"/>
              </w:rPr>
              <w:t xml:space="preserve"> .</w:t>
            </w:r>
          </w:p>
        </w:tc>
      </w:tr>
      <w:tr w14:paraId="0ADD82E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5621B01" w14:textId="77777777">
            <w:pPr>
              <w:pStyle w:val="Normal6"/>
              <w:rPr>
                <w:lang w:val="en-GB"/>
              </w:rPr>
            </w:pPr>
            <w:r w:rsidRPr="002B4A69">
              <w:rPr>
                <w:lang w:val="en-GB"/>
              </w:rPr>
              <w:t>__________________</w:t>
            </w:r>
          </w:p>
        </w:tc>
        <w:tc>
          <w:tcPr>
            <w:tcW w:w="4876" w:type="dxa"/>
          </w:tcPr>
          <w:p w:rsidR="001F04EE" w:rsidRPr="002B4A69" w:rsidP="00723F81" w14:paraId="7FB2D68B" w14:textId="77777777">
            <w:pPr>
              <w:pStyle w:val="Normal6"/>
              <w:rPr>
                <w:szCs w:val="24"/>
                <w:lang w:val="en-GB"/>
              </w:rPr>
            </w:pPr>
            <w:r w:rsidRPr="002B4A69">
              <w:rPr>
                <w:lang w:val="en-GB"/>
              </w:rPr>
              <w:t>__________________</w:t>
            </w:r>
          </w:p>
        </w:tc>
      </w:tr>
      <w:tr w14:paraId="3CBFD67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EF329FC" w14:textId="77777777">
            <w:pPr>
              <w:pStyle w:val="Normal6"/>
              <w:rPr>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c>
          <w:tcPr>
            <w:tcW w:w="4876" w:type="dxa"/>
          </w:tcPr>
          <w:p w:rsidR="001F04EE" w:rsidRPr="002B4A69" w:rsidP="00723F81" w14:paraId="019E9B7E" w14:textId="77777777">
            <w:pPr>
              <w:pStyle w:val="Normal6"/>
              <w:rPr>
                <w:szCs w:val="24"/>
                <w:lang w:val="en-GB"/>
              </w:rPr>
            </w:pPr>
            <w:r w:rsidRPr="002B4A69">
              <w:rPr>
                <w:vertAlign w:val="superscript"/>
                <w:lang w:val="en-GB"/>
              </w:rPr>
              <w:t>25</w:t>
            </w:r>
            <w:r w:rsidRPr="002B4A69">
              <w:rPr>
                <w:lang w:val="en-GB"/>
              </w:rPr>
              <w:t xml:space="preserve"> Regulation (EU, Euratom) 2020/2092 of the European Parliament and of the Council of 16 December 2020 on a general regime of conditionality for the protection of the Union budget (OJ L 433I, 22.12.2020, p. 1).</w:t>
            </w:r>
          </w:p>
        </w:tc>
      </w:tr>
    </w:tbl>
    <w:p w:rsidR="001F04EE" w:rsidRPr="002B4A69" w:rsidP="001F04EE" w14:paraId="269354B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D25F2B4" w14:textId="77777777">
      <w:r w:rsidRPr="002B4A69">
        <w:rPr>
          <w:rStyle w:val="HideTWBExt"/>
        </w:rPr>
        <w:t>&lt;/Amend&gt;</w:t>
      </w:r>
    </w:p>
    <w:p w:rsidR="001F04EE" w:rsidRPr="002B4A69" w:rsidP="001F04EE" w14:paraId="3E319AE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511</w:t>
      </w:r>
      <w:r w:rsidRPr="002B4A69">
        <w:rPr>
          <w:rStyle w:val="HideTWBExt"/>
          <w:b w:val="0"/>
          <w:lang w:val="en-GB"/>
        </w:rPr>
        <w:t>&lt;/NumAm&gt;</w:t>
      </w:r>
    </w:p>
    <w:p w:rsidR="001F04EE" w:rsidRPr="002B4A69" w:rsidP="001F04EE" w14:paraId="100FDFBE" w14:textId="77777777">
      <w:pPr>
        <w:pStyle w:val="NormalBold"/>
      </w:pPr>
      <w:r w:rsidRPr="002B4A69">
        <w:rPr>
          <w:rStyle w:val="HideTWBExt"/>
          <w:b w:val="0"/>
        </w:rPr>
        <w:t>&lt;RepeatBlock-By&gt;&lt;Members&gt;</w:t>
      </w:r>
      <w:r w:rsidRPr="002B4A69">
        <w:t>Jacek Ozdoba</w:t>
      </w:r>
      <w:r w:rsidRPr="002B4A69">
        <w:rPr>
          <w:rStyle w:val="HideTWBExt"/>
          <w:b w:val="0"/>
        </w:rPr>
        <w:t>&lt;/Members&gt;</w:t>
      </w:r>
    </w:p>
    <w:p w:rsidR="001F04EE" w:rsidRPr="002B4A69" w:rsidP="001F04EE" w14:paraId="4C07375E" w14:textId="77777777">
      <w:r w:rsidRPr="002B4A69">
        <w:rPr>
          <w:rStyle w:val="HideTWBExt"/>
        </w:rPr>
        <w:t>&lt;/RepeatBlock-By&gt;</w:t>
      </w:r>
    </w:p>
    <w:p w:rsidR="001F04EE" w:rsidRPr="002B4A69" w:rsidP="001F04EE" w14:paraId="4BE3E59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0EBC6E6" w14:textId="77777777">
      <w:pPr>
        <w:pStyle w:val="NormalBold"/>
      </w:pPr>
      <w:r w:rsidRPr="002B4A69">
        <w:rPr>
          <w:rStyle w:val="HideTWBExt"/>
          <w:b w:val="0"/>
        </w:rPr>
        <w:t>&lt;Article&gt;</w:t>
      </w:r>
      <w:r w:rsidRPr="002B4A69">
        <w:t>Recital 66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46EBF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03A0E63" w14:textId="77777777">
            <w:pPr>
              <w:keepNext/>
            </w:pPr>
          </w:p>
        </w:tc>
      </w:tr>
      <w:tr w14:paraId="2DFC12D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1D66B39" w14:textId="77777777">
            <w:pPr>
              <w:pStyle w:val="ColumnHeading"/>
              <w:keepNext/>
              <w:rPr>
                <w:lang w:val="en-GB"/>
              </w:rPr>
            </w:pPr>
            <w:r w:rsidRPr="002B4A69">
              <w:rPr>
                <w:lang w:val="en-GB"/>
              </w:rPr>
              <w:t>Text proposed by the Commission</w:t>
            </w:r>
          </w:p>
        </w:tc>
        <w:tc>
          <w:tcPr>
            <w:tcW w:w="4876" w:type="dxa"/>
          </w:tcPr>
          <w:p w:rsidR="001F04EE" w:rsidRPr="002B4A69" w:rsidP="00723F81" w14:paraId="19DC2820" w14:textId="77777777">
            <w:pPr>
              <w:pStyle w:val="ColumnHeading"/>
              <w:keepNext/>
              <w:rPr>
                <w:lang w:val="en-GB"/>
              </w:rPr>
            </w:pPr>
            <w:r w:rsidRPr="002B4A69">
              <w:rPr>
                <w:lang w:val="en-GB"/>
              </w:rPr>
              <w:t>Amendment</w:t>
            </w:r>
          </w:p>
        </w:tc>
      </w:tr>
      <w:tr w14:paraId="7851DB5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A6CA4D1" w14:textId="77777777">
            <w:pPr>
              <w:pStyle w:val="Normal6"/>
              <w:rPr>
                <w:lang w:val="en-GB"/>
              </w:rPr>
            </w:pPr>
            <w:r w:rsidRPr="002B4A69">
              <w:rPr>
                <w:b/>
                <w:i/>
                <w:lang w:val="en-GB"/>
              </w:rPr>
              <w:t>(66)</w:t>
            </w:r>
            <w:r w:rsidRPr="002B4A69">
              <w:rPr>
                <w:b/>
                <w:i/>
                <w:lang w:val="en-GB"/>
              </w:rPr>
              <w:tab/>
              <w:t>This Directive should include strong safeguards concerning the principles of the rule of law as set out in Article 2(a) of Regulation (EU, Euratom) 2020/2092 of the European Parliament and of the Council to protect the resources of the Modernisation Fund. Should there be breaches of these principles, appropriate measures should be taken, applying the procedure set out in Article 6 of Regulation (EU, Euratom) 2020/2092.</w:t>
            </w:r>
          </w:p>
        </w:tc>
        <w:tc>
          <w:tcPr>
            <w:tcW w:w="4876" w:type="dxa"/>
          </w:tcPr>
          <w:p w:rsidR="001F04EE" w:rsidRPr="002B4A69" w:rsidP="00723F81" w14:paraId="74FBBB6B" w14:textId="77777777">
            <w:pPr>
              <w:pStyle w:val="Normal6"/>
              <w:rPr>
                <w:szCs w:val="24"/>
                <w:lang w:val="en-GB"/>
              </w:rPr>
            </w:pPr>
            <w:r w:rsidRPr="002B4A69">
              <w:rPr>
                <w:b/>
                <w:i/>
                <w:lang w:val="en-GB"/>
              </w:rPr>
              <w:t>deleted</w:t>
            </w:r>
          </w:p>
        </w:tc>
      </w:tr>
    </w:tbl>
    <w:p w:rsidR="001F04EE" w:rsidRPr="002B4A69" w:rsidP="001F04EE" w14:paraId="7759D41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{PL}</w:t>
      </w:r>
      <w:r w:rsidRPr="002B4A69">
        <w:rPr>
          <w:noProof w:val="0"/>
          <w:lang w:val="en-GB"/>
        </w:rPr>
        <w:t>pl</w:t>
      </w:r>
      <w:r w:rsidRPr="002B4A69">
        <w:rPr>
          <w:rStyle w:val="HideTWBExt"/>
          <w:lang w:val="en-GB"/>
        </w:rPr>
        <w:t>&lt;/Original&gt;</w:t>
      </w:r>
    </w:p>
    <w:p w:rsidR="001F04EE" w:rsidRPr="002B4A69" w:rsidP="001F04EE" w14:paraId="4C2AEEBE" w14:textId="77777777">
      <w:r w:rsidRPr="002B4A69">
        <w:rPr>
          <w:rStyle w:val="HideTWBExt"/>
        </w:rPr>
        <w:t>&lt;/Amend&gt;</w:t>
      </w:r>
    </w:p>
    <w:p w:rsidR="001F04EE" w:rsidRPr="002B4A69" w:rsidP="001F04EE" w14:paraId="65A6A1B9"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512</w:t>
      </w:r>
      <w:r w:rsidRPr="002B4A69">
        <w:rPr>
          <w:rStyle w:val="HideTWBExt"/>
          <w:b w:val="0"/>
          <w:lang w:val="en-GB"/>
        </w:rPr>
        <w:t>&lt;/NumAm&gt;</w:t>
      </w:r>
    </w:p>
    <w:p w:rsidR="001F04EE" w:rsidRPr="002B4A69" w:rsidP="001F04EE" w14:paraId="44973356" w14:textId="77777777">
      <w:pPr>
        <w:pStyle w:val="NormalBold"/>
      </w:pPr>
      <w:r w:rsidRPr="002B4A69">
        <w:rPr>
          <w:rStyle w:val="HideTWBExt"/>
          <w:b w:val="0"/>
        </w:rPr>
        <w:t>&lt;RepeatBlock-By&gt;&lt;Members&gt;</w:t>
      </w:r>
      <w:r w:rsidRPr="002B4A69">
        <w:t>Jens Gieseke, Ralf Seekatz, Sophia Kircher, Norbert Herhammer, Gheorghe Falcă, Andrea Wechsler, David McAllister, Borja Giménez Larraz, Angelika Niebler</w:t>
      </w:r>
      <w:r w:rsidRPr="002B4A69">
        <w:rPr>
          <w:rStyle w:val="HideTWBExt"/>
          <w:b w:val="0"/>
        </w:rPr>
        <w:t>&lt;/Members&gt;</w:t>
      </w:r>
    </w:p>
    <w:p w:rsidR="001F04EE" w:rsidRPr="002B4A69" w:rsidP="001F04EE" w14:paraId="7799511E" w14:textId="77777777">
      <w:r w:rsidRPr="002B4A69">
        <w:rPr>
          <w:rStyle w:val="HideTWBExt"/>
        </w:rPr>
        <w:t>&lt;/RepeatBlock-By&gt;</w:t>
      </w:r>
    </w:p>
    <w:p w:rsidR="001F04EE" w:rsidRPr="002B4A69" w:rsidP="001F04EE" w14:paraId="4FC9D4C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CF57B57" w14:textId="77777777">
      <w:pPr>
        <w:pStyle w:val="NormalBold"/>
      </w:pPr>
      <w:r w:rsidRPr="002B4A69">
        <w:rPr>
          <w:rStyle w:val="HideTWBExt"/>
          <w:b w:val="0"/>
        </w:rPr>
        <w:t>&lt;Article&gt;</w:t>
      </w:r>
      <w:r w:rsidRPr="002B4A69">
        <w:t>Recital 67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4BB90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0897B4B" w14:textId="77777777">
            <w:pPr>
              <w:keepNext/>
            </w:pPr>
          </w:p>
        </w:tc>
      </w:tr>
      <w:tr w14:paraId="61ACC6D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06E22A" w14:textId="77777777">
            <w:pPr>
              <w:pStyle w:val="ColumnHeading"/>
              <w:keepNext/>
              <w:rPr>
                <w:lang w:val="en-GB"/>
              </w:rPr>
            </w:pPr>
            <w:r w:rsidRPr="002B4A69">
              <w:rPr>
                <w:lang w:val="en-GB"/>
              </w:rPr>
              <w:t>Text proposed by the Commission</w:t>
            </w:r>
          </w:p>
        </w:tc>
        <w:tc>
          <w:tcPr>
            <w:tcW w:w="4876" w:type="dxa"/>
          </w:tcPr>
          <w:p w:rsidR="001F04EE" w:rsidRPr="002B4A69" w:rsidP="00723F81" w14:paraId="241F592D" w14:textId="77777777">
            <w:pPr>
              <w:pStyle w:val="ColumnHeading"/>
              <w:keepNext/>
              <w:rPr>
                <w:lang w:val="en-GB"/>
              </w:rPr>
            </w:pPr>
            <w:r w:rsidRPr="002B4A69">
              <w:rPr>
                <w:lang w:val="en-GB"/>
              </w:rPr>
              <w:t>Amendment</w:t>
            </w:r>
          </w:p>
        </w:tc>
      </w:tr>
      <w:tr w14:paraId="7DCAF5B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C545E53" w14:textId="77777777">
            <w:pPr>
              <w:pStyle w:val="Normal6"/>
              <w:rPr>
                <w:lang w:val="en-GB"/>
              </w:rPr>
            </w:pPr>
            <w:r w:rsidRPr="002B4A69">
              <w:rPr>
                <w:lang w:val="en-GB"/>
              </w:rPr>
              <w:t>(67)</w:t>
            </w:r>
            <w:r w:rsidRPr="002B4A69">
              <w:rPr>
                <w:lang w:val="en-GB"/>
              </w:rPr>
              <w:tab/>
              <w:t xml:space="preserve">In line with Article 28b(3) of Directive 2003/87/EC, </w:t>
            </w:r>
            <w:r w:rsidRPr="002B4A69">
              <w:rPr>
                <w:b/>
                <w:i/>
                <w:lang w:val="en-GB"/>
              </w:rPr>
              <w:t>the extension of</w:t>
            </w:r>
            <w:r w:rsidRPr="002B4A69">
              <w:rPr>
                <w:lang w:val="en-GB"/>
              </w:rPr>
              <w:t xml:space="preserve"> the geographic scope of application of the EU ETS in respect of aviation activities should be </w:t>
            </w:r>
            <w:r w:rsidRPr="002B4A69">
              <w:rPr>
                <w:b/>
                <w:i/>
                <w:lang w:val="en-GB"/>
              </w:rPr>
              <w:t>accompanied by the possibility for aircraft operators to deduct costs incurred from</w:t>
            </w:r>
            <w:r w:rsidRPr="002B4A69">
              <w:rPr>
                <w:lang w:val="en-GB"/>
              </w:rPr>
              <w:t xml:space="preserve"> Carbon Offsetting and Reduction Scheme for International Aviation (CORSIA) </w:t>
            </w:r>
            <w:r w:rsidRPr="002B4A69">
              <w:rPr>
                <w:b/>
                <w:i/>
                <w:lang w:val="en-GB"/>
              </w:rPr>
              <w:t>offsetting on extra-European routes from the EU ETS surrender obligation, in order to avoid</w:t>
            </w:r>
            <w:r w:rsidRPr="002B4A69">
              <w:rPr>
                <w:lang w:val="en-GB"/>
              </w:rPr>
              <w:t xml:space="preserve"> double charging. </w:t>
            </w:r>
            <w:r w:rsidRPr="002B4A69">
              <w:rPr>
                <w:b/>
                <w:i/>
                <w:lang w:val="en-GB"/>
              </w:rPr>
              <w:t>Harmonised rules</w:t>
            </w:r>
            <w:r w:rsidRPr="002B4A69">
              <w:rPr>
                <w:lang w:val="en-GB"/>
              </w:rPr>
              <w:t xml:space="preserve"> should </w:t>
            </w:r>
            <w:r w:rsidRPr="002B4A69">
              <w:rPr>
                <w:b/>
                <w:i/>
                <w:lang w:val="en-GB"/>
              </w:rPr>
              <w:t>apply in relation to such deductions, and therefore, for the calculation of the deduction the values of credits and allowances published in a Carbon Market Report adopted pursuant to Article 10(5) of Directive 2003/87/EC</w:t>
            </w:r>
            <w:r w:rsidRPr="002B4A69">
              <w:rPr>
                <w:lang w:val="en-GB"/>
              </w:rPr>
              <w:t xml:space="preserve"> should be </w:t>
            </w:r>
            <w:r w:rsidRPr="002B4A69">
              <w:rPr>
                <w:b/>
                <w:i/>
                <w:lang w:val="en-GB"/>
              </w:rPr>
              <w:t>used. The value of credits eligible under Article 11a should be based on the best available price indices</w:t>
            </w:r>
            <w:r w:rsidRPr="002B4A69">
              <w:rPr>
                <w:lang w:val="en-GB"/>
              </w:rPr>
              <w:t>.</w:t>
            </w:r>
          </w:p>
        </w:tc>
        <w:tc>
          <w:tcPr>
            <w:tcW w:w="4876" w:type="dxa"/>
          </w:tcPr>
          <w:p w:rsidR="001F04EE" w:rsidRPr="002B4A69" w:rsidP="00723F81" w14:paraId="0BB36F8C" w14:textId="77777777">
            <w:pPr>
              <w:pStyle w:val="Normal6"/>
              <w:rPr>
                <w:szCs w:val="24"/>
                <w:lang w:val="en-GB"/>
              </w:rPr>
            </w:pPr>
            <w:r w:rsidRPr="002B4A69">
              <w:rPr>
                <w:lang w:val="en-GB"/>
              </w:rPr>
              <w:t>(67)</w:t>
            </w:r>
            <w:r w:rsidRPr="002B4A69">
              <w:rPr>
                <w:lang w:val="en-GB"/>
              </w:rPr>
              <w:tab/>
              <w:t>In line with Article 28</w:t>
            </w:r>
            <w:r w:rsidRPr="002B4A69">
              <w:rPr>
                <w:lang w:val="en-GB"/>
              </w:rPr>
              <w:t>b(</w:t>
            </w:r>
            <w:r w:rsidRPr="002B4A69">
              <w:rPr>
                <w:lang w:val="en-GB"/>
              </w:rPr>
              <w:t xml:space="preserve">3) of Directive 2003/87/EC, </w:t>
            </w:r>
            <w:r w:rsidRPr="002B4A69">
              <w:rPr>
                <w:b/>
                <w:i/>
                <w:lang w:val="en-GB"/>
              </w:rPr>
              <w:t>any consideration of extending</w:t>
            </w:r>
            <w:r w:rsidRPr="002B4A69">
              <w:rPr>
                <w:lang w:val="en-GB"/>
              </w:rPr>
              <w:t xml:space="preserve"> the geographic scope of application of the EU ETS in respect of aviation activities should be </w:t>
            </w:r>
            <w:r w:rsidRPr="002B4A69">
              <w:rPr>
                <w:b/>
                <w:i/>
                <w:lang w:val="en-GB"/>
              </w:rPr>
              <w:t>informed by a comprehensive impact assessment of the different scope scenarios. That assessment should draw on the best available data and examine the implications for the competitiveness of European aviation, the risks of carbon leakage and the relocation of aviation activity, and the interaction with the</w:t>
            </w:r>
            <w:r w:rsidRPr="002B4A69">
              <w:rPr>
                <w:lang w:val="en-GB"/>
              </w:rPr>
              <w:t xml:space="preserve"> Carbon Offsetting and Reduction Scheme for International Aviation (CORSIA)</w:t>
            </w:r>
            <w:r w:rsidRPr="002B4A69">
              <w:rPr>
                <w:b/>
                <w:i/>
                <w:lang w:val="en-GB"/>
              </w:rPr>
              <w:t>, including the risk of</w:t>
            </w:r>
            <w:r w:rsidRPr="002B4A69">
              <w:rPr>
                <w:lang w:val="en-GB"/>
              </w:rPr>
              <w:t xml:space="preserve"> double charging. </w:t>
            </w:r>
            <w:r w:rsidRPr="002B4A69">
              <w:rPr>
                <w:b/>
                <w:i/>
                <w:lang w:val="en-GB"/>
              </w:rPr>
              <w:t>The findings</w:t>
            </w:r>
            <w:r w:rsidRPr="002B4A69">
              <w:rPr>
                <w:lang w:val="en-GB"/>
              </w:rPr>
              <w:t xml:space="preserve"> should </w:t>
            </w:r>
            <w:r w:rsidRPr="002B4A69">
              <w:rPr>
                <w:b/>
                <w:i/>
                <w:lang w:val="en-GB"/>
              </w:rPr>
              <w:t>provide a basis for an informed decision on any subsequent legislative action, without prejudging whether or how the scope</w:t>
            </w:r>
            <w:r w:rsidRPr="002B4A69">
              <w:rPr>
                <w:lang w:val="en-GB"/>
              </w:rPr>
              <w:t xml:space="preserve"> should be </w:t>
            </w:r>
            <w:r w:rsidRPr="002B4A69">
              <w:rPr>
                <w:b/>
                <w:i/>
                <w:lang w:val="en-GB"/>
              </w:rPr>
              <w:t>extended, or the mechanisms, if any, needed to address the interaction between the EU ETS and CORSIA</w:t>
            </w:r>
            <w:r w:rsidRPr="002B4A69">
              <w:rPr>
                <w:lang w:val="en-GB"/>
              </w:rPr>
              <w:t>.</w:t>
            </w:r>
          </w:p>
        </w:tc>
      </w:tr>
    </w:tbl>
    <w:p w:rsidR="001F04EE" w:rsidRPr="002B4A69" w:rsidP="001F04EE" w14:paraId="6E4185F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2BCFA6B" w14:textId="77777777">
      <w:r w:rsidRPr="002B4A69">
        <w:rPr>
          <w:rStyle w:val="HideTWBExt"/>
        </w:rPr>
        <w:t>&lt;/Amend&gt;</w:t>
      </w:r>
    </w:p>
    <w:p w:rsidR="001F04EE" w:rsidRPr="002B4A69" w:rsidP="001F04EE" w14:paraId="1546D94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513</w:t>
      </w:r>
      <w:r w:rsidRPr="002B4A69">
        <w:rPr>
          <w:rStyle w:val="HideTWBExt"/>
          <w:b w:val="0"/>
          <w:lang w:val="en-GB"/>
        </w:rPr>
        <w:t>&lt;/NumAm&gt;</w:t>
      </w:r>
    </w:p>
    <w:p w:rsidR="001F04EE" w:rsidRPr="002B4A69" w:rsidP="001F04EE" w14:paraId="5A09444A" w14:textId="77777777">
      <w:pPr>
        <w:pStyle w:val="NormalBold"/>
      </w:pPr>
      <w:r w:rsidRPr="002B4A69">
        <w:rPr>
          <w:rStyle w:val="HideTWBExt"/>
          <w:b w:val="0"/>
        </w:rPr>
        <w:t>&lt;RepeatBlock-By&gt;&lt;Members&gt;</w:t>
      </w:r>
      <w:r w:rsidRPr="002B4A69">
        <w:t>Andreas Glück, Jan-Christoph Oetjen, Jeannette Baljeu</w:t>
      </w:r>
      <w:r w:rsidRPr="002B4A69">
        <w:rPr>
          <w:rStyle w:val="HideTWBExt"/>
          <w:b w:val="0"/>
        </w:rPr>
        <w:t>&lt;/Members&gt;</w:t>
      </w:r>
    </w:p>
    <w:p w:rsidR="001F04EE" w:rsidRPr="002B4A69" w:rsidP="001F04EE" w14:paraId="308DB522" w14:textId="77777777">
      <w:r w:rsidRPr="002B4A69">
        <w:rPr>
          <w:rStyle w:val="HideTWBExt"/>
        </w:rPr>
        <w:t>&lt;/RepeatBlock-By&gt;</w:t>
      </w:r>
    </w:p>
    <w:p w:rsidR="001F04EE" w:rsidRPr="002B4A69" w:rsidP="001F04EE" w14:paraId="476AA28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0EB0D2E" w14:textId="77777777">
      <w:pPr>
        <w:pStyle w:val="NormalBold"/>
      </w:pPr>
      <w:r w:rsidRPr="002B4A69">
        <w:rPr>
          <w:rStyle w:val="HideTWBExt"/>
          <w:b w:val="0"/>
        </w:rPr>
        <w:t>&lt;Article&gt;</w:t>
      </w:r>
      <w:r w:rsidRPr="002B4A69">
        <w:t>Recital 67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76768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465979F" w14:textId="77777777">
            <w:pPr>
              <w:keepNext/>
            </w:pPr>
          </w:p>
        </w:tc>
      </w:tr>
      <w:tr w14:paraId="3F4CB5B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3AE8CC9" w14:textId="77777777">
            <w:pPr>
              <w:pStyle w:val="ColumnHeading"/>
              <w:keepNext/>
              <w:rPr>
                <w:lang w:val="en-GB"/>
              </w:rPr>
            </w:pPr>
            <w:r w:rsidRPr="002B4A69">
              <w:rPr>
                <w:lang w:val="en-GB"/>
              </w:rPr>
              <w:t>Text proposed by the Commission</w:t>
            </w:r>
          </w:p>
        </w:tc>
        <w:tc>
          <w:tcPr>
            <w:tcW w:w="4876" w:type="dxa"/>
          </w:tcPr>
          <w:p w:rsidR="001F04EE" w:rsidRPr="002B4A69" w:rsidP="00723F81" w14:paraId="4A5BD023" w14:textId="77777777">
            <w:pPr>
              <w:pStyle w:val="ColumnHeading"/>
              <w:keepNext/>
              <w:rPr>
                <w:lang w:val="en-GB"/>
              </w:rPr>
            </w:pPr>
            <w:r w:rsidRPr="002B4A69">
              <w:rPr>
                <w:lang w:val="en-GB"/>
              </w:rPr>
              <w:t>Amendment</w:t>
            </w:r>
          </w:p>
        </w:tc>
      </w:tr>
      <w:tr w14:paraId="4FDC9A2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CE50A7E" w14:textId="77777777">
            <w:pPr>
              <w:pStyle w:val="Normal6"/>
              <w:rPr>
                <w:lang w:val="en-GB"/>
              </w:rPr>
            </w:pPr>
            <w:r w:rsidRPr="002B4A69">
              <w:rPr>
                <w:lang w:val="en-GB"/>
              </w:rPr>
              <w:t>(67)</w:t>
            </w:r>
            <w:r w:rsidRPr="002B4A69">
              <w:rPr>
                <w:lang w:val="en-GB"/>
              </w:rPr>
              <w:tab/>
              <w:t xml:space="preserve">In line with Article 28b(3) of </w:t>
            </w:r>
            <w:r w:rsidRPr="002B4A69">
              <w:rPr>
                <w:lang w:val="en-GB"/>
              </w:rPr>
              <w:t xml:space="preserve">Directive 2003/87/EC, the extension of the geographic scope of application of the EU ETS </w:t>
            </w:r>
            <w:r w:rsidRPr="002B4A69">
              <w:rPr>
                <w:b/>
                <w:i/>
                <w:lang w:val="en-GB"/>
              </w:rPr>
              <w:t>in respect of aviation activities</w:t>
            </w:r>
            <w:r w:rsidRPr="002B4A69">
              <w:rPr>
                <w:lang w:val="en-GB"/>
              </w:rPr>
              <w:t xml:space="preserve"> should </w:t>
            </w:r>
            <w:r w:rsidRPr="002B4A69">
              <w:rPr>
                <w:b/>
                <w:i/>
                <w:lang w:val="en-GB"/>
              </w:rPr>
              <w:t>be accompanied by the possibility for aircraft operators to deduct costs incurred from</w:t>
            </w:r>
            <w:r w:rsidRPr="002B4A69">
              <w:rPr>
                <w:lang w:val="en-GB"/>
              </w:rPr>
              <w:t xml:space="preserve"> Carbon Offsetting and Reduction Scheme for International Aviation (CORSIA) offsetting </w:t>
            </w:r>
            <w:r w:rsidRPr="002B4A69">
              <w:rPr>
                <w:b/>
                <w:i/>
                <w:lang w:val="en-GB"/>
              </w:rPr>
              <w:t>on extra-European routes from</w:t>
            </w:r>
            <w:r w:rsidRPr="002B4A69">
              <w:rPr>
                <w:lang w:val="en-GB"/>
              </w:rPr>
              <w:t xml:space="preserve"> the EU ETS surrender obligation</w:t>
            </w:r>
            <w:r w:rsidRPr="002B4A69">
              <w:rPr>
                <w:b/>
                <w:i/>
                <w:lang w:val="en-GB"/>
              </w:rPr>
              <w:t>, in order to avoid double charging. Harmonised rules</w:t>
            </w:r>
            <w:r w:rsidRPr="002B4A69">
              <w:rPr>
                <w:lang w:val="en-GB"/>
              </w:rPr>
              <w:t xml:space="preserve"> should </w:t>
            </w:r>
            <w:r w:rsidRPr="002B4A69">
              <w:rPr>
                <w:b/>
                <w:i/>
                <w:lang w:val="en-GB"/>
              </w:rPr>
              <w:t>apply in relation to such deductions, and therefore, for the calculation of the deduction the values of credits and allowances published in a Carbon Market Report adopted pursuant to Article 10(5) of Directive 2003/87/EC</w:t>
            </w:r>
            <w:r w:rsidRPr="002B4A69">
              <w:rPr>
                <w:lang w:val="en-GB"/>
              </w:rPr>
              <w:t xml:space="preserve"> should </w:t>
            </w:r>
            <w:r w:rsidRPr="002B4A69">
              <w:rPr>
                <w:b/>
                <w:i/>
                <w:lang w:val="en-GB"/>
              </w:rPr>
              <w:t>be used. The value of credits eligible under Article 11a should be based on the best available price indices</w:t>
            </w:r>
            <w:r w:rsidRPr="002B4A69">
              <w:rPr>
                <w:lang w:val="en-GB"/>
              </w:rPr>
              <w:t>.</w:t>
            </w:r>
          </w:p>
        </w:tc>
        <w:tc>
          <w:tcPr>
            <w:tcW w:w="4876" w:type="dxa"/>
          </w:tcPr>
          <w:p w:rsidR="001F04EE" w:rsidRPr="002B4A69" w:rsidP="00723F81" w14:paraId="79D0871F" w14:textId="77777777">
            <w:pPr>
              <w:pStyle w:val="Normal6"/>
              <w:rPr>
                <w:szCs w:val="24"/>
                <w:lang w:val="en-GB"/>
              </w:rPr>
            </w:pPr>
            <w:r w:rsidRPr="002B4A69">
              <w:rPr>
                <w:lang w:val="en-GB"/>
              </w:rPr>
              <w:t>(67)</w:t>
            </w:r>
            <w:r w:rsidRPr="002B4A69">
              <w:rPr>
                <w:lang w:val="en-GB"/>
              </w:rPr>
              <w:tab/>
              <w:t>In line with Article 28</w:t>
            </w:r>
            <w:r w:rsidRPr="002B4A69">
              <w:rPr>
                <w:lang w:val="en-GB"/>
              </w:rPr>
              <w:t>b(</w:t>
            </w:r>
            <w:r w:rsidRPr="002B4A69">
              <w:rPr>
                <w:lang w:val="en-GB"/>
              </w:rPr>
              <w:t xml:space="preserve">3) of </w:t>
            </w:r>
            <w:r w:rsidRPr="002B4A69">
              <w:rPr>
                <w:lang w:val="en-GB"/>
              </w:rPr>
              <w:t xml:space="preserve">Directive 2003/87/EC, the extension of the geographic scope of application of the EU ETS should </w:t>
            </w:r>
            <w:r w:rsidRPr="002B4A69">
              <w:rPr>
                <w:b/>
                <w:i/>
                <w:lang w:val="en-GB"/>
              </w:rPr>
              <w:t>avoid double charging of emissions covered by both the EU ETS and the</w:t>
            </w:r>
            <w:r w:rsidRPr="002B4A69">
              <w:rPr>
                <w:lang w:val="en-GB"/>
              </w:rPr>
              <w:t xml:space="preserve"> Carbon Offsetting and Reduction Scheme for International Aviation (CORSIA)</w:t>
            </w:r>
            <w:r w:rsidRPr="002B4A69">
              <w:rPr>
                <w:b/>
                <w:i/>
                <w:lang w:val="en-GB"/>
              </w:rPr>
              <w:t>. To ensure a clear separation between the two schemes and avoid double charging of the same emissions, emissions subject to the CORSIA</w:t>
            </w:r>
            <w:r w:rsidRPr="002B4A69">
              <w:rPr>
                <w:lang w:val="en-GB"/>
              </w:rPr>
              <w:t xml:space="preserve"> offsetting </w:t>
            </w:r>
            <w:r w:rsidRPr="002B4A69">
              <w:rPr>
                <w:b/>
                <w:i/>
                <w:lang w:val="en-GB"/>
              </w:rPr>
              <w:t>requirement should not be subject to</w:t>
            </w:r>
            <w:r w:rsidRPr="002B4A69">
              <w:rPr>
                <w:lang w:val="en-GB"/>
              </w:rPr>
              <w:t xml:space="preserve"> the EU ETS surrender obligation</w:t>
            </w:r>
            <w:r w:rsidRPr="002B4A69">
              <w:rPr>
                <w:b/>
                <w:i/>
                <w:lang w:val="en-GB"/>
              </w:rPr>
              <w:t>. Accordingly, CORSIA</w:t>
            </w:r>
            <w:r w:rsidRPr="002B4A69">
              <w:rPr>
                <w:lang w:val="en-GB"/>
              </w:rPr>
              <w:t xml:space="preserve"> should </w:t>
            </w:r>
            <w:r w:rsidRPr="002B4A69">
              <w:rPr>
                <w:b/>
                <w:i/>
                <w:lang w:val="en-GB"/>
              </w:rPr>
              <w:t>cover the share of emissions above the applicable CORSIA baseline corresponding to 85% of 2019 CO₂ emissions, while the EU ETS</w:t>
            </w:r>
            <w:r w:rsidRPr="002B4A69">
              <w:rPr>
                <w:lang w:val="en-GB"/>
              </w:rPr>
              <w:t xml:space="preserve"> should </w:t>
            </w:r>
            <w:r w:rsidRPr="002B4A69">
              <w:rPr>
                <w:b/>
                <w:i/>
                <w:lang w:val="en-GB"/>
              </w:rPr>
              <w:t>cover the remaining emissions below that baseline</w:t>
            </w:r>
            <w:r w:rsidRPr="002B4A69">
              <w:rPr>
                <w:lang w:val="en-GB"/>
              </w:rPr>
              <w:t>.</w:t>
            </w:r>
          </w:p>
        </w:tc>
      </w:tr>
    </w:tbl>
    <w:p w:rsidR="001F04EE" w:rsidRPr="002B4A69" w:rsidP="001F04EE" w14:paraId="5D11FD8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63791C3"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CDFB363" w14:textId="77777777">
      <w:pPr>
        <w:pStyle w:val="Normal12Italic"/>
        <w:rPr>
          <w:noProof w:val="0"/>
          <w:lang w:val="en-GB"/>
        </w:rPr>
      </w:pPr>
      <w:r w:rsidRPr="002B4A69">
        <w:rPr>
          <w:noProof w:val="0"/>
          <w:lang w:val="en-GB"/>
        </w:rPr>
        <w:t>The Commission proposal covers all the emissions within the ETS scope. For routes covered by both schemes, the CORSIA costs for the emission units can be deducted from the total carbon cost of ETS. However, the CORSIA costs related to the purchase of SAF cannot be deducted. This approach is problematic, because a cost-based deduction does not treat the two CORSIA compliance options equally and may therefore promote the use of emission units over SAF. Second, it contradicts the Chicago Convention, whereby the same emissions should not be charged twice.</w:t>
      </w:r>
    </w:p>
    <w:p w:rsidR="001F04EE" w:rsidRPr="002B4A69" w:rsidP="001F04EE" w14:paraId="5CF1DD17" w14:textId="77777777">
      <w:r w:rsidRPr="002B4A69">
        <w:rPr>
          <w:rStyle w:val="HideTWBExt"/>
        </w:rPr>
        <w:t>&lt;/Amend&gt;</w:t>
      </w:r>
    </w:p>
    <w:p w:rsidR="001F04EE" w:rsidRPr="002B4A69" w:rsidP="001F04EE" w14:paraId="3F73D23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514</w:t>
      </w:r>
      <w:r w:rsidRPr="002B4A69">
        <w:rPr>
          <w:rStyle w:val="HideTWBExt"/>
          <w:b w:val="0"/>
          <w:lang w:val="en-GB"/>
        </w:rPr>
        <w:t>&lt;/NumAm&gt;</w:t>
      </w:r>
    </w:p>
    <w:p w:rsidR="001F04EE" w:rsidRPr="002B4A69" w:rsidP="001F04EE" w14:paraId="59544BB7"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11E98D1D" w14:textId="77777777">
      <w:r w:rsidRPr="002B4A69">
        <w:rPr>
          <w:rStyle w:val="HideTWBExt"/>
        </w:rPr>
        <w:t>&lt;/RepeatBlock-By&gt;</w:t>
      </w:r>
    </w:p>
    <w:p w:rsidR="001F04EE" w:rsidRPr="002B4A69" w:rsidP="001F04EE" w14:paraId="47D75F0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C64C8E3" w14:textId="77777777">
      <w:pPr>
        <w:pStyle w:val="NormalBold"/>
      </w:pPr>
      <w:r w:rsidRPr="002B4A69">
        <w:rPr>
          <w:rStyle w:val="HideTWBExt"/>
          <w:b w:val="0"/>
        </w:rPr>
        <w:t>&lt;Article&gt;</w:t>
      </w:r>
      <w:r w:rsidRPr="002B4A69">
        <w:t>Recital 68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35A30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17B7B4A" w14:textId="77777777">
            <w:pPr>
              <w:keepNext/>
            </w:pPr>
          </w:p>
        </w:tc>
      </w:tr>
      <w:tr w14:paraId="2B9AAB2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9BBC830" w14:textId="77777777">
            <w:pPr>
              <w:pStyle w:val="ColumnHeading"/>
              <w:keepNext/>
              <w:rPr>
                <w:lang w:val="en-GB"/>
              </w:rPr>
            </w:pPr>
            <w:r w:rsidRPr="002B4A69">
              <w:rPr>
                <w:lang w:val="en-GB"/>
              </w:rPr>
              <w:t>Text proposed by the Commission</w:t>
            </w:r>
          </w:p>
        </w:tc>
        <w:tc>
          <w:tcPr>
            <w:tcW w:w="4876" w:type="dxa"/>
          </w:tcPr>
          <w:p w:rsidR="001F04EE" w:rsidRPr="002B4A69" w:rsidP="00723F81" w14:paraId="43FBBD51" w14:textId="77777777">
            <w:pPr>
              <w:pStyle w:val="ColumnHeading"/>
              <w:keepNext/>
              <w:rPr>
                <w:lang w:val="en-GB"/>
              </w:rPr>
            </w:pPr>
            <w:r w:rsidRPr="002B4A69">
              <w:rPr>
                <w:lang w:val="en-GB"/>
              </w:rPr>
              <w:t>Amendment</w:t>
            </w:r>
          </w:p>
        </w:tc>
      </w:tr>
      <w:tr w14:paraId="1283F81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7A427F7" w14:textId="77777777">
            <w:pPr>
              <w:pStyle w:val="Normal6"/>
              <w:rPr>
                <w:lang w:val="en-GB"/>
              </w:rPr>
            </w:pPr>
            <w:r w:rsidRPr="002B4A69">
              <w:rPr>
                <w:lang w:val="en-GB"/>
              </w:rPr>
              <w:t>(68)</w:t>
            </w:r>
            <w:r w:rsidRPr="002B4A69">
              <w:rPr>
                <w:lang w:val="en-GB"/>
              </w:rPr>
              <w:tab/>
              <w:t xml:space="preserve">The geological storage of CO₂ in secure, permanently monitored sites is essential to </w:t>
            </w:r>
            <w:r w:rsidRPr="002B4A69">
              <w:rPr>
                <w:b/>
                <w:i/>
                <w:lang w:val="en-GB"/>
              </w:rPr>
              <w:t>enabling large-scale</w:t>
            </w:r>
            <w:r w:rsidRPr="002B4A69">
              <w:rPr>
                <w:lang w:val="en-GB"/>
              </w:rPr>
              <w:t xml:space="preserve"> emissions </w:t>
            </w:r>
            <w:r w:rsidRPr="002B4A69">
              <w:rPr>
                <w:b/>
                <w:i/>
                <w:lang w:val="en-GB"/>
              </w:rPr>
              <w:t>reductions for</w:t>
            </w:r>
            <w:r w:rsidRPr="002B4A69">
              <w:rPr>
                <w:lang w:val="en-GB"/>
              </w:rPr>
              <w:t xml:space="preserve"> industry. Proximity and accessibility of storage sites in third countries to EU industrial hubs could </w:t>
            </w:r>
            <w:r w:rsidRPr="002B4A69">
              <w:rPr>
                <w:lang w:val="en-GB"/>
              </w:rPr>
              <w:t xml:space="preserve">reduce transportation costs, minimise leakage risks and accelerate the deployment of CCS compared to more distant or less developed storage options, thereby facilitating this decarbonisation pathway for </w:t>
            </w:r>
            <w:r w:rsidRPr="002B4A69">
              <w:rPr>
                <w:b/>
                <w:i/>
                <w:lang w:val="en-GB"/>
              </w:rPr>
              <w:t>EU industry</w:t>
            </w:r>
            <w:r w:rsidRPr="002B4A69">
              <w:rPr>
                <w:lang w:val="en-GB"/>
              </w:rPr>
              <w:t>. However, storage in third countries should be only recognised when sufficient safeguards regarding monitoring, reporting, verification (MRV) and with respect to the rules set out in Directive 2009/31/EC exist; with a linked system to the EU ETS pursuant to Article 25 on a reciprocal basis as from 2031 and providing the sites are not used for enhanced oil or gas recovery.</w:t>
            </w:r>
          </w:p>
        </w:tc>
        <w:tc>
          <w:tcPr>
            <w:tcW w:w="4876" w:type="dxa"/>
          </w:tcPr>
          <w:p w:rsidR="001F04EE" w:rsidRPr="002B4A69" w:rsidP="00723F81" w14:paraId="1F9E2F29" w14:textId="77777777">
            <w:pPr>
              <w:pStyle w:val="Normal6"/>
              <w:rPr>
                <w:szCs w:val="24"/>
                <w:lang w:val="en-GB"/>
              </w:rPr>
            </w:pPr>
            <w:r w:rsidRPr="002B4A69">
              <w:rPr>
                <w:lang w:val="en-GB"/>
              </w:rPr>
              <w:t>(68)</w:t>
            </w:r>
            <w:r w:rsidRPr="002B4A69">
              <w:rPr>
                <w:lang w:val="en-GB"/>
              </w:rPr>
              <w:tab/>
              <w:t xml:space="preserve">The geological storage of CO₂ in secure, permanently monitored sites is essential to </w:t>
            </w:r>
            <w:r w:rsidRPr="002B4A69">
              <w:rPr>
                <w:b/>
                <w:i/>
                <w:lang w:val="en-GB"/>
              </w:rPr>
              <w:t>compensate for the limited amount of hard-to-abate process</w:t>
            </w:r>
            <w:r w:rsidRPr="002B4A69">
              <w:rPr>
                <w:lang w:val="en-GB"/>
              </w:rPr>
              <w:t xml:space="preserve"> emissions </w:t>
            </w:r>
            <w:r w:rsidRPr="002B4A69">
              <w:rPr>
                <w:b/>
                <w:i/>
                <w:lang w:val="en-GB"/>
              </w:rPr>
              <w:t>from</w:t>
            </w:r>
            <w:r w:rsidRPr="002B4A69">
              <w:rPr>
                <w:lang w:val="en-GB"/>
              </w:rPr>
              <w:t xml:space="preserve"> industry </w:t>
            </w:r>
            <w:r w:rsidRPr="002B4A69">
              <w:rPr>
                <w:b/>
                <w:i/>
                <w:lang w:val="en-GB"/>
              </w:rPr>
              <w:t>and residual emissions from waste incineration</w:t>
            </w:r>
            <w:r w:rsidRPr="002B4A69">
              <w:rPr>
                <w:lang w:val="en-GB"/>
              </w:rPr>
              <w:t xml:space="preserve">. </w:t>
            </w:r>
            <w:r w:rsidRPr="002B4A69">
              <w:rPr>
                <w:lang w:val="en-GB"/>
              </w:rPr>
              <w:t xml:space="preserve">Proximity and accessibility of storage sites in third countries to EU industrial hubs could reduce transportation costs, minimise leakage risks and accelerate the deployment of CCS compared to more distant or less developed storage options, thereby facilitating this decarbonisation pathway for </w:t>
            </w:r>
            <w:r w:rsidRPr="002B4A69">
              <w:rPr>
                <w:b/>
                <w:i/>
                <w:lang w:val="en-GB"/>
              </w:rPr>
              <w:t>those emissions where other, more cost-effective solutions like electrification, are not feasible</w:t>
            </w:r>
            <w:r w:rsidRPr="002B4A69">
              <w:rPr>
                <w:lang w:val="en-GB"/>
              </w:rPr>
              <w:t>. However, storage in third countries should be only recognised when sufficient safeguards regarding monitoring, reporting, verification (MRV) and with respect to the rules set out in Directive 2009/31/EC exist; with a linked system to the EU ETS pursuant to Article 25 on a reciprocal basis as from 2031 and providing the sites are not used for enhanced oil or gas recovery.</w:t>
            </w:r>
          </w:p>
        </w:tc>
      </w:tr>
    </w:tbl>
    <w:p w:rsidR="001F04EE" w:rsidRPr="002B4A69" w:rsidP="001F04EE" w14:paraId="6BD2173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5D0CEE0" w14:textId="77777777">
      <w:r w:rsidRPr="002B4A69">
        <w:rPr>
          <w:rStyle w:val="HideTWBExt"/>
        </w:rPr>
        <w:t>&lt;/Amend&gt;</w:t>
      </w:r>
    </w:p>
    <w:p w:rsidR="001F04EE" w:rsidRPr="002B4A69" w:rsidP="001F04EE" w14:paraId="535A90E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515</w:t>
      </w:r>
      <w:r w:rsidRPr="002B4A69">
        <w:rPr>
          <w:rStyle w:val="HideTWBExt"/>
          <w:b w:val="0"/>
          <w:lang w:val="en-GB"/>
        </w:rPr>
        <w:t>&lt;/NumAm&gt;</w:t>
      </w:r>
    </w:p>
    <w:p w:rsidR="001F04EE" w:rsidRPr="002B4A69" w:rsidP="001F04EE" w14:paraId="54757AF4" w14:textId="77777777">
      <w:pPr>
        <w:pStyle w:val="NormalBold"/>
      </w:pPr>
      <w:r w:rsidRPr="002B4A69">
        <w:rPr>
          <w:rStyle w:val="HideTWBExt"/>
          <w:b w:val="0"/>
        </w:rPr>
        <w:t>&lt;RepeatBlock-By&gt;&lt;Members&gt;</w:t>
      </w:r>
      <w:r w:rsidRPr="002B4A69">
        <w:t>Mohammed Chahim</w:t>
      </w:r>
      <w:r w:rsidRPr="002B4A69">
        <w:rPr>
          <w:rStyle w:val="HideTWBExt"/>
          <w:b w:val="0"/>
        </w:rPr>
        <w:t>&lt;/Members&gt;</w:t>
      </w:r>
    </w:p>
    <w:p w:rsidR="001F04EE" w:rsidRPr="002B4A69" w:rsidP="001F04EE" w14:paraId="39FAD3B5" w14:textId="77777777">
      <w:r w:rsidRPr="002B4A69">
        <w:rPr>
          <w:rStyle w:val="HideTWBExt"/>
        </w:rPr>
        <w:t>&lt;/RepeatBlock-By&gt;</w:t>
      </w:r>
    </w:p>
    <w:p w:rsidR="001F04EE" w:rsidRPr="002B4A69" w:rsidP="001F04EE" w14:paraId="6698A44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8E2928F" w14:textId="77777777">
      <w:pPr>
        <w:pStyle w:val="NormalBold"/>
      </w:pPr>
      <w:r w:rsidRPr="002B4A69">
        <w:rPr>
          <w:rStyle w:val="HideTWBExt"/>
          <w:b w:val="0"/>
        </w:rPr>
        <w:t>&lt;Article&gt;</w:t>
      </w:r>
      <w:r w:rsidRPr="002B4A69">
        <w:t>Recital 68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82788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71D20DB" w14:textId="77777777">
            <w:pPr>
              <w:keepNext/>
            </w:pPr>
          </w:p>
        </w:tc>
      </w:tr>
      <w:tr w14:paraId="3F6D688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F55CBF3" w14:textId="77777777">
            <w:pPr>
              <w:pStyle w:val="ColumnHeading"/>
              <w:keepNext/>
              <w:rPr>
                <w:lang w:val="en-GB"/>
              </w:rPr>
            </w:pPr>
            <w:r w:rsidRPr="002B4A69">
              <w:rPr>
                <w:lang w:val="en-GB"/>
              </w:rPr>
              <w:t>Text proposed by the Commission</w:t>
            </w:r>
          </w:p>
        </w:tc>
        <w:tc>
          <w:tcPr>
            <w:tcW w:w="4876" w:type="dxa"/>
          </w:tcPr>
          <w:p w:rsidR="001F04EE" w:rsidRPr="002B4A69" w:rsidP="00723F81" w14:paraId="097DF003" w14:textId="77777777">
            <w:pPr>
              <w:pStyle w:val="ColumnHeading"/>
              <w:keepNext/>
              <w:rPr>
                <w:lang w:val="en-GB"/>
              </w:rPr>
            </w:pPr>
            <w:r w:rsidRPr="002B4A69">
              <w:rPr>
                <w:lang w:val="en-GB"/>
              </w:rPr>
              <w:t>Amendment</w:t>
            </w:r>
          </w:p>
        </w:tc>
      </w:tr>
      <w:tr w14:paraId="3BFF651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50AB4F" w14:textId="77777777">
            <w:pPr>
              <w:pStyle w:val="Normal6"/>
              <w:rPr>
                <w:lang w:val="en-GB"/>
              </w:rPr>
            </w:pPr>
            <w:r w:rsidRPr="002B4A69">
              <w:rPr>
                <w:lang w:val="en-GB"/>
              </w:rPr>
              <w:t>(68)</w:t>
            </w:r>
            <w:r w:rsidRPr="002B4A69">
              <w:rPr>
                <w:lang w:val="en-GB"/>
              </w:rPr>
              <w:tab/>
              <w:t xml:space="preserve">The geological storage of CO₂ in secure, permanently monitored sites is essential to enabling </w:t>
            </w:r>
            <w:r w:rsidRPr="002B4A69">
              <w:rPr>
                <w:b/>
                <w:i/>
                <w:lang w:val="en-GB"/>
              </w:rPr>
              <w:t>large-scale</w:t>
            </w:r>
            <w:r w:rsidRPr="002B4A69">
              <w:rPr>
                <w:lang w:val="en-GB"/>
              </w:rPr>
              <w:t xml:space="preserve"> emissions reductions for </w:t>
            </w:r>
            <w:r w:rsidRPr="002B4A69">
              <w:rPr>
                <w:b/>
                <w:i/>
                <w:lang w:val="en-GB"/>
              </w:rPr>
              <w:t>industry</w:t>
            </w:r>
            <w:r w:rsidRPr="002B4A69">
              <w:rPr>
                <w:lang w:val="en-GB"/>
              </w:rPr>
              <w:t xml:space="preserve">. Proximity and accessibility of storage sites in third countries to EU industrial hubs could reduce transportation costs, minimise leakage risks and accelerate the deployment of CCS compared to more distant or less developed storage options, thereby facilitating this decarbonisation pathway for EU industry. However, storage in third countries should be only recognised when sufficient safeguards regarding monitoring, reporting, verification (MRV) and with respect to the rules set out in Directive 2009/31/EC exist; </w:t>
            </w:r>
            <w:r w:rsidRPr="002B4A69">
              <w:rPr>
                <w:lang w:val="en-GB"/>
              </w:rPr>
              <w:t>with a linked system to the EU ETS pursuant to Article 25 on a reciprocal basis as from 2031 and providing the sites are not used for enhanced oil or gas recovery.</w:t>
            </w:r>
          </w:p>
        </w:tc>
        <w:tc>
          <w:tcPr>
            <w:tcW w:w="4876" w:type="dxa"/>
          </w:tcPr>
          <w:p w:rsidR="001F04EE" w:rsidRPr="002B4A69" w:rsidP="00723F81" w14:paraId="28C8D77B" w14:textId="77777777">
            <w:pPr>
              <w:pStyle w:val="Normal6"/>
              <w:rPr>
                <w:szCs w:val="24"/>
                <w:lang w:val="en-GB"/>
              </w:rPr>
            </w:pPr>
            <w:r w:rsidRPr="002B4A69">
              <w:rPr>
                <w:lang w:val="en-GB"/>
              </w:rPr>
              <w:t>(68)</w:t>
            </w:r>
            <w:r w:rsidRPr="002B4A69">
              <w:rPr>
                <w:lang w:val="en-GB"/>
              </w:rPr>
              <w:tab/>
              <w:t xml:space="preserve">The geological storage of CO₂ in secure, permanently monitored sites is essential to enabling </w:t>
            </w:r>
            <w:r w:rsidRPr="002B4A69">
              <w:rPr>
                <w:b/>
                <w:i/>
                <w:lang w:val="en-GB"/>
              </w:rPr>
              <w:t>residual</w:t>
            </w:r>
            <w:r w:rsidRPr="002B4A69">
              <w:rPr>
                <w:lang w:val="en-GB"/>
              </w:rPr>
              <w:t xml:space="preserve"> emissions reductions for </w:t>
            </w:r>
            <w:r w:rsidRPr="002B4A69">
              <w:rPr>
                <w:b/>
                <w:i/>
                <w:lang w:val="en-GB"/>
              </w:rPr>
              <w:t>hard-to-abate industries</w:t>
            </w:r>
            <w:r w:rsidRPr="002B4A69">
              <w:rPr>
                <w:lang w:val="en-GB"/>
              </w:rPr>
              <w:t xml:space="preserve">. Proximity and accessibility of storage sites in third countries to EU industrial hubs could reduce transportation costs, minimise leakage risks and accelerate the deployment of CCS compared to more distant or less developed storage options, thereby facilitating this decarbonisation pathway for EU industry. However, storage in third countries should be only recognised when sufficient safeguards regarding monitoring, reporting, verification (MRV) and with respect to the rules set out in Directive 2009/31/EC exist; </w:t>
            </w:r>
            <w:r w:rsidRPr="002B4A69">
              <w:rPr>
                <w:lang w:val="en-GB"/>
              </w:rPr>
              <w:t>with a linked system to the EU ETS pursuant to Article 25 on a reciprocal basis as from 2031 and providing the sites are not used for enhanced oil or gas recovery.</w:t>
            </w:r>
          </w:p>
        </w:tc>
      </w:tr>
    </w:tbl>
    <w:p w:rsidR="001F04EE" w:rsidRPr="002B4A69" w:rsidP="001F04EE" w14:paraId="4FD63AA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8944EC9" w14:textId="77777777">
      <w:r w:rsidRPr="002B4A69">
        <w:rPr>
          <w:rStyle w:val="HideTWBExt"/>
        </w:rPr>
        <w:t>&lt;/Amend&gt;</w:t>
      </w:r>
    </w:p>
    <w:p w:rsidR="001F04EE" w:rsidRPr="002B4A69" w:rsidP="001F04EE" w14:paraId="3954ABE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516</w:t>
      </w:r>
      <w:r w:rsidRPr="002B4A69">
        <w:rPr>
          <w:rStyle w:val="HideTWBExt"/>
          <w:b w:val="0"/>
          <w:lang w:val="en-GB"/>
        </w:rPr>
        <w:t>&lt;/NumAm&gt;</w:t>
      </w:r>
    </w:p>
    <w:p w:rsidR="001F04EE" w:rsidRPr="002B4A69" w:rsidP="001F04EE" w14:paraId="0052C124" w14:textId="77777777">
      <w:pPr>
        <w:pStyle w:val="NormalBold"/>
      </w:pPr>
      <w:r w:rsidRPr="002B4A69">
        <w:rPr>
          <w:rStyle w:val="HideTWBExt"/>
          <w:b w:val="0"/>
        </w:rPr>
        <w:t>&lt;RepeatBlock-By&gt;&lt;Members&gt;</w:t>
      </w:r>
      <w:r w:rsidRPr="002B4A69">
        <w:t>Pascal Canfin</w:t>
      </w:r>
      <w:r w:rsidRPr="002B4A69">
        <w:rPr>
          <w:rStyle w:val="HideTWBExt"/>
          <w:b w:val="0"/>
        </w:rPr>
        <w:t>&lt;/Members&gt;</w:t>
      </w:r>
    </w:p>
    <w:p w:rsidR="001F04EE" w:rsidRPr="002B4A69" w:rsidP="001F04EE" w14:paraId="01C832DC" w14:textId="77777777">
      <w:r w:rsidRPr="002B4A69">
        <w:rPr>
          <w:rStyle w:val="HideTWBExt"/>
        </w:rPr>
        <w:t>&lt;/RepeatBlock-By&gt;</w:t>
      </w:r>
    </w:p>
    <w:p w:rsidR="001F04EE" w:rsidRPr="002B4A69" w:rsidP="001F04EE" w14:paraId="7853DEE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49B99AD" w14:textId="77777777">
      <w:pPr>
        <w:pStyle w:val="NormalBold"/>
      </w:pPr>
      <w:r w:rsidRPr="002B4A69">
        <w:rPr>
          <w:rStyle w:val="HideTWBExt"/>
          <w:b w:val="0"/>
        </w:rPr>
        <w:t>&lt;Article&gt;</w:t>
      </w:r>
      <w:r w:rsidRPr="002B4A69">
        <w:t>Recital 69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0EB19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0636461" w14:textId="77777777">
            <w:pPr>
              <w:keepNext/>
            </w:pPr>
          </w:p>
        </w:tc>
      </w:tr>
      <w:tr w14:paraId="5A37903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EC07560" w14:textId="77777777">
            <w:pPr>
              <w:pStyle w:val="ColumnHeading"/>
              <w:keepNext/>
              <w:rPr>
                <w:lang w:val="en-GB"/>
              </w:rPr>
            </w:pPr>
            <w:r w:rsidRPr="002B4A69">
              <w:rPr>
                <w:lang w:val="en-GB"/>
              </w:rPr>
              <w:t>Text proposed by the Commission</w:t>
            </w:r>
          </w:p>
        </w:tc>
        <w:tc>
          <w:tcPr>
            <w:tcW w:w="4876" w:type="dxa"/>
          </w:tcPr>
          <w:p w:rsidR="001F04EE" w:rsidRPr="002B4A69" w:rsidP="00723F81" w14:paraId="6863DD8E" w14:textId="77777777">
            <w:pPr>
              <w:pStyle w:val="ColumnHeading"/>
              <w:keepNext/>
              <w:rPr>
                <w:lang w:val="en-GB"/>
              </w:rPr>
            </w:pPr>
            <w:r w:rsidRPr="002B4A69">
              <w:rPr>
                <w:lang w:val="en-GB"/>
              </w:rPr>
              <w:t>Amendment</w:t>
            </w:r>
          </w:p>
        </w:tc>
      </w:tr>
      <w:tr w14:paraId="367C5DE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0A36817" w14:textId="77777777">
            <w:pPr>
              <w:pStyle w:val="Normal6"/>
              <w:rPr>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in those cases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w:t>
            </w:r>
            <w:r w:rsidRPr="002B4A69">
              <w:rPr>
                <w:lang w:val="en-GB"/>
              </w:rPr>
              <w:t xml:space="preserve">(downstream). Conversely, when CO₂ is used directly without binding its carbon chemically in a product, it should continue to be accounted upstream </w:t>
            </w:r>
            <w:r w:rsidRPr="002B4A69">
              <w:rPr>
                <w:b/>
                <w:i/>
                <w:lang w:val="en-GB"/>
              </w:rPr>
              <w:t>at the point of capture as the eventual release of that CO₂ will take place outside of the EU ETS,</w:t>
            </w:r>
            <w:r w:rsidRPr="002B4A69">
              <w:rPr>
                <w:lang w:val="en-GB"/>
              </w:rPr>
              <w:t xml:space="preserve">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c>
          <w:tcPr>
            <w:tcW w:w="4876" w:type="dxa"/>
          </w:tcPr>
          <w:p w:rsidR="001F04EE" w:rsidRPr="002B4A69" w:rsidP="00723F81" w14:paraId="37DD0E5A" w14:textId="77777777">
            <w:pPr>
              <w:pStyle w:val="Normal6"/>
              <w:rPr>
                <w:szCs w:val="24"/>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in those cases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w:t>
            </w:r>
            <w:r w:rsidRPr="002B4A69">
              <w:rPr>
                <w:lang w:val="en-GB"/>
              </w:rPr>
              <w:t xml:space="preserve">(downstream). </w:t>
            </w:r>
            <w:r w:rsidRPr="002B4A69">
              <w:rPr>
                <w:b/>
                <w:i/>
                <w:lang w:val="en-GB"/>
              </w:rPr>
              <w:t>Where the equivalent product manufactured from fossil feedstock is not primarily incinerated, the fossil carbon it contains is released outside the EU ETS during the use of the product. Captured carbon bound in such a product replaces that fossil carbon and should not be treated less favourably. However, in order to preserve the environmental integrity of the EU ETS cap, a number of allowances corresponding to the quantities of CO₂ which are not subject to a surrender obligation because they are bound in products whose fossil equivalents are not primarily emitted in activities listed in Annex I should be cancelled. That treatment should not apply to fuels, whose fossil equivalents are subject to other carbon pricing instruments.</w:t>
            </w:r>
            <w:r w:rsidRPr="002B4A69">
              <w:rPr>
                <w:lang w:val="en-GB"/>
              </w:rPr>
              <w:t xml:space="preserve"> Conversely, when CO₂ is used directly without binding its carbon chemically in a product, it should continue to be accounted upstream </w:t>
            </w:r>
            <w:r w:rsidRPr="002B4A69">
              <w:rPr>
                <w:b/>
                <w:i/>
                <w:lang w:val="en-GB"/>
              </w:rPr>
              <w:t>for instance</w:t>
            </w:r>
            <w:r w:rsidRPr="002B4A69">
              <w:rPr>
                <w:lang w:val="en-GB"/>
              </w:rPr>
              <w:t xml:space="preserve">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w:t>
            </w:r>
            <w:r w:rsidRPr="002B4A69">
              <w:rPr>
                <w:lang w:val="en-GB"/>
              </w:rPr>
              <w:t>to establish de minimis thresholds for the risk of remission outside of the EU ETS and may introduce measures, such as partial surrender requirements, to address cases where the near threshold is exceeded.</w:t>
            </w:r>
          </w:p>
        </w:tc>
      </w:tr>
    </w:tbl>
    <w:p w:rsidR="001F04EE" w:rsidRPr="002B4A69" w:rsidP="001F04EE" w14:paraId="5C2C0EA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13B40C3" w14:textId="77777777">
      <w:r w:rsidRPr="002B4A69">
        <w:rPr>
          <w:rStyle w:val="HideTWBExt"/>
        </w:rPr>
        <w:t>&lt;/Amend&gt;</w:t>
      </w:r>
    </w:p>
    <w:p w:rsidR="001F04EE" w:rsidRPr="002B4A69" w:rsidP="001F04EE" w14:paraId="4A95C91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517</w:t>
      </w:r>
      <w:r w:rsidRPr="002B4A69">
        <w:rPr>
          <w:rStyle w:val="HideTWBExt"/>
          <w:b w:val="0"/>
          <w:lang w:val="en-GB"/>
        </w:rPr>
        <w:t>&lt;/NumAm&gt;</w:t>
      </w:r>
    </w:p>
    <w:p w:rsidR="001F04EE" w:rsidRPr="002B4A69" w:rsidP="001F04EE" w14:paraId="6F4F4686"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4F51691B" w14:textId="77777777">
      <w:r w:rsidRPr="002B4A69">
        <w:rPr>
          <w:rStyle w:val="HideTWBExt"/>
        </w:rPr>
        <w:t>&lt;/RepeatBlock-By&gt;</w:t>
      </w:r>
    </w:p>
    <w:p w:rsidR="001F04EE" w:rsidRPr="002B4A69" w:rsidP="001F04EE" w14:paraId="013A165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C77BFCE" w14:textId="77777777">
      <w:pPr>
        <w:pStyle w:val="NormalBold"/>
      </w:pPr>
      <w:r w:rsidRPr="002B4A69">
        <w:rPr>
          <w:rStyle w:val="HideTWBExt"/>
          <w:b w:val="0"/>
        </w:rPr>
        <w:t>&lt;Article&gt;</w:t>
      </w:r>
      <w:r w:rsidRPr="002B4A69">
        <w:t>Recital 69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F40BF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905FE28" w14:textId="77777777">
            <w:pPr>
              <w:keepNext/>
            </w:pPr>
          </w:p>
        </w:tc>
      </w:tr>
      <w:tr w14:paraId="7E4B919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E7C43EF" w14:textId="77777777">
            <w:pPr>
              <w:pStyle w:val="ColumnHeading"/>
              <w:keepNext/>
              <w:rPr>
                <w:lang w:val="en-GB"/>
              </w:rPr>
            </w:pPr>
            <w:r w:rsidRPr="002B4A69">
              <w:rPr>
                <w:lang w:val="en-GB"/>
              </w:rPr>
              <w:t>Text proposed by the Commission</w:t>
            </w:r>
          </w:p>
        </w:tc>
        <w:tc>
          <w:tcPr>
            <w:tcW w:w="4876" w:type="dxa"/>
          </w:tcPr>
          <w:p w:rsidR="001F04EE" w:rsidRPr="002B4A69" w:rsidP="00723F81" w14:paraId="4046FC58" w14:textId="77777777">
            <w:pPr>
              <w:pStyle w:val="ColumnHeading"/>
              <w:keepNext/>
              <w:rPr>
                <w:lang w:val="en-GB"/>
              </w:rPr>
            </w:pPr>
            <w:r w:rsidRPr="002B4A69">
              <w:rPr>
                <w:lang w:val="en-GB"/>
              </w:rPr>
              <w:t>Amendment</w:t>
            </w:r>
          </w:p>
        </w:tc>
      </w:tr>
      <w:tr w14:paraId="4FA2150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41DFF1D" w14:textId="77777777">
            <w:pPr>
              <w:pStyle w:val="Normal6"/>
              <w:rPr>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w:t>
            </w:r>
            <w:r w:rsidRPr="002B4A69">
              <w:rPr>
                <w:b/>
                <w:i/>
                <w:lang w:val="en-GB"/>
              </w:rPr>
              <w:t>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w:t>
            </w:r>
            <w:r w:rsidRPr="002B4A69">
              <w:rPr>
                <w:lang w:val="en-GB"/>
              </w:rPr>
              <w:t xml:space="preserve"> The inclusion of waste incineration means that </w:t>
            </w:r>
            <w:r w:rsidRPr="002B4A69">
              <w:rPr>
                <w:b/>
                <w:i/>
                <w:lang w:val="en-GB"/>
              </w:rPr>
              <w:t>most</w:t>
            </w:r>
            <w:r w:rsidRPr="002B4A69">
              <w:rPr>
                <w:lang w:val="en-GB"/>
              </w:rPr>
              <w:t xml:space="preserve"> stages of the life of a product in which captured carbon is used are subject to carbon pricing</w:t>
            </w:r>
            <w:r w:rsidRPr="002B4A69">
              <w:rPr>
                <w:b/>
                <w:i/>
                <w:lang w:val="en-GB"/>
              </w:rPr>
              <w:t>, allowing the accounting of emissions to be moved at the point of their release from</w:t>
            </w:r>
            <w:r w:rsidRPr="002B4A69">
              <w:rPr>
                <w:lang w:val="en-GB"/>
              </w:rPr>
              <w:t xml:space="preserve"> products </w:t>
            </w:r>
            <w:r w:rsidRPr="002B4A69">
              <w:rPr>
                <w:b/>
                <w:i/>
                <w:lang w:val="en-GB"/>
              </w:rPr>
              <w:t>into the atmosphere without a high risk of under accounting</w:t>
            </w:r>
            <w:r w:rsidRPr="002B4A69">
              <w:rPr>
                <w:lang w:val="en-GB"/>
              </w:rPr>
              <w:t xml:space="preserve">. As a result, in those cases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w:t>
            </w:r>
            <w:r w:rsidRPr="002B4A69">
              <w:rPr>
                <w:b/>
                <w:i/>
                <w:lang w:val="en-GB"/>
              </w:rPr>
              <w:t>eliminated—until the CO₂ is released in a process listed in</w:t>
            </w:r>
            <w:r w:rsidRPr="002B4A69">
              <w:rPr>
                <w:lang w:val="en-GB"/>
              </w:rPr>
              <w:t xml:space="preserve"> Annex I </w:t>
            </w:r>
            <w:r w:rsidRPr="002B4A69">
              <w:rPr>
                <w:b/>
                <w:i/>
                <w:lang w:val="en-GB"/>
              </w:rPr>
              <w:t>(downstream)</w:t>
            </w:r>
            <w:r w:rsidRPr="002B4A69">
              <w:rPr>
                <w:lang w:val="en-GB"/>
              </w:rPr>
              <w:t xml:space="preserve">.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w:t>
            </w:r>
            <w:r w:rsidRPr="002B4A69">
              <w:rPr>
                <w:b/>
                <w:i/>
                <w:lang w:val="en-GB"/>
              </w:rPr>
              <w:t>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c>
          <w:tcPr>
            <w:tcW w:w="4876" w:type="dxa"/>
          </w:tcPr>
          <w:p w:rsidR="001F04EE" w:rsidRPr="002B4A69" w:rsidP="00723F81" w14:paraId="7DD0D5AC" w14:textId="77777777">
            <w:pPr>
              <w:pStyle w:val="Normal6"/>
              <w:rPr>
                <w:szCs w:val="24"/>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The inclusion of waste incineration means that </w:t>
            </w:r>
            <w:r w:rsidRPr="002B4A69">
              <w:rPr>
                <w:b/>
                <w:i/>
                <w:lang w:val="en-GB"/>
              </w:rPr>
              <w:t>some</w:t>
            </w:r>
            <w:r w:rsidRPr="002B4A69">
              <w:rPr>
                <w:lang w:val="en-GB"/>
              </w:rPr>
              <w:t xml:space="preserve"> stages of the life of a product in which captured carbon is used are subject to carbon pricing</w:t>
            </w:r>
            <w:r w:rsidRPr="002B4A69">
              <w:rPr>
                <w:b/>
                <w:i/>
                <w:lang w:val="en-GB"/>
              </w:rPr>
              <w:t>. However, in its own Impact Assessment, the Commission confirmed that across all non-permanent CCU</w:t>
            </w:r>
            <w:r w:rsidRPr="002B4A69">
              <w:rPr>
                <w:lang w:val="en-GB"/>
              </w:rPr>
              <w:t xml:space="preserve"> products </w:t>
            </w:r>
            <w:r w:rsidRPr="002B4A69">
              <w:rPr>
                <w:b/>
                <w:i/>
                <w:lang w:val="en-GB"/>
              </w:rPr>
              <w:t xml:space="preserve">considered in the underlying study, an average incineration rate of only 21.4% was observed. Therefore, granting a full exemption to surrender obligations upstream on the assumption that an equivalent </w:t>
            </w:r>
            <w:r w:rsidRPr="002B4A69">
              <w:rPr>
                <w:b/>
                <w:i/>
                <w:lang w:val="en-GB"/>
              </w:rPr>
              <w:t>amount</w:t>
            </w:r>
            <w:r w:rsidRPr="002B4A69">
              <w:rPr>
                <w:b/>
                <w:i/>
                <w:lang w:val="en-GB"/>
              </w:rPr>
              <w:t xml:space="preserve"> of allowances will be surrendered by waste incinerators downstream lacks a scientific basis and is not justified</w:t>
            </w:r>
            <w:r w:rsidRPr="002B4A69">
              <w:rPr>
                <w:lang w:val="en-GB"/>
              </w:rPr>
              <w:t xml:space="preserve">. As a result, in those cases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w:t>
            </w:r>
            <w:r w:rsidRPr="002B4A69">
              <w:rPr>
                <w:b/>
                <w:i/>
                <w:lang w:val="en-GB"/>
              </w:rPr>
              <w:t>eliminated— only if the Commission has set a yearly coverage rate for that product by delegated act. That rate should reflect the verified, lifecycle-adjusted share of the category's carbon dioxide expected to be emitted in an</w:t>
            </w:r>
            <w:r w:rsidRPr="002B4A69">
              <w:rPr>
                <w:lang w:val="en-GB"/>
              </w:rPr>
              <w:t xml:space="preserve"> Annex I </w:t>
            </w:r>
            <w:r w:rsidRPr="002B4A69">
              <w:rPr>
                <w:b/>
                <w:i/>
                <w:lang w:val="en-GB"/>
              </w:rPr>
              <w:t xml:space="preserve">activity </w:t>
            </w:r>
            <w:r w:rsidRPr="002B4A69">
              <w:rPr>
                <w:b/>
                <w:i/>
                <w:lang w:val="en-GB"/>
              </w:rPr>
              <w:t>taking into account</w:t>
            </w:r>
            <w:r w:rsidRPr="002B4A69">
              <w:rPr>
                <w:b/>
                <w:i/>
                <w:lang w:val="en-GB"/>
              </w:rPr>
              <w:t xml:space="preserve"> the restrictions and the timeline set out in Articles 12a and 12b. In that case, the exemption from the obligation to surrender allowances should only apply to the share of carbon dioxide corresponding to the yearly coverage rate</w:t>
            </w:r>
            <w:r w:rsidRPr="002B4A69">
              <w:rPr>
                <w:lang w:val="en-GB"/>
              </w:rPr>
              <w:t>.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w:t>
            </w:r>
          </w:p>
        </w:tc>
      </w:tr>
    </w:tbl>
    <w:p w:rsidR="001F04EE" w:rsidRPr="002B4A69" w:rsidP="001F04EE" w14:paraId="180D9CF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D4B6707" w14:textId="77777777">
      <w:r w:rsidRPr="002B4A69">
        <w:rPr>
          <w:rStyle w:val="HideTWBExt"/>
        </w:rPr>
        <w:t>&lt;/Amend&gt;</w:t>
      </w:r>
    </w:p>
    <w:p w:rsidR="001F04EE" w:rsidRPr="002B4A69" w:rsidP="001F04EE" w14:paraId="6D0C1F7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518</w:t>
      </w:r>
      <w:r w:rsidRPr="002B4A69">
        <w:rPr>
          <w:rStyle w:val="HideTWBExt"/>
          <w:b w:val="0"/>
          <w:lang w:val="en-GB"/>
        </w:rPr>
        <w:t>&lt;/NumAm&gt;</w:t>
      </w:r>
    </w:p>
    <w:p w:rsidR="001F04EE" w:rsidRPr="002B4A69" w:rsidP="001F04EE" w14:paraId="051FDA2C" w14:textId="77777777">
      <w:pPr>
        <w:pStyle w:val="NormalBold"/>
      </w:pPr>
      <w:r w:rsidRPr="002B4A69">
        <w:rPr>
          <w:rStyle w:val="HideTWBExt"/>
          <w:b w:val="0"/>
        </w:rPr>
        <w:t>&lt;RepeatBlock-By&gt;&lt;Members&gt;</w:t>
      </w:r>
      <w:r w:rsidRPr="002B4A69">
        <w:t xml:space="preserve">Nicola Procaccini, Pietro Fiocchi, Michele Picaro, Sergio Berlato, Stefano Cavedagna, Paolo Inselvini, Antonella Sberna, Alexandr Vondra, Sander Smit, Alessandro Ciriani, Carlo Fidanza, Carlo Ciccioli, Giovanni Crosetto, Elena Donazzan, Alberico Gambino, </w:t>
      </w:r>
      <w:r w:rsidRPr="002B4A69">
        <w:t>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32017778" w14:textId="77777777">
      <w:r w:rsidRPr="002B4A69">
        <w:rPr>
          <w:rStyle w:val="HideTWBExt"/>
        </w:rPr>
        <w:t>&lt;/RepeatBlock-By&gt;</w:t>
      </w:r>
    </w:p>
    <w:p w:rsidR="001F04EE" w:rsidRPr="002B4A69" w:rsidP="001F04EE" w14:paraId="7D50F3E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5A91545" w14:textId="77777777">
      <w:pPr>
        <w:pStyle w:val="NormalBold"/>
      </w:pPr>
      <w:r w:rsidRPr="002B4A69">
        <w:rPr>
          <w:rStyle w:val="HideTWBExt"/>
          <w:b w:val="0"/>
        </w:rPr>
        <w:t>&lt;Article&gt;</w:t>
      </w:r>
      <w:r w:rsidRPr="002B4A69">
        <w:t>Recital 69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85C86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2A1CEC2" w14:textId="77777777">
            <w:pPr>
              <w:keepNext/>
            </w:pPr>
          </w:p>
        </w:tc>
      </w:tr>
      <w:tr w14:paraId="1C848F7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B65449F" w14:textId="77777777">
            <w:pPr>
              <w:pStyle w:val="ColumnHeading"/>
              <w:keepNext/>
              <w:rPr>
                <w:lang w:val="en-GB"/>
              </w:rPr>
            </w:pPr>
            <w:r w:rsidRPr="002B4A69">
              <w:rPr>
                <w:lang w:val="en-GB"/>
              </w:rPr>
              <w:t>Text proposed by the Commission</w:t>
            </w:r>
          </w:p>
        </w:tc>
        <w:tc>
          <w:tcPr>
            <w:tcW w:w="4876" w:type="dxa"/>
          </w:tcPr>
          <w:p w:rsidR="001F04EE" w:rsidRPr="002B4A69" w:rsidP="00723F81" w14:paraId="07066CB2" w14:textId="77777777">
            <w:pPr>
              <w:pStyle w:val="ColumnHeading"/>
              <w:keepNext/>
              <w:rPr>
                <w:lang w:val="en-GB"/>
              </w:rPr>
            </w:pPr>
            <w:r w:rsidRPr="002B4A69">
              <w:rPr>
                <w:lang w:val="en-GB"/>
              </w:rPr>
              <w:t>Amendment</w:t>
            </w:r>
          </w:p>
        </w:tc>
      </w:tr>
      <w:tr w14:paraId="330B760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481189C" w14:textId="77777777">
            <w:pPr>
              <w:pStyle w:val="Normal6"/>
              <w:rPr>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w:t>
            </w:r>
            <w:r w:rsidRPr="002B4A69">
              <w:rPr>
                <w:b/>
                <w:i/>
                <w:lang w:val="en-GB"/>
              </w:rPr>
              <w:t>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in those cases where</w:t>
            </w:r>
            <w:r w:rsidRPr="002B4A69">
              <w:rPr>
                <w:lang w:val="en-GB"/>
              </w:rPr>
              <w:t xml:space="preserv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w:t>
            </w:r>
            <w:r w:rsidRPr="002B4A69">
              <w:rPr>
                <w:lang w:val="en-GB"/>
              </w:rPr>
              <w:t>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c>
          <w:tcPr>
            <w:tcW w:w="4876" w:type="dxa"/>
          </w:tcPr>
          <w:p w:rsidR="001F04EE" w:rsidRPr="002B4A69" w:rsidP="00723F81" w14:paraId="0799D19F" w14:textId="77777777">
            <w:pPr>
              <w:pStyle w:val="Normal6"/>
              <w:rPr>
                <w:szCs w:val="24"/>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w:t>
            </w:r>
            <w:r w:rsidRPr="002B4A69">
              <w:rPr>
                <w:lang w:val="en-GB"/>
              </w:rPr>
              <w:t>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r>
    </w:tbl>
    <w:p w:rsidR="001F04EE" w:rsidRPr="002B4A69" w:rsidP="001F04EE" w14:paraId="59BC16B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FC0C726" w14:textId="77777777">
      <w:r w:rsidRPr="002B4A69">
        <w:rPr>
          <w:rStyle w:val="HideTWBExt"/>
        </w:rPr>
        <w:t>&lt;/Amend&gt;</w:t>
      </w:r>
    </w:p>
    <w:p w:rsidR="001F04EE" w:rsidRPr="002B4A69" w:rsidP="001F04EE" w14:paraId="4EC1800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519</w:t>
      </w:r>
      <w:r w:rsidRPr="002B4A69">
        <w:rPr>
          <w:rStyle w:val="HideTWBExt"/>
          <w:b w:val="0"/>
          <w:lang w:val="en-GB"/>
        </w:rPr>
        <w:t>&lt;/NumAm&gt;</w:t>
      </w:r>
    </w:p>
    <w:p w:rsidR="001F04EE" w:rsidRPr="002B4A69" w:rsidP="001F04EE" w14:paraId="7058E880"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1DDC688B" w14:textId="77777777">
      <w:r w:rsidRPr="002B4A69">
        <w:rPr>
          <w:rStyle w:val="HideTWBExt"/>
        </w:rPr>
        <w:t>&lt;/RepeatBlock-By&gt;</w:t>
      </w:r>
    </w:p>
    <w:p w:rsidR="001F04EE" w:rsidRPr="002B4A69" w:rsidP="001F04EE" w14:paraId="2BA361A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5E6369C" w14:textId="77777777">
      <w:pPr>
        <w:pStyle w:val="NormalBold"/>
      </w:pPr>
      <w:r w:rsidRPr="002B4A69">
        <w:rPr>
          <w:rStyle w:val="HideTWBExt"/>
          <w:b w:val="0"/>
        </w:rPr>
        <w:t>&lt;Article&gt;</w:t>
      </w:r>
      <w:r w:rsidRPr="002B4A69">
        <w:t>Recital 69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6D435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BC9CA93" w14:textId="77777777">
            <w:pPr>
              <w:keepNext/>
            </w:pPr>
          </w:p>
        </w:tc>
      </w:tr>
      <w:tr w14:paraId="0F3E4C0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5BC5310" w14:textId="77777777">
            <w:pPr>
              <w:pStyle w:val="ColumnHeading"/>
              <w:keepNext/>
              <w:rPr>
                <w:lang w:val="en-GB"/>
              </w:rPr>
            </w:pPr>
            <w:r w:rsidRPr="002B4A69">
              <w:rPr>
                <w:lang w:val="en-GB"/>
              </w:rPr>
              <w:t>Text proposed by the Commission</w:t>
            </w:r>
          </w:p>
        </w:tc>
        <w:tc>
          <w:tcPr>
            <w:tcW w:w="4876" w:type="dxa"/>
          </w:tcPr>
          <w:p w:rsidR="001F04EE" w:rsidRPr="002B4A69" w:rsidP="00723F81" w14:paraId="04CB8873" w14:textId="77777777">
            <w:pPr>
              <w:pStyle w:val="ColumnHeading"/>
              <w:keepNext/>
              <w:rPr>
                <w:lang w:val="en-GB"/>
              </w:rPr>
            </w:pPr>
            <w:r w:rsidRPr="002B4A69">
              <w:rPr>
                <w:lang w:val="en-GB"/>
              </w:rPr>
              <w:t>Amendment</w:t>
            </w:r>
          </w:p>
        </w:tc>
      </w:tr>
      <w:tr w14:paraId="5E6BB97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F6FDAF" w14:textId="77777777">
            <w:pPr>
              <w:pStyle w:val="Normal6"/>
              <w:rPr>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w:t>
            </w:r>
            <w:r w:rsidRPr="002B4A69">
              <w:rPr>
                <w:lang w:val="en-GB"/>
              </w:rPr>
              <w:t xml:space="preserve">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w:t>
            </w:r>
            <w:r w:rsidRPr="002B4A69">
              <w:rPr>
                <w:b/>
                <w:i/>
                <w:lang w:val="en-GB"/>
              </w:rPr>
              <w:t>feedstocks. 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in those cases where</w:t>
            </w:r>
            <w:r w:rsidRPr="002B4A69">
              <w:rPr>
                <w:lang w:val="en-GB"/>
              </w:rPr>
              <w:t xml:space="preserv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w:t>
            </w:r>
            <w:r w:rsidRPr="002B4A69">
              <w:rPr>
                <w:lang w:val="en-GB"/>
              </w:rPr>
              <w:t>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c>
          <w:tcPr>
            <w:tcW w:w="4876" w:type="dxa"/>
          </w:tcPr>
          <w:p w:rsidR="001F04EE" w:rsidRPr="002B4A69" w:rsidP="00723F81" w14:paraId="156F0050" w14:textId="77777777">
            <w:pPr>
              <w:pStyle w:val="Normal6"/>
              <w:rPr>
                <w:szCs w:val="24"/>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w:t>
            </w:r>
            <w:r w:rsidRPr="002B4A69">
              <w:rPr>
                <w:lang w:val="en-GB"/>
              </w:rPr>
              <w:t xml:space="preserve">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w:t>
            </w:r>
            <w:r w:rsidRPr="002B4A69">
              <w:rPr>
                <w:b/>
                <w:i/>
                <w:lang w:val="en-GB"/>
              </w:rPr>
              <w:t>feedstocks.Where</w:t>
            </w:r>
            <w:r w:rsidRPr="002B4A69">
              <w:rPr>
                <w:lang w:val="en-GB"/>
              </w:rPr>
              <w:t xml:space="preserv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w:t>
            </w:r>
            <w:r w:rsidRPr="002B4A69">
              <w:rPr>
                <w:lang w:val="en-GB"/>
              </w:rPr>
              <w:t>to establish de minimis thresholds for the risk of remission outside of the EU ETS and may introduce measures, such as partial surrender requirements, to address cases where the near threshold is exceeded.</w:t>
            </w:r>
          </w:p>
        </w:tc>
      </w:tr>
    </w:tbl>
    <w:p w:rsidR="001F04EE" w:rsidRPr="002B4A69" w:rsidP="001F04EE" w14:paraId="65B6806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5694437" w14:textId="77777777">
      <w:r w:rsidRPr="002B4A69">
        <w:rPr>
          <w:rStyle w:val="HideTWBExt"/>
        </w:rPr>
        <w:t>&lt;/Amend&gt;</w:t>
      </w:r>
    </w:p>
    <w:p w:rsidR="001F04EE" w:rsidRPr="002B4A69" w:rsidP="001F04EE" w14:paraId="2912941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520</w:t>
      </w:r>
      <w:r w:rsidRPr="002B4A69">
        <w:rPr>
          <w:rStyle w:val="HideTWBExt"/>
          <w:b w:val="0"/>
          <w:lang w:val="en-GB"/>
        </w:rPr>
        <w:t>&lt;/NumAm&gt;</w:t>
      </w:r>
    </w:p>
    <w:p w:rsidR="001F04EE" w:rsidRPr="002B4A69" w:rsidP="001F04EE" w14:paraId="48C7540D" w14:textId="77777777">
      <w:pPr>
        <w:pStyle w:val="NormalBold"/>
      </w:pPr>
      <w:r w:rsidRPr="002B4A69">
        <w:rPr>
          <w:rStyle w:val="HideTWBExt"/>
          <w:b w:val="0"/>
        </w:rPr>
        <w:t>&lt;RepeatBlock-By&gt;&lt;Members&gt;</w:t>
      </w:r>
      <w:r w:rsidRPr="002B4A69">
        <w:t>Silvia Sardone, Mathilde Androuët, Antonín Staněk, Marie-Luce Brasier-Clain, Susanna Ceccardi, Barbara Bonte</w:t>
      </w:r>
      <w:r w:rsidRPr="002B4A69">
        <w:rPr>
          <w:rStyle w:val="HideTWBExt"/>
          <w:b w:val="0"/>
        </w:rPr>
        <w:t>&lt;/Members&gt;</w:t>
      </w:r>
    </w:p>
    <w:p w:rsidR="001F04EE" w:rsidRPr="002B4A69" w:rsidP="001F04EE" w14:paraId="21F04493" w14:textId="77777777">
      <w:r w:rsidRPr="002B4A69">
        <w:rPr>
          <w:rStyle w:val="HideTWBExt"/>
        </w:rPr>
        <w:t>&lt;/RepeatBlock-By&gt;</w:t>
      </w:r>
    </w:p>
    <w:p w:rsidR="001F04EE" w:rsidRPr="002B4A69" w:rsidP="001F04EE" w14:paraId="19838AA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66BEF6E" w14:textId="77777777">
      <w:pPr>
        <w:pStyle w:val="NormalBold"/>
      </w:pPr>
      <w:r w:rsidRPr="002B4A69">
        <w:rPr>
          <w:rStyle w:val="HideTWBExt"/>
          <w:b w:val="0"/>
        </w:rPr>
        <w:t>&lt;Article&gt;</w:t>
      </w:r>
      <w:r w:rsidRPr="002B4A69">
        <w:t>Recital 69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69693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5CD2DF8" w14:textId="77777777">
            <w:pPr>
              <w:keepNext/>
            </w:pPr>
          </w:p>
        </w:tc>
      </w:tr>
      <w:tr w14:paraId="39B7258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5F67949" w14:textId="77777777">
            <w:pPr>
              <w:pStyle w:val="ColumnHeading"/>
              <w:keepNext/>
              <w:rPr>
                <w:lang w:val="en-GB"/>
              </w:rPr>
            </w:pPr>
            <w:r w:rsidRPr="002B4A69">
              <w:rPr>
                <w:lang w:val="en-GB"/>
              </w:rPr>
              <w:t>Text proposed by the Commission</w:t>
            </w:r>
          </w:p>
        </w:tc>
        <w:tc>
          <w:tcPr>
            <w:tcW w:w="4876" w:type="dxa"/>
          </w:tcPr>
          <w:p w:rsidR="001F04EE" w:rsidRPr="002B4A69" w:rsidP="00723F81" w14:paraId="6B97CD98" w14:textId="77777777">
            <w:pPr>
              <w:pStyle w:val="ColumnHeading"/>
              <w:keepNext/>
              <w:rPr>
                <w:lang w:val="en-GB"/>
              </w:rPr>
            </w:pPr>
            <w:r w:rsidRPr="002B4A69">
              <w:rPr>
                <w:lang w:val="en-GB"/>
              </w:rPr>
              <w:t>Amendment</w:t>
            </w:r>
          </w:p>
        </w:tc>
      </w:tr>
      <w:tr w14:paraId="2A1564E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2274F56" w14:textId="77777777">
            <w:pPr>
              <w:pStyle w:val="Normal6"/>
              <w:rPr>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w:t>
            </w:r>
            <w:r w:rsidRPr="002B4A69">
              <w:rPr>
                <w:b/>
                <w:i/>
                <w:lang w:val="en-GB"/>
              </w:rPr>
              <w:t xml:space="preserve">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w:t>
            </w:r>
            <w:r w:rsidRPr="002B4A69">
              <w:rPr>
                <w:b/>
                <w:i/>
                <w:lang w:val="en-GB"/>
              </w:rPr>
              <w:t>in those cases</w:t>
            </w:r>
            <w:r w:rsidRPr="002B4A69">
              <w:rPr>
                <w:lang w:val="en-GB"/>
              </w:rPr>
              <w:t xml:space="preserve">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c>
          <w:tcPr>
            <w:tcW w:w="4876" w:type="dxa"/>
          </w:tcPr>
          <w:p w:rsidR="001F04EE" w:rsidRPr="002B4A69" w:rsidP="00723F81" w14:paraId="791B5EEB" w14:textId="77777777">
            <w:pPr>
              <w:pStyle w:val="Normal6"/>
              <w:rPr>
                <w:szCs w:val="24"/>
                <w:lang w:val="en-GB"/>
              </w:rPr>
            </w:pPr>
            <w:r w:rsidRPr="002B4A69">
              <w:rPr>
                <w:lang w:val="en-GB"/>
              </w:rPr>
              <w:t>(69)</w:t>
            </w:r>
            <w:r w:rsidRPr="002B4A69">
              <w:rPr>
                <w:lang w:val="en-GB"/>
              </w:rPr>
              <w:tab/>
              <w:t>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w:t>
            </w:r>
            <w:r w:rsidRPr="002B4A69">
              <w:rPr>
                <w:lang w:val="en-GB"/>
              </w:rPr>
              <w:t>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r>
    </w:tbl>
    <w:p w:rsidR="001F04EE" w:rsidRPr="002B4A69" w:rsidP="001F04EE" w14:paraId="11CD557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D54F573" w14:textId="77777777">
      <w:r w:rsidRPr="002B4A69">
        <w:rPr>
          <w:rStyle w:val="HideTWBExt"/>
        </w:rPr>
        <w:t>&lt;/Amend&gt;</w:t>
      </w:r>
    </w:p>
    <w:p w:rsidR="001F04EE" w:rsidRPr="002B4A69" w:rsidP="001F04EE" w14:paraId="0F25A1E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521</w:t>
      </w:r>
      <w:r w:rsidRPr="002B4A69">
        <w:rPr>
          <w:rStyle w:val="HideTWBExt"/>
          <w:b w:val="0"/>
          <w:lang w:val="en-GB"/>
        </w:rPr>
        <w:t>&lt;/NumAm&gt;</w:t>
      </w:r>
    </w:p>
    <w:p w:rsidR="001F04EE" w:rsidRPr="002B4A69" w:rsidP="001F04EE" w14:paraId="31C04BB8"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3925ABE9"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7540C9DB"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518CC9F3" w14:textId="77777777">
      <w:r w:rsidRPr="002B4A69">
        <w:rPr>
          <w:rStyle w:val="HideTWBExt"/>
        </w:rPr>
        <w:t>&lt;/RepeatBlock-By&gt;</w:t>
      </w:r>
    </w:p>
    <w:p w:rsidR="001F04EE" w:rsidRPr="002B4A69" w:rsidP="001F04EE" w14:paraId="212C3EA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96B67AD" w14:textId="77777777">
      <w:pPr>
        <w:pStyle w:val="NormalBold"/>
      </w:pPr>
      <w:r w:rsidRPr="002B4A69">
        <w:rPr>
          <w:rStyle w:val="HideTWBExt"/>
          <w:b w:val="0"/>
        </w:rPr>
        <w:t>&lt;Article&gt;</w:t>
      </w:r>
      <w:r w:rsidRPr="002B4A69">
        <w:t>Recital 69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283CC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87532BC" w14:textId="77777777">
            <w:pPr>
              <w:keepNext/>
            </w:pPr>
          </w:p>
        </w:tc>
      </w:tr>
      <w:tr w14:paraId="79CE566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9B14A87" w14:textId="77777777">
            <w:pPr>
              <w:pStyle w:val="ColumnHeading"/>
              <w:keepNext/>
              <w:rPr>
                <w:lang w:val="en-GB"/>
              </w:rPr>
            </w:pPr>
            <w:r w:rsidRPr="002B4A69">
              <w:rPr>
                <w:lang w:val="en-GB"/>
              </w:rPr>
              <w:t>Text proposed by the Commission</w:t>
            </w:r>
          </w:p>
        </w:tc>
        <w:tc>
          <w:tcPr>
            <w:tcW w:w="4876" w:type="dxa"/>
          </w:tcPr>
          <w:p w:rsidR="001F04EE" w:rsidRPr="002B4A69" w:rsidP="00723F81" w14:paraId="518516F3" w14:textId="77777777">
            <w:pPr>
              <w:pStyle w:val="ColumnHeading"/>
              <w:keepNext/>
              <w:rPr>
                <w:lang w:val="en-GB"/>
              </w:rPr>
            </w:pPr>
            <w:r w:rsidRPr="002B4A69">
              <w:rPr>
                <w:lang w:val="en-GB"/>
              </w:rPr>
              <w:t>Amendment</w:t>
            </w:r>
          </w:p>
        </w:tc>
      </w:tr>
      <w:tr w14:paraId="3F61BD1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BD64785" w14:textId="77777777">
            <w:pPr>
              <w:pStyle w:val="Normal6"/>
              <w:rPr>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w:t>
            </w:r>
            <w:r w:rsidRPr="002B4A69">
              <w:rPr>
                <w:b/>
                <w:i/>
                <w:lang w:val="en-GB"/>
              </w:rPr>
              <w:t>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in those cases</w:t>
            </w:r>
            <w:r w:rsidRPr="002B4A69">
              <w:rPr>
                <w:lang w:val="en-GB"/>
              </w:rPr>
              <w:t xml:space="preserve">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w:t>
            </w:r>
            <w:r w:rsidRPr="002B4A69">
              <w:rPr>
                <w:lang w:val="en-GB"/>
              </w:rPr>
              <w:t>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c>
          <w:tcPr>
            <w:tcW w:w="4876" w:type="dxa"/>
          </w:tcPr>
          <w:p w:rsidR="001F04EE" w:rsidRPr="002B4A69" w:rsidP="00723F81" w14:paraId="6682B4DF" w14:textId="77777777">
            <w:pPr>
              <w:pStyle w:val="Normal6"/>
              <w:rPr>
                <w:szCs w:val="24"/>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w:t>
            </w:r>
            <w:r w:rsidRPr="002B4A69">
              <w:rPr>
                <w:lang w:val="en-GB"/>
              </w:rPr>
              <w:t>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r>
    </w:tbl>
    <w:p w:rsidR="001F04EE" w:rsidRPr="002B4A69" w:rsidP="001F04EE" w14:paraId="239FA1F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E14C084"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3D2A6E9B" w14:textId="77777777">
      <w:pPr>
        <w:pStyle w:val="Normal12Italic"/>
        <w:rPr>
          <w:noProof w:val="0"/>
          <w:lang w:val="en-GB"/>
        </w:rPr>
      </w:pPr>
      <w:r w:rsidRPr="002B4A69">
        <w:rPr>
          <w:noProof w:val="0"/>
          <w:lang w:val="en-GB"/>
        </w:rPr>
        <w:t>The fact that Waste-to-Energy may be the point at which carbon embedded in a product is ultimately released does not justify making its operator liable under the EU ETS. Waste-to-Energy operators can monitor those emissions, but they cannot control the carbon content or design of the products they receive as residual waste. The point at which emissions are measured should not, by itself, determine who bears the surrender obligation. The recital should therefore not rely on the inclusion of waste incineration to justify the proposed downstream accounting approach.</w:t>
      </w:r>
    </w:p>
    <w:p w:rsidR="001F04EE" w:rsidRPr="002B4A69" w:rsidP="001F04EE" w14:paraId="1FE2044E" w14:textId="77777777">
      <w:r w:rsidRPr="002B4A69">
        <w:rPr>
          <w:rStyle w:val="HideTWBExt"/>
        </w:rPr>
        <w:t>&lt;/Amend&gt;</w:t>
      </w:r>
    </w:p>
    <w:p w:rsidR="001F04EE" w:rsidRPr="002B4A69" w:rsidP="001F04EE" w14:paraId="29B9044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522</w:t>
      </w:r>
      <w:r w:rsidRPr="002B4A69">
        <w:rPr>
          <w:rStyle w:val="HideTWBExt"/>
          <w:b w:val="0"/>
          <w:lang w:val="en-GB"/>
        </w:rPr>
        <w:t>&lt;/NumAm&gt;</w:t>
      </w:r>
    </w:p>
    <w:p w:rsidR="001F04EE" w:rsidRPr="002B4A69" w:rsidP="001F04EE" w14:paraId="39E695CD" w14:textId="77777777">
      <w:pPr>
        <w:pStyle w:val="NormalBold"/>
      </w:pPr>
      <w:r w:rsidRPr="002B4A69">
        <w:rPr>
          <w:rStyle w:val="HideTWBExt"/>
          <w:b w:val="0"/>
        </w:rPr>
        <w:t>&lt;RepeatBlock-By&gt;&lt;Members&gt;</w:t>
      </w:r>
      <w:r w:rsidRPr="002B4A69">
        <w:t>Ondřej Knotek, Jana Nagyová, Antonín Staněk, Viktória Ferenc</w:t>
      </w:r>
      <w:r w:rsidRPr="002B4A69">
        <w:rPr>
          <w:rStyle w:val="HideTWBExt"/>
          <w:b w:val="0"/>
        </w:rPr>
        <w:t>&lt;/Members&gt;</w:t>
      </w:r>
    </w:p>
    <w:p w:rsidR="001F04EE" w:rsidRPr="002B4A69" w:rsidP="001F04EE" w14:paraId="5E0DAA2B" w14:textId="77777777">
      <w:r w:rsidRPr="002B4A69">
        <w:rPr>
          <w:rStyle w:val="HideTWBExt"/>
        </w:rPr>
        <w:t>&lt;/RepeatBlock-By&gt;</w:t>
      </w:r>
    </w:p>
    <w:p w:rsidR="001F04EE" w:rsidRPr="002B4A69" w:rsidP="001F04EE" w14:paraId="4D46258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719F007" w14:textId="77777777">
      <w:pPr>
        <w:pStyle w:val="NormalBold"/>
      </w:pPr>
      <w:r w:rsidRPr="002B4A69">
        <w:rPr>
          <w:rStyle w:val="HideTWBExt"/>
          <w:b w:val="0"/>
        </w:rPr>
        <w:t>&lt;Article&gt;</w:t>
      </w:r>
      <w:r w:rsidRPr="002B4A69">
        <w:t>Recital 69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023FF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91A036D" w14:textId="77777777">
            <w:pPr>
              <w:keepNext/>
            </w:pPr>
          </w:p>
        </w:tc>
      </w:tr>
      <w:tr w14:paraId="7DED2A5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F5DD37C" w14:textId="77777777">
            <w:pPr>
              <w:pStyle w:val="ColumnHeading"/>
              <w:keepNext/>
              <w:rPr>
                <w:lang w:val="en-GB"/>
              </w:rPr>
            </w:pPr>
            <w:r w:rsidRPr="002B4A69">
              <w:rPr>
                <w:lang w:val="en-GB"/>
              </w:rPr>
              <w:t>Text proposed by the Commission</w:t>
            </w:r>
          </w:p>
        </w:tc>
        <w:tc>
          <w:tcPr>
            <w:tcW w:w="4876" w:type="dxa"/>
          </w:tcPr>
          <w:p w:rsidR="001F04EE" w:rsidRPr="002B4A69" w:rsidP="00723F81" w14:paraId="3D86F837" w14:textId="77777777">
            <w:pPr>
              <w:pStyle w:val="ColumnHeading"/>
              <w:keepNext/>
              <w:rPr>
                <w:lang w:val="en-GB"/>
              </w:rPr>
            </w:pPr>
            <w:r w:rsidRPr="002B4A69">
              <w:rPr>
                <w:lang w:val="en-GB"/>
              </w:rPr>
              <w:t>Amendment</w:t>
            </w:r>
          </w:p>
        </w:tc>
      </w:tr>
      <w:tr w14:paraId="6A813BC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E7E8668" w14:textId="77777777">
            <w:pPr>
              <w:pStyle w:val="Normal6"/>
              <w:rPr>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w:t>
            </w:r>
            <w:r w:rsidRPr="002B4A69">
              <w:rPr>
                <w:b/>
                <w:i/>
                <w:lang w:val="en-GB"/>
              </w:rPr>
              <w:t>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in those cases</w:t>
            </w:r>
            <w:r w:rsidRPr="002B4A69">
              <w:rPr>
                <w:lang w:val="en-GB"/>
              </w:rPr>
              <w:t xml:space="preserve">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w:t>
            </w:r>
            <w:r w:rsidRPr="002B4A69">
              <w:rPr>
                <w:lang w:val="en-GB"/>
              </w:rPr>
              <w:t>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c>
          <w:tcPr>
            <w:tcW w:w="4876" w:type="dxa"/>
          </w:tcPr>
          <w:p w:rsidR="001F04EE" w:rsidRPr="002B4A69" w:rsidP="00723F81" w14:paraId="26F6F0D1" w14:textId="77777777">
            <w:pPr>
              <w:pStyle w:val="Normal6"/>
              <w:rPr>
                <w:szCs w:val="24"/>
                <w:lang w:val="en-GB"/>
              </w:rPr>
            </w:pPr>
            <w:r w:rsidRPr="002B4A69">
              <w:rPr>
                <w:lang w:val="en-GB"/>
              </w:rPr>
              <w:t>(69)</w:t>
            </w:r>
            <w:r w:rsidRPr="002B4A69">
              <w:rPr>
                <w:lang w:val="en-GB"/>
              </w:rPr>
              <w:tab/>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does not contribute to achieving the objectives of the EU’s Industrial Carbon Management strategy, which seeks to scale up CCU as a key decarbonisation pathway for hard-to-abate sectors like cement, steel, and chemicals and to ensure the availability of alternative carbon feedstocks.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Conversely, when CO₂ is used directly without binding its carbon chemically in a product, it should continue to be accounted upstream at the point of capture as the eventual release of that CO₂ will take place outside of the EU ETS, in agri-food, pharmaceuticals, fire extinguishers or other similar applications. The point of accounting of captured carbon embedded in synthetic fuels should take place when these are distributed (midstream), instead of at point of combustion of synthetic fuels in industrial facilities or in the transport sector. To ensure complete coverage of all carbon dioxide emissions of the carbon capture and utilisation chain, the ETS scope should </w:t>
            </w:r>
            <w:r w:rsidRPr="002B4A69">
              <w:rPr>
                <w:lang w:val="en-GB"/>
              </w:rPr>
              <w:t>be extended to the capture of carbon for use, captured carbon processing, liquefaction and similar services, and the transport of captured carbon for use, except for CO₂ for direct utilisation The Commission should be empowered to establish a list of those CCU applications from which the carbon is expected to be re-emitted in activities already covered by the ETS. In addition, the permanent capture of carbon dioxide in physical objects that are not products, should also be recognised. Due to the uncertainty regarding the end-of-life treatment each of type of utilisation, the Commission should also be empowered to establish de minimis thresholds for the risk of remission outside of the EU ETS and may introduce measures, such as partial surrender requirements, to address cases where the near threshold is exceeded.</w:t>
            </w:r>
          </w:p>
        </w:tc>
      </w:tr>
    </w:tbl>
    <w:p w:rsidR="001F04EE" w:rsidRPr="002B4A69" w:rsidP="001F04EE" w14:paraId="7ADED71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1EEAE73" w14:textId="77777777">
      <w:r w:rsidRPr="002B4A69">
        <w:rPr>
          <w:rStyle w:val="HideTWBExt"/>
        </w:rPr>
        <w:t>&lt;/Amend&gt;</w:t>
      </w:r>
    </w:p>
    <w:p w:rsidR="001F04EE" w:rsidRPr="002B4A69" w:rsidP="001F04EE" w14:paraId="79564F2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523</w:t>
      </w:r>
      <w:r w:rsidRPr="002B4A69">
        <w:rPr>
          <w:rStyle w:val="HideTWBExt"/>
          <w:b w:val="0"/>
          <w:lang w:val="en-GB"/>
        </w:rPr>
        <w:t>&lt;/NumAm&gt;</w:t>
      </w:r>
    </w:p>
    <w:p w:rsidR="001F04EE" w:rsidRPr="002B4A69" w:rsidP="001F04EE" w14:paraId="7F2724B7" w14:textId="77777777">
      <w:pPr>
        <w:pStyle w:val="NormalBold"/>
      </w:pPr>
      <w:r w:rsidRPr="002B4A69">
        <w:rPr>
          <w:rStyle w:val="HideTWBExt"/>
          <w:b w:val="0"/>
        </w:rPr>
        <w:t>&lt;RepeatBlock-By&gt;&lt;Members&gt;</w:t>
      </w:r>
      <w:r w:rsidRPr="002B4A69">
        <w:t>Sérgio Humberto, Paulo do Nascimento Cabral, Paulo Cunha, Lídia Pereira</w:t>
      </w:r>
      <w:r w:rsidRPr="002B4A69">
        <w:rPr>
          <w:rStyle w:val="HideTWBExt"/>
          <w:b w:val="0"/>
        </w:rPr>
        <w:t>&lt;/Members&gt;</w:t>
      </w:r>
    </w:p>
    <w:p w:rsidR="001F04EE" w:rsidRPr="002B4A69" w:rsidP="001F04EE" w14:paraId="1BB87E70" w14:textId="77777777">
      <w:r w:rsidRPr="002B4A69">
        <w:rPr>
          <w:rStyle w:val="HideTWBExt"/>
        </w:rPr>
        <w:t>&lt;/RepeatBlock-By&gt;</w:t>
      </w:r>
    </w:p>
    <w:p w:rsidR="001F04EE" w:rsidRPr="002B4A69" w:rsidP="001F04EE" w14:paraId="0FD74F34"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206406D" w14:textId="77777777">
      <w:pPr>
        <w:pStyle w:val="NormalBold"/>
      </w:pPr>
      <w:r w:rsidRPr="002B4A69">
        <w:rPr>
          <w:rStyle w:val="HideTWBExt"/>
          <w:b w:val="0"/>
        </w:rPr>
        <w:t>&lt;Article&gt;</w:t>
      </w:r>
      <w:r w:rsidRPr="002B4A69">
        <w:t>Recital 69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8ED9B5"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4E27AD3" w14:textId="77777777">
            <w:pPr>
              <w:keepNext/>
            </w:pPr>
          </w:p>
        </w:tc>
      </w:tr>
      <w:tr w14:paraId="1D87393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6429B30" w14:textId="77777777">
            <w:pPr>
              <w:pStyle w:val="ColumnHeading"/>
              <w:keepNext/>
              <w:rPr>
                <w:lang w:val="en-GB"/>
              </w:rPr>
            </w:pPr>
            <w:r w:rsidRPr="002B4A69">
              <w:rPr>
                <w:lang w:val="en-GB"/>
              </w:rPr>
              <w:t>Text proposed by the Commission</w:t>
            </w:r>
          </w:p>
        </w:tc>
        <w:tc>
          <w:tcPr>
            <w:tcW w:w="4876" w:type="dxa"/>
          </w:tcPr>
          <w:p w:rsidR="001F04EE" w:rsidRPr="002B4A69" w:rsidP="00723F81" w14:paraId="7448879B" w14:textId="77777777">
            <w:pPr>
              <w:pStyle w:val="ColumnHeading"/>
              <w:keepNext/>
              <w:rPr>
                <w:lang w:val="en-GB"/>
              </w:rPr>
            </w:pPr>
            <w:r w:rsidRPr="002B4A69">
              <w:rPr>
                <w:lang w:val="en-GB"/>
              </w:rPr>
              <w:t>Amendment</w:t>
            </w:r>
          </w:p>
        </w:tc>
      </w:tr>
      <w:tr w14:paraId="587BF7C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7AB198B" w14:textId="77777777">
            <w:pPr>
              <w:pStyle w:val="Normal6"/>
              <w:rPr>
                <w:lang w:val="en-GB"/>
              </w:rPr>
            </w:pPr>
          </w:p>
        </w:tc>
        <w:tc>
          <w:tcPr>
            <w:tcW w:w="4876" w:type="dxa"/>
          </w:tcPr>
          <w:p w:rsidR="001F04EE" w:rsidRPr="002B4A69" w:rsidP="00723F81" w14:paraId="29FFE188" w14:textId="77777777">
            <w:pPr>
              <w:pStyle w:val="Normal6"/>
              <w:rPr>
                <w:szCs w:val="24"/>
                <w:lang w:val="en-GB"/>
              </w:rPr>
            </w:pPr>
            <w:r w:rsidRPr="002B4A69">
              <w:rPr>
                <w:b/>
                <w:i/>
                <w:lang w:val="en-GB"/>
              </w:rPr>
              <w:t>(69a)</w:t>
            </w:r>
            <w:r w:rsidRPr="002B4A69">
              <w:rPr>
                <w:b/>
                <w:i/>
                <w:lang w:val="en-GB"/>
              </w:rPr>
              <w:tab/>
              <w:t xml:space="preserve">The scope of extended producer responsibility should provide a framework such that the costs incurred by the operators of waste incineration and co-incineration installations are transferred to the original producers of the waste or the current and previous waste holders, in accordance with the polluter-pays </w:t>
            </w:r>
            <w:r w:rsidRPr="002B4A69">
              <w:rPr>
                <w:b/>
                <w:i/>
                <w:lang w:val="en-GB"/>
              </w:rPr>
              <w:t xml:space="preserve">principle laid down in Article 14(1) of Directive 2008/98/EC. Changes to the obligations incumbent on operators under this Directive may constitute grounds for revising the prices of waste management contracts concluded prior to the entry into force of this Directive. The Commission should put forward a proposal to ensure that the costs arising from the surrendering of allowances in respect of fossil carbon in non-recycled waste are transferred to the producers that make the relevant products available on the Union market, through the extended producer responsibility regimes established in accordance with Articles 8 and 8a of Directive 2008/98/EC. The scope of extended producer responsibility should provide a framework such that the costs incurred by the operators of waste incineration and co-incineration installations are transferred to the original producers of the waste or the current and previous waste holders, in accordance with the polluter-pays principle laid down in Article 14(1) of Directive 2008/98/EC. Changes to the obligations incumbent on operators under this Directive may constitute grounds for revising the prices of waste management contracts concluded prior to the entry into force of this Directive, including contracts that fall within the scope of Directive 2014/24/EU, in accordance with Article 72(1)(c) thereof. In the near future, the Commission should put forward a proposal to ensure that the costs arising from the surrendering of allowances in respect of fossil carbon in non-recycled waste are transferred to the producers that make the relevant products available on the Union market, through the extended producer responsibility regimes established in accordance with Articles 8 and 8a of Directive 2008/98/EC. When drawing up this proposal, the Commission should assess whether the mechanism should also apply to products containing fossil carbon that are not </w:t>
            </w:r>
            <w:r w:rsidRPr="002B4A69">
              <w:rPr>
                <w:b/>
                <w:i/>
                <w:lang w:val="en-GB"/>
              </w:rPr>
              <w:t>covered by an extended producer responsibility regime and which account for a significant proportion of the fossil carbon contained in non-recycled waste, to be determined on the basis of an analysis of the composition of such waste.</w:t>
            </w:r>
          </w:p>
        </w:tc>
      </w:tr>
    </w:tbl>
    <w:p w:rsidR="001F04EE" w:rsidRPr="002B4A69" w:rsidP="001F04EE" w14:paraId="26DE1B5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{PT}</w:t>
      </w:r>
      <w:r w:rsidRPr="002B4A69">
        <w:rPr>
          <w:noProof w:val="0"/>
          <w:lang w:val="en-GB"/>
        </w:rPr>
        <w:t>pt</w:t>
      </w:r>
      <w:r w:rsidRPr="002B4A69">
        <w:rPr>
          <w:rStyle w:val="HideTWBExt"/>
          <w:lang w:val="en-GB"/>
        </w:rPr>
        <w:t>&lt;/Original&gt;</w:t>
      </w:r>
    </w:p>
    <w:p w:rsidR="001F04EE" w:rsidRPr="002B4A69" w:rsidP="001F04EE" w14:paraId="31CB7DFF" w14:textId="77777777">
      <w:pPr>
        <w:pStyle w:val="JustificationTitle"/>
        <w:rPr>
          <w:noProof w:val="0"/>
          <w:lang w:val="en-GB"/>
        </w:rPr>
      </w:pPr>
      <w:r w:rsidRPr="002B4A69">
        <w:rPr>
          <w:rStyle w:val="HideTWBExt"/>
          <w:i w:val="0"/>
          <w:lang w:val="en-GB"/>
        </w:rPr>
        <w:t>&lt;TitreJust&gt;</w:t>
      </w:r>
      <w:r w:rsidRPr="002B4A69">
        <w:rPr>
          <w:lang w:val="en-GB"/>
        </w:rPr>
        <w:t>Justification</w:t>
      </w:r>
      <w:r w:rsidRPr="002B4A69">
        <w:rPr>
          <w:rStyle w:val="HideTWBExt"/>
          <w:i w:val="0"/>
          <w:lang w:val="en-GB"/>
        </w:rPr>
        <w:t>&lt;/TitreJust&gt;</w:t>
      </w:r>
    </w:p>
    <w:p w:rsidR="001F04EE" w:rsidRPr="002B4A69" w:rsidP="001F04EE" w14:paraId="66AD6B9D" w14:textId="77777777">
      <w:pPr>
        <w:pStyle w:val="Normal12Italic"/>
        <w:rPr>
          <w:noProof w:val="0"/>
          <w:lang w:val="en-GB"/>
        </w:rPr>
      </w:pPr>
      <w:r w:rsidRPr="002B4A69">
        <w:rPr>
          <w:lang w:val="en-GB"/>
        </w:rPr>
        <w:t>Making waste incineration part of the EU ETS should not mean that municipalities or individuals bear a direct financial burden through higher municipal waste collection costs. In strict accordance with the polluter-pays principle, the fossil carbon levy should be passed up the value chain to the industrial producers that make non-recyclable packaging and plastics available on the Union market.</w:t>
      </w:r>
    </w:p>
    <w:p w:rsidR="001F04EE" w:rsidRPr="002B4A69" w:rsidP="001F04EE" w14:paraId="260646EB" w14:textId="77777777">
      <w:r w:rsidRPr="002B4A69">
        <w:rPr>
          <w:rStyle w:val="HideTWBExt"/>
        </w:rPr>
        <w:t>&lt;/Amend&gt;</w:t>
      </w:r>
    </w:p>
    <w:p w:rsidR="001F04EE" w:rsidRPr="002B4A69" w:rsidP="001F04EE" w14:paraId="2485356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524</w:t>
      </w:r>
      <w:r w:rsidRPr="002B4A69">
        <w:rPr>
          <w:rStyle w:val="HideTWBExt"/>
          <w:b w:val="0"/>
          <w:lang w:val="en-GB"/>
        </w:rPr>
        <w:t>&lt;/NumAm&gt;</w:t>
      </w:r>
    </w:p>
    <w:p w:rsidR="001F04EE" w:rsidRPr="002B4A69" w:rsidP="001F04EE" w14:paraId="255E95CC"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38A583BC" w14:textId="77777777">
      <w:r w:rsidRPr="002B4A69">
        <w:rPr>
          <w:rStyle w:val="HideTWBExt"/>
        </w:rPr>
        <w:t>&lt;/RepeatBlock-By&gt;</w:t>
      </w:r>
    </w:p>
    <w:p w:rsidR="001F04EE" w:rsidRPr="002B4A69" w:rsidP="001F04EE" w14:paraId="40BB87D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557BE1D"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CAABC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2254B68" w14:textId="77777777">
            <w:pPr>
              <w:keepNext/>
            </w:pPr>
          </w:p>
        </w:tc>
      </w:tr>
      <w:tr w14:paraId="6D47F4F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92CA05A" w14:textId="77777777">
            <w:pPr>
              <w:pStyle w:val="ColumnHeading"/>
              <w:keepNext/>
              <w:rPr>
                <w:lang w:val="en-GB"/>
              </w:rPr>
            </w:pPr>
            <w:r w:rsidRPr="002B4A69">
              <w:rPr>
                <w:lang w:val="en-GB"/>
              </w:rPr>
              <w:t>Text proposed by the Commission</w:t>
            </w:r>
          </w:p>
        </w:tc>
        <w:tc>
          <w:tcPr>
            <w:tcW w:w="4876" w:type="dxa"/>
          </w:tcPr>
          <w:p w:rsidR="001F04EE" w:rsidRPr="002B4A69" w:rsidP="00723F81" w14:paraId="601052DE" w14:textId="77777777">
            <w:pPr>
              <w:pStyle w:val="ColumnHeading"/>
              <w:keepNext/>
              <w:rPr>
                <w:lang w:val="en-GB"/>
              </w:rPr>
            </w:pPr>
            <w:r w:rsidRPr="002B4A69">
              <w:rPr>
                <w:lang w:val="en-GB"/>
              </w:rPr>
              <w:t>Amendment</w:t>
            </w:r>
          </w:p>
        </w:tc>
      </w:tr>
      <w:tr w14:paraId="48089FD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C8EDF7B" w14:textId="77777777">
            <w:pPr>
              <w:pStyle w:val="Normal6"/>
              <w:rPr>
                <w:lang w:val="en-GB"/>
              </w:rPr>
            </w:pPr>
            <w:r w:rsidRPr="002B4A69">
              <w:rPr>
                <w:b/>
                <w:i/>
                <w:lang w:val="en-GB"/>
              </w:rPr>
              <w:t>(70)</w:t>
            </w:r>
            <w:r w:rsidRPr="002B4A69">
              <w:rPr>
                <w:b/>
                <w:i/>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On the basis of</w:t>
            </w:r>
            <w:r w:rsidRPr="002B4A69">
              <w:rPr>
                <w:b/>
                <w:i/>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b/>
                <w:i/>
                <w:lang w:val="en-GB"/>
              </w:rPr>
              <w:t>…./..</w:t>
            </w:r>
            <w:r w:rsidRPr="002B4A69">
              <w:rPr>
                <w:b/>
                <w:i/>
                <w:lang w:val="en-GB"/>
              </w:rPr>
              <w:t xml:space="preserve">] of the </w:t>
            </w:r>
            <w:r w:rsidRPr="002B4A69">
              <w:rPr>
                <w:b/>
                <w:i/>
                <w:lang w:val="en-GB"/>
              </w:rPr>
              <w:t>European Parliament and of the Council Circular Economy Act</w:t>
            </w:r>
            <w:r w:rsidRPr="002B4A69">
              <w:rPr>
                <w:b/>
                <w:i/>
                <w:vertAlign w:val="superscript"/>
                <w:lang w:val="en-GB"/>
              </w:rPr>
              <w:t>26</w:t>
            </w:r>
            <w:r w:rsidRPr="002B4A69">
              <w:rPr>
                <w:lang w:val="en-GB"/>
              </w:rPr>
              <w:t xml:space="preserve"> </w:t>
            </w:r>
            <w:r w:rsidRPr="002B4A69">
              <w:rPr>
                <w:b/>
                <w:i/>
                <w:lang w:val="en-GB"/>
              </w:rPr>
              <w:t>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102073D6" w14:textId="77777777">
            <w:pPr>
              <w:pStyle w:val="Normal6"/>
              <w:rPr>
                <w:szCs w:val="24"/>
                <w:lang w:val="en-GB"/>
              </w:rPr>
            </w:pPr>
            <w:r w:rsidRPr="002B4A69">
              <w:rPr>
                <w:b/>
                <w:i/>
                <w:lang w:val="en-GB"/>
              </w:rPr>
              <w:t>deleted</w:t>
            </w:r>
          </w:p>
        </w:tc>
      </w:tr>
      <w:tr w14:paraId="7E25CDD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DE93023" w14:textId="77777777">
            <w:pPr>
              <w:pStyle w:val="Normal6"/>
              <w:rPr>
                <w:lang w:val="en-GB"/>
              </w:rPr>
            </w:pPr>
            <w:r w:rsidRPr="002B4A69">
              <w:rPr>
                <w:b/>
                <w:i/>
                <w:lang w:val="en-GB"/>
              </w:rPr>
              <w:t>__________________</w:t>
            </w:r>
          </w:p>
        </w:tc>
        <w:tc>
          <w:tcPr>
            <w:tcW w:w="4876" w:type="dxa"/>
          </w:tcPr>
          <w:p w:rsidR="001F04EE" w:rsidRPr="002B4A69" w:rsidP="00723F81" w14:paraId="45E85C32" w14:textId="77777777">
            <w:pPr>
              <w:pStyle w:val="Normal6"/>
              <w:rPr>
                <w:szCs w:val="24"/>
                <w:lang w:val="en-GB"/>
              </w:rPr>
            </w:pPr>
          </w:p>
        </w:tc>
      </w:tr>
      <w:tr w14:paraId="16EDC20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B55BB19" w14:textId="77777777">
            <w:pPr>
              <w:pStyle w:val="Normal6"/>
              <w:rPr>
                <w:lang w:val="en-GB"/>
              </w:rPr>
            </w:pPr>
            <w:r w:rsidRPr="002B4A69">
              <w:rPr>
                <w:b/>
                <w:i/>
                <w:vertAlign w:val="superscript"/>
                <w:lang w:val="en-GB"/>
              </w:rPr>
              <w:t>26</w:t>
            </w:r>
            <w:r w:rsidRPr="002B4A69">
              <w:rPr>
                <w:lang w:val="en-GB"/>
              </w:rPr>
              <w:t xml:space="preserve"> </w:t>
            </w:r>
            <w:r w:rsidRPr="002B4A69">
              <w:rPr>
                <w:b/>
                <w:i/>
                <w:lang w:val="en-GB"/>
              </w:rPr>
              <w:t>[OJ reference to be added once adopted].</w:t>
            </w:r>
          </w:p>
        </w:tc>
        <w:tc>
          <w:tcPr>
            <w:tcW w:w="4876" w:type="dxa"/>
          </w:tcPr>
          <w:p w:rsidR="001F04EE" w:rsidRPr="002B4A69" w:rsidP="00723F81" w14:paraId="72F75E68" w14:textId="77777777">
            <w:pPr>
              <w:pStyle w:val="Normal6"/>
              <w:rPr>
                <w:szCs w:val="24"/>
                <w:lang w:val="en-GB"/>
              </w:rPr>
            </w:pPr>
          </w:p>
        </w:tc>
      </w:tr>
    </w:tbl>
    <w:p w:rsidR="001F04EE" w:rsidRPr="002B4A69" w:rsidP="001F04EE" w14:paraId="3A3A59B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B91B2E0" w14:textId="77777777">
      <w:r w:rsidRPr="002B4A69">
        <w:rPr>
          <w:rStyle w:val="HideTWBExt"/>
        </w:rPr>
        <w:t>&lt;/Amend&gt;</w:t>
      </w:r>
    </w:p>
    <w:p w:rsidR="001F04EE" w:rsidRPr="002B4A69" w:rsidP="001F04EE" w14:paraId="5A4713F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525</w:t>
      </w:r>
      <w:r w:rsidRPr="002B4A69">
        <w:rPr>
          <w:rStyle w:val="HideTWBExt"/>
          <w:b w:val="0"/>
          <w:lang w:val="en-GB"/>
        </w:rPr>
        <w:t>&lt;/NumAm&gt;</w:t>
      </w:r>
    </w:p>
    <w:p w:rsidR="001F04EE" w:rsidRPr="002B4A69" w:rsidP="001F04EE" w14:paraId="73D698B0"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0AAC9898"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1A66AE0D"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702FF05A" w14:textId="77777777">
      <w:r w:rsidRPr="002B4A69">
        <w:rPr>
          <w:rStyle w:val="HideTWBExt"/>
        </w:rPr>
        <w:t>&lt;/RepeatBlock-By&gt;</w:t>
      </w:r>
    </w:p>
    <w:p w:rsidR="001F04EE" w:rsidRPr="002B4A69" w:rsidP="001F04EE" w14:paraId="7A249F6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A045C94"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2B315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4608716" w14:textId="77777777">
            <w:pPr>
              <w:keepNext/>
            </w:pPr>
          </w:p>
        </w:tc>
      </w:tr>
      <w:tr w14:paraId="45D0C92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2114C26" w14:textId="77777777">
            <w:pPr>
              <w:pStyle w:val="ColumnHeading"/>
              <w:keepNext/>
              <w:rPr>
                <w:lang w:val="en-GB"/>
              </w:rPr>
            </w:pPr>
            <w:r w:rsidRPr="002B4A69">
              <w:rPr>
                <w:lang w:val="en-GB"/>
              </w:rPr>
              <w:t>Text proposed by the Commission</w:t>
            </w:r>
          </w:p>
        </w:tc>
        <w:tc>
          <w:tcPr>
            <w:tcW w:w="4876" w:type="dxa"/>
          </w:tcPr>
          <w:p w:rsidR="001F04EE" w:rsidRPr="002B4A69" w:rsidP="00723F81" w14:paraId="6CA30A58" w14:textId="77777777">
            <w:pPr>
              <w:pStyle w:val="ColumnHeading"/>
              <w:keepNext/>
              <w:rPr>
                <w:lang w:val="en-GB"/>
              </w:rPr>
            </w:pPr>
            <w:r w:rsidRPr="002B4A69">
              <w:rPr>
                <w:lang w:val="en-GB"/>
              </w:rPr>
              <w:t>Amendment</w:t>
            </w:r>
          </w:p>
        </w:tc>
      </w:tr>
      <w:tr w14:paraId="54631A8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C2DA2D" w14:textId="77777777">
            <w:pPr>
              <w:pStyle w:val="Normal6"/>
              <w:rPr>
                <w:lang w:val="en-GB"/>
              </w:rPr>
            </w:pPr>
            <w:r w:rsidRPr="002B4A69">
              <w:rPr>
                <w:b/>
                <w:i/>
                <w:lang w:val="en-GB"/>
              </w:rPr>
              <w:t>(70)</w:t>
            </w:r>
            <w:r w:rsidRPr="002B4A69">
              <w:rPr>
                <w:b/>
                <w:i/>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On the basis of</w:t>
            </w:r>
            <w:r w:rsidRPr="002B4A69">
              <w:rPr>
                <w:b/>
                <w:i/>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b/>
                <w:i/>
                <w:lang w:val="en-GB"/>
              </w:rPr>
              <w:t>…./..</w:t>
            </w:r>
            <w:r w:rsidRPr="002B4A69">
              <w:rPr>
                <w:b/>
                <w:i/>
                <w:lang w:val="en-GB"/>
              </w:rPr>
              <w:t>] of the European Parliament and of the Council Circular Economy Act</w:t>
            </w:r>
            <w:r w:rsidRPr="002B4A69">
              <w:rPr>
                <w:b/>
                <w:i/>
                <w:vertAlign w:val="superscript"/>
                <w:lang w:val="en-GB"/>
              </w:rPr>
              <w:t>26</w:t>
            </w:r>
            <w:r w:rsidRPr="002B4A69">
              <w:rPr>
                <w:lang w:val="en-GB"/>
              </w:rPr>
              <w:t xml:space="preserve"> </w:t>
            </w:r>
            <w:r w:rsidRPr="002B4A69">
              <w:rPr>
                <w:b/>
                <w:i/>
                <w:lang w:val="en-GB"/>
              </w:rPr>
              <w:t xml:space="preserve">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w:t>
            </w:r>
            <w:r w:rsidRPr="002B4A69">
              <w:rPr>
                <w:b/>
                <w:i/>
                <w:lang w:val="en-GB"/>
              </w:rPr>
              <w:t>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4F38E2D6" w14:textId="77777777">
            <w:pPr>
              <w:pStyle w:val="Normal6"/>
              <w:rPr>
                <w:szCs w:val="24"/>
                <w:lang w:val="en-GB"/>
              </w:rPr>
            </w:pPr>
            <w:r w:rsidRPr="002B4A69">
              <w:rPr>
                <w:b/>
                <w:i/>
                <w:lang w:val="en-GB"/>
              </w:rPr>
              <w:t>deleted</w:t>
            </w:r>
          </w:p>
        </w:tc>
      </w:tr>
      <w:tr w14:paraId="09BF785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8FED296" w14:textId="77777777">
            <w:pPr>
              <w:pStyle w:val="Normal6"/>
              <w:rPr>
                <w:lang w:val="en-GB"/>
              </w:rPr>
            </w:pPr>
            <w:r w:rsidRPr="002B4A69">
              <w:rPr>
                <w:b/>
                <w:i/>
                <w:lang w:val="en-GB"/>
              </w:rPr>
              <w:t>__________________</w:t>
            </w:r>
          </w:p>
        </w:tc>
        <w:tc>
          <w:tcPr>
            <w:tcW w:w="4876" w:type="dxa"/>
          </w:tcPr>
          <w:p w:rsidR="001F04EE" w:rsidRPr="002B4A69" w:rsidP="00723F81" w14:paraId="62E1C13F" w14:textId="77777777">
            <w:pPr>
              <w:pStyle w:val="Normal6"/>
              <w:rPr>
                <w:szCs w:val="24"/>
                <w:lang w:val="en-GB"/>
              </w:rPr>
            </w:pPr>
          </w:p>
        </w:tc>
      </w:tr>
      <w:tr w14:paraId="226F1F4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1793F89" w14:textId="77777777">
            <w:pPr>
              <w:pStyle w:val="Normal6"/>
              <w:rPr>
                <w:lang w:val="en-GB"/>
              </w:rPr>
            </w:pPr>
            <w:r w:rsidRPr="002B4A69">
              <w:rPr>
                <w:b/>
                <w:i/>
                <w:vertAlign w:val="superscript"/>
                <w:lang w:val="en-GB"/>
              </w:rPr>
              <w:t>26</w:t>
            </w:r>
            <w:r w:rsidRPr="002B4A69">
              <w:rPr>
                <w:lang w:val="en-GB"/>
              </w:rPr>
              <w:t xml:space="preserve"> </w:t>
            </w:r>
            <w:r w:rsidRPr="002B4A69">
              <w:rPr>
                <w:b/>
                <w:i/>
                <w:lang w:val="en-GB"/>
              </w:rPr>
              <w:t>[OJ reference to be added once adopted].</w:t>
            </w:r>
          </w:p>
        </w:tc>
        <w:tc>
          <w:tcPr>
            <w:tcW w:w="4876" w:type="dxa"/>
          </w:tcPr>
          <w:p w:rsidR="001F04EE" w:rsidRPr="002B4A69" w:rsidP="00723F81" w14:paraId="738723A3" w14:textId="77777777">
            <w:pPr>
              <w:pStyle w:val="Normal6"/>
              <w:rPr>
                <w:szCs w:val="24"/>
                <w:lang w:val="en-GB"/>
              </w:rPr>
            </w:pPr>
          </w:p>
        </w:tc>
      </w:tr>
    </w:tbl>
    <w:p w:rsidR="001F04EE" w:rsidRPr="002B4A69" w:rsidP="001F04EE" w14:paraId="1C0E979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6DB592B"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57F8BF7B" w14:textId="77777777">
      <w:pPr>
        <w:pStyle w:val="Normal12Italic"/>
        <w:rPr>
          <w:noProof w:val="0"/>
          <w:lang w:val="en-GB"/>
        </w:rPr>
      </w:pPr>
      <w:r w:rsidRPr="002B4A69">
        <w:rPr>
          <w:noProof w:val="0"/>
          <w:lang w:val="en-GB"/>
        </w:rPr>
        <w:t>Yet the fossil carbon content of residual waste is largely determined upstream by the products placed on the market, beyond Waste-to-Energy operators’ control. For non-recyclable waste and recycling rejects, operators cannot switch to a cleaner treatment route. Making Waste-to-Energy more expensive could instead favor landfilling, which would not face an equivalent surrender obligation. It could also weaken recycling, whose residual fractions require treatment, by increasing the cost with negative impact on households and businesses.</w:t>
      </w:r>
    </w:p>
    <w:p w:rsidR="001F04EE" w:rsidRPr="002B4A69" w:rsidP="001F04EE" w14:paraId="7CD6AB12" w14:textId="77777777">
      <w:r w:rsidRPr="002B4A69">
        <w:rPr>
          <w:rStyle w:val="HideTWBExt"/>
        </w:rPr>
        <w:t>&lt;/Amend&gt;</w:t>
      </w:r>
    </w:p>
    <w:p w:rsidR="001F04EE" w:rsidRPr="002B4A69" w:rsidP="001F04EE" w14:paraId="25B0515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526</w:t>
      </w:r>
      <w:r w:rsidRPr="002B4A69">
        <w:rPr>
          <w:rStyle w:val="HideTWBExt"/>
          <w:b w:val="0"/>
          <w:lang w:val="en-GB"/>
        </w:rPr>
        <w:t>&lt;/NumAm&gt;</w:t>
      </w:r>
    </w:p>
    <w:p w:rsidR="001F04EE" w:rsidRPr="002B4A69" w:rsidP="001F04EE" w14:paraId="782CB3FE"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6602051E" w14:textId="77777777">
      <w:r w:rsidRPr="002B4A69">
        <w:rPr>
          <w:rStyle w:val="HideTWBExt"/>
        </w:rPr>
        <w:t>&lt;/RepeatBlock-By&gt;</w:t>
      </w:r>
    </w:p>
    <w:p w:rsidR="001F04EE" w:rsidRPr="002B4A69" w:rsidP="001F04EE" w14:paraId="768B34D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5767631"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6BD20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CA1133D" w14:textId="77777777">
            <w:pPr>
              <w:keepNext/>
            </w:pPr>
          </w:p>
        </w:tc>
      </w:tr>
      <w:tr w14:paraId="51C5714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565C364" w14:textId="77777777">
            <w:pPr>
              <w:pStyle w:val="ColumnHeading"/>
              <w:keepNext/>
              <w:rPr>
                <w:lang w:val="en-GB"/>
              </w:rPr>
            </w:pPr>
            <w:r w:rsidRPr="002B4A69">
              <w:rPr>
                <w:lang w:val="en-GB"/>
              </w:rPr>
              <w:t>Text proposed by the Commission</w:t>
            </w:r>
          </w:p>
        </w:tc>
        <w:tc>
          <w:tcPr>
            <w:tcW w:w="4876" w:type="dxa"/>
          </w:tcPr>
          <w:p w:rsidR="001F04EE" w:rsidRPr="002B4A69" w:rsidP="00723F81" w14:paraId="0C05B38A" w14:textId="77777777">
            <w:pPr>
              <w:pStyle w:val="ColumnHeading"/>
              <w:keepNext/>
              <w:rPr>
                <w:lang w:val="en-GB"/>
              </w:rPr>
            </w:pPr>
            <w:r w:rsidRPr="002B4A69">
              <w:rPr>
                <w:lang w:val="en-GB"/>
              </w:rPr>
              <w:t>Amendment</w:t>
            </w:r>
          </w:p>
        </w:tc>
      </w:tr>
      <w:tr w14:paraId="2FEA7E2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E986B58" w14:textId="77777777">
            <w:pPr>
              <w:pStyle w:val="Normal6"/>
              <w:rPr>
                <w:lang w:val="en-GB"/>
              </w:rPr>
            </w:pPr>
            <w:r w:rsidRPr="002B4A69">
              <w:rPr>
                <w:b/>
                <w:i/>
                <w:lang w:val="en-GB"/>
              </w:rPr>
              <w:t>(70)</w:t>
            </w:r>
            <w:r w:rsidRPr="002B4A69">
              <w:rPr>
                <w:b/>
                <w:i/>
                <w:lang w:val="en-GB"/>
              </w:rPr>
              <w:tab/>
              <w:t xml:space="preserve">Emissions from municipal waste incineration installations are substantial and have been subject to a monitoring, </w:t>
            </w:r>
            <w:r w:rsidRPr="002B4A69">
              <w:rPr>
                <w:b/>
                <w:i/>
                <w:lang w:val="en-GB"/>
              </w:rPr>
              <w:t xml:space="preserve">reporting and verification obligation since 2024, with a requirement to assess by 31 July 2026 the feasibility of its full inclusion in the EU ETS. </w:t>
            </w:r>
            <w:r w:rsidRPr="002B4A69">
              <w:rPr>
                <w:b/>
                <w:i/>
                <w:lang w:val="en-GB"/>
              </w:rPr>
              <w:t>On the basis of</w:t>
            </w:r>
            <w:r w:rsidRPr="002B4A69">
              <w:rPr>
                <w:b/>
                <w:i/>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b/>
                <w:i/>
                <w:lang w:val="en-GB"/>
              </w:rPr>
              <w:t>…./..</w:t>
            </w:r>
            <w:r w:rsidRPr="002B4A69">
              <w:rPr>
                <w:b/>
                <w:i/>
                <w:lang w:val="en-GB"/>
              </w:rPr>
              <w:t>] of the European Parliament and of the Council Circular Economy Act</w:t>
            </w:r>
            <w:r w:rsidRPr="002B4A69">
              <w:rPr>
                <w:b/>
                <w:i/>
                <w:vertAlign w:val="superscript"/>
                <w:lang w:val="en-GB"/>
              </w:rPr>
              <w:t>26</w:t>
            </w:r>
            <w:r w:rsidRPr="002B4A69">
              <w:rPr>
                <w:lang w:val="en-GB"/>
              </w:rPr>
              <w:t xml:space="preserve"> </w:t>
            </w:r>
            <w:r w:rsidRPr="002B4A69">
              <w:rPr>
                <w:b/>
                <w:i/>
                <w:lang w:val="en-GB"/>
              </w:rPr>
              <w:t xml:space="preserve">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w:t>
            </w:r>
            <w:r w:rsidRPr="002B4A69">
              <w:rPr>
                <w:b/>
                <w:i/>
                <w:lang w:val="en-GB"/>
              </w:rPr>
              <w:t>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585AD6AD" w14:textId="77777777">
            <w:pPr>
              <w:pStyle w:val="Normal6"/>
              <w:rPr>
                <w:szCs w:val="24"/>
                <w:lang w:val="en-GB"/>
              </w:rPr>
            </w:pPr>
            <w:r w:rsidRPr="002B4A69">
              <w:rPr>
                <w:b/>
                <w:i/>
                <w:lang w:val="en-GB"/>
              </w:rPr>
              <w:t>deleted</w:t>
            </w:r>
          </w:p>
        </w:tc>
      </w:tr>
      <w:tr w14:paraId="7B8C116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1F710DC" w14:textId="77777777">
            <w:pPr>
              <w:pStyle w:val="Normal6"/>
              <w:rPr>
                <w:lang w:val="en-GB"/>
              </w:rPr>
            </w:pPr>
            <w:r w:rsidRPr="002B4A69">
              <w:rPr>
                <w:b/>
                <w:i/>
                <w:lang w:val="en-GB"/>
              </w:rPr>
              <w:t>__________________</w:t>
            </w:r>
          </w:p>
        </w:tc>
        <w:tc>
          <w:tcPr>
            <w:tcW w:w="4876" w:type="dxa"/>
          </w:tcPr>
          <w:p w:rsidR="001F04EE" w:rsidRPr="002B4A69" w:rsidP="00723F81" w14:paraId="0E4EAE94" w14:textId="77777777">
            <w:pPr>
              <w:pStyle w:val="Normal6"/>
              <w:rPr>
                <w:szCs w:val="24"/>
                <w:lang w:val="en-GB"/>
              </w:rPr>
            </w:pPr>
          </w:p>
        </w:tc>
      </w:tr>
      <w:tr w14:paraId="40EBAFF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7844148" w14:textId="77777777">
            <w:pPr>
              <w:pStyle w:val="Normal6"/>
              <w:rPr>
                <w:lang w:val="en-GB"/>
              </w:rPr>
            </w:pPr>
            <w:r w:rsidRPr="002B4A69">
              <w:rPr>
                <w:b/>
                <w:i/>
                <w:vertAlign w:val="superscript"/>
                <w:lang w:val="en-GB"/>
              </w:rPr>
              <w:t>26</w:t>
            </w:r>
            <w:r w:rsidRPr="002B4A69">
              <w:rPr>
                <w:lang w:val="en-GB"/>
              </w:rPr>
              <w:t xml:space="preserve"> </w:t>
            </w:r>
            <w:r w:rsidRPr="002B4A69">
              <w:rPr>
                <w:b/>
                <w:i/>
                <w:lang w:val="en-GB"/>
              </w:rPr>
              <w:t>[OJ reference to be added once adopted].</w:t>
            </w:r>
          </w:p>
        </w:tc>
        <w:tc>
          <w:tcPr>
            <w:tcW w:w="4876" w:type="dxa"/>
          </w:tcPr>
          <w:p w:rsidR="001F04EE" w:rsidRPr="002B4A69" w:rsidP="00723F81" w14:paraId="37C94F15" w14:textId="77777777">
            <w:pPr>
              <w:pStyle w:val="Normal6"/>
              <w:rPr>
                <w:szCs w:val="24"/>
                <w:lang w:val="en-GB"/>
              </w:rPr>
            </w:pPr>
          </w:p>
        </w:tc>
      </w:tr>
    </w:tbl>
    <w:p w:rsidR="001F04EE" w:rsidRPr="002B4A69" w:rsidP="001F04EE" w14:paraId="2CCB9B8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A1A9EB4" w14:textId="77777777">
      <w:r w:rsidRPr="002B4A69">
        <w:rPr>
          <w:rStyle w:val="HideTWBExt"/>
        </w:rPr>
        <w:t>&lt;/Amend&gt;</w:t>
      </w:r>
    </w:p>
    <w:p w:rsidR="001F04EE" w:rsidRPr="002B4A69" w:rsidP="001F04EE" w14:paraId="5F356A3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527</w:t>
      </w:r>
      <w:r w:rsidRPr="002B4A69">
        <w:rPr>
          <w:rStyle w:val="HideTWBExt"/>
          <w:b w:val="0"/>
          <w:lang w:val="en-GB"/>
        </w:rPr>
        <w:t>&lt;/NumAm&gt;</w:t>
      </w:r>
    </w:p>
    <w:p w:rsidR="001F04EE" w:rsidRPr="002B4A69" w:rsidP="001F04EE" w14:paraId="1F38D0E5"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61B29FE8" w14:textId="77777777">
      <w:r w:rsidRPr="002B4A69">
        <w:rPr>
          <w:rStyle w:val="HideTWBExt"/>
        </w:rPr>
        <w:t>&lt;/RepeatBlock-By&gt;</w:t>
      </w:r>
    </w:p>
    <w:p w:rsidR="001F04EE" w:rsidRPr="002B4A69" w:rsidP="001F04EE" w14:paraId="1CAD626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2A491BC"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0EACA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E77B95B" w14:textId="77777777">
            <w:pPr>
              <w:keepNext/>
            </w:pPr>
          </w:p>
        </w:tc>
      </w:tr>
      <w:tr w14:paraId="2D2676E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8025F47" w14:textId="77777777">
            <w:pPr>
              <w:pStyle w:val="ColumnHeading"/>
              <w:keepNext/>
              <w:rPr>
                <w:lang w:val="en-GB"/>
              </w:rPr>
            </w:pPr>
            <w:r w:rsidRPr="002B4A69">
              <w:rPr>
                <w:lang w:val="en-GB"/>
              </w:rPr>
              <w:t>Text proposed by the Commission</w:t>
            </w:r>
          </w:p>
        </w:tc>
        <w:tc>
          <w:tcPr>
            <w:tcW w:w="4876" w:type="dxa"/>
          </w:tcPr>
          <w:p w:rsidR="001F04EE" w:rsidRPr="002B4A69" w:rsidP="00723F81" w14:paraId="6E0E141C" w14:textId="77777777">
            <w:pPr>
              <w:pStyle w:val="ColumnHeading"/>
              <w:keepNext/>
              <w:rPr>
                <w:lang w:val="en-GB"/>
              </w:rPr>
            </w:pPr>
            <w:r w:rsidRPr="002B4A69">
              <w:rPr>
                <w:lang w:val="en-GB"/>
              </w:rPr>
              <w:t>Amendment</w:t>
            </w:r>
          </w:p>
        </w:tc>
      </w:tr>
      <w:tr w14:paraId="492B90A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7AC31CB" w14:textId="77777777">
            <w:pPr>
              <w:pStyle w:val="Normal6"/>
              <w:rPr>
                <w:lang w:val="en-GB"/>
              </w:rPr>
            </w:pPr>
            <w:r w:rsidRPr="002B4A69">
              <w:rPr>
                <w:b/>
                <w:i/>
                <w:lang w:val="en-GB"/>
              </w:rPr>
              <w:t>(70)</w:t>
            </w:r>
            <w:r w:rsidRPr="002B4A69">
              <w:rPr>
                <w:b/>
                <w:i/>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On the basis of</w:t>
            </w:r>
            <w:r w:rsidRPr="002B4A69">
              <w:rPr>
                <w:b/>
                <w:i/>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b/>
                <w:i/>
                <w:lang w:val="en-GB"/>
              </w:rPr>
              <w:t>…./..</w:t>
            </w:r>
            <w:r w:rsidRPr="002B4A69">
              <w:rPr>
                <w:b/>
                <w:i/>
                <w:lang w:val="en-GB"/>
              </w:rPr>
              <w:t>] of the European Parliament and of the Council Circular Economy Act</w:t>
            </w:r>
            <w:r w:rsidRPr="002B4A69">
              <w:rPr>
                <w:b/>
                <w:i/>
                <w:vertAlign w:val="superscript"/>
                <w:lang w:val="en-GB"/>
              </w:rPr>
              <w:t>26</w:t>
            </w:r>
            <w:r w:rsidRPr="002B4A69">
              <w:rPr>
                <w:lang w:val="en-GB"/>
              </w:rPr>
              <w:t xml:space="preserve"> </w:t>
            </w:r>
            <w:r w:rsidRPr="002B4A69">
              <w:rPr>
                <w:b/>
                <w:i/>
                <w:lang w:val="en-GB"/>
              </w:rPr>
              <w:t xml:space="preserve">and complemented with enabling conditions, incentivises economy-wide decarbonisation, circularity of materials and carbon, and a level playing field within and between sectors. As such, the inclusion of municipal waste incineration in the EU ETS contributes to the </w:t>
            </w:r>
            <w:r w:rsidRPr="002B4A69">
              <w:rPr>
                <w:b/>
                <w:i/>
                <w:lang w:val="en-GB"/>
              </w:rPr>
              <w:t>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63FF0339" w14:textId="77777777">
            <w:pPr>
              <w:pStyle w:val="Normal6"/>
              <w:rPr>
                <w:szCs w:val="24"/>
                <w:lang w:val="en-GB"/>
              </w:rPr>
            </w:pPr>
            <w:r w:rsidRPr="002B4A69">
              <w:rPr>
                <w:b/>
                <w:i/>
                <w:lang w:val="en-GB"/>
              </w:rPr>
              <w:t>deleted</w:t>
            </w:r>
          </w:p>
        </w:tc>
      </w:tr>
      <w:tr w14:paraId="43005E8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5A1710" w14:textId="77777777">
            <w:pPr>
              <w:pStyle w:val="Normal6"/>
              <w:rPr>
                <w:lang w:val="en-GB"/>
              </w:rPr>
            </w:pPr>
            <w:r w:rsidRPr="002B4A69">
              <w:rPr>
                <w:b/>
                <w:i/>
                <w:lang w:val="en-GB"/>
              </w:rPr>
              <w:t>__________________</w:t>
            </w:r>
          </w:p>
        </w:tc>
        <w:tc>
          <w:tcPr>
            <w:tcW w:w="4876" w:type="dxa"/>
          </w:tcPr>
          <w:p w:rsidR="001F04EE" w:rsidRPr="002B4A69" w:rsidP="00723F81" w14:paraId="46338EF6" w14:textId="77777777">
            <w:pPr>
              <w:pStyle w:val="Normal6"/>
              <w:rPr>
                <w:szCs w:val="24"/>
                <w:lang w:val="en-GB"/>
              </w:rPr>
            </w:pPr>
          </w:p>
        </w:tc>
      </w:tr>
      <w:tr w14:paraId="7A0B847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036BE0E" w14:textId="77777777">
            <w:pPr>
              <w:pStyle w:val="Normal6"/>
              <w:rPr>
                <w:lang w:val="en-GB"/>
              </w:rPr>
            </w:pPr>
            <w:r w:rsidRPr="002B4A69">
              <w:rPr>
                <w:b/>
                <w:i/>
                <w:vertAlign w:val="superscript"/>
                <w:lang w:val="en-GB"/>
              </w:rPr>
              <w:t>26</w:t>
            </w:r>
            <w:r w:rsidRPr="002B4A69">
              <w:rPr>
                <w:lang w:val="en-GB"/>
              </w:rPr>
              <w:t xml:space="preserve"> </w:t>
            </w:r>
            <w:r w:rsidRPr="002B4A69">
              <w:rPr>
                <w:b/>
                <w:i/>
                <w:lang w:val="en-GB"/>
              </w:rPr>
              <w:t>[OJ reference to be added once adopted].</w:t>
            </w:r>
          </w:p>
        </w:tc>
        <w:tc>
          <w:tcPr>
            <w:tcW w:w="4876" w:type="dxa"/>
          </w:tcPr>
          <w:p w:rsidR="001F04EE" w:rsidRPr="002B4A69" w:rsidP="00723F81" w14:paraId="4F25D93B" w14:textId="77777777">
            <w:pPr>
              <w:pStyle w:val="Normal6"/>
              <w:rPr>
                <w:szCs w:val="24"/>
                <w:lang w:val="en-GB"/>
              </w:rPr>
            </w:pPr>
          </w:p>
        </w:tc>
      </w:tr>
    </w:tbl>
    <w:p w:rsidR="001F04EE" w:rsidRPr="002B4A69" w:rsidP="001F04EE" w14:paraId="26E60E9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2CAA1C7" w14:textId="77777777">
      <w:r w:rsidRPr="002B4A69">
        <w:rPr>
          <w:rStyle w:val="HideTWBExt"/>
        </w:rPr>
        <w:t>&lt;/Amend&gt;</w:t>
      </w:r>
    </w:p>
    <w:p w:rsidR="001F04EE" w:rsidRPr="002B4A69" w:rsidP="001F04EE" w14:paraId="697B2BD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528</w:t>
      </w:r>
      <w:r w:rsidRPr="002B4A69">
        <w:rPr>
          <w:rStyle w:val="HideTWBExt"/>
          <w:b w:val="0"/>
          <w:lang w:val="en-GB"/>
        </w:rPr>
        <w:t>&lt;/NumAm&gt;</w:t>
      </w:r>
    </w:p>
    <w:p w:rsidR="001F04EE" w:rsidRPr="002B4A69" w:rsidP="001F04EE" w14:paraId="354D7275" w14:textId="77777777">
      <w:pPr>
        <w:pStyle w:val="NormalBold"/>
      </w:pPr>
      <w:r w:rsidRPr="002B4A69">
        <w:rPr>
          <w:rStyle w:val="HideTWBExt"/>
          <w:b w:val="0"/>
        </w:rPr>
        <w:t>&lt;RepeatBlock-By&gt;&lt;Members&gt;</w:t>
      </w:r>
      <w:r w:rsidRPr="002B4A69">
        <w:t>Jorge Buxadé Villalba, Roman Haider, Antonín Staněk, Silvia Sardone, Marie-Luce Brasier-Clain, Mathilde Androuët, Anne-Sophie Frigout</w:t>
      </w:r>
      <w:r w:rsidRPr="002B4A69">
        <w:rPr>
          <w:rStyle w:val="HideTWBExt"/>
          <w:b w:val="0"/>
        </w:rPr>
        <w:t>&lt;/Members&gt;</w:t>
      </w:r>
    </w:p>
    <w:p w:rsidR="001F04EE" w:rsidRPr="002B4A69" w:rsidP="001F04EE" w14:paraId="772CB171" w14:textId="77777777">
      <w:r w:rsidRPr="002B4A69">
        <w:rPr>
          <w:rStyle w:val="HideTWBExt"/>
        </w:rPr>
        <w:t>&lt;/RepeatBlock-By&gt;</w:t>
      </w:r>
    </w:p>
    <w:p w:rsidR="001F04EE" w:rsidRPr="002B4A69" w:rsidP="001F04EE" w14:paraId="08A02C1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3C7774C"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D6EEF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6386066" w14:textId="77777777">
            <w:pPr>
              <w:keepNext/>
            </w:pPr>
          </w:p>
        </w:tc>
      </w:tr>
      <w:tr w14:paraId="3D16DC2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F9A3F43" w14:textId="77777777">
            <w:pPr>
              <w:pStyle w:val="ColumnHeading"/>
              <w:keepNext/>
              <w:rPr>
                <w:lang w:val="en-GB"/>
              </w:rPr>
            </w:pPr>
            <w:r w:rsidRPr="002B4A69">
              <w:rPr>
                <w:lang w:val="en-GB"/>
              </w:rPr>
              <w:t>Text proposed by the Commission</w:t>
            </w:r>
          </w:p>
        </w:tc>
        <w:tc>
          <w:tcPr>
            <w:tcW w:w="4876" w:type="dxa"/>
          </w:tcPr>
          <w:p w:rsidR="001F04EE" w:rsidRPr="002B4A69" w:rsidP="00723F81" w14:paraId="6B79DCC2" w14:textId="77777777">
            <w:pPr>
              <w:pStyle w:val="ColumnHeading"/>
              <w:keepNext/>
              <w:rPr>
                <w:lang w:val="en-GB"/>
              </w:rPr>
            </w:pPr>
            <w:r w:rsidRPr="002B4A69">
              <w:rPr>
                <w:lang w:val="en-GB"/>
              </w:rPr>
              <w:t>Amendment</w:t>
            </w:r>
          </w:p>
        </w:tc>
      </w:tr>
      <w:tr w14:paraId="7C228B4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10806A7" w14:textId="77777777">
            <w:pPr>
              <w:pStyle w:val="Normal6"/>
              <w:rPr>
                <w:lang w:val="en-GB"/>
              </w:rPr>
            </w:pPr>
            <w:r w:rsidRPr="002B4A69">
              <w:rPr>
                <w:b/>
                <w:i/>
                <w:lang w:val="en-GB"/>
              </w:rPr>
              <w:t>(70)</w:t>
            </w:r>
            <w:r w:rsidRPr="002B4A69">
              <w:rPr>
                <w:b/>
                <w:i/>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On the basis of</w:t>
            </w:r>
            <w:r w:rsidRPr="002B4A69">
              <w:rPr>
                <w:b/>
                <w:i/>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b/>
                <w:i/>
                <w:lang w:val="en-GB"/>
              </w:rPr>
              <w:t>…./..</w:t>
            </w:r>
            <w:r w:rsidRPr="002B4A69">
              <w:rPr>
                <w:b/>
                <w:i/>
                <w:lang w:val="en-GB"/>
              </w:rPr>
              <w:t>] of the European Parliament and of the Council Circular Economy Act</w:t>
            </w:r>
            <w:r w:rsidRPr="002B4A69">
              <w:rPr>
                <w:b/>
                <w:i/>
                <w:vertAlign w:val="superscript"/>
                <w:lang w:val="en-GB"/>
              </w:rPr>
              <w:t>26</w:t>
            </w:r>
            <w:r w:rsidRPr="002B4A69">
              <w:rPr>
                <w:lang w:val="en-GB"/>
              </w:rPr>
              <w:t xml:space="preserve"> </w:t>
            </w:r>
            <w:r w:rsidRPr="002B4A69">
              <w:rPr>
                <w:b/>
                <w:i/>
                <w:lang w:val="en-GB"/>
              </w:rPr>
              <w:t xml:space="preserve">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w:t>
            </w:r>
            <w:r w:rsidRPr="002B4A69">
              <w:rPr>
                <w:b/>
                <w:i/>
                <w:lang w:val="en-GB"/>
              </w:rPr>
              <w:t>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1BF409A4" w14:textId="77777777">
            <w:pPr>
              <w:pStyle w:val="Normal6"/>
              <w:rPr>
                <w:szCs w:val="24"/>
                <w:lang w:val="en-GB"/>
              </w:rPr>
            </w:pPr>
            <w:r w:rsidRPr="002B4A69">
              <w:rPr>
                <w:b/>
                <w:i/>
                <w:lang w:val="en-GB"/>
              </w:rPr>
              <w:t>deleted</w:t>
            </w:r>
          </w:p>
        </w:tc>
      </w:tr>
      <w:tr w14:paraId="36D3C5D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447080D" w14:textId="77777777">
            <w:pPr>
              <w:pStyle w:val="Normal6"/>
              <w:rPr>
                <w:lang w:val="en-GB"/>
              </w:rPr>
            </w:pPr>
            <w:r w:rsidRPr="002B4A69">
              <w:rPr>
                <w:b/>
                <w:i/>
                <w:lang w:val="en-GB"/>
              </w:rPr>
              <w:t>__________________</w:t>
            </w:r>
          </w:p>
        </w:tc>
        <w:tc>
          <w:tcPr>
            <w:tcW w:w="4876" w:type="dxa"/>
          </w:tcPr>
          <w:p w:rsidR="001F04EE" w:rsidRPr="002B4A69" w:rsidP="00723F81" w14:paraId="440CB6F6" w14:textId="77777777">
            <w:pPr>
              <w:pStyle w:val="Normal6"/>
              <w:rPr>
                <w:szCs w:val="24"/>
                <w:lang w:val="en-GB"/>
              </w:rPr>
            </w:pPr>
          </w:p>
        </w:tc>
      </w:tr>
      <w:tr w14:paraId="7974941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59DE6F" w14:textId="77777777">
            <w:pPr>
              <w:pStyle w:val="Normal6"/>
              <w:rPr>
                <w:lang w:val="en-GB"/>
              </w:rPr>
            </w:pPr>
            <w:r w:rsidRPr="002B4A69">
              <w:rPr>
                <w:b/>
                <w:i/>
                <w:vertAlign w:val="superscript"/>
                <w:lang w:val="en-GB"/>
              </w:rPr>
              <w:t>26</w:t>
            </w:r>
            <w:r w:rsidRPr="002B4A69">
              <w:rPr>
                <w:lang w:val="en-GB"/>
              </w:rPr>
              <w:t xml:space="preserve"> </w:t>
            </w:r>
            <w:r w:rsidRPr="002B4A69">
              <w:rPr>
                <w:b/>
                <w:i/>
                <w:lang w:val="en-GB"/>
              </w:rPr>
              <w:t>[OJ reference to be added once adopted].</w:t>
            </w:r>
          </w:p>
        </w:tc>
        <w:tc>
          <w:tcPr>
            <w:tcW w:w="4876" w:type="dxa"/>
          </w:tcPr>
          <w:p w:rsidR="001F04EE" w:rsidRPr="002B4A69" w:rsidP="00723F81" w14:paraId="13B748E7" w14:textId="77777777">
            <w:pPr>
              <w:pStyle w:val="Normal6"/>
              <w:rPr>
                <w:szCs w:val="24"/>
                <w:lang w:val="en-GB"/>
              </w:rPr>
            </w:pPr>
          </w:p>
        </w:tc>
      </w:tr>
    </w:tbl>
    <w:p w:rsidR="001F04EE" w:rsidRPr="002B4A69" w:rsidP="001F04EE" w14:paraId="08613B5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52DAF67" w14:textId="77777777">
      <w:r w:rsidRPr="002B4A69">
        <w:rPr>
          <w:rStyle w:val="HideTWBExt"/>
        </w:rPr>
        <w:t>&lt;/Amend&gt;</w:t>
      </w:r>
    </w:p>
    <w:p w:rsidR="001F04EE" w:rsidRPr="002B4A69" w:rsidP="001F04EE" w14:paraId="6DBC145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529</w:t>
      </w:r>
      <w:r w:rsidRPr="002B4A69">
        <w:rPr>
          <w:rStyle w:val="HideTWBExt"/>
          <w:b w:val="0"/>
          <w:lang w:val="en-GB"/>
        </w:rPr>
        <w:t>&lt;/NumAm&gt;</w:t>
      </w:r>
    </w:p>
    <w:p w:rsidR="001F04EE" w:rsidRPr="002B4A69" w:rsidP="001F04EE" w14:paraId="63643C3E" w14:textId="77777777">
      <w:pPr>
        <w:pStyle w:val="NormalBold"/>
      </w:pPr>
      <w:r w:rsidRPr="002B4A69">
        <w:rPr>
          <w:rStyle w:val="HideTWBExt"/>
          <w:b w:val="0"/>
        </w:rPr>
        <w:t>&lt;RepeatBlock-By&gt;&lt;Members&gt;</w:t>
      </w:r>
      <w:r w:rsidRPr="002B4A69">
        <w:t>Grégory Allione</w:t>
      </w:r>
      <w:r w:rsidRPr="002B4A69">
        <w:rPr>
          <w:rStyle w:val="HideTWBExt"/>
          <w:b w:val="0"/>
        </w:rPr>
        <w:t>&lt;/Members&gt;</w:t>
      </w:r>
    </w:p>
    <w:p w:rsidR="001F04EE" w:rsidRPr="002B4A69" w:rsidP="001F04EE" w14:paraId="1768080B" w14:textId="77777777">
      <w:r w:rsidRPr="002B4A69">
        <w:rPr>
          <w:rStyle w:val="HideTWBExt"/>
        </w:rPr>
        <w:t>&lt;/RepeatBlock-By&gt;</w:t>
      </w:r>
    </w:p>
    <w:p w:rsidR="001F04EE" w:rsidRPr="002B4A69" w:rsidP="001F04EE" w14:paraId="0D09489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832A458"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8ECE3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9D7957F" w14:textId="77777777">
            <w:pPr>
              <w:keepNext/>
            </w:pPr>
          </w:p>
        </w:tc>
      </w:tr>
      <w:tr w14:paraId="137D0BB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78A5D8A" w14:textId="77777777">
            <w:pPr>
              <w:pStyle w:val="ColumnHeading"/>
              <w:keepNext/>
              <w:rPr>
                <w:lang w:val="en-GB"/>
              </w:rPr>
            </w:pPr>
            <w:r w:rsidRPr="002B4A69">
              <w:rPr>
                <w:lang w:val="en-GB"/>
              </w:rPr>
              <w:t>Text proposed by the Commission</w:t>
            </w:r>
          </w:p>
        </w:tc>
        <w:tc>
          <w:tcPr>
            <w:tcW w:w="4876" w:type="dxa"/>
          </w:tcPr>
          <w:p w:rsidR="001F04EE" w:rsidRPr="002B4A69" w:rsidP="00723F81" w14:paraId="52334223" w14:textId="77777777">
            <w:pPr>
              <w:pStyle w:val="ColumnHeading"/>
              <w:keepNext/>
              <w:rPr>
                <w:lang w:val="en-GB"/>
              </w:rPr>
            </w:pPr>
            <w:r w:rsidRPr="002B4A69">
              <w:rPr>
                <w:lang w:val="en-GB"/>
              </w:rPr>
              <w:t>Amendment</w:t>
            </w:r>
          </w:p>
        </w:tc>
      </w:tr>
      <w:tr w14:paraId="350705E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F380F07" w14:textId="77777777">
            <w:pPr>
              <w:pStyle w:val="Normal6"/>
              <w:rPr>
                <w:lang w:val="en-GB"/>
              </w:rPr>
            </w:pPr>
            <w:r w:rsidRPr="002B4A69">
              <w:rPr>
                <w:b/>
                <w:i/>
                <w:lang w:val="en-GB"/>
              </w:rPr>
              <w:t>(70)</w:t>
            </w:r>
            <w:r w:rsidRPr="002B4A69">
              <w:rPr>
                <w:b/>
                <w:i/>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On the basis of</w:t>
            </w:r>
            <w:r w:rsidRPr="002B4A69">
              <w:rPr>
                <w:b/>
                <w:i/>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b/>
                <w:i/>
                <w:lang w:val="en-GB"/>
              </w:rPr>
              <w:t>…./..</w:t>
            </w:r>
            <w:r w:rsidRPr="002B4A69">
              <w:rPr>
                <w:b/>
                <w:i/>
                <w:lang w:val="en-GB"/>
              </w:rPr>
              <w:t>] of the European Parliament and of the Council Circular Economy Act</w:t>
            </w:r>
            <w:r w:rsidRPr="002B4A69">
              <w:rPr>
                <w:b/>
                <w:i/>
                <w:vertAlign w:val="superscript"/>
                <w:lang w:val="en-GB"/>
              </w:rPr>
              <w:t>26</w:t>
            </w:r>
            <w:r w:rsidRPr="002B4A69">
              <w:rPr>
                <w:lang w:val="en-GB"/>
              </w:rPr>
              <w:t xml:space="preserve"> </w:t>
            </w:r>
            <w:r w:rsidRPr="002B4A69">
              <w:rPr>
                <w:b/>
                <w:i/>
                <w:lang w:val="en-GB"/>
              </w:rPr>
              <w:t xml:space="preserve">and complemented with enabling conditions, </w:t>
            </w:r>
            <w:r w:rsidRPr="002B4A69">
              <w:rPr>
                <w:b/>
                <w:i/>
                <w:lang w:val="en-GB"/>
              </w:rPr>
              <w:t>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64A55050" w14:textId="77777777">
            <w:pPr>
              <w:pStyle w:val="Normal6"/>
              <w:rPr>
                <w:szCs w:val="24"/>
                <w:lang w:val="en-GB"/>
              </w:rPr>
            </w:pPr>
            <w:r w:rsidRPr="002B4A69">
              <w:rPr>
                <w:b/>
                <w:i/>
                <w:lang w:val="en-GB"/>
              </w:rPr>
              <w:t>deleted</w:t>
            </w:r>
          </w:p>
        </w:tc>
      </w:tr>
      <w:tr w14:paraId="3D82EA0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97B080C" w14:textId="77777777">
            <w:pPr>
              <w:pStyle w:val="Normal6"/>
              <w:rPr>
                <w:lang w:val="en-GB"/>
              </w:rPr>
            </w:pPr>
            <w:r w:rsidRPr="002B4A69">
              <w:rPr>
                <w:b/>
                <w:i/>
                <w:lang w:val="en-GB"/>
              </w:rPr>
              <w:t>__________________</w:t>
            </w:r>
          </w:p>
        </w:tc>
        <w:tc>
          <w:tcPr>
            <w:tcW w:w="4876" w:type="dxa"/>
          </w:tcPr>
          <w:p w:rsidR="001F04EE" w:rsidRPr="002B4A69" w:rsidP="00723F81" w14:paraId="2FF0A1FB" w14:textId="77777777">
            <w:pPr>
              <w:pStyle w:val="Normal6"/>
              <w:rPr>
                <w:szCs w:val="24"/>
                <w:lang w:val="en-GB"/>
              </w:rPr>
            </w:pPr>
          </w:p>
        </w:tc>
      </w:tr>
      <w:tr w14:paraId="0AAD04C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25A0D0D" w14:textId="77777777">
            <w:pPr>
              <w:pStyle w:val="Normal6"/>
              <w:rPr>
                <w:lang w:val="en-GB"/>
              </w:rPr>
            </w:pPr>
            <w:r w:rsidRPr="002B4A69">
              <w:rPr>
                <w:b/>
                <w:i/>
                <w:vertAlign w:val="superscript"/>
                <w:lang w:val="en-GB"/>
              </w:rPr>
              <w:t>26</w:t>
            </w:r>
            <w:r w:rsidRPr="002B4A69">
              <w:rPr>
                <w:lang w:val="en-GB"/>
              </w:rPr>
              <w:t xml:space="preserve"> </w:t>
            </w:r>
            <w:r w:rsidRPr="002B4A69">
              <w:rPr>
                <w:b/>
                <w:i/>
                <w:lang w:val="en-GB"/>
              </w:rPr>
              <w:t>[OJ reference to be added once adopted].</w:t>
            </w:r>
          </w:p>
        </w:tc>
        <w:tc>
          <w:tcPr>
            <w:tcW w:w="4876" w:type="dxa"/>
          </w:tcPr>
          <w:p w:rsidR="001F04EE" w:rsidRPr="002B4A69" w:rsidP="00723F81" w14:paraId="33B39021" w14:textId="77777777">
            <w:pPr>
              <w:pStyle w:val="Normal6"/>
              <w:rPr>
                <w:szCs w:val="24"/>
                <w:lang w:val="en-GB"/>
              </w:rPr>
            </w:pPr>
          </w:p>
        </w:tc>
      </w:tr>
    </w:tbl>
    <w:p w:rsidR="001F04EE" w:rsidRPr="002B4A69" w:rsidP="001F04EE" w14:paraId="2A9C0D8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FBF8401" w14:textId="77777777">
      <w:r w:rsidRPr="002B4A69">
        <w:rPr>
          <w:rStyle w:val="HideTWBExt"/>
        </w:rPr>
        <w:t>&lt;/Amend&gt;</w:t>
      </w:r>
    </w:p>
    <w:p w:rsidR="001F04EE" w:rsidRPr="002B4A69" w:rsidP="001F04EE" w14:paraId="263A859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530</w:t>
      </w:r>
      <w:r w:rsidRPr="002B4A69">
        <w:rPr>
          <w:rStyle w:val="HideTWBExt"/>
          <w:b w:val="0"/>
          <w:lang w:val="en-GB"/>
        </w:rPr>
        <w:t>&lt;/NumAm&gt;</w:t>
      </w:r>
    </w:p>
    <w:p w:rsidR="001F04EE" w:rsidRPr="002B4A69" w:rsidP="001F04EE" w14:paraId="2E23554F" w14:textId="77777777">
      <w:pPr>
        <w:pStyle w:val="NormalBold"/>
      </w:pPr>
      <w:r w:rsidRPr="002B4A69">
        <w:rPr>
          <w:rStyle w:val="HideTWBExt"/>
          <w:b w:val="0"/>
        </w:rPr>
        <w:t>&lt;RepeatBlock-By&gt;&lt;Members&gt;</w:t>
      </w:r>
      <w:r w:rsidRPr="002B4A69">
        <w:t xml:space="preserve">Marie-Luce Brasier-Clain, Anne-Sophie Frigout, Mathilde Androuët, Valérie Deloge, </w:t>
      </w:r>
      <w:r w:rsidRPr="002B4A69">
        <w:t>Ondřej Knotek, Jana Nagyová, Silvia Sardone, Barbara Bonte</w:t>
      </w:r>
      <w:r w:rsidRPr="002B4A69">
        <w:rPr>
          <w:rStyle w:val="HideTWBExt"/>
          <w:b w:val="0"/>
        </w:rPr>
        <w:t>&lt;/Members&gt;</w:t>
      </w:r>
    </w:p>
    <w:p w:rsidR="001F04EE" w:rsidRPr="002B4A69" w:rsidP="001F04EE" w14:paraId="1C8C89AC" w14:textId="77777777">
      <w:r w:rsidRPr="002B4A69">
        <w:rPr>
          <w:rStyle w:val="HideTWBExt"/>
        </w:rPr>
        <w:t>&lt;/RepeatBlock-By&gt;</w:t>
      </w:r>
    </w:p>
    <w:p w:rsidR="001F04EE" w:rsidRPr="002B4A69" w:rsidP="001F04EE" w14:paraId="568A5A6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4BA45B5"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ED509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910FE01" w14:textId="77777777">
            <w:pPr>
              <w:keepNext/>
            </w:pPr>
          </w:p>
        </w:tc>
      </w:tr>
      <w:tr w14:paraId="27F3C6C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A3A9896" w14:textId="77777777">
            <w:pPr>
              <w:pStyle w:val="ColumnHeading"/>
              <w:keepNext/>
              <w:rPr>
                <w:lang w:val="en-GB"/>
              </w:rPr>
            </w:pPr>
            <w:r w:rsidRPr="002B4A69">
              <w:rPr>
                <w:lang w:val="en-GB"/>
              </w:rPr>
              <w:t>Text proposed by the Commission</w:t>
            </w:r>
          </w:p>
        </w:tc>
        <w:tc>
          <w:tcPr>
            <w:tcW w:w="4876" w:type="dxa"/>
          </w:tcPr>
          <w:p w:rsidR="001F04EE" w:rsidRPr="002B4A69" w:rsidP="00723F81" w14:paraId="44FC8E81" w14:textId="77777777">
            <w:pPr>
              <w:pStyle w:val="ColumnHeading"/>
              <w:keepNext/>
              <w:rPr>
                <w:lang w:val="en-GB"/>
              </w:rPr>
            </w:pPr>
            <w:r w:rsidRPr="002B4A69">
              <w:rPr>
                <w:lang w:val="en-GB"/>
              </w:rPr>
              <w:t>Amendment</w:t>
            </w:r>
          </w:p>
        </w:tc>
      </w:tr>
      <w:tr w14:paraId="7C5178C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E1E7B71" w14:textId="77777777">
            <w:pPr>
              <w:pStyle w:val="Normal6"/>
              <w:rPr>
                <w:lang w:val="en-GB"/>
              </w:rPr>
            </w:pPr>
            <w:r w:rsidRPr="002B4A69">
              <w:rPr>
                <w:b/>
                <w:i/>
                <w:lang w:val="en-GB"/>
              </w:rPr>
              <w:t>(70)</w:t>
            </w:r>
            <w:r w:rsidRPr="002B4A69">
              <w:rPr>
                <w:b/>
                <w:i/>
                <w:lang w:val="en-GB"/>
              </w:rPr>
              <w:tab/>
              <w:t>[...]</w:t>
            </w:r>
          </w:p>
        </w:tc>
        <w:tc>
          <w:tcPr>
            <w:tcW w:w="4876" w:type="dxa"/>
          </w:tcPr>
          <w:p w:rsidR="001F04EE" w:rsidRPr="002B4A69" w:rsidP="00723F81" w14:paraId="02727725" w14:textId="77777777">
            <w:pPr>
              <w:pStyle w:val="Normal6"/>
              <w:rPr>
                <w:szCs w:val="24"/>
                <w:lang w:val="en-GB"/>
              </w:rPr>
            </w:pPr>
            <w:r w:rsidRPr="002B4A69">
              <w:rPr>
                <w:b/>
                <w:i/>
                <w:lang w:val="en-GB"/>
              </w:rPr>
              <w:t>deleted</w:t>
            </w:r>
          </w:p>
        </w:tc>
      </w:tr>
    </w:tbl>
    <w:p w:rsidR="001F04EE" w:rsidRPr="002B4A69" w:rsidP="001F04EE" w14:paraId="5C93DFF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3004A808" w14:textId="77777777">
      <w:r w:rsidRPr="002B4A69">
        <w:rPr>
          <w:rStyle w:val="HideTWBExt"/>
        </w:rPr>
        <w:t>&lt;/Amend&gt;</w:t>
      </w:r>
    </w:p>
    <w:p w:rsidR="001F04EE" w:rsidRPr="002B4A69" w:rsidP="001F04EE" w14:paraId="2885139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531</w:t>
      </w:r>
      <w:r w:rsidRPr="002B4A69">
        <w:rPr>
          <w:rStyle w:val="HideTWBExt"/>
          <w:b w:val="0"/>
          <w:lang w:val="en-GB"/>
        </w:rPr>
        <w:t>&lt;/NumAm&gt;</w:t>
      </w:r>
    </w:p>
    <w:p w:rsidR="001F04EE" w:rsidRPr="002B4A69" w:rsidP="001F04EE" w14:paraId="144D21A2" w14:textId="77777777">
      <w:pPr>
        <w:pStyle w:val="NormalBold"/>
      </w:pPr>
      <w:r w:rsidRPr="002B4A69">
        <w:rPr>
          <w:rStyle w:val="HideTWBExt"/>
          <w:b w:val="0"/>
        </w:rPr>
        <w:t>&lt;RepeatBlock-By&gt;&lt;Members&gt;</w:t>
      </w:r>
      <w:r w:rsidRPr="002B4A6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2B4A69">
        <w:rPr>
          <w:rStyle w:val="HideTWBExt"/>
          <w:b w:val="0"/>
        </w:rPr>
        <w:t>&lt;/Members&gt;</w:t>
      </w:r>
    </w:p>
    <w:p w:rsidR="001F04EE" w:rsidRPr="002B4A69" w:rsidP="001F04EE" w14:paraId="6E1009E8" w14:textId="77777777">
      <w:r w:rsidRPr="002B4A69">
        <w:rPr>
          <w:rStyle w:val="HideTWBExt"/>
        </w:rPr>
        <w:t>&lt;/RepeatBlock-By&gt;</w:t>
      </w:r>
    </w:p>
    <w:p w:rsidR="001F04EE" w:rsidRPr="002B4A69" w:rsidP="001F04EE" w14:paraId="7859031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9D956DD"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C05D7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1E62257" w14:textId="77777777">
            <w:pPr>
              <w:keepNext/>
            </w:pPr>
          </w:p>
        </w:tc>
      </w:tr>
      <w:tr w14:paraId="17BC193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2CD7905" w14:textId="77777777">
            <w:pPr>
              <w:pStyle w:val="ColumnHeading"/>
              <w:keepNext/>
              <w:rPr>
                <w:lang w:val="en-GB"/>
              </w:rPr>
            </w:pPr>
            <w:r w:rsidRPr="002B4A69">
              <w:rPr>
                <w:lang w:val="en-GB"/>
              </w:rPr>
              <w:t>Text proposed by the Commission</w:t>
            </w:r>
          </w:p>
        </w:tc>
        <w:tc>
          <w:tcPr>
            <w:tcW w:w="4876" w:type="dxa"/>
          </w:tcPr>
          <w:p w:rsidR="001F04EE" w:rsidRPr="002B4A69" w:rsidP="00723F81" w14:paraId="1FA85470" w14:textId="77777777">
            <w:pPr>
              <w:pStyle w:val="ColumnHeading"/>
              <w:keepNext/>
              <w:rPr>
                <w:lang w:val="en-GB"/>
              </w:rPr>
            </w:pPr>
            <w:r w:rsidRPr="002B4A69">
              <w:rPr>
                <w:lang w:val="en-GB"/>
              </w:rPr>
              <w:t>Amendment</w:t>
            </w:r>
          </w:p>
        </w:tc>
      </w:tr>
      <w:tr w14:paraId="5399AC9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61F48BD" w14:textId="77777777">
            <w:pPr>
              <w:pStyle w:val="Normal6"/>
              <w:rPr>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On the basis of</w:t>
            </w:r>
            <w:r w:rsidRPr="002B4A69">
              <w:rPr>
                <w:b/>
                <w:i/>
                <w:lang w:val="en-GB"/>
              </w:rPr>
              <w:t xml:space="preserve"> this assessment, it is considered appropriate and feasible to amend Directive 2003/87/EC to include emissions from</w:t>
            </w:r>
            <w:r w:rsidRPr="002B4A69">
              <w:rPr>
                <w:lang w:val="en-GB"/>
              </w:rPr>
              <w:t xml:space="preserve"> municipal waste incineration </w:t>
            </w:r>
            <w:r w:rsidRPr="002B4A69">
              <w:rPr>
                <w:b/>
                <w:i/>
                <w:lang w:val="en-GB"/>
              </w:rPr>
              <w:t>installations in the EU ETS. The extension</w:t>
            </w:r>
            <w:r w:rsidRPr="002B4A69">
              <w:rPr>
                <w:lang w:val="en-GB"/>
              </w:rPr>
              <w:t xml:space="preserve"> of the EU ETS to </w:t>
            </w:r>
            <w:r w:rsidRPr="002B4A69">
              <w:rPr>
                <w:b/>
                <w:i/>
                <w:lang w:val="en-GB"/>
              </w:rPr>
              <w:t>municipal waste incineration, as part of a comprehensive approach with strengthened circular economy policies under Regulation (EU) [</w:t>
            </w:r>
            <w:r w:rsidRPr="002B4A69">
              <w:rPr>
                <w:b/>
                <w:i/>
                <w:lang w:val="en-GB"/>
              </w:rPr>
              <w:t>…./..</w:t>
            </w:r>
            <w:r w:rsidRPr="002B4A69">
              <w:rPr>
                <w:b/>
                <w:i/>
                <w:lang w:val="en-GB"/>
              </w:rPr>
              <w:t>] of the European Parliament and of the Council Circular Economy Act</w:t>
            </w:r>
            <w:r w:rsidRPr="002B4A69">
              <w:rPr>
                <w:b/>
                <w:i/>
                <w:vertAlign w:val="superscript"/>
                <w:lang w:val="en-GB"/>
              </w:rPr>
              <w:t>26</w:t>
            </w:r>
            <w:r w:rsidRPr="002B4A69">
              <w:rPr>
                <w:lang w:val="en-GB"/>
              </w:rPr>
              <w:t xml:space="preserve"> </w:t>
            </w:r>
            <w:r w:rsidRPr="002B4A69">
              <w:rPr>
                <w:b/>
                <w:i/>
                <w:lang w:val="en-GB"/>
              </w:rPr>
              <w:t xml:space="preserve">and complemented with enabling conditions, incentivises economy-wide decarbonisation, circularity of materials and carbon, and a level playing field </w:t>
            </w:r>
            <w:r w:rsidRPr="002B4A69">
              <w:rPr>
                <w:b/>
                <w:i/>
                <w:lang w:val="en-GB"/>
              </w:rPr>
              <w:t>within and between sectors. As such, the inclusion of municipal waste incineration in</w:t>
            </w:r>
            <w:r w:rsidRPr="002B4A69">
              <w:rPr>
                <w:lang w:val="en-GB"/>
              </w:rPr>
              <w:t xml:space="preserve"> the EU ETS </w:t>
            </w:r>
            <w:r w:rsidRPr="002B4A69">
              <w:rPr>
                <w:b/>
                <w:i/>
                <w:lang w:val="en-GB"/>
              </w:rPr>
              <w:t>contributes</w:t>
            </w:r>
            <w:r w:rsidRPr="002B4A69">
              <w:rPr>
                <w:lang w:val="en-GB"/>
              </w:rPr>
              <w:t xml:space="preserve"> to the </w:t>
            </w:r>
            <w:r w:rsidRPr="002B4A69">
              <w:rPr>
                <w:b/>
                <w:i/>
                <w:lang w:val="en-GB"/>
              </w:rPr>
              <w:t>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w:t>
            </w:r>
            <w:r w:rsidRPr="002B4A69">
              <w:rPr>
                <w:lang w:val="en-GB"/>
              </w:rPr>
              <w:t xml:space="preserve"> reducing fossil </w:t>
            </w:r>
            <w:r w:rsidRPr="002B4A69">
              <w:rPr>
                <w:b/>
                <w:i/>
                <w:lang w:val="en-GB"/>
              </w:rPr>
              <w:t>emissions from incineration while fostering permanent</w:t>
            </w:r>
            <w:r w:rsidRPr="002B4A69">
              <w:rPr>
                <w:lang w:val="en-GB"/>
              </w:rPr>
              <w:t xml:space="preserve"> carbon </w:t>
            </w:r>
            <w:r w:rsidRPr="002B4A69">
              <w:rPr>
                <w:b/>
                <w:i/>
                <w:lang w:val="en-GB"/>
              </w:rPr>
              <w:t>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w:t>
            </w:r>
            <w:r w:rsidRPr="002B4A69">
              <w:rPr>
                <w:lang w:val="en-GB"/>
              </w:rPr>
              <w:t xml:space="preserve">. </w:t>
            </w:r>
            <w:r w:rsidRPr="002B4A69">
              <w:rPr>
                <w:b/>
                <w:i/>
                <w:lang w:val="en-GB"/>
              </w:rPr>
              <w:t>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19364FA2" w14:textId="77777777">
            <w:pPr>
              <w:pStyle w:val="Normal6"/>
              <w:rPr>
                <w:szCs w:val="24"/>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Given the role they play in the treatment of non-recyclable residual waste, the limited ability of their operators to influence the fossil carbon content of the waste they receive, the diversity of national waste management systems, the risk of hindering the reduction of landfill disposal, and the administrative burden inherent in the specific MRV regime,</w:t>
            </w:r>
            <w:r w:rsidRPr="002B4A69">
              <w:rPr>
                <w:lang w:val="en-GB"/>
              </w:rPr>
              <w:t xml:space="preserve"> municipal waste incineration </w:t>
            </w:r>
            <w:r w:rsidRPr="002B4A69">
              <w:rPr>
                <w:b/>
                <w:i/>
                <w:lang w:val="en-GB"/>
              </w:rPr>
              <w:t>plants should remain outside the scope</w:t>
            </w:r>
            <w:r w:rsidRPr="002B4A69">
              <w:rPr>
                <w:lang w:val="en-GB"/>
              </w:rPr>
              <w:t xml:space="preserve"> of the EU ETS</w:t>
            </w:r>
            <w:r w:rsidRPr="002B4A69">
              <w:rPr>
                <w:b/>
                <w:i/>
                <w:lang w:val="en-GB"/>
              </w:rPr>
              <w:t>. Consequently, they should not be subject either</w:t>
            </w:r>
            <w:r w:rsidRPr="002B4A69">
              <w:rPr>
                <w:lang w:val="en-GB"/>
              </w:rPr>
              <w:t xml:space="preserve"> to </w:t>
            </w:r>
            <w:r w:rsidRPr="002B4A69">
              <w:rPr>
                <w:b/>
                <w:i/>
                <w:lang w:val="en-GB"/>
              </w:rPr>
              <w:t>the obligation to surrender emission allowances or to a stand-alone monitoring, reporting and verification regime specific to</w:t>
            </w:r>
            <w:r w:rsidRPr="002B4A69">
              <w:rPr>
                <w:lang w:val="en-GB"/>
              </w:rPr>
              <w:t xml:space="preserve"> the EU ETS</w:t>
            </w:r>
            <w:r w:rsidRPr="002B4A69">
              <w:rPr>
                <w:b/>
                <w:i/>
                <w:lang w:val="en-GB"/>
              </w:rPr>
              <w:t xml:space="preserve">. This is </w:t>
            </w:r>
            <w:r w:rsidRPr="002B4A69">
              <w:rPr>
                <w:b/>
                <w:i/>
                <w:lang w:val="en-GB"/>
              </w:rPr>
              <w:t>without prejudice to any environmental reporting obligations that may apply under other instruments of Union law, or</w:t>
            </w:r>
            <w:r w:rsidRPr="002B4A69">
              <w:rPr>
                <w:lang w:val="en-GB"/>
              </w:rPr>
              <w:t xml:space="preserve"> to the </w:t>
            </w:r>
            <w:r w:rsidRPr="002B4A69">
              <w:rPr>
                <w:b/>
                <w:i/>
                <w:lang w:val="en-GB"/>
              </w:rPr>
              <w:t>strengthening of measures aimed at</w:t>
            </w:r>
            <w:r w:rsidRPr="002B4A69">
              <w:rPr>
                <w:lang w:val="en-GB"/>
              </w:rPr>
              <w:t xml:space="preserve"> reducing fossil carbon </w:t>
            </w:r>
            <w:r w:rsidRPr="002B4A69">
              <w:rPr>
                <w:b/>
                <w:i/>
                <w:lang w:val="en-GB"/>
              </w:rPr>
              <w:t xml:space="preserve">in products at source, </w:t>
            </w:r>
            <w:r w:rsidRPr="002B4A69">
              <w:rPr>
                <w:b/>
                <w:i/>
                <w:lang w:val="en-GB"/>
              </w:rPr>
              <w:t>in particular through</w:t>
            </w:r>
            <w:r w:rsidRPr="002B4A69">
              <w:rPr>
                <w:b/>
                <w:i/>
                <w:lang w:val="en-GB"/>
              </w:rPr>
              <w:t xml:space="preserve"> eco-design and extended producer responsibility</w:t>
            </w:r>
            <w:r w:rsidRPr="002B4A69">
              <w:rPr>
                <w:lang w:val="en-GB"/>
              </w:rPr>
              <w:t>.</w:t>
            </w:r>
          </w:p>
        </w:tc>
      </w:tr>
      <w:tr w14:paraId="32D81C3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97E827B" w14:textId="77777777">
            <w:pPr>
              <w:pStyle w:val="Normal6"/>
              <w:rPr>
                <w:lang w:val="en-GB"/>
              </w:rPr>
            </w:pPr>
            <w:r w:rsidRPr="002B4A69">
              <w:rPr>
                <w:lang w:val="en-GB"/>
              </w:rPr>
              <w:t>__________________</w:t>
            </w:r>
          </w:p>
        </w:tc>
        <w:tc>
          <w:tcPr>
            <w:tcW w:w="4876" w:type="dxa"/>
          </w:tcPr>
          <w:p w:rsidR="001F04EE" w:rsidRPr="002B4A69" w:rsidP="00723F81" w14:paraId="156084EC" w14:textId="77777777">
            <w:pPr>
              <w:pStyle w:val="Normal6"/>
              <w:rPr>
                <w:szCs w:val="24"/>
                <w:lang w:val="en-GB"/>
              </w:rPr>
            </w:pPr>
            <w:r w:rsidRPr="002B4A69">
              <w:rPr>
                <w:lang w:val="en-GB"/>
              </w:rPr>
              <w:t>__________________</w:t>
            </w:r>
          </w:p>
        </w:tc>
      </w:tr>
      <w:tr w14:paraId="607DB3E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BF3296" w14:textId="77777777">
            <w:pPr>
              <w:pStyle w:val="Normal6"/>
              <w:rPr>
                <w:lang w:val="en-GB"/>
              </w:rPr>
            </w:pPr>
            <w:r w:rsidRPr="002B4A69">
              <w:rPr>
                <w:vertAlign w:val="superscript"/>
                <w:lang w:val="en-GB"/>
              </w:rPr>
              <w:t>26</w:t>
            </w:r>
            <w:r w:rsidRPr="002B4A69">
              <w:rPr>
                <w:lang w:val="en-GB"/>
              </w:rPr>
              <w:t xml:space="preserve"> [OJ reference to be added once adopted].</w:t>
            </w:r>
          </w:p>
        </w:tc>
        <w:tc>
          <w:tcPr>
            <w:tcW w:w="4876" w:type="dxa"/>
          </w:tcPr>
          <w:p w:rsidR="001F04EE" w:rsidRPr="002B4A69" w:rsidP="00723F81" w14:paraId="6D047EB4" w14:textId="77777777">
            <w:pPr>
              <w:pStyle w:val="Normal6"/>
              <w:rPr>
                <w:szCs w:val="24"/>
                <w:lang w:val="en-GB"/>
              </w:rPr>
            </w:pPr>
            <w:r w:rsidRPr="002B4A69">
              <w:rPr>
                <w:vertAlign w:val="superscript"/>
                <w:lang w:val="en-GB"/>
              </w:rPr>
              <w:t>26</w:t>
            </w:r>
            <w:r w:rsidRPr="002B4A69">
              <w:rPr>
                <w:lang w:val="en-GB"/>
              </w:rPr>
              <w:t xml:space="preserve"> [OJ reference to be added once adopted].</w:t>
            </w:r>
          </w:p>
        </w:tc>
      </w:tr>
    </w:tbl>
    <w:p w:rsidR="001F04EE" w:rsidRPr="002B4A69" w:rsidP="001F04EE" w14:paraId="516B902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6858C26" w14:textId="77777777">
      <w:r w:rsidRPr="002B4A69">
        <w:rPr>
          <w:rStyle w:val="HideTWBExt"/>
        </w:rPr>
        <w:t>&lt;/Amend&gt;</w:t>
      </w:r>
    </w:p>
    <w:p w:rsidR="001F04EE" w:rsidRPr="002B4A69" w:rsidP="001F04EE" w14:paraId="5AE51AA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532</w:t>
      </w:r>
      <w:r w:rsidRPr="002B4A69">
        <w:rPr>
          <w:rStyle w:val="HideTWBExt"/>
          <w:b w:val="0"/>
          <w:lang w:val="en-GB"/>
        </w:rPr>
        <w:t>&lt;/NumAm&gt;</w:t>
      </w:r>
    </w:p>
    <w:p w:rsidR="001F04EE" w:rsidRPr="002B4A69" w:rsidP="001F04EE" w14:paraId="223D602D" w14:textId="77777777">
      <w:pPr>
        <w:pStyle w:val="NormalBold"/>
      </w:pPr>
      <w:r w:rsidRPr="002B4A69">
        <w:rPr>
          <w:rStyle w:val="HideTWBExt"/>
          <w:b w:val="0"/>
        </w:rPr>
        <w:t>&lt;RepeatBlock-By&gt;&lt;Members&gt;</w:t>
      </w:r>
      <w:r w:rsidRPr="002B4A69">
        <w:t>Andrea Wechsler, Norbert Herhammer, Verena Mertens, Sabine Verheyen, Marie-Sophie Christ, Christian Ehler, Angelika Niebler</w:t>
      </w:r>
      <w:r w:rsidRPr="002B4A69">
        <w:rPr>
          <w:rStyle w:val="HideTWBExt"/>
          <w:b w:val="0"/>
        </w:rPr>
        <w:t>&lt;/Members&gt;</w:t>
      </w:r>
    </w:p>
    <w:p w:rsidR="001F04EE" w:rsidRPr="002B4A69" w:rsidP="001F04EE" w14:paraId="279F6575" w14:textId="77777777">
      <w:r w:rsidRPr="002B4A69">
        <w:rPr>
          <w:rStyle w:val="HideTWBExt"/>
        </w:rPr>
        <w:t>&lt;/RepeatBlock-By&gt;</w:t>
      </w:r>
    </w:p>
    <w:p w:rsidR="001F04EE" w:rsidRPr="002B4A69" w:rsidP="001F04EE" w14:paraId="2903FB7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8D1F1E6"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CE6BA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939C1D9" w14:textId="77777777">
            <w:pPr>
              <w:keepNext/>
            </w:pPr>
          </w:p>
        </w:tc>
      </w:tr>
      <w:tr w14:paraId="4ACCFA9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50422D5" w14:textId="77777777">
            <w:pPr>
              <w:pStyle w:val="ColumnHeading"/>
              <w:keepNext/>
              <w:rPr>
                <w:lang w:val="en-GB"/>
              </w:rPr>
            </w:pPr>
            <w:r w:rsidRPr="002B4A69">
              <w:rPr>
                <w:lang w:val="en-GB"/>
              </w:rPr>
              <w:t>Text proposed by the Commission</w:t>
            </w:r>
          </w:p>
        </w:tc>
        <w:tc>
          <w:tcPr>
            <w:tcW w:w="4876" w:type="dxa"/>
          </w:tcPr>
          <w:p w:rsidR="001F04EE" w:rsidRPr="002B4A69" w:rsidP="00723F81" w14:paraId="1AB91E52" w14:textId="77777777">
            <w:pPr>
              <w:pStyle w:val="ColumnHeading"/>
              <w:keepNext/>
              <w:rPr>
                <w:lang w:val="en-GB"/>
              </w:rPr>
            </w:pPr>
            <w:r w:rsidRPr="002B4A69">
              <w:rPr>
                <w:lang w:val="en-GB"/>
              </w:rPr>
              <w:t>Amendment</w:t>
            </w:r>
          </w:p>
        </w:tc>
      </w:tr>
      <w:tr w14:paraId="607C3AF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4B57128" w14:textId="77777777">
            <w:pPr>
              <w:pStyle w:val="Normal6"/>
              <w:rPr>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lang w:val="en-GB"/>
              </w:rPr>
              <w:t>On the basis of</w:t>
            </w:r>
            <w:r w:rsidRPr="002B4A69">
              <w:rPr>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lang w:val="en-GB"/>
              </w:rPr>
              <w:t>…./..</w:t>
            </w:r>
            <w:r w:rsidRPr="002B4A69">
              <w:rPr>
                <w:lang w:val="en-GB"/>
              </w:rPr>
              <w:t>] of the European Parliament and of the Council Circular Economy Act</w:t>
            </w:r>
            <w:r w:rsidRPr="002B4A69">
              <w:rPr>
                <w:vertAlign w:val="superscript"/>
                <w:lang w:val="en-GB"/>
              </w:rPr>
              <w:t>26</w:t>
            </w:r>
            <w:r w:rsidRPr="002B4A69">
              <w:rPr>
                <w:lang w:val="en-GB"/>
              </w:rPr>
              <w:t xml:space="preserve"> 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t>
            </w:r>
            <w:r w:rsidRPr="002B4A69">
              <w:rPr>
                <w:lang w:val="en-GB"/>
              </w:rPr>
              <w:t>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2FC2D543" w14:textId="77777777">
            <w:pPr>
              <w:pStyle w:val="Normal6"/>
              <w:rPr>
                <w:szCs w:val="24"/>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lang w:val="en-GB"/>
              </w:rPr>
              <w:t>On the basis of</w:t>
            </w:r>
            <w:r w:rsidRPr="002B4A69">
              <w:rPr>
                <w:lang w:val="en-GB"/>
              </w:rPr>
              <w:t xml:space="preserve"> this assessment, it is considered appropriate and feasible to amend Directive 2003/87/EC to include emissions from municipal waste incineration installations in the EU ETS </w:t>
            </w:r>
            <w:r w:rsidRPr="002B4A69">
              <w:rPr>
                <w:b/>
                <w:i/>
                <w:lang w:val="en-GB"/>
              </w:rPr>
              <w:t>in a way that avoids double burden and accounting of emissions</w:t>
            </w:r>
            <w:r w:rsidRPr="002B4A69">
              <w:rPr>
                <w:lang w:val="en-GB"/>
              </w:rPr>
              <w:t>. The extension of the EU ETS to municipal waste incineration, as part of a comprehensive approach with strengthened circular economy policies under Regulation (EU) [</w:t>
            </w:r>
            <w:r w:rsidRPr="002B4A69">
              <w:rPr>
                <w:lang w:val="en-GB"/>
              </w:rPr>
              <w:t>…./..</w:t>
            </w:r>
            <w:r w:rsidRPr="002B4A69">
              <w:rPr>
                <w:lang w:val="en-GB"/>
              </w:rPr>
              <w:t>] of the European Parliament and of the Council Circular Economy Act</w:t>
            </w:r>
            <w:r w:rsidRPr="002B4A69">
              <w:rPr>
                <w:vertAlign w:val="superscript"/>
                <w:lang w:val="en-GB"/>
              </w:rPr>
              <w:t>26</w:t>
            </w:r>
            <w:r w:rsidRPr="002B4A69">
              <w:rPr>
                <w:lang w:val="en-GB"/>
              </w:rPr>
              <w:t xml:space="preserve"> 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w:t>
            </w:r>
            <w:r w:rsidRPr="002B4A69">
              <w:rPr>
                <w:lang w:val="en-GB"/>
              </w:rPr>
              <w:t>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r>
      <w:tr w14:paraId="3B05E9E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8EFD8F9" w14:textId="77777777">
            <w:pPr>
              <w:pStyle w:val="Normal6"/>
              <w:rPr>
                <w:lang w:val="en-GB"/>
              </w:rPr>
            </w:pPr>
            <w:r w:rsidRPr="002B4A69">
              <w:rPr>
                <w:lang w:val="en-GB"/>
              </w:rPr>
              <w:t>__________________</w:t>
            </w:r>
          </w:p>
        </w:tc>
        <w:tc>
          <w:tcPr>
            <w:tcW w:w="4876" w:type="dxa"/>
          </w:tcPr>
          <w:p w:rsidR="001F04EE" w:rsidRPr="002B4A69" w:rsidP="00723F81" w14:paraId="446392DC" w14:textId="77777777">
            <w:pPr>
              <w:pStyle w:val="Normal6"/>
              <w:rPr>
                <w:szCs w:val="24"/>
                <w:lang w:val="en-GB"/>
              </w:rPr>
            </w:pPr>
            <w:r w:rsidRPr="002B4A69">
              <w:rPr>
                <w:lang w:val="en-GB"/>
              </w:rPr>
              <w:t>__________________</w:t>
            </w:r>
          </w:p>
        </w:tc>
      </w:tr>
      <w:tr w14:paraId="460B14E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CEBE111" w14:textId="77777777">
            <w:pPr>
              <w:pStyle w:val="Normal6"/>
              <w:rPr>
                <w:lang w:val="en-GB"/>
              </w:rPr>
            </w:pPr>
            <w:r w:rsidRPr="002B4A69">
              <w:rPr>
                <w:vertAlign w:val="superscript"/>
                <w:lang w:val="en-GB"/>
              </w:rPr>
              <w:t>26</w:t>
            </w:r>
            <w:r w:rsidRPr="002B4A69">
              <w:rPr>
                <w:lang w:val="en-GB"/>
              </w:rPr>
              <w:t xml:space="preserve"> [OJ reference to be added once adopted].</w:t>
            </w:r>
          </w:p>
        </w:tc>
        <w:tc>
          <w:tcPr>
            <w:tcW w:w="4876" w:type="dxa"/>
          </w:tcPr>
          <w:p w:rsidR="001F04EE" w:rsidRPr="002B4A69" w:rsidP="00723F81" w14:paraId="30263D51" w14:textId="77777777">
            <w:pPr>
              <w:pStyle w:val="Normal6"/>
              <w:rPr>
                <w:szCs w:val="24"/>
                <w:lang w:val="en-GB"/>
              </w:rPr>
            </w:pPr>
            <w:r w:rsidRPr="002B4A69">
              <w:rPr>
                <w:vertAlign w:val="superscript"/>
                <w:lang w:val="en-GB"/>
              </w:rPr>
              <w:t>26</w:t>
            </w:r>
            <w:r w:rsidRPr="002B4A69">
              <w:rPr>
                <w:lang w:val="en-GB"/>
              </w:rPr>
              <w:t xml:space="preserve"> [OJ reference to be added once adopted].</w:t>
            </w:r>
          </w:p>
        </w:tc>
      </w:tr>
    </w:tbl>
    <w:p w:rsidR="001F04EE" w:rsidRPr="002B4A69" w:rsidP="001F04EE" w14:paraId="322CEE6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0C1D5A3"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272D6BE3" w14:textId="77777777">
      <w:pPr>
        <w:pStyle w:val="Normal12Italic"/>
        <w:rPr>
          <w:noProof w:val="0"/>
          <w:lang w:val="en-GB"/>
        </w:rPr>
      </w:pPr>
      <w:r w:rsidRPr="002B4A69">
        <w:rPr>
          <w:noProof w:val="0"/>
          <w:lang w:val="en-GB"/>
        </w:rPr>
        <w:t xml:space="preserve">The amendment clarifies that the inclusion of municipal waste incineration in the EU ETS must be designed </w:t>
      </w:r>
      <w:r w:rsidRPr="002B4A69">
        <w:rPr>
          <w:noProof w:val="0"/>
          <w:lang w:val="en-GB"/>
        </w:rPr>
        <w:t>so as to</w:t>
      </w:r>
      <w:r w:rsidRPr="002B4A69">
        <w:rPr>
          <w:noProof w:val="0"/>
          <w:lang w:val="en-GB"/>
        </w:rPr>
        <w:t xml:space="preserve"> avoid double burden and double accounting of emissions. Waste incineration interacts with existing national waste, taxation and carbon-pricing frameworks as well as with energy recovery, district heating and activities already subject to the EU ETS.Overlapping carbon-pricing obligations could create additional costs without providing a corresponding additional decarbonisation incentive and could distort competition between different waste-treatment and energy-recovery routes. Ensuring coherent interaction with existing measures is therefore necessary to preserve proportionality, avoid double charging and maintain a level playing field within the internal market.</w:t>
      </w:r>
    </w:p>
    <w:p w:rsidR="001F04EE" w:rsidRPr="002B4A69" w:rsidP="001F04EE" w14:paraId="1490BA9C" w14:textId="77777777">
      <w:r w:rsidRPr="002B4A69">
        <w:rPr>
          <w:rStyle w:val="HideTWBExt"/>
        </w:rPr>
        <w:t>&lt;/Amend&gt;</w:t>
      </w:r>
    </w:p>
    <w:p w:rsidR="001F04EE" w:rsidRPr="002B4A69" w:rsidP="001F04EE" w14:paraId="1C3525A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533</w:t>
      </w:r>
      <w:r w:rsidRPr="002B4A69">
        <w:rPr>
          <w:rStyle w:val="HideTWBExt"/>
          <w:b w:val="0"/>
          <w:lang w:val="en-GB"/>
        </w:rPr>
        <w:t>&lt;/NumAm&gt;</w:t>
      </w:r>
    </w:p>
    <w:p w:rsidR="001F04EE" w:rsidRPr="002B4A69" w:rsidP="001F04EE" w14:paraId="3DF13860" w14:textId="77777777">
      <w:pPr>
        <w:pStyle w:val="NormalBold"/>
      </w:pPr>
      <w:r w:rsidRPr="002B4A69">
        <w:rPr>
          <w:rStyle w:val="HideTWBExt"/>
          <w:b w:val="0"/>
        </w:rPr>
        <w:t>&lt;RepeatBlock-By&gt;&lt;Members&gt;</w:t>
      </w:r>
      <w:r w:rsidRPr="002B4A69">
        <w:t>Heléne Fritzon</w:t>
      </w:r>
      <w:r w:rsidRPr="002B4A69">
        <w:rPr>
          <w:rStyle w:val="HideTWBExt"/>
          <w:b w:val="0"/>
        </w:rPr>
        <w:t>&lt;/Members&gt;</w:t>
      </w:r>
    </w:p>
    <w:p w:rsidR="001F04EE" w:rsidRPr="002B4A69" w:rsidP="001F04EE" w14:paraId="6A0C9F20" w14:textId="77777777">
      <w:r w:rsidRPr="002B4A69">
        <w:rPr>
          <w:rStyle w:val="HideTWBExt"/>
        </w:rPr>
        <w:t>&lt;/RepeatBlock-By&gt;</w:t>
      </w:r>
    </w:p>
    <w:p w:rsidR="001F04EE" w:rsidRPr="002B4A69" w:rsidP="001F04EE" w14:paraId="0141902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B44EA5C"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2454D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DDFA75D" w14:textId="77777777">
            <w:pPr>
              <w:keepNext/>
            </w:pPr>
          </w:p>
        </w:tc>
      </w:tr>
      <w:tr w14:paraId="53816C7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4D826A2" w14:textId="77777777">
            <w:pPr>
              <w:pStyle w:val="ColumnHeading"/>
              <w:keepNext/>
              <w:rPr>
                <w:lang w:val="en-GB"/>
              </w:rPr>
            </w:pPr>
            <w:r w:rsidRPr="002B4A69">
              <w:rPr>
                <w:lang w:val="en-GB"/>
              </w:rPr>
              <w:t>Text proposed by the Commission</w:t>
            </w:r>
          </w:p>
        </w:tc>
        <w:tc>
          <w:tcPr>
            <w:tcW w:w="4876" w:type="dxa"/>
          </w:tcPr>
          <w:p w:rsidR="001F04EE" w:rsidRPr="002B4A69" w:rsidP="00723F81" w14:paraId="134EDD03" w14:textId="77777777">
            <w:pPr>
              <w:pStyle w:val="ColumnHeading"/>
              <w:keepNext/>
              <w:rPr>
                <w:lang w:val="en-GB"/>
              </w:rPr>
            </w:pPr>
            <w:r w:rsidRPr="002B4A69">
              <w:rPr>
                <w:lang w:val="en-GB"/>
              </w:rPr>
              <w:t>Amendment</w:t>
            </w:r>
          </w:p>
        </w:tc>
      </w:tr>
      <w:tr w14:paraId="5027D91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2C04A7" w14:textId="77777777">
            <w:pPr>
              <w:pStyle w:val="Normal6"/>
              <w:rPr>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lang w:val="en-GB"/>
              </w:rPr>
              <w:t>On the basis of</w:t>
            </w:r>
            <w:r w:rsidRPr="002B4A69">
              <w:rPr>
                <w:lang w:val="en-GB"/>
              </w:rPr>
              <w:t xml:space="preserve"> this assessment, it is considered appropriate and feasible to amend Directive 2003/87/EC to include emissions from </w:t>
            </w:r>
            <w:r w:rsidRPr="002B4A69">
              <w:rPr>
                <w:lang w:val="en-GB"/>
              </w:rPr>
              <w:t>municipal waste incineration installations in the EU ETS. The extension of the EU ETS to municipal waste incineration, as part of a comprehensive approach with strengthened circular economy policies under Regulation (EU) [</w:t>
            </w:r>
            <w:r w:rsidRPr="002B4A69">
              <w:rPr>
                <w:lang w:val="en-GB"/>
              </w:rPr>
              <w:t>…./..</w:t>
            </w:r>
            <w:r w:rsidRPr="002B4A69">
              <w:rPr>
                <w:lang w:val="en-GB"/>
              </w:rPr>
              <w:t>] of the European Parliament and of the Council Circular Economy Act</w:t>
            </w:r>
            <w:r w:rsidRPr="002B4A69">
              <w:rPr>
                <w:vertAlign w:val="superscript"/>
                <w:lang w:val="en-GB"/>
              </w:rPr>
              <w:t>26</w:t>
            </w:r>
            <w:r w:rsidRPr="002B4A69">
              <w:rPr>
                <w:lang w:val="en-GB"/>
              </w:rPr>
              <w:t xml:space="preserve"> 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5EBB3D34" w14:textId="77777777">
            <w:pPr>
              <w:pStyle w:val="Normal6"/>
              <w:rPr>
                <w:szCs w:val="24"/>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full inclusion in the EU ETS </w:t>
            </w:r>
            <w:r w:rsidRPr="002B4A69">
              <w:rPr>
                <w:b/>
                <w:i/>
                <w:lang w:val="en-GB"/>
              </w:rPr>
              <w:t>starting in 2029</w:t>
            </w:r>
            <w:r w:rsidRPr="002B4A69">
              <w:rPr>
                <w:lang w:val="en-GB"/>
              </w:rPr>
              <w:t xml:space="preserve">. </w:t>
            </w:r>
            <w:r w:rsidRPr="002B4A69">
              <w:rPr>
                <w:lang w:val="en-GB"/>
              </w:rPr>
              <w:t>On the basis of</w:t>
            </w:r>
            <w:r w:rsidRPr="002B4A69">
              <w:rPr>
                <w:lang w:val="en-GB"/>
              </w:rPr>
              <w:t xml:space="preserve"> this assessment, it is considered appropriate and feasible to amend Directive 2003/87/EC to include emissions </w:t>
            </w:r>
            <w:r w:rsidRPr="002B4A69">
              <w:rPr>
                <w:lang w:val="en-GB"/>
              </w:rPr>
              <w:t>from municipal waste incineration installations in the EU ETS. The extension of the EU ETS to municipal waste incineration, as part of a comprehensive approach with strengthened circular economy policies under Regulation (EU) [</w:t>
            </w:r>
            <w:r w:rsidRPr="002B4A69">
              <w:rPr>
                <w:lang w:val="en-GB"/>
              </w:rPr>
              <w:t>…./..</w:t>
            </w:r>
            <w:r w:rsidRPr="002B4A69">
              <w:rPr>
                <w:lang w:val="en-GB"/>
              </w:rPr>
              <w:t>] of the European Parliament and of the Council Circular Economy Act</w:t>
            </w:r>
            <w:r w:rsidRPr="002B4A69">
              <w:rPr>
                <w:vertAlign w:val="superscript"/>
                <w:lang w:val="en-GB"/>
              </w:rPr>
              <w:t>26</w:t>
            </w:r>
            <w:r w:rsidRPr="002B4A69">
              <w:rPr>
                <w:lang w:val="en-GB"/>
              </w:rPr>
              <w:t xml:space="preserve"> 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r>
      <w:tr w14:paraId="4A1EF71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3C13CF3" w14:textId="77777777">
            <w:pPr>
              <w:pStyle w:val="Normal6"/>
              <w:rPr>
                <w:lang w:val="en-GB"/>
              </w:rPr>
            </w:pPr>
            <w:r w:rsidRPr="002B4A69">
              <w:rPr>
                <w:lang w:val="en-GB"/>
              </w:rPr>
              <w:t>__________________</w:t>
            </w:r>
          </w:p>
        </w:tc>
        <w:tc>
          <w:tcPr>
            <w:tcW w:w="4876" w:type="dxa"/>
          </w:tcPr>
          <w:p w:rsidR="001F04EE" w:rsidRPr="002B4A69" w:rsidP="00723F81" w14:paraId="474C0314" w14:textId="77777777">
            <w:pPr>
              <w:pStyle w:val="Normal6"/>
              <w:rPr>
                <w:szCs w:val="24"/>
                <w:lang w:val="en-GB"/>
              </w:rPr>
            </w:pPr>
            <w:r w:rsidRPr="002B4A69">
              <w:rPr>
                <w:lang w:val="en-GB"/>
              </w:rPr>
              <w:t>__________________</w:t>
            </w:r>
          </w:p>
        </w:tc>
      </w:tr>
      <w:tr w14:paraId="515726F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0F96175" w14:textId="77777777">
            <w:pPr>
              <w:pStyle w:val="Normal6"/>
              <w:rPr>
                <w:lang w:val="en-GB"/>
              </w:rPr>
            </w:pPr>
            <w:r w:rsidRPr="002B4A69">
              <w:rPr>
                <w:vertAlign w:val="superscript"/>
                <w:lang w:val="en-GB"/>
              </w:rPr>
              <w:t>26</w:t>
            </w:r>
            <w:r w:rsidRPr="002B4A69">
              <w:rPr>
                <w:lang w:val="en-GB"/>
              </w:rPr>
              <w:t xml:space="preserve"> [OJ reference to be added once adopted].</w:t>
            </w:r>
          </w:p>
        </w:tc>
        <w:tc>
          <w:tcPr>
            <w:tcW w:w="4876" w:type="dxa"/>
          </w:tcPr>
          <w:p w:rsidR="001F04EE" w:rsidRPr="002B4A69" w:rsidP="00723F81" w14:paraId="1A1C78E8" w14:textId="77777777">
            <w:pPr>
              <w:pStyle w:val="Normal6"/>
              <w:rPr>
                <w:szCs w:val="24"/>
                <w:lang w:val="en-GB"/>
              </w:rPr>
            </w:pPr>
            <w:r w:rsidRPr="002B4A69">
              <w:rPr>
                <w:vertAlign w:val="superscript"/>
                <w:lang w:val="en-GB"/>
              </w:rPr>
              <w:t>26</w:t>
            </w:r>
            <w:r w:rsidRPr="002B4A69">
              <w:rPr>
                <w:lang w:val="en-GB"/>
              </w:rPr>
              <w:t xml:space="preserve"> [OJ reference to be added once adopted].</w:t>
            </w:r>
          </w:p>
        </w:tc>
      </w:tr>
    </w:tbl>
    <w:p w:rsidR="001F04EE" w:rsidRPr="002B4A69" w:rsidP="001F04EE" w14:paraId="177F6F0F"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ED4604E" w14:textId="77777777">
      <w:r w:rsidRPr="002B4A69">
        <w:rPr>
          <w:rStyle w:val="HideTWBExt"/>
        </w:rPr>
        <w:t>&lt;/Amend&gt;</w:t>
      </w:r>
    </w:p>
    <w:p w:rsidR="001F04EE" w:rsidRPr="002B4A69" w:rsidP="001F04EE" w14:paraId="474CDB6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534</w:t>
      </w:r>
      <w:r w:rsidRPr="002B4A69">
        <w:rPr>
          <w:rStyle w:val="HideTWBExt"/>
          <w:b w:val="0"/>
          <w:lang w:val="en-GB"/>
        </w:rPr>
        <w:t>&lt;/NumAm&gt;</w:t>
      </w:r>
    </w:p>
    <w:p w:rsidR="001F04EE" w:rsidRPr="002B4A69" w:rsidP="001F04EE" w14:paraId="6A8A4666"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55BBAF8A" w14:textId="77777777">
      <w:r w:rsidRPr="002B4A69">
        <w:rPr>
          <w:rStyle w:val="HideTWBExt"/>
        </w:rPr>
        <w:t>&lt;/RepeatBlock-By&gt;</w:t>
      </w:r>
    </w:p>
    <w:p w:rsidR="001F04EE" w:rsidRPr="002B4A69" w:rsidP="001F04EE" w14:paraId="1C4A1DF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26C8EF4" w14:textId="77777777">
      <w:pPr>
        <w:pStyle w:val="NormalBold"/>
      </w:pPr>
      <w:r w:rsidRPr="002B4A69">
        <w:rPr>
          <w:rStyle w:val="HideTWBExt"/>
          <w:b w:val="0"/>
        </w:rPr>
        <w:t>&lt;Article&gt;</w:t>
      </w:r>
      <w:r w:rsidRPr="002B4A69">
        <w:t>Recital 70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D9D29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9B51B00" w14:textId="77777777">
            <w:pPr>
              <w:keepNext/>
            </w:pPr>
          </w:p>
        </w:tc>
      </w:tr>
      <w:tr w14:paraId="4F9500B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67029BE" w14:textId="77777777">
            <w:pPr>
              <w:pStyle w:val="ColumnHeading"/>
              <w:keepNext/>
              <w:rPr>
                <w:lang w:val="en-GB"/>
              </w:rPr>
            </w:pPr>
            <w:r w:rsidRPr="002B4A69">
              <w:rPr>
                <w:lang w:val="en-GB"/>
              </w:rPr>
              <w:t>Text proposed by the Commission</w:t>
            </w:r>
          </w:p>
        </w:tc>
        <w:tc>
          <w:tcPr>
            <w:tcW w:w="4876" w:type="dxa"/>
          </w:tcPr>
          <w:p w:rsidR="001F04EE" w:rsidRPr="002B4A69" w:rsidP="00723F81" w14:paraId="57FE3DC8" w14:textId="77777777">
            <w:pPr>
              <w:pStyle w:val="ColumnHeading"/>
              <w:keepNext/>
              <w:rPr>
                <w:lang w:val="en-GB"/>
              </w:rPr>
            </w:pPr>
            <w:r w:rsidRPr="002B4A69">
              <w:rPr>
                <w:lang w:val="en-GB"/>
              </w:rPr>
              <w:t>Amendment</w:t>
            </w:r>
          </w:p>
        </w:tc>
      </w:tr>
      <w:tr w14:paraId="6D1C4B4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24A3FC2" w14:textId="77777777">
            <w:pPr>
              <w:pStyle w:val="Normal6"/>
              <w:rPr>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w:t>
            </w:r>
            <w:r w:rsidRPr="002B4A69">
              <w:rPr>
                <w:b/>
                <w:i/>
                <w:lang w:val="en-GB"/>
              </w:rPr>
              <w:t>full</w:t>
            </w:r>
            <w:r w:rsidRPr="002B4A69">
              <w:rPr>
                <w:lang w:val="en-GB"/>
              </w:rPr>
              <w:t xml:space="preserve"> inclusion in the EU ETS. </w:t>
            </w:r>
            <w:r w:rsidRPr="002B4A69">
              <w:rPr>
                <w:lang w:val="en-GB"/>
              </w:rPr>
              <w:t>On the basis of</w:t>
            </w:r>
            <w:r w:rsidRPr="002B4A69">
              <w:rPr>
                <w:lang w:val="en-GB"/>
              </w:rPr>
              <w:t xml:space="preserve"> this assessment,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Regulation (EU) [</w:t>
            </w:r>
            <w:r w:rsidRPr="002B4A69">
              <w:rPr>
                <w:lang w:val="en-GB"/>
              </w:rPr>
              <w:t>…./..</w:t>
            </w:r>
            <w:r w:rsidRPr="002B4A69">
              <w:rPr>
                <w:lang w:val="en-GB"/>
              </w:rPr>
              <w:t>] of the European Parliament and of the Council Circular Economy Act</w:t>
            </w:r>
            <w:r w:rsidRPr="002B4A69">
              <w:rPr>
                <w:vertAlign w:val="superscript"/>
                <w:lang w:val="en-GB"/>
              </w:rPr>
              <w:t>26</w:t>
            </w:r>
            <w:r w:rsidRPr="002B4A69">
              <w:rPr>
                <w:lang w:val="en-GB"/>
              </w:rPr>
              <w:t xml:space="preserve"> 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decarbonisation pathway for the sector </w:t>
            </w:r>
            <w:r w:rsidRPr="002B4A69">
              <w:rPr>
                <w:lang w:val="en-GB"/>
              </w:rPr>
              <w:t>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c>
          <w:tcPr>
            <w:tcW w:w="4876" w:type="dxa"/>
          </w:tcPr>
          <w:p w:rsidR="001F04EE" w:rsidRPr="002B4A69" w:rsidP="00723F81" w14:paraId="157CBAF0" w14:textId="77777777">
            <w:pPr>
              <w:pStyle w:val="Normal6"/>
              <w:rPr>
                <w:szCs w:val="24"/>
                <w:lang w:val="en-GB"/>
              </w:rPr>
            </w:pPr>
            <w:r w:rsidRPr="002B4A69">
              <w:rPr>
                <w:lang w:val="en-GB"/>
              </w:rPr>
              <w:t>(70)</w:t>
            </w:r>
            <w:r w:rsidRPr="002B4A69">
              <w:rPr>
                <w:lang w:val="en-GB"/>
              </w:rPr>
              <w:tab/>
              <w:t xml:space="preserve">Emissions from municipal waste incineration installations are substantial and have been subject to a monitoring, reporting and verification obligation since 2024, with a requirement to assess by 31 July 2026 the feasibility of its inclusion in the EU ETS </w:t>
            </w:r>
            <w:r w:rsidRPr="002B4A69">
              <w:rPr>
                <w:b/>
                <w:i/>
                <w:lang w:val="en-GB"/>
              </w:rPr>
              <w:t>from 2028</w:t>
            </w:r>
            <w:r w:rsidRPr="002B4A69">
              <w:rPr>
                <w:lang w:val="en-GB"/>
              </w:rPr>
              <w:t xml:space="preserve">. </w:t>
            </w:r>
            <w:r w:rsidRPr="002B4A69">
              <w:rPr>
                <w:lang w:val="en-GB"/>
              </w:rPr>
              <w:t>On the basis of</w:t>
            </w:r>
            <w:r w:rsidRPr="002B4A69">
              <w:rPr>
                <w:lang w:val="en-GB"/>
              </w:rPr>
              <w:t xml:space="preserve"> this assessment, it is considered appropriate and feasible to amend Directive 2003/87/EC to </w:t>
            </w:r>
            <w:r w:rsidRPr="002B4A69">
              <w:rPr>
                <w:b/>
                <w:i/>
                <w:lang w:val="en-GB"/>
              </w:rPr>
              <w:t>gradually</w:t>
            </w:r>
            <w:r w:rsidRPr="002B4A69">
              <w:rPr>
                <w:lang w:val="en-GB"/>
              </w:rPr>
              <w:t xml:space="preserve"> include emissions from municipal waste incineration installations in the EU ETS. The extension of the EU ETS to municipal waste incineration, as part of a comprehensive approach with strengthened circular economy policies under Regulation (EU) [</w:t>
            </w:r>
            <w:r w:rsidRPr="002B4A69">
              <w:rPr>
                <w:lang w:val="en-GB"/>
              </w:rPr>
              <w:t>…./..</w:t>
            </w:r>
            <w:r w:rsidRPr="002B4A69">
              <w:rPr>
                <w:lang w:val="en-GB"/>
              </w:rPr>
              <w:t>] of the European Parliament and of the Council Circular Economy Act</w:t>
            </w:r>
            <w:r w:rsidRPr="002B4A69">
              <w:rPr>
                <w:vertAlign w:val="superscript"/>
                <w:lang w:val="en-GB"/>
              </w:rPr>
              <w:t>26</w:t>
            </w:r>
            <w:r w:rsidRPr="002B4A69">
              <w:rPr>
                <w:lang w:val="en-GB"/>
              </w:rPr>
              <w:t xml:space="preserve"> and complemented with enabling conditions, incentivises economy-wide decarbonisation, circularity of materials and carbon, and a level playing field within and between sectors. As such, the inclusion of municipal waste incineration in the EU ETS contributes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complements circular economy policies by financially incentivising and supporting the business case for carbon capture as a main </w:t>
            </w:r>
            <w:r w:rsidRPr="002B4A69">
              <w:rPr>
                <w:lang w:val="en-GB"/>
              </w:rPr>
              <w:t>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 power generation and district heating production already covered under the EU ETS.</w:t>
            </w:r>
          </w:p>
        </w:tc>
      </w:tr>
      <w:tr w14:paraId="0261326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1809E35" w14:textId="77777777">
            <w:pPr>
              <w:pStyle w:val="Normal6"/>
              <w:rPr>
                <w:lang w:val="en-GB"/>
              </w:rPr>
            </w:pPr>
            <w:r w:rsidRPr="002B4A69">
              <w:rPr>
                <w:lang w:val="en-GB"/>
              </w:rPr>
              <w:t>__________________</w:t>
            </w:r>
          </w:p>
        </w:tc>
        <w:tc>
          <w:tcPr>
            <w:tcW w:w="4876" w:type="dxa"/>
          </w:tcPr>
          <w:p w:rsidR="001F04EE" w:rsidRPr="002B4A69" w:rsidP="00723F81" w14:paraId="6E42591A" w14:textId="77777777">
            <w:pPr>
              <w:pStyle w:val="Normal6"/>
              <w:rPr>
                <w:szCs w:val="24"/>
                <w:lang w:val="en-GB"/>
              </w:rPr>
            </w:pPr>
            <w:r w:rsidRPr="002B4A69">
              <w:rPr>
                <w:lang w:val="en-GB"/>
              </w:rPr>
              <w:t>__________________</w:t>
            </w:r>
          </w:p>
        </w:tc>
      </w:tr>
      <w:tr w14:paraId="7A331B6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5D79246" w14:textId="77777777">
            <w:pPr>
              <w:pStyle w:val="Normal6"/>
              <w:rPr>
                <w:lang w:val="en-GB"/>
              </w:rPr>
            </w:pPr>
            <w:r w:rsidRPr="002B4A69">
              <w:rPr>
                <w:vertAlign w:val="superscript"/>
                <w:lang w:val="en-GB"/>
              </w:rPr>
              <w:t>26</w:t>
            </w:r>
            <w:r w:rsidRPr="002B4A69">
              <w:rPr>
                <w:lang w:val="en-GB"/>
              </w:rPr>
              <w:t xml:space="preserve"> [OJ reference to be added once adopted].</w:t>
            </w:r>
          </w:p>
        </w:tc>
        <w:tc>
          <w:tcPr>
            <w:tcW w:w="4876" w:type="dxa"/>
          </w:tcPr>
          <w:p w:rsidR="001F04EE" w:rsidRPr="002B4A69" w:rsidP="00723F81" w14:paraId="1A13871D" w14:textId="77777777">
            <w:pPr>
              <w:pStyle w:val="Normal6"/>
              <w:rPr>
                <w:szCs w:val="24"/>
                <w:lang w:val="en-GB"/>
              </w:rPr>
            </w:pPr>
            <w:r w:rsidRPr="002B4A69">
              <w:rPr>
                <w:vertAlign w:val="superscript"/>
                <w:lang w:val="en-GB"/>
              </w:rPr>
              <w:t>26</w:t>
            </w:r>
            <w:r w:rsidRPr="002B4A69">
              <w:rPr>
                <w:lang w:val="en-GB"/>
              </w:rPr>
              <w:t xml:space="preserve"> [OJ reference to be added once adopted].</w:t>
            </w:r>
          </w:p>
        </w:tc>
      </w:tr>
    </w:tbl>
    <w:p w:rsidR="001F04EE" w:rsidRPr="002B4A69" w:rsidP="001F04EE" w14:paraId="15B0382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4663CDB" w14:textId="77777777">
      <w:r w:rsidRPr="002B4A69">
        <w:rPr>
          <w:rStyle w:val="HideTWBExt"/>
        </w:rPr>
        <w:t>&lt;/Amend&gt;</w:t>
      </w:r>
    </w:p>
    <w:p w:rsidR="001F04EE" w:rsidRPr="002B4A69" w:rsidP="001F04EE" w14:paraId="2C6E156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535</w:t>
      </w:r>
      <w:r w:rsidRPr="002B4A69">
        <w:rPr>
          <w:rStyle w:val="HideTWBExt"/>
          <w:b w:val="0"/>
          <w:lang w:val="en-GB"/>
        </w:rPr>
        <w:t>&lt;/NumAm&gt;</w:t>
      </w:r>
    </w:p>
    <w:p w:rsidR="001F04EE" w:rsidRPr="002B4A69" w:rsidP="001F04EE" w14:paraId="16391A65"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27B64AB7" w14:textId="77777777">
      <w:r w:rsidRPr="002B4A69">
        <w:rPr>
          <w:rStyle w:val="HideTWBExt"/>
        </w:rPr>
        <w:t>&lt;/RepeatBlock-By&gt;</w:t>
      </w:r>
    </w:p>
    <w:p w:rsidR="001F04EE" w:rsidRPr="002B4A69" w:rsidP="001F04EE" w14:paraId="175D26E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BAA05EA" w14:textId="77777777">
      <w:pPr>
        <w:pStyle w:val="NormalBold"/>
      </w:pPr>
      <w:r w:rsidRPr="002B4A69">
        <w:rPr>
          <w:rStyle w:val="HideTWBExt"/>
          <w:b w:val="0"/>
        </w:rPr>
        <w:t>&lt;Article&gt;</w:t>
      </w:r>
      <w:r w:rsidRPr="002B4A69">
        <w:t>Recital 71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6B217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4B1E355" w14:textId="77777777">
            <w:pPr>
              <w:keepNext/>
            </w:pPr>
          </w:p>
        </w:tc>
      </w:tr>
      <w:tr w14:paraId="419D5F9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3F0FB74" w14:textId="77777777">
            <w:pPr>
              <w:pStyle w:val="ColumnHeading"/>
              <w:keepNext/>
              <w:rPr>
                <w:lang w:val="en-GB"/>
              </w:rPr>
            </w:pPr>
            <w:r w:rsidRPr="002B4A69">
              <w:rPr>
                <w:lang w:val="en-GB"/>
              </w:rPr>
              <w:t>Text proposed by the Commission</w:t>
            </w:r>
          </w:p>
        </w:tc>
        <w:tc>
          <w:tcPr>
            <w:tcW w:w="4876" w:type="dxa"/>
          </w:tcPr>
          <w:p w:rsidR="001F04EE" w:rsidRPr="002B4A69" w:rsidP="00723F81" w14:paraId="1EEB3D5A" w14:textId="77777777">
            <w:pPr>
              <w:pStyle w:val="ColumnHeading"/>
              <w:keepNext/>
              <w:rPr>
                <w:lang w:val="en-GB"/>
              </w:rPr>
            </w:pPr>
            <w:r w:rsidRPr="002B4A69">
              <w:rPr>
                <w:lang w:val="en-GB"/>
              </w:rPr>
              <w:t>Amendment</w:t>
            </w:r>
          </w:p>
        </w:tc>
      </w:tr>
      <w:tr w14:paraId="36D14AE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D69F389" w14:textId="77777777">
            <w:pPr>
              <w:pStyle w:val="Normal6"/>
              <w:rPr>
                <w:lang w:val="en-GB"/>
              </w:rPr>
            </w:pPr>
            <w:r w:rsidRPr="002B4A69">
              <w:rPr>
                <w:b/>
                <w:i/>
                <w:lang w:val="en-GB"/>
              </w:rPr>
              <w:t>(71)</w:t>
            </w:r>
            <w:r w:rsidRPr="002B4A69">
              <w:rPr>
                <w:b/>
                <w:i/>
                <w:lang w:val="en-GB"/>
              </w:rPr>
              <w:tab/>
              <w:t>The carbon price signal and circular economy policies are mutually reinforcing. The hierarchical principles of waste management, as established in the EU Waste Framework Directive 2008/98/EC</w:t>
            </w:r>
            <w:r w:rsidRPr="002B4A69">
              <w:rPr>
                <w:b/>
                <w:i/>
                <w:vertAlign w:val="superscript"/>
                <w:lang w:val="en-GB"/>
              </w:rPr>
              <w:t>27</w:t>
            </w:r>
            <w:r w:rsidRPr="002B4A69">
              <w:rPr>
                <w:lang w:val="en-GB"/>
              </w:rPr>
              <w:t xml:space="preserve"> </w:t>
            </w:r>
            <w:r w:rsidRPr="002B4A69">
              <w:rPr>
                <w:b/>
                <w:i/>
                <w:lang w:val="en-GB"/>
              </w:rPr>
              <w:t>,</w:t>
            </w:r>
            <w:r w:rsidRPr="002B4A69">
              <w:rPr>
                <w:b/>
                <w:i/>
                <w:lang w:val="en-GB"/>
              </w:rPr>
              <w:t xml:space="preserve"> prioritise prevention, reuse, recycling, and recovery over disposal, including incineration, and emphasise the need to reduce the </w:t>
            </w:r>
            <w:r w:rsidRPr="002B4A69">
              <w:rPr>
                <w:b/>
                <w:i/>
                <w:lang w:val="en-GB"/>
              </w:rPr>
              <w:t>environmental impact of waste at every stage of its lifecycle. The carbon price will complement regulatory and fiscal policies with a harmonised incentive and support for waste management in line with the higher steps of the waste hierarchy through improved waste prevention, preparing for reuse, separate collection, sorting and recycling. More circularity in turn reduces GHG emissions from waste management and displaces more carbon-intensive virgin materials. However, carbon emissions generated during the incineration of waste are not solely determined by the incineration process and the pre-treatment carried out by operators. These emissions are also influenced by upstream activities, including the availability and utilisation of recycling, reuse, and composting infrastructure; the effectiveness of separate collection schemes for recyclable and recoverable materials; the extent of separation at source by households, commercial actors, and public authorities; the consumption patterns of products and materials; and the design and lifespan of goods. Therefore, complementary waste policies under Regulation (EU) [</w:t>
            </w:r>
            <w:r w:rsidRPr="002B4A69">
              <w:rPr>
                <w:b/>
                <w:i/>
                <w:lang w:val="en-GB"/>
              </w:rPr>
              <w:t>…./..</w:t>
            </w:r>
            <w:r w:rsidRPr="002B4A69">
              <w:rPr>
                <w:b/>
                <w:i/>
                <w:lang w:val="en-GB"/>
              </w:rPr>
              <w:t>] [Circular Economy Act] will contribute to ensure a comprehensive approach by stimulating the single market and demand for secondary materials and circular products, supporting investment in recycling capacity, reducing the landfilling and incineration of used raw materials, and rolling-out upstream producer-oriented policies such as eco-design requirements and strengthened Extended Producer Responsibility.</w:t>
            </w:r>
          </w:p>
        </w:tc>
        <w:tc>
          <w:tcPr>
            <w:tcW w:w="4876" w:type="dxa"/>
          </w:tcPr>
          <w:p w:rsidR="001F04EE" w:rsidRPr="002B4A69" w:rsidP="00723F81" w14:paraId="74B09F04" w14:textId="77777777">
            <w:pPr>
              <w:pStyle w:val="Normal6"/>
              <w:rPr>
                <w:szCs w:val="24"/>
                <w:lang w:val="en-GB"/>
              </w:rPr>
            </w:pPr>
            <w:r w:rsidRPr="002B4A69">
              <w:rPr>
                <w:b/>
                <w:i/>
                <w:lang w:val="en-GB"/>
              </w:rPr>
              <w:t>deleted</w:t>
            </w:r>
          </w:p>
        </w:tc>
      </w:tr>
      <w:tr w14:paraId="0605DE9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6332982" w14:textId="77777777">
            <w:pPr>
              <w:pStyle w:val="Normal6"/>
              <w:rPr>
                <w:lang w:val="en-GB"/>
              </w:rPr>
            </w:pPr>
            <w:r w:rsidRPr="002B4A69">
              <w:rPr>
                <w:b/>
                <w:i/>
                <w:lang w:val="en-GB"/>
              </w:rPr>
              <w:t>__________________</w:t>
            </w:r>
          </w:p>
        </w:tc>
        <w:tc>
          <w:tcPr>
            <w:tcW w:w="4876" w:type="dxa"/>
          </w:tcPr>
          <w:p w:rsidR="001F04EE" w:rsidRPr="002B4A69" w:rsidP="00723F81" w14:paraId="43CC0C6F" w14:textId="77777777">
            <w:pPr>
              <w:pStyle w:val="Normal6"/>
              <w:rPr>
                <w:szCs w:val="24"/>
                <w:lang w:val="en-GB"/>
              </w:rPr>
            </w:pPr>
          </w:p>
        </w:tc>
      </w:tr>
      <w:tr w14:paraId="436C35D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39C9CF" w14:textId="77777777">
            <w:pPr>
              <w:pStyle w:val="Normal6"/>
              <w:rPr>
                <w:lang w:val="en-GB"/>
              </w:rPr>
            </w:pPr>
            <w:r w:rsidRPr="002B4A69">
              <w:rPr>
                <w:b/>
                <w:i/>
                <w:vertAlign w:val="superscript"/>
                <w:lang w:val="en-GB"/>
              </w:rPr>
              <w:t>27</w:t>
            </w:r>
            <w:r w:rsidRPr="002B4A69">
              <w:rPr>
                <w:lang w:val="en-GB"/>
              </w:rPr>
              <w:t xml:space="preserve"> </w:t>
            </w:r>
            <w:r w:rsidRPr="002B4A69">
              <w:rPr>
                <w:b/>
                <w:i/>
                <w:lang w:val="en-GB"/>
              </w:rPr>
              <w:t>Directive 2008/98/EC of the European Parliament and of the Council of 19 November 2008 on waste and repealing certain Directives.</w:t>
            </w:r>
          </w:p>
        </w:tc>
        <w:tc>
          <w:tcPr>
            <w:tcW w:w="4876" w:type="dxa"/>
          </w:tcPr>
          <w:p w:rsidR="001F04EE" w:rsidRPr="002B4A69" w:rsidP="00723F81" w14:paraId="05FFDA74" w14:textId="77777777">
            <w:pPr>
              <w:pStyle w:val="Normal6"/>
              <w:rPr>
                <w:szCs w:val="24"/>
                <w:lang w:val="en-GB"/>
              </w:rPr>
            </w:pPr>
          </w:p>
        </w:tc>
      </w:tr>
    </w:tbl>
    <w:p w:rsidR="001F04EE" w:rsidRPr="002B4A69" w:rsidP="001F04EE" w14:paraId="295B08B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46A65D8" w14:textId="77777777">
      <w:r w:rsidRPr="002B4A69">
        <w:rPr>
          <w:rStyle w:val="HideTWBExt"/>
        </w:rPr>
        <w:t>&lt;/Amend&gt;</w:t>
      </w:r>
    </w:p>
    <w:p w:rsidR="001F04EE" w:rsidRPr="002B4A69" w:rsidP="001F04EE" w14:paraId="2B1829A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536</w:t>
      </w:r>
      <w:r w:rsidRPr="002B4A69">
        <w:rPr>
          <w:rStyle w:val="HideTWBExt"/>
          <w:b w:val="0"/>
          <w:lang w:val="en-GB"/>
        </w:rPr>
        <w:t>&lt;/NumAm&gt;</w:t>
      </w:r>
    </w:p>
    <w:p w:rsidR="001F04EE" w:rsidRPr="002B4A69" w:rsidP="001F04EE" w14:paraId="5901BEF5"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3307A30F"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4707390F"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7B24E0A4" w14:textId="77777777">
      <w:r w:rsidRPr="002B4A69">
        <w:rPr>
          <w:rStyle w:val="HideTWBExt"/>
        </w:rPr>
        <w:t>&lt;/RepeatBlock-By&gt;</w:t>
      </w:r>
    </w:p>
    <w:p w:rsidR="001F04EE" w:rsidRPr="002B4A69" w:rsidP="001F04EE" w14:paraId="50CAFED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6A07E44" w14:textId="77777777">
      <w:pPr>
        <w:pStyle w:val="NormalBold"/>
      </w:pPr>
      <w:r w:rsidRPr="002B4A69">
        <w:rPr>
          <w:rStyle w:val="HideTWBExt"/>
          <w:b w:val="0"/>
        </w:rPr>
        <w:t>&lt;Article&gt;</w:t>
      </w:r>
      <w:r w:rsidRPr="002B4A69">
        <w:t>Recital 71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D5066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618B499" w14:textId="77777777">
            <w:pPr>
              <w:keepNext/>
            </w:pPr>
          </w:p>
        </w:tc>
      </w:tr>
      <w:tr w14:paraId="6D04B08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3639FCB" w14:textId="77777777">
            <w:pPr>
              <w:pStyle w:val="ColumnHeading"/>
              <w:keepNext/>
              <w:rPr>
                <w:lang w:val="en-GB"/>
              </w:rPr>
            </w:pPr>
            <w:r w:rsidRPr="002B4A69">
              <w:rPr>
                <w:lang w:val="en-GB"/>
              </w:rPr>
              <w:t>Text proposed by the Commission</w:t>
            </w:r>
          </w:p>
        </w:tc>
        <w:tc>
          <w:tcPr>
            <w:tcW w:w="4876" w:type="dxa"/>
          </w:tcPr>
          <w:p w:rsidR="001F04EE" w:rsidRPr="002B4A69" w:rsidP="00723F81" w14:paraId="0FF60AB0" w14:textId="77777777">
            <w:pPr>
              <w:pStyle w:val="ColumnHeading"/>
              <w:keepNext/>
              <w:rPr>
                <w:lang w:val="en-GB"/>
              </w:rPr>
            </w:pPr>
            <w:r w:rsidRPr="002B4A69">
              <w:rPr>
                <w:lang w:val="en-GB"/>
              </w:rPr>
              <w:t>Amendment</w:t>
            </w:r>
          </w:p>
        </w:tc>
      </w:tr>
      <w:tr w14:paraId="4D00195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7F59D95" w14:textId="77777777">
            <w:pPr>
              <w:pStyle w:val="Normal6"/>
              <w:rPr>
                <w:lang w:val="en-GB"/>
              </w:rPr>
            </w:pPr>
            <w:r w:rsidRPr="002B4A69">
              <w:rPr>
                <w:b/>
                <w:i/>
                <w:lang w:val="en-GB"/>
              </w:rPr>
              <w:t>(71)</w:t>
            </w:r>
            <w:r w:rsidRPr="002B4A69">
              <w:rPr>
                <w:b/>
                <w:i/>
                <w:lang w:val="en-GB"/>
              </w:rPr>
              <w:tab/>
              <w:t>The carbon price signal and circular economy policies are mutually reinforcing. The hierarchical principles of waste management, as established in the EU Waste Framework Directive 2008/98/EC</w:t>
            </w:r>
            <w:r w:rsidRPr="002B4A69">
              <w:rPr>
                <w:b/>
                <w:i/>
                <w:vertAlign w:val="superscript"/>
                <w:lang w:val="en-GB"/>
              </w:rPr>
              <w:t>27</w:t>
            </w:r>
            <w:r w:rsidRPr="002B4A69">
              <w:rPr>
                <w:lang w:val="en-GB"/>
              </w:rPr>
              <w:t xml:space="preserve"> </w:t>
            </w:r>
            <w:r w:rsidRPr="002B4A69">
              <w:rPr>
                <w:b/>
                <w:i/>
                <w:lang w:val="en-GB"/>
              </w:rPr>
              <w:t>,</w:t>
            </w:r>
            <w:r w:rsidRPr="002B4A69">
              <w:rPr>
                <w:b/>
                <w:i/>
                <w:lang w:val="en-GB"/>
              </w:rPr>
              <w:t xml:space="preserve"> prioritise prevention, reuse, recycling, and recovery over disposal, including incineration, and emphasise the need to reduce the environmental impact of waste at every stage of its lifecycle. The carbon price will complement regulatory and fiscal policies with a harmonised incentive and support for waste management in line with the higher steps of the waste hierarchy through improved waste prevention, preparing for reuse, separate collection, sorting and recycling. More circularity in turn reduces GHG emissions from waste management and displaces more carbon-intensive virgin materials. However, carbon emissions generated during the incineration of waste are not solely determined by the incineration process and the pre-treatment carried out by operators. These emissions are also influenced by upstream activities, including the availability and utilisation of recycling, reuse, and composting infrastructure; the effectiveness of separate collection schemes for recyclable and recoverable materials; the extent of separation at source by households, commercial actors, and public authorities; the consumption patterns of products and materials; and the design and lifespan of </w:t>
            </w:r>
            <w:r w:rsidRPr="002B4A69">
              <w:rPr>
                <w:b/>
                <w:i/>
                <w:lang w:val="en-GB"/>
              </w:rPr>
              <w:t>goods. Therefore, complementary waste policies under Regulation (EU) [</w:t>
            </w:r>
            <w:r w:rsidRPr="002B4A69">
              <w:rPr>
                <w:b/>
                <w:i/>
                <w:lang w:val="en-GB"/>
              </w:rPr>
              <w:t>…./..</w:t>
            </w:r>
            <w:r w:rsidRPr="002B4A69">
              <w:rPr>
                <w:b/>
                <w:i/>
                <w:lang w:val="en-GB"/>
              </w:rPr>
              <w:t>] [Circular Economy Act] will contribute to ensure a comprehensive approach by stimulating the single market and demand for secondary materials and circular products, supporting investment in recycling capacity, reducing the landfilling and incineration of used raw materials, and rolling-out upstream producer-oriented policies such as eco-design requirements and strengthened Extended Producer Responsibility.</w:t>
            </w:r>
          </w:p>
        </w:tc>
        <w:tc>
          <w:tcPr>
            <w:tcW w:w="4876" w:type="dxa"/>
          </w:tcPr>
          <w:p w:rsidR="001F04EE" w:rsidRPr="002B4A69" w:rsidP="00723F81" w14:paraId="54AB5C48" w14:textId="77777777">
            <w:pPr>
              <w:pStyle w:val="Normal6"/>
              <w:rPr>
                <w:szCs w:val="24"/>
                <w:lang w:val="en-GB"/>
              </w:rPr>
            </w:pPr>
            <w:r w:rsidRPr="002B4A69">
              <w:rPr>
                <w:b/>
                <w:i/>
                <w:lang w:val="en-GB"/>
              </w:rPr>
              <w:t>deleted</w:t>
            </w:r>
          </w:p>
        </w:tc>
      </w:tr>
      <w:tr w14:paraId="231CECE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7D9CB25" w14:textId="77777777">
            <w:pPr>
              <w:pStyle w:val="Normal6"/>
              <w:rPr>
                <w:lang w:val="en-GB"/>
              </w:rPr>
            </w:pPr>
            <w:r w:rsidRPr="002B4A69">
              <w:rPr>
                <w:b/>
                <w:i/>
                <w:lang w:val="en-GB"/>
              </w:rPr>
              <w:t>__________________</w:t>
            </w:r>
          </w:p>
        </w:tc>
        <w:tc>
          <w:tcPr>
            <w:tcW w:w="4876" w:type="dxa"/>
          </w:tcPr>
          <w:p w:rsidR="001F04EE" w:rsidRPr="002B4A69" w:rsidP="00723F81" w14:paraId="1953136D" w14:textId="77777777">
            <w:pPr>
              <w:pStyle w:val="Normal6"/>
              <w:rPr>
                <w:szCs w:val="24"/>
                <w:lang w:val="en-GB"/>
              </w:rPr>
            </w:pPr>
          </w:p>
        </w:tc>
      </w:tr>
      <w:tr w14:paraId="5A709B7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BA2002" w14:textId="77777777">
            <w:pPr>
              <w:pStyle w:val="Normal6"/>
              <w:rPr>
                <w:lang w:val="en-GB"/>
              </w:rPr>
            </w:pPr>
            <w:r w:rsidRPr="002B4A69">
              <w:rPr>
                <w:b/>
                <w:i/>
                <w:vertAlign w:val="superscript"/>
                <w:lang w:val="en-GB"/>
              </w:rPr>
              <w:t>27</w:t>
            </w:r>
            <w:r w:rsidRPr="002B4A69">
              <w:rPr>
                <w:lang w:val="en-GB"/>
              </w:rPr>
              <w:t xml:space="preserve"> </w:t>
            </w:r>
            <w:r w:rsidRPr="002B4A69">
              <w:rPr>
                <w:b/>
                <w:i/>
                <w:lang w:val="en-GB"/>
              </w:rPr>
              <w:t>Directive 2008/98/EC of the European Parliament and of the Council of 19 November 2008 on waste and repealing certain Directives.</w:t>
            </w:r>
          </w:p>
        </w:tc>
        <w:tc>
          <w:tcPr>
            <w:tcW w:w="4876" w:type="dxa"/>
          </w:tcPr>
          <w:p w:rsidR="001F04EE" w:rsidRPr="002B4A69" w:rsidP="00723F81" w14:paraId="2A6AB363" w14:textId="77777777">
            <w:pPr>
              <w:pStyle w:val="Normal6"/>
              <w:rPr>
                <w:szCs w:val="24"/>
                <w:lang w:val="en-GB"/>
              </w:rPr>
            </w:pPr>
          </w:p>
        </w:tc>
      </w:tr>
    </w:tbl>
    <w:p w:rsidR="001F04EE" w:rsidRPr="002B4A69" w:rsidP="001F04EE" w14:paraId="2D089DB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E973086"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492D639D" w14:textId="77777777">
      <w:pPr>
        <w:pStyle w:val="Normal12Italic"/>
        <w:rPr>
          <w:noProof w:val="0"/>
          <w:lang w:val="en-GB"/>
        </w:rPr>
      </w:pPr>
      <w:r w:rsidRPr="002B4A69">
        <w:rPr>
          <w:noProof w:val="0"/>
          <w:lang w:val="en-GB"/>
        </w:rPr>
        <w:t>This recital presents carbon pricing at the incineration stage as an incentive for prevention, reuse and recycling, while recognising that emissions are also determined by decisions made upstream. Waste-to-Energy operators cannot change product design, consumption patterns or the composition of the waste they receive. Measures such as ecodesign and extended producer responsibility address those factors more directly. The proposed carbon price cannot be assumed to deliver the improvements described in the recital.</w:t>
      </w:r>
    </w:p>
    <w:p w:rsidR="001F04EE" w:rsidRPr="002B4A69" w:rsidP="001F04EE" w14:paraId="6D535D31" w14:textId="77777777">
      <w:r w:rsidRPr="002B4A69">
        <w:rPr>
          <w:rStyle w:val="HideTWBExt"/>
        </w:rPr>
        <w:t>&lt;/Amend&gt;</w:t>
      </w:r>
    </w:p>
    <w:p w:rsidR="001F04EE" w:rsidRPr="002B4A69" w:rsidP="001F04EE" w14:paraId="0B711D1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537</w:t>
      </w:r>
      <w:r w:rsidRPr="002B4A69">
        <w:rPr>
          <w:rStyle w:val="HideTWBExt"/>
          <w:b w:val="0"/>
          <w:lang w:val="en-GB"/>
        </w:rPr>
        <w:t>&lt;/NumAm&gt;</w:t>
      </w:r>
    </w:p>
    <w:p w:rsidR="001F04EE" w:rsidRPr="002B4A69" w:rsidP="001F04EE" w14:paraId="0D74CBF4" w14:textId="77777777">
      <w:pPr>
        <w:pStyle w:val="NormalBold"/>
      </w:pPr>
      <w:r w:rsidRPr="002B4A69">
        <w:rPr>
          <w:rStyle w:val="HideTWBExt"/>
          <w:b w:val="0"/>
        </w:rPr>
        <w:t>&lt;RepeatBlock-By&gt;&lt;Members&gt;</w:t>
      </w:r>
      <w:r w:rsidRPr="002B4A69">
        <w:t>Silvia Sardone, Mathilde Androuët, Roman Haider, Antonín Staněk, Marie-Luce Brasier-Clain, Susanna Ceccardi, Barbara Bonte</w:t>
      </w:r>
      <w:r w:rsidRPr="002B4A69">
        <w:rPr>
          <w:rStyle w:val="HideTWBExt"/>
          <w:b w:val="0"/>
        </w:rPr>
        <w:t>&lt;/Members&gt;</w:t>
      </w:r>
    </w:p>
    <w:p w:rsidR="001F04EE" w:rsidRPr="002B4A69" w:rsidP="001F04EE" w14:paraId="54C0FAA6" w14:textId="77777777">
      <w:r w:rsidRPr="002B4A69">
        <w:rPr>
          <w:rStyle w:val="HideTWBExt"/>
        </w:rPr>
        <w:t>&lt;/RepeatBlock-By&gt;</w:t>
      </w:r>
    </w:p>
    <w:p w:rsidR="001F04EE" w:rsidRPr="002B4A69" w:rsidP="001F04EE" w14:paraId="0A5C9630"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CFA67C9" w14:textId="77777777">
      <w:pPr>
        <w:pStyle w:val="NormalBold"/>
      </w:pPr>
      <w:r w:rsidRPr="002B4A69">
        <w:rPr>
          <w:rStyle w:val="HideTWBExt"/>
          <w:b w:val="0"/>
        </w:rPr>
        <w:t>&lt;Article&gt;</w:t>
      </w:r>
      <w:r w:rsidRPr="002B4A69">
        <w:t>Recital 71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E9DB7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D6C5446" w14:textId="77777777">
            <w:pPr>
              <w:keepNext/>
            </w:pPr>
          </w:p>
        </w:tc>
      </w:tr>
      <w:tr w14:paraId="18D05C8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9965759" w14:textId="77777777">
            <w:pPr>
              <w:pStyle w:val="ColumnHeading"/>
              <w:keepNext/>
              <w:rPr>
                <w:lang w:val="en-GB"/>
              </w:rPr>
            </w:pPr>
            <w:r w:rsidRPr="002B4A69">
              <w:rPr>
                <w:lang w:val="en-GB"/>
              </w:rPr>
              <w:t>Text proposed by the Commission</w:t>
            </w:r>
          </w:p>
        </w:tc>
        <w:tc>
          <w:tcPr>
            <w:tcW w:w="4876" w:type="dxa"/>
          </w:tcPr>
          <w:p w:rsidR="001F04EE" w:rsidRPr="002B4A69" w:rsidP="00723F81" w14:paraId="77A1E4B8" w14:textId="77777777">
            <w:pPr>
              <w:pStyle w:val="ColumnHeading"/>
              <w:keepNext/>
              <w:rPr>
                <w:lang w:val="en-GB"/>
              </w:rPr>
            </w:pPr>
            <w:r w:rsidRPr="002B4A69">
              <w:rPr>
                <w:lang w:val="en-GB"/>
              </w:rPr>
              <w:t>Amendment</w:t>
            </w:r>
          </w:p>
        </w:tc>
      </w:tr>
      <w:tr w14:paraId="422F2C5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C7B9B37" w14:textId="77777777">
            <w:pPr>
              <w:pStyle w:val="Normal6"/>
              <w:rPr>
                <w:lang w:val="en-GB"/>
              </w:rPr>
            </w:pPr>
            <w:r w:rsidRPr="002B4A69">
              <w:rPr>
                <w:b/>
                <w:i/>
                <w:lang w:val="en-GB"/>
              </w:rPr>
              <w:t>(71)</w:t>
            </w:r>
            <w:r w:rsidRPr="002B4A69">
              <w:rPr>
                <w:b/>
                <w:i/>
                <w:lang w:val="en-GB"/>
              </w:rPr>
              <w:tab/>
              <w:t>The carbon price signal and circular economy policies are mutually reinforcing. The hierarchical principles of waste management, as established in the EU Waste Framework Directive 2008/98/EC</w:t>
            </w:r>
            <w:r w:rsidRPr="002B4A69">
              <w:rPr>
                <w:b/>
                <w:i/>
                <w:vertAlign w:val="superscript"/>
                <w:lang w:val="en-GB"/>
              </w:rPr>
              <w:t>27</w:t>
            </w:r>
            <w:r w:rsidRPr="002B4A69">
              <w:rPr>
                <w:lang w:val="en-GB"/>
              </w:rPr>
              <w:t xml:space="preserve"> </w:t>
            </w:r>
            <w:r w:rsidRPr="002B4A69">
              <w:rPr>
                <w:b/>
                <w:i/>
                <w:lang w:val="en-GB"/>
              </w:rPr>
              <w:t>,</w:t>
            </w:r>
            <w:r w:rsidRPr="002B4A69">
              <w:rPr>
                <w:b/>
                <w:i/>
                <w:lang w:val="en-GB"/>
              </w:rPr>
              <w:t xml:space="preserve"> prioritise prevention, reuse, recycling, and recovery over </w:t>
            </w:r>
            <w:r w:rsidRPr="002B4A69">
              <w:rPr>
                <w:b/>
                <w:i/>
                <w:lang w:val="en-GB"/>
              </w:rPr>
              <w:t>disposal, including incineration, and emphasise the need to reduce the environmental impact of waste at every stage of its lifecycle. The carbon price will complement regulatory and fiscal policies with a harmonised incentive and support for waste management in line with the higher steps of the waste hierarchy through improved waste prevention, preparing for reuse, separate collection, sorting and recycling. More circularity in turn reduces GHG emissions from waste management and displaces more carbon-intensive virgin materials. However, carbon emissions generated during the incineration of waste are not solely determined by the incineration process and the pre-treatment carried out by operators. These emissions are also influenced by upstream activities, including the availability and utilisation of recycling, reuse, and composting infrastructure; the effectiveness of separate collection schemes for recyclable and recoverable materials; the extent of separation at source by households, commercial actors, and public authorities; the consumption patterns of products and materials; and the design and lifespan of goods. Therefore, complementary waste policies under Regulation (EU) [</w:t>
            </w:r>
            <w:r w:rsidRPr="002B4A69">
              <w:rPr>
                <w:b/>
                <w:i/>
                <w:lang w:val="en-GB"/>
              </w:rPr>
              <w:t>…./..</w:t>
            </w:r>
            <w:r w:rsidRPr="002B4A69">
              <w:rPr>
                <w:b/>
                <w:i/>
                <w:lang w:val="en-GB"/>
              </w:rPr>
              <w:t>] [Circular Economy Act] will contribute to ensure a comprehensive approach by stimulating the single market and demand for secondary materials and circular products, supporting investment in recycling capacity, reducing the landfilling and incineration of used raw materials, and rolling-out upstream producer-oriented policies such as eco-design requirements and strengthened Extended Producer Responsibility.</w:t>
            </w:r>
          </w:p>
        </w:tc>
        <w:tc>
          <w:tcPr>
            <w:tcW w:w="4876" w:type="dxa"/>
          </w:tcPr>
          <w:p w:rsidR="001F04EE" w:rsidRPr="002B4A69" w:rsidP="00723F81" w14:paraId="7CFE4878" w14:textId="77777777">
            <w:pPr>
              <w:pStyle w:val="Normal6"/>
              <w:rPr>
                <w:szCs w:val="24"/>
                <w:lang w:val="en-GB"/>
              </w:rPr>
            </w:pPr>
            <w:r w:rsidRPr="002B4A69">
              <w:rPr>
                <w:b/>
                <w:i/>
                <w:lang w:val="en-GB"/>
              </w:rPr>
              <w:t>deleted</w:t>
            </w:r>
          </w:p>
        </w:tc>
      </w:tr>
      <w:tr w14:paraId="6C766F9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6C4CC1D" w14:textId="77777777">
            <w:pPr>
              <w:pStyle w:val="Normal6"/>
              <w:rPr>
                <w:lang w:val="en-GB"/>
              </w:rPr>
            </w:pPr>
            <w:r w:rsidRPr="002B4A69">
              <w:rPr>
                <w:b/>
                <w:i/>
                <w:lang w:val="en-GB"/>
              </w:rPr>
              <w:t>__________________</w:t>
            </w:r>
          </w:p>
        </w:tc>
        <w:tc>
          <w:tcPr>
            <w:tcW w:w="4876" w:type="dxa"/>
          </w:tcPr>
          <w:p w:rsidR="001F04EE" w:rsidRPr="002B4A69" w:rsidP="00723F81" w14:paraId="66D74B73" w14:textId="77777777">
            <w:pPr>
              <w:pStyle w:val="Normal6"/>
              <w:rPr>
                <w:szCs w:val="24"/>
                <w:lang w:val="en-GB"/>
              </w:rPr>
            </w:pPr>
          </w:p>
        </w:tc>
      </w:tr>
      <w:tr w14:paraId="3028DB6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6A3D484" w14:textId="77777777">
            <w:pPr>
              <w:pStyle w:val="Normal6"/>
              <w:rPr>
                <w:lang w:val="en-GB"/>
              </w:rPr>
            </w:pPr>
            <w:r w:rsidRPr="002B4A69">
              <w:rPr>
                <w:b/>
                <w:i/>
                <w:vertAlign w:val="superscript"/>
                <w:lang w:val="en-GB"/>
              </w:rPr>
              <w:t>27</w:t>
            </w:r>
            <w:r w:rsidRPr="002B4A69">
              <w:rPr>
                <w:lang w:val="en-GB"/>
              </w:rPr>
              <w:t xml:space="preserve"> </w:t>
            </w:r>
            <w:r w:rsidRPr="002B4A69">
              <w:rPr>
                <w:b/>
                <w:i/>
                <w:lang w:val="en-GB"/>
              </w:rPr>
              <w:t>Directive 2008/98/EC of the European Parliament and of the Council of 19 November 2008 on waste and repealing certain Directives.</w:t>
            </w:r>
          </w:p>
        </w:tc>
        <w:tc>
          <w:tcPr>
            <w:tcW w:w="4876" w:type="dxa"/>
          </w:tcPr>
          <w:p w:rsidR="001F04EE" w:rsidRPr="002B4A69" w:rsidP="00723F81" w14:paraId="261C8BB8" w14:textId="77777777">
            <w:pPr>
              <w:pStyle w:val="Normal6"/>
              <w:rPr>
                <w:szCs w:val="24"/>
                <w:lang w:val="en-GB"/>
              </w:rPr>
            </w:pPr>
          </w:p>
        </w:tc>
      </w:tr>
    </w:tbl>
    <w:p w:rsidR="001F04EE" w:rsidRPr="002B4A69" w:rsidP="001F04EE" w14:paraId="2A76A65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4D70A01" w14:textId="77777777">
      <w:r w:rsidRPr="002B4A69">
        <w:rPr>
          <w:rStyle w:val="HideTWBExt"/>
        </w:rPr>
        <w:t>&lt;/Amend&gt;</w:t>
      </w:r>
    </w:p>
    <w:p w:rsidR="001F04EE" w:rsidRPr="002B4A69" w:rsidP="001F04EE" w14:paraId="1844228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538</w:t>
      </w:r>
      <w:r w:rsidRPr="002B4A69">
        <w:rPr>
          <w:rStyle w:val="HideTWBExt"/>
          <w:b w:val="0"/>
          <w:lang w:val="en-GB"/>
        </w:rPr>
        <w:t>&lt;/NumAm&gt;</w:t>
      </w:r>
    </w:p>
    <w:p w:rsidR="001F04EE" w:rsidRPr="002B4A69" w:rsidP="001F04EE" w14:paraId="08EC6903"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708549C4" w14:textId="77777777">
      <w:r w:rsidRPr="002B4A69">
        <w:rPr>
          <w:rStyle w:val="HideTWBExt"/>
        </w:rPr>
        <w:t>&lt;/RepeatBlock-By&gt;</w:t>
      </w:r>
    </w:p>
    <w:p w:rsidR="001F04EE" w:rsidRPr="002B4A69" w:rsidP="001F04EE" w14:paraId="446BCE74"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6DC017E" w14:textId="77777777">
      <w:pPr>
        <w:pStyle w:val="NormalBold"/>
      </w:pPr>
      <w:r w:rsidRPr="002B4A69">
        <w:rPr>
          <w:rStyle w:val="HideTWBExt"/>
          <w:b w:val="0"/>
        </w:rPr>
        <w:t>&lt;Article&gt;</w:t>
      </w:r>
      <w:r w:rsidRPr="002B4A69">
        <w:t>Recital 71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A6FA2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132384E" w14:textId="77777777">
            <w:pPr>
              <w:keepNext/>
            </w:pPr>
          </w:p>
        </w:tc>
      </w:tr>
      <w:tr w14:paraId="34E4794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6D780B6" w14:textId="77777777">
            <w:pPr>
              <w:pStyle w:val="ColumnHeading"/>
              <w:keepNext/>
              <w:rPr>
                <w:lang w:val="en-GB"/>
              </w:rPr>
            </w:pPr>
            <w:r w:rsidRPr="002B4A69">
              <w:rPr>
                <w:lang w:val="en-GB"/>
              </w:rPr>
              <w:t>Text proposed by the Commission</w:t>
            </w:r>
          </w:p>
        </w:tc>
        <w:tc>
          <w:tcPr>
            <w:tcW w:w="4876" w:type="dxa"/>
          </w:tcPr>
          <w:p w:rsidR="001F04EE" w:rsidRPr="002B4A69" w:rsidP="00723F81" w14:paraId="24719817" w14:textId="77777777">
            <w:pPr>
              <w:pStyle w:val="ColumnHeading"/>
              <w:keepNext/>
              <w:rPr>
                <w:lang w:val="en-GB"/>
              </w:rPr>
            </w:pPr>
            <w:r w:rsidRPr="002B4A69">
              <w:rPr>
                <w:lang w:val="en-GB"/>
              </w:rPr>
              <w:t>Amendment</w:t>
            </w:r>
          </w:p>
        </w:tc>
      </w:tr>
      <w:tr w14:paraId="519B22F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C0C96B8" w14:textId="77777777">
            <w:pPr>
              <w:pStyle w:val="Normal6"/>
              <w:rPr>
                <w:lang w:val="en-GB"/>
              </w:rPr>
            </w:pPr>
            <w:r w:rsidRPr="002B4A69">
              <w:rPr>
                <w:b/>
                <w:i/>
                <w:lang w:val="en-GB"/>
              </w:rPr>
              <w:t>(71)</w:t>
            </w:r>
            <w:r w:rsidRPr="002B4A69">
              <w:rPr>
                <w:b/>
                <w:i/>
                <w:lang w:val="en-GB"/>
              </w:rPr>
              <w:tab/>
              <w:t>The carbon price signal and circular economy policies are mutually reinforcing. The hierarchical principles of waste management, as established in the EU Waste Framework Directive 2008/98/EC</w:t>
            </w:r>
            <w:r w:rsidRPr="002B4A69">
              <w:rPr>
                <w:b/>
                <w:i/>
                <w:vertAlign w:val="superscript"/>
                <w:lang w:val="en-GB"/>
              </w:rPr>
              <w:t>27</w:t>
            </w:r>
            <w:r w:rsidRPr="002B4A69">
              <w:rPr>
                <w:lang w:val="en-GB"/>
              </w:rPr>
              <w:t xml:space="preserve"> </w:t>
            </w:r>
            <w:r w:rsidRPr="002B4A69">
              <w:rPr>
                <w:b/>
                <w:i/>
                <w:lang w:val="en-GB"/>
              </w:rPr>
              <w:t>,</w:t>
            </w:r>
            <w:r w:rsidRPr="002B4A69">
              <w:rPr>
                <w:b/>
                <w:i/>
                <w:lang w:val="en-GB"/>
              </w:rPr>
              <w:t xml:space="preserve"> prioritise prevention, reuse, recycling, and recovery over disposal, including incineration, and emphasise the need to reduce the environmental impact of waste at every stage of its lifecycle. The carbon price will complement regulatory and fiscal policies with a harmonised incentive and support for waste management in line with the higher steps of the waste hierarchy through improved waste prevention, preparing for reuse, separate collection, sorting and recycling. More circularity in turn reduces GHG emissions from waste management and displaces more carbon-intensive virgin materials. However, carbon emissions generated during the incineration of waste are not solely determined by the incineration process and the pre-treatment carried out by operators. These emissions are also influenced by upstream activities, including the availability and utilisation of recycling, reuse, and composting infrastructure; the effectiveness of separate collection schemes for recyclable and recoverable materials; the extent of separation at source by households, commercial actors, and public authorities; the consumption patterns of products and materials; and the design and lifespan of goods. Therefore, complementary waste </w:t>
            </w:r>
            <w:r w:rsidRPr="002B4A69">
              <w:rPr>
                <w:b/>
                <w:i/>
                <w:lang w:val="en-GB"/>
              </w:rPr>
              <w:t>policies under Regulation (EU) [</w:t>
            </w:r>
            <w:r w:rsidRPr="002B4A69">
              <w:rPr>
                <w:b/>
                <w:i/>
                <w:lang w:val="en-GB"/>
              </w:rPr>
              <w:t>…./..</w:t>
            </w:r>
            <w:r w:rsidRPr="002B4A69">
              <w:rPr>
                <w:b/>
                <w:i/>
                <w:lang w:val="en-GB"/>
              </w:rPr>
              <w:t>] [Circular Economy Act] will contribute to ensure a comprehensive approach by stimulating the single market and demand for secondary materials and circular products, supporting investment in recycling capacity, reducing the landfilling and incineration of used raw materials, and rolling-out upstream producer-oriented policies such as eco-design requirements and strengthened Extended Producer Responsibility.</w:t>
            </w:r>
          </w:p>
        </w:tc>
        <w:tc>
          <w:tcPr>
            <w:tcW w:w="4876" w:type="dxa"/>
          </w:tcPr>
          <w:p w:rsidR="001F04EE" w:rsidRPr="002B4A69" w:rsidP="00723F81" w14:paraId="49FEDE18" w14:textId="77777777">
            <w:pPr>
              <w:pStyle w:val="Normal6"/>
              <w:rPr>
                <w:szCs w:val="24"/>
                <w:lang w:val="en-GB"/>
              </w:rPr>
            </w:pPr>
            <w:r w:rsidRPr="002B4A69">
              <w:rPr>
                <w:b/>
                <w:i/>
                <w:lang w:val="en-GB"/>
              </w:rPr>
              <w:t>deleted</w:t>
            </w:r>
          </w:p>
        </w:tc>
      </w:tr>
      <w:tr w14:paraId="55B0FA9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79985A5" w14:textId="77777777">
            <w:pPr>
              <w:pStyle w:val="Normal6"/>
              <w:rPr>
                <w:lang w:val="en-GB"/>
              </w:rPr>
            </w:pPr>
            <w:r w:rsidRPr="002B4A69">
              <w:rPr>
                <w:b/>
                <w:i/>
                <w:lang w:val="en-GB"/>
              </w:rPr>
              <w:t>__________________</w:t>
            </w:r>
          </w:p>
        </w:tc>
        <w:tc>
          <w:tcPr>
            <w:tcW w:w="4876" w:type="dxa"/>
          </w:tcPr>
          <w:p w:rsidR="001F04EE" w:rsidRPr="002B4A69" w:rsidP="00723F81" w14:paraId="67A8E6F4" w14:textId="77777777">
            <w:pPr>
              <w:pStyle w:val="Normal6"/>
              <w:rPr>
                <w:szCs w:val="24"/>
                <w:lang w:val="en-GB"/>
              </w:rPr>
            </w:pPr>
          </w:p>
        </w:tc>
      </w:tr>
      <w:tr w14:paraId="327BF3A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189D4BD" w14:textId="77777777">
            <w:pPr>
              <w:pStyle w:val="Normal6"/>
              <w:rPr>
                <w:lang w:val="en-GB"/>
              </w:rPr>
            </w:pPr>
            <w:r w:rsidRPr="002B4A69">
              <w:rPr>
                <w:b/>
                <w:i/>
                <w:vertAlign w:val="superscript"/>
                <w:lang w:val="en-GB"/>
              </w:rPr>
              <w:t>27</w:t>
            </w:r>
            <w:r w:rsidRPr="002B4A69">
              <w:rPr>
                <w:lang w:val="en-GB"/>
              </w:rPr>
              <w:t xml:space="preserve"> </w:t>
            </w:r>
            <w:r w:rsidRPr="002B4A69">
              <w:rPr>
                <w:b/>
                <w:i/>
                <w:lang w:val="en-GB"/>
              </w:rPr>
              <w:t>Directive 2008/98/EC of the European Parliament and of the Council of 19 November 2008 on waste and repealing certain Directives.</w:t>
            </w:r>
          </w:p>
        </w:tc>
        <w:tc>
          <w:tcPr>
            <w:tcW w:w="4876" w:type="dxa"/>
          </w:tcPr>
          <w:p w:rsidR="001F04EE" w:rsidRPr="002B4A69" w:rsidP="00723F81" w14:paraId="1FB30964" w14:textId="77777777">
            <w:pPr>
              <w:pStyle w:val="Normal6"/>
              <w:rPr>
                <w:szCs w:val="24"/>
                <w:lang w:val="en-GB"/>
              </w:rPr>
            </w:pPr>
          </w:p>
        </w:tc>
      </w:tr>
    </w:tbl>
    <w:p w:rsidR="001F04EE" w:rsidRPr="002B4A69" w:rsidP="001F04EE" w14:paraId="584041F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42EE068" w14:textId="77777777">
      <w:r w:rsidRPr="002B4A69">
        <w:rPr>
          <w:rStyle w:val="HideTWBExt"/>
        </w:rPr>
        <w:t>&lt;/Amend&gt;</w:t>
      </w:r>
    </w:p>
    <w:p w:rsidR="001F04EE" w:rsidRPr="002B4A69" w:rsidP="001F04EE" w14:paraId="5DF7A2C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539</w:t>
      </w:r>
      <w:r w:rsidRPr="002B4A69">
        <w:rPr>
          <w:rStyle w:val="HideTWBExt"/>
          <w:b w:val="0"/>
          <w:lang w:val="en-GB"/>
        </w:rPr>
        <w:t>&lt;/NumAm&gt;</w:t>
      </w:r>
    </w:p>
    <w:p w:rsidR="001F04EE" w:rsidRPr="002B4A69" w:rsidP="001F04EE" w14:paraId="002BBA08"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288C784F" w14:textId="77777777">
      <w:r w:rsidRPr="002B4A69">
        <w:rPr>
          <w:rStyle w:val="HideTWBExt"/>
        </w:rPr>
        <w:t>&lt;/RepeatBlock-By&gt;</w:t>
      </w:r>
    </w:p>
    <w:p w:rsidR="001F04EE" w:rsidRPr="002B4A69" w:rsidP="001F04EE" w14:paraId="2FF0396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DD71051" w14:textId="77777777">
      <w:pPr>
        <w:pStyle w:val="NormalBold"/>
      </w:pPr>
      <w:r w:rsidRPr="002B4A69">
        <w:rPr>
          <w:rStyle w:val="HideTWBExt"/>
          <w:b w:val="0"/>
        </w:rPr>
        <w:t>&lt;Article&gt;</w:t>
      </w:r>
      <w:r w:rsidRPr="002B4A69">
        <w:t>Recital 71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E0985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E99BC7B" w14:textId="77777777">
            <w:pPr>
              <w:keepNext/>
            </w:pPr>
          </w:p>
        </w:tc>
      </w:tr>
      <w:tr w14:paraId="6B3ECC8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4143C1" w14:textId="77777777">
            <w:pPr>
              <w:pStyle w:val="ColumnHeading"/>
              <w:keepNext/>
              <w:rPr>
                <w:lang w:val="en-GB"/>
              </w:rPr>
            </w:pPr>
            <w:r w:rsidRPr="002B4A69">
              <w:rPr>
                <w:lang w:val="en-GB"/>
              </w:rPr>
              <w:t>Text proposed by the Commission</w:t>
            </w:r>
          </w:p>
        </w:tc>
        <w:tc>
          <w:tcPr>
            <w:tcW w:w="4876" w:type="dxa"/>
          </w:tcPr>
          <w:p w:rsidR="001F04EE" w:rsidRPr="002B4A69" w:rsidP="00723F81" w14:paraId="63D13082" w14:textId="77777777">
            <w:pPr>
              <w:pStyle w:val="ColumnHeading"/>
              <w:keepNext/>
              <w:rPr>
                <w:lang w:val="en-GB"/>
              </w:rPr>
            </w:pPr>
            <w:r w:rsidRPr="002B4A69">
              <w:rPr>
                <w:lang w:val="en-GB"/>
              </w:rPr>
              <w:t>Amendment</w:t>
            </w:r>
          </w:p>
        </w:tc>
      </w:tr>
      <w:tr w14:paraId="7B3470F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3A61EA" w14:textId="77777777">
            <w:pPr>
              <w:pStyle w:val="Normal6"/>
              <w:rPr>
                <w:lang w:val="en-GB"/>
              </w:rPr>
            </w:pPr>
            <w:r w:rsidRPr="002B4A69">
              <w:rPr>
                <w:b/>
                <w:i/>
                <w:lang w:val="en-GB"/>
              </w:rPr>
              <w:t>(71)</w:t>
            </w:r>
            <w:r w:rsidRPr="002B4A69">
              <w:rPr>
                <w:b/>
                <w:i/>
                <w:lang w:val="en-GB"/>
              </w:rPr>
              <w:tab/>
              <w:t>The carbon price signal and circular economy policies are mutually reinforcing. The hierarchical principles of waste management, as established in the EU Waste Framework Directive 2008/98/EC</w:t>
            </w:r>
            <w:r w:rsidRPr="002B4A69">
              <w:rPr>
                <w:b/>
                <w:i/>
                <w:vertAlign w:val="superscript"/>
                <w:lang w:val="en-GB"/>
              </w:rPr>
              <w:t>27</w:t>
            </w:r>
            <w:r w:rsidRPr="002B4A69">
              <w:rPr>
                <w:lang w:val="en-GB"/>
              </w:rPr>
              <w:t xml:space="preserve"> </w:t>
            </w:r>
            <w:r w:rsidRPr="002B4A69">
              <w:rPr>
                <w:b/>
                <w:i/>
                <w:lang w:val="en-GB"/>
              </w:rPr>
              <w:t>,</w:t>
            </w:r>
            <w:r w:rsidRPr="002B4A69">
              <w:rPr>
                <w:b/>
                <w:i/>
                <w:lang w:val="en-GB"/>
              </w:rPr>
              <w:t xml:space="preserve"> prioritise prevention, reuse, recycling, and recovery over disposal, including incineration, and emphasise the need to reduce the environmental impact of waste at every stage of its lifecycle. The carbon price will complement regulatory and fiscal policies with a harmonised incentive and support for waste management in line with the higher steps of the waste hierarchy through improved waste prevention, preparing for reuse, separate collection, sorting and recycling. More circularity in </w:t>
            </w:r>
            <w:r w:rsidRPr="002B4A69">
              <w:rPr>
                <w:b/>
                <w:i/>
                <w:lang w:val="en-GB"/>
              </w:rPr>
              <w:t>turn reduces GHG emissions from waste management and displaces more carbon-intensive virgin materials. However, carbon emissions generated during the incineration of waste are not solely determined by the incineration process and the pre-treatment carried out by operators. These emissions are also influenced by upstream activities, including the availability and utilisation of recycling, reuse, and composting infrastructure; the effectiveness of separate collection schemes for recyclable and recoverable materials; the extent of separation at source by households, commercial actors, and public authorities; the consumption patterns of products and materials; and the design and lifespan of goods. Therefore, complementary waste policies under Regulation (EU) [</w:t>
            </w:r>
            <w:r w:rsidRPr="002B4A69">
              <w:rPr>
                <w:b/>
                <w:i/>
                <w:lang w:val="en-GB"/>
              </w:rPr>
              <w:t>…./..</w:t>
            </w:r>
            <w:r w:rsidRPr="002B4A69">
              <w:rPr>
                <w:b/>
                <w:i/>
                <w:lang w:val="en-GB"/>
              </w:rPr>
              <w:t>] [Circular Economy Act] will contribute to ensure a comprehensive approach by stimulating the single market and demand for secondary materials and circular products, supporting investment in recycling capacity, reducing the landfilling and incineration of used raw materials, and rolling-out upstream producer-oriented policies such as eco-design requirements and strengthened Extended Producer Responsibility.</w:t>
            </w:r>
          </w:p>
        </w:tc>
        <w:tc>
          <w:tcPr>
            <w:tcW w:w="4876" w:type="dxa"/>
          </w:tcPr>
          <w:p w:rsidR="001F04EE" w:rsidRPr="002B4A69" w:rsidP="00723F81" w14:paraId="51CB3170" w14:textId="77777777">
            <w:pPr>
              <w:pStyle w:val="Normal6"/>
              <w:rPr>
                <w:szCs w:val="24"/>
                <w:lang w:val="en-GB"/>
              </w:rPr>
            </w:pPr>
            <w:r w:rsidRPr="002B4A69">
              <w:rPr>
                <w:b/>
                <w:i/>
                <w:lang w:val="en-GB"/>
              </w:rPr>
              <w:t>deleted</w:t>
            </w:r>
          </w:p>
        </w:tc>
      </w:tr>
      <w:tr w14:paraId="3446B4F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5DDFD42" w14:textId="77777777">
            <w:pPr>
              <w:pStyle w:val="Normal6"/>
              <w:rPr>
                <w:lang w:val="en-GB"/>
              </w:rPr>
            </w:pPr>
            <w:r w:rsidRPr="002B4A69">
              <w:rPr>
                <w:b/>
                <w:i/>
                <w:lang w:val="en-GB"/>
              </w:rPr>
              <w:t>__________________</w:t>
            </w:r>
          </w:p>
        </w:tc>
        <w:tc>
          <w:tcPr>
            <w:tcW w:w="4876" w:type="dxa"/>
          </w:tcPr>
          <w:p w:rsidR="001F04EE" w:rsidRPr="002B4A69" w:rsidP="00723F81" w14:paraId="5049A4DE" w14:textId="77777777">
            <w:pPr>
              <w:pStyle w:val="Normal6"/>
              <w:rPr>
                <w:szCs w:val="24"/>
                <w:lang w:val="en-GB"/>
              </w:rPr>
            </w:pPr>
          </w:p>
        </w:tc>
      </w:tr>
      <w:tr w14:paraId="7CDDB6B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79912D1" w14:textId="77777777">
            <w:pPr>
              <w:pStyle w:val="Normal6"/>
              <w:rPr>
                <w:lang w:val="en-GB"/>
              </w:rPr>
            </w:pPr>
            <w:r w:rsidRPr="002B4A69">
              <w:rPr>
                <w:b/>
                <w:i/>
                <w:vertAlign w:val="superscript"/>
                <w:lang w:val="en-GB"/>
              </w:rPr>
              <w:t>27</w:t>
            </w:r>
            <w:r w:rsidRPr="002B4A69">
              <w:rPr>
                <w:lang w:val="en-GB"/>
              </w:rPr>
              <w:t xml:space="preserve"> </w:t>
            </w:r>
            <w:r w:rsidRPr="002B4A69">
              <w:rPr>
                <w:b/>
                <w:i/>
                <w:lang w:val="en-GB"/>
              </w:rPr>
              <w:t>Directive 2008/98/EC of the European Parliament and of the Council of 19 November 2008 on waste and repealing certain Directives.</w:t>
            </w:r>
          </w:p>
        </w:tc>
        <w:tc>
          <w:tcPr>
            <w:tcW w:w="4876" w:type="dxa"/>
          </w:tcPr>
          <w:p w:rsidR="001F04EE" w:rsidRPr="002B4A69" w:rsidP="00723F81" w14:paraId="6673A069" w14:textId="77777777">
            <w:pPr>
              <w:pStyle w:val="Normal6"/>
              <w:rPr>
                <w:szCs w:val="24"/>
                <w:lang w:val="en-GB"/>
              </w:rPr>
            </w:pPr>
          </w:p>
        </w:tc>
      </w:tr>
    </w:tbl>
    <w:p w:rsidR="001F04EE" w:rsidRPr="002B4A69" w:rsidP="001F04EE" w14:paraId="60B814E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1079EA5" w14:textId="77777777">
      <w:r w:rsidRPr="002B4A69">
        <w:rPr>
          <w:rStyle w:val="HideTWBExt"/>
        </w:rPr>
        <w:t>&lt;/Amend&gt;</w:t>
      </w:r>
    </w:p>
    <w:p w:rsidR="001F04EE" w:rsidRPr="002B4A69" w:rsidP="001F04EE" w14:paraId="33A24CC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540</w:t>
      </w:r>
      <w:r w:rsidRPr="002B4A69">
        <w:rPr>
          <w:rStyle w:val="HideTWBExt"/>
          <w:b w:val="0"/>
          <w:lang w:val="en-GB"/>
        </w:rPr>
        <w:t>&lt;/NumAm&gt;</w:t>
      </w:r>
    </w:p>
    <w:p w:rsidR="001F04EE" w:rsidRPr="002B4A69" w:rsidP="001F04EE" w14:paraId="74697F75" w14:textId="77777777">
      <w:pPr>
        <w:pStyle w:val="NormalBold"/>
      </w:pPr>
      <w:r w:rsidRPr="002B4A69">
        <w:rPr>
          <w:rStyle w:val="HideTWBExt"/>
          <w:b w:val="0"/>
        </w:rPr>
        <w:t>&lt;RepeatBlock-By&gt;&lt;Members&gt;</w:t>
      </w:r>
      <w:r w:rsidRPr="002B4A69">
        <w:t>Marie-Luce Brasier-Clain, Anne-Sophie Frigout, Mathilde Androuët, Valérie Deloge, Ondřej Knotek, Jana Nagyová, Barbara Bonte</w:t>
      </w:r>
      <w:r w:rsidRPr="002B4A69">
        <w:rPr>
          <w:rStyle w:val="HideTWBExt"/>
          <w:b w:val="0"/>
        </w:rPr>
        <w:t>&lt;/Members&gt;</w:t>
      </w:r>
    </w:p>
    <w:p w:rsidR="001F04EE" w:rsidRPr="002B4A69" w:rsidP="001F04EE" w14:paraId="0E4B98AE" w14:textId="77777777">
      <w:r w:rsidRPr="002B4A69">
        <w:rPr>
          <w:rStyle w:val="HideTWBExt"/>
        </w:rPr>
        <w:t>&lt;/RepeatBlock-By&gt;</w:t>
      </w:r>
    </w:p>
    <w:p w:rsidR="001F04EE" w:rsidRPr="002B4A69" w:rsidP="001F04EE" w14:paraId="052CF15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833CEA2"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07F0F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68AD485" w14:textId="77777777">
            <w:pPr>
              <w:keepNext/>
            </w:pPr>
          </w:p>
        </w:tc>
      </w:tr>
      <w:tr w14:paraId="392C2BD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6B34CB5" w14:textId="77777777">
            <w:pPr>
              <w:pStyle w:val="ColumnHeading"/>
              <w:keepNext/>
              <w:rPr>
                <w:lang w:val="en-GB"/>
              </w:rPr>
            </w:pPr>
            <w:r w:rsidRPr="002B4A69">
              <w:rPr>
                <w:lang w:val="en-GB"/>
              </w:rPr>
              <w:t>Text proposed by the Commission</w:t>
            </w:r>
          </w:p>
        </w:tc>
        <w:tc>
          <w:tcPr>
            <w:tcW w:w="4876" w:type="dxa"/>
          </w:tcPr>
          <w:p w:rsidR="001F04EE" w:rsidRPr="002B4A69" w:rsidP="00723F81" w14:paraId="279278AC" w14:textId="77777777">
            <w:pPr>
              <w:pStyle w:val="ColumnHeading"/>
              <w:keepNext/>
              <w:rPr>
                <w:lang w:val="en-GB"/>
              </w:rPr>
            </w:pPr>
            <w:r w:rsidRPr="002B4A69">
              <w:rPr>
                <w:lang w:val="en-GB"/>
              </w:rPr>
              <w:t>Amendment</w:t>
            </w:r>
          </w:p>
        </w:tc>
      </w:tr>
      <w:tr w14:paraId="29ABDB8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E998F6B" w14:textId="77777777">
            <w:pPr>
              <w:pStyle w:val="Normal6"/>
              <w:rPr>
                <w:lang w:val="en-GB"/>
              </w:rPr>
            </w:pPr>
            <w:r w:rsidRPr="002B4A69">
              <w:rPr>
                <w:b/>
                <w:i/>
                <w:lang w:val="en-GB"/>
              </w:rPr>
              <w:t>(72)</w:t>
            </w:r>
            <w:r w:rsidRPr="002B4A69">
              <w:rPr>
                <w:b/>
                <w:i/>
                <w:lang w:val="en-GB"/>
              </w:rPr>
              <w:tab/>
              <w:t xml:space="preserve">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w:t>
            </w:r>
            <w:r w:rsidRPr="002B4A69">
              <w:rPr>
                <w:b/>
                <w:bCs/>
                <w:i/>
                <w:iCs/>
                <w:lang w:val="en-GB"/>
              </w:rPr>
              <w:t>This new activity includes emissions from co-incineration, which were already covered by Directive 2003/87/EC as part of the activity ‘Combustion of fuels’</w:t>
            </w:r>
            <w:r w:rsidRPr="002B4A69">
              <w:rPr>
                <w:b/>
                <w:bCs/>
                <w:i/>
                <w:iCs/>
                <w:vertAlign w:val="superscript"/>
                <w:lang w:val="en-GB"/>
              </w:rPr>
              <w:t>28</w:t>
            </w:r>
            <w:r w:rsidRPr="002B4A69">
              <w:rPr>
                <w:b/>
                <w:bCs/>
                <w:i/>
                <w:iCs/>
                <w:lang w:val="en-GB"/>
              </w:rPr>
              <w:t>, so that the incineration and co-incineration of waste can be part of a single activity.</w:t>
            </w:r>
            <w:r w:rsidRPr="002B4A69">
              <w:rPr>
                <w:b/>
                <w:i/>
                <w:lang w:val="en-GB"/>
              </w:rPr>
              <w:t xml:space="preserve"> In addition, units for the incineration of municipal waste should be included in the greenhouse gas emission permits of an EU ETS activity. To this end, the current exemption of such units should be deleted in point 5 of Annex I to Directive 2003/87/EC. The recovery of waste through chemical recycling activities, including thermal treatment processes such as pyrolysis or 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b/>
                <w:i/>
                <w:lang w:val="en-GB"/>
              </w:rPr>
              <w:t>hour .</w:t>
            </w:r>
            <w:r w:rsidRPr="002B4A69">
              <w:rPr>
                <w:b/>
                <w:i/>
                <w:lang w:val="en-GB"/>
              </w:rPr>
              <w:t xml:space="preserve"> Implementing Regulation (EU) 2018/2066 should be reviewed and updated accordingly regarding the monitoring and reporting rules for emissions from </w:t>
            </w:r>
            <w:r w:rsidRPr="002B4A69">
              <w:rPr>
                <w:b/>
                <w:i/>
                <w:lang w:val="en-GB"/>
              </w:rPr>
              <w:t>municipal waste incineration installations.</w:t>
            </w:r>
          </w:p>
        </w:tc>
        <w:tc>
          <w:tcPr>
            <w:tcW w:w="4876" w:type="dxa"/>
          </w:tcPr>
          <w:p w:rsidR="001F04EE" w:rsidRPr="002B4A69" w:rsidP="00723F81" w14:paraId="141FF94E" w14:textId="77777777">
            <w:pPr>
              <w:pStyle w:val="Normal6"/>
              <w:rPr>
                <w:szCs w:val="24"/>
                <w:lang w:val="en-GB"/>
              </w:rPr>
            </w:pPr>
            <w:r w:rsidRPr="002B4A69">
              <w:rPr>
                <w:b/>
                <w:i/>
                <w:lang w:val="en-GB"/>
              </w:rPr>
              <w:t>deleted</w:t>
            </w:r>
          </w:p>
        </w:tc>
      </w:tr>
      <w:tr w14:paraId="52163EF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110F094" w14:textId="77777777">
            <w:pPr>
              <w:pStyle w:val="Normal6"/>
              <w:rPr>
                <w:lang w:val="en-GB"/>
              </w:rPr>
            </w:pPr>
            <w:r w:rsidRPr="002B4A69">
              <w:rPr>
                <w:b/>
                <w:i/>
                <w:lang w:val="en-GB"/>
              </w:rPr>
              <w:t>__________________</w:t>
            </w:r>
          </w:p>
        </w:tc>
        <w:tc>
          <w:tcPr>
            <w:tcW w:w="4876" w:type="dxa"/>
          </w:tcPr>
          <w:p w:rsidR="001F04EE" w:rsidRPr="002B4A69" w:rsidP="00723F81" w14:paraId="41EA3C40" w14:textId="77777777">
            <w:pPr>
              <w:pStyle w:val="Normal6"/>
              <w:rPr>
                <w:szCs w:val="24"/>
                <w:lang w:val="en-GB"/>
              </w:rPr>
            </w:pPr>
          </w:p>
        </w:tc>
      </w:tr>
      <w:tr w14:paraId="10BF3A1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A7A49CB" w14:textId="77777777">
            <w:pPr>
              <w:pStyle w:val="Normal6"/>
              <w:rPr>
                <w:lang w:val="en-GB"/>
              </w:rPr>
            </w:pPr>
            <w:r w:rsidRPr="002B4A69">
              <w:rPr>
                <w:b/>
                <w:i/>
                <w:vertAlign w:val="superscript"/>
                <w:lang w:val="en-GB"/>
              </w:rPr>
              <w:t>28</w:t>
            </w:r>
            <w:r w:rsidRPr="002B4A69">
              <w:rPr>
                <w:b/>
                <w:bCs/>
                <w:i/>
                <w:iCs/>
                <w:lang w:val="en-GB"/>
              </w:rPr>
              <w:t xml:space="preserve"> In line with the interpretation of the Commission set out in Guidance Document No. 0:</w:t>
            </w:r>
            <w:r w:rsidRPr="002B4A69">
              <w:rPr>
                <w:b/>
                <w:i/>
                <w:lang w:val="en-GB"/>
              </w:rPr>
              <w:t xml:space="preserve"> Guidance on Interpretation of Annex I of the EU ETS Directive (excl. aviation and maritime activities): https://climate.ec.europa.eu/document/edc93136-82a0-482c-bf47-39ecaf13b318_en.</w:t>
            </w:r>
          </w:p>
        </w:tc>
        <w:tc>
          <w:tcPr>
            <w:tcW w:w="4876" w:type="dxa"/>
          </w:tcPr>
          <w:p w:rsidR="001F04EE" w:rsidRPr="002B4A69" w:rsidP="00723F81" w14:paraId="006DD634" w14:textId="77777777">
            <w:pPr>
              <w:pStyle w:val="Normal6"/>
              <w:rPr>
                <w:szCs w:val="24"/>
                <w:lang w:val="en-GB"/>
              </w:rPr>
            </w:pPr>
          </w:p>
        </w:tc>
      </w:tr>
    </w:tbl>
    <w:p w:rsidR="001F04EE" w:rsidRPr="002B4A69" w:rsidP="001F04EE" w14:paraId="132577B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1F6DFB76" w14:textId="77777777">
      <w:r w:rsidRPr="002B4A69">
        <w:rPr>
          <w:rStyle w:val="HideTWBExt"/>
        </w:rPr>
        <w:t>&lt;/Amend&gt;</w:t>
      </w:r>
    </w:p>
    <w:p w:rsidR="001F04EE" w:rsidRPr="002B4A69" w:rsidP="001F04EE" w14:paraId="1C368C9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541</w:t>
      </w:r>
      <w:r w:rsidRPr="002B4A69">
        <w:rPr>
          <w:rStyle w:val="HideTWBExt"/>
          <w:b w:val="0"/>
          <w:lang w:val="en-GB"/>
        </w:rPr>
        <w:t>&lt;/NumAm&gt;</w:t>
      </w:r>
    </w:p>
    <w:p w:rsidR="001F04EE" w:rsidRPr="002B4A69" w:rsidP="001F04EE" w14:paraId="73BBDD62" w14:textId="77777777">
      <w:pPr>
        <w:pStyle w:val="NormalBold"/>
      </w:pPr>
      <w:r w:rsidRPr="002B4A69">
        <w:rPr>
          <w:rStyle w:val="HideTWBExt"/>
          <w:b w:val="0"/>
        </w:rPr>
        <w:t>&lt;RepeatBlock-By&gt;&lt;Members&gt;</w:t>
      </w:r>
      <w:r w:rsidRPr="002B4A69">
        <w:t>Jorge Buxadé Villalba, Roman Haider, Antonín Staněk, Silvia Sardone, Marie-Luce Brasier-Clain, Mathilde Androuët, Anne-Sophie Frigout</w:t>
      </w:r>
      <w:r w:rsidRPr="002B4A69">
        <w:rPr>
          <w:rStyle w:val="HideTWBExt"/>
          <w:b w:val="0"/>
        </w:rPr>
        <w:t>&lt;/Members&gt;</w:t>
      </w:r>
    </w:p>
    <w:p w:rsidR="001F04EE" w:rsidRPr="002B4A69" w:rsidP="001F04EE" w14:paraId="0928EDB8" w14:textId="77777777">
      <w:r w:rsidRPr="002B4A69">
        <w:rPr>
          <w:rStyle w:val="HideTWBExt"/>
        </w:rPr>
        <w:t>&lt;/RepeatBlock-By&gt;</w:t>
      </w:r>
    </w:p>
    <w:p w:rsidR="001F04EE" w:rsidRPr="002B4A69" w:rsidP="001F04EE" w14:paraId="02345BB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DAFA4AC"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F2357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64D1382" w14:textId="77777777">
            <w:pPr>
              <w:keepNext/>
            </w:pPr>
          </w:p>
        </w:tc>
      </w:tr>
      <w:tr w14:paraId="2E9D1E1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7FA353B" w14:textId="77777777">
            <w:pPr>
              <w:pStyle w:val="ColumnHeading"/>
              <w:keepNext/>
              <w:rPr>
                <w:lang w:val="en-GB"/>
              </w:rPr>
            </w:pPr>
            <w:r w:rsidRPr="002B4A69">
              <w:rPr>
                <w:lang w:val="en-GB"/>
              </w:rPr>
              <w:t>Text proposed by the Commission</w:t>
            </w:r>
          </w:p>
        </w:tc>
        <w:tc>
          <w:tcPr>
            <w:tcW w:w="4876" w:type="dxa"/>
          </w:tcPr>
          <w:p w:rsidR="001F04EE" w:rsidRPr="002B4A69" w:rsidP="00723F81" w14:paraId="24D8DCD8" w14:textId="77777777">
            <w:pPr>
              <w:pStyle w:val="ColumnHeading"/>
              <w:keepNext/>
              <w:rPr>
                <w:lang w:val="en-GB"/>
              </w:rPr>
            </w:pPr>
            <w:r w:rsidRPr="002B4A69">
              <w:rPr>
                <w:lang w:val="en-GB"/>
              </w:rPr>
              <w:t>Amendment</w:t>
            </w:r>
          </w:p>
        </w:tc>
      </w:tr>
      <w:tr w14:paraId="12FBA85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C98271B" w14:textId="77777777">
            <w:pPr>
              <w:pStyle w:val="Normal6"/>
              <w:rPr>
                <w:lang w:val="en-GB"/>
              </w:rPr>
            </w:pPr>
            <w:r w:rsidRPr="002B4A69">
              <w:rPr>
                <w:b/>
                <w:i/>
                <w:lang w:val="en-GB"/>
              </w:rPr>
              <w:t>(72)</w:t>
            </w:r>
            <w:r w:rsidRPr="002B4A69">
              <w:rPr>
                <w:b/>
                <w:i/>
                <w:lang w:val="en-GB"/>
              </w:rPr>
              <w:tab/>
              <w:t>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b/>
                <w:i/>
                <w:vertAlign w:val="superscript"/>
                <w:lang w:val="en-GB"/>
              </w:rPr>
              <w:t>28</w:t>
            </w:r>
            <w:r w:rsidRPr="002B4A69">
              <w:rPr>
                <w:lang w:val="en-GB"/>
              </w:rPr>
              <w:t xml:space="preserve"> </w:t>
            </w:r>
            <w:r w:rsidRPr="002B4A69">
              <w:rPr>
                <w:b/>
                <w:i/>
                <w:lang w:val="en-GB"/>
              </w:rPr>
              <w:t>,</w:t>
            </w:r>
            <w:r w:rsidRPr="002B4A69">
              <w:rPr>
                <w:b/>
                <w:i/>
                <w:lang w:val="en-GB"/>
              </w:rPr>
              <w:t xml:space="preserve"> so that the incineration and co-incineration of waste can be part of a single activity. In addition, units for the incineration of municipal waste should be included in the greenhouse gas emission permits of an EU ETS activity. To this end, the current exemption of such units should be deleted in point 5 of Annex I to Directive 2003/87/EC. The recovery of waste </w:t>
            </w:r>
            <w:r w:rsidRPr="002B4A69">
              <w:rPr>
                <w:b/>
                <w:i/>
                <w:lang w:val="en-GB"/>
              </w:rPr>
              <w:t xml:space="preserve">through chemical recycling activities, including thermal treatment processes such as pyrolysis or 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b/>
                <w:i/>
                <w:lang w:val="en-GB"/>
              </w:rPr>
              <w:t>hour .</w:t>
            </w:r>
            <w:r w:rsidRPr="002B4A69">
              <w:rPr>
                <w:b/>
                <w:i/>
                <w:lang w:val="en-GB"/>
              </w:rPr>
              <w:t xml:space="preserve"> Implementing Regulation (EU) 2018/2066 should be reviewed and updated accordingly regarding the monitoring and reporting rules for emissions from municipal waste incineration installations.</w:t>
            </w:r>
          </w:p>
        </w:tc>
        <w:tc>
          <w:tcPr>
            <w:tcW w:w="4876" w:type="dxa"/>
          </w:tcPr>
          <w:p w:rsidR="001F04EE" w:rsidRPr="002B4A69" w:rsidP="00723F81" w14:paraId="54210CFA" w14:textId="77777777">
            <w:pPr>
              <w:pStyle w:val="Normal6"/>
              <w:rPr>
                <w:szCs w:val="24"/>
                <w:lang w:val="en-GB"/>
              </w:rPr>
            </w:pPr>
            <w:r w:rsidRPr="002B4A69">
              <w:rPr>
                <w:b/>
                <w:i/>
                <w:lang w:val="en-GB"/>
              </w:rPr>
              <w:t>deleted</w:t>
            </w:r>
          </w:p>
        </w:tc>
      </w:tr>
      <w:tr w14:paraId="4FFC772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B74E891" w14:textId="77777777">
            <w:pPr>
              <w:pStyle w:val="Normal6"/>
              <w:rPr>
                <w:lang w:val="en-GB"/>
              </w:rPr>
            </w:pPr>
            <w:r w:rsidRPr="002B4A69">
              <w:rPr>
                <w:b/>
                <w:i/>
                <w:lang w:val="en-GB"/>
              </w:rPr>
              <w:t>__________________</w:t>
            </w:r>
          </w:p>
        </w:tc>
        <w:tc>
          <w:tcPr>
            <w:tcW w:w="4876" w:type="dxa"/>
          </w:tcPr>
          <w:p w:rsidR="001F04EE" w:rsidRPr="002B4A69" w:rsidP="00723F81" w14:paraId="2F0AE4E8" w14:textId="77777777">
            <w:pPr>
              <w:pStyle w:val="Normal6"/>
              <w:rPr>
                <w:szCs w:val="24"/>
                <w:lang w:val="en-GB"/>
              </w:rPr>
            </w:pPr>
          </w:p>
        </w:tc>
      </w:tr>
      <w:tr w14:paraId="7FC9ABC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3737845" w14:textId="77777777">
            <w:pPr>
              <w:pStyle w:val="Normal6"/>
              <w:rPr>
                <w:lang w:val="en-GB"/>
              </w:rPr>
            </w:pPr>
            <w:r w:rsidRPr="002B4A69">
              <w:rPr>
                <w:b/>
                <w:i/>
                <w:vertAlign w:val="superscript"/>
                <w:lang w:val="en-GB"/>
              </w:rPr>
              <w:t>28</w:t>
            </w:r>
            <w:r w:rsidRPr="002B4A69">
              <w:rPr>
                <w:lang w:val="en-GB"/>
              </w:rPr>
              <w:t xml:space="preserve"> </w:t>
            </w:r>
            <w:r w:rsidRPr="002B4A69">
              <w:rPr>
                <w:b/>
                <w:i/>
                <w:lang w:val="en-GB"/>
              </w:rPr>
              <w:t>In line with the interpretation of the Commission set out in Guidance Document No. 0: Guidance on Interpretation of Annex I of the EU ETS Directive (excl. aviation and maritime activities): https://climate.ec.europa.eu/document/edc93136-82a0-482c-bf47-39ecaf13b318_en.</w:t>
            </w:r>
          </w:p>
        </w:tc>
        <w:tc>
          <w:tcPr>
            <w:tcW w:w="4876" w:type="dxa"/>
          </w:tcPr>
          <w:p w:rsidR="001F04EE" w:rsidRPr="002B4A69" w:rsidP="00723F81" w14:paraId="1FD9C0E4" w14:textId="77777777">
            <w:pPr>
              <w:pStyle w:val="Normal6"/>
              <w:rPr>
                <w:szCs w:val="24"/>
                <w:lang w:val="en-GB"/>
              </w:rPr>
            </w:pPr>
          </w:p>
        </w:tc>
      </w:tr>
    </w:tbl>
    <w:p w:rsidR="001F04EE" w:rsidRPr="002B4A69" w:rsidP="001F04EE" w14:paraId="76D050B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0B5E296" w14:textId="77777777">
      <w:r w:rsidRPr="002B4A69">
        <w:rPr>
          <w:rStyle w:val="HideTWBExt"/>
        </w:rPr>
        <w:t>&lt;/Amend&gt;</w:t>
      </w:r>
    </w:p>
    <w:p w:rsidR="001F04EE" w:rsidRPr="002B4A69" w:rsidP="001F04EE" w14:paraId="16E43C4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542</w:t>
      </w:r>
      <w:r w:rsidRPr="002B4A69">
        <w:rPr>
          <w:rStyle w:val="HideTWBExt"/>
          <w:b w:val="0"/>
          <w:lang w:val="en-GB"/>
        </w:rPr>
        <w:t>&lt;/NumAm&gt;</w:t>
      </w:r>
    </w:p>
    <w:p w:rsidR="001F04EE" w:rsidRPr="002B4A69" w:rsidP="001F04EE" w14:paraId="4CE8B13A"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15E3E493" w14:textId="77777777">
      <w:r w:rsidRPr="002B4A69">
        <w:rPr>
          <w:rStyle w:val="HideTWBExt"/>
        </w:rPr>
        <w:t>&lt;/RepeatBlock-By&gt;</w:t>
      </w:r>
    </w:p>
    <w:p w:rsidR="001F04EE" w:rsidRPr="002B4A69" w:rsidP="001F04EE" w14:paraId="62C4A17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C72FF57"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04804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2BA6D6B" w14:textId="77777777">
            <w:pPr>
              <w:keepNext/>
            </w:pPr>
          </w:p>
        </w:tc>
      </w:tr>
      <w:tr w14:paraId="481AF28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8BA1EE7" w14:textId="77777777">
            <w:pPr>
              <w:pStyle w:val="ColumnHeading"/>
              <w:keepNext/>
              <w:rPr>
                <w:lang w:val="en-GB"/>
              </w:rPr>
            </w:pPr>
            <w:r w:rsidRPr="002B4A69">
              <w:rPr>
                <w:lang w:val="en-GB"/>
              </w:rPr>
              <w:t>Text proposed by the Commission</w:t>
            </w:r>
          </w:p>
        </w:tc>
        <w:tc>
          <w:tcPr>
            <w:tcW w:w="4876" w:type="dxa"/>
          </w:tcPr>
          <w:p w:rsidR="001F04EE" w:rsidRPr="002B4A69" w:rsidP="00723F81" w14:paraId="0740481B" w14:textId="77777777">
            <w:pPr>
              <w:pStyle w:val="ColumnHeading"/>
              <w:keepNext/>
              <w:rPr>
                <w:lang w:val="en-GB"/>
              </w:rPr>
            </w:pPr>
            <w:r w:rsidRPr="002B4A69">
              <w:rPr>
                <w:lang w:val="en-GB"/>
              </w:rPr>
              <w:t>Amendment</w:t>
            </w:r>
          </w:p>
        </w:tc>
      </w:tr>
      <w:tr w14:paraId="3F46C67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CD6D9CB" w14:textId="77777777">
            <w:pPr>
              <w:pStyle w:val="Normal6"/>
              <w:rPr>
                <w:lang w:val="en-GB"/>
              </w:rPr>
            </w:pPr>
            <w:r w:rsidRPr="002B4A69">
              <w:rPr>
                <w:b/>
                <w:i/>
                <w:lang w:val="en-GB"/>
              </w:rPr>
              <w:t>(72)</w:t>
            </w:r>
            <w:r w:rsidRPr="002B4A69">
              <w:rPr>
                <w:b/>
                <w:i/>
                <w:lang w:val="en-GB"/>
              </w:rPr>
              <w:tab/>
              <w:t xml:space="preserve">A new activity for waste incineration and co-incineration should </w:t>
            </w:r>
            <w:r w:rsidRPr="002B4A69">
              <w:rPr>
                <w:b/>
                <w:i/>
                <w:lang w:val="en-GB"/>
              </w:rPr>
              <w:t>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b/>
                <w:i/>
                <w:vertAlign w:val="superscript"/>
                <w:lang w:val="en-GB"/>
              </w:rPr>
              <w:t>28</w:t>
            </w:r>
            <w:r w:rsidRPr="002B4A69">
              <w:rPr>
                <w:lang w:val="en-GB"/>
              </w:rPr>
              <w:t xml:space="preserve"> </w:t>
            </w:r>
            <w:r w:rsidRPr="002B4A69">
              <w:rPr>
                <w:b/>
                <w:i/>
                <w:lang w:val="en-GB"/>
              </w:rPr>
              <w:t>,</w:t>
            </w:r>
            <w:r w:rsidRPr="002B4A69">
              <w:rPr>
                <w:b/>
                <w:i/>
                <w:lang w:val="en-GB"/>
              </w:rPr>
              <w:t xml:space="preserve"> so that the incineration and co-incineration of waste can be part of a single activity. In addition, units for the incineration of municipal waste should be included in the greenhouse gas emission permits of an EU ETS activity. To this end, the current exemption of such units should be deleted in point 5 of Annex I to Directive 2003/87/EC. The recovery of waste through chemical recycling activities, including thermal treatment processes such as pyrolysis or 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b/>
                <w:i/>
                <w:lang w:val="en-GB"/>
              </w:rPr>
              <w:t>hour .</w:t>
            </w:r>
            <w:r w:rsidRPr="002B4A69">
              <w:rPr>
                <w:b/>
                <w:i/>
                <w:lang w:val="en-GB"/>
              </w:rPr>
              <w:t xml:space="preserve"> Implementing Regulation (EU) 2018/2066 should be reviewed and updated accordingly regarding the monitoring and reporting rules for emissions from municipal waste incineration installations.</w:t>
            </w:r>
          </w:p>
        </w:tc>
        <w:tc>
          <w:tcPr>
            <w:tcW w:w="4876" w:type="dxa"/>
          </w:tcPr>
          <w:p w:rsidR="001F04EE" w:rsidRPr="002B4A69" w:rsidP="00723F81" w14:paraId="696E15CA" w14:textId="77777777">
            <w:pPr>
              <w:pStyle w:val="Normal6"/>
              <w:rPr>
                <w:szCs w:val="24"/>
                <w:lang w:val="en-GB"/>
              </w:rPr>
            </w:pPr>
            <w:r w:rsidRPr="002B4A69">
              <w:rPr>
                <w:b/>
                <w:i/>
                <w:lang w:val="en-GB"/>
              </w:rPr>
              <w:t>deleted</w:t>
            </w:r>
          </w:p>
        </w:tc>
      </w:tr>
      <w:tr w14:paraId="0574858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937B1A6" w14:textId="77777777">
            <w:pPr>
              <w:pStyle w:val="Normal6"/>
              <w:rPr>
                <w:lang w:val="en-GB"/>
              </w:rPr>
            </w:pPr>
            <w:r w:rsidRPr="002B4A69">
              <w:rPr>
                <w:b/>
                <w:i/>
                <w:lang w:val="en-GB"/>
              </w:rPr>
              <w:t>__________________</w:t>
            </w:r>
          </w:p>
        </w:tc>
        <w:tc>
          <w:tcPr>
            <w:tcW w:w="4876" w:type="dxa"/>
          </w:tcPr>
          <w:p w:rsidR="001F04EE" w:rsidRPr="002B4A69" w:rsidP="00723F81" w14:paraId="08A6E38E" w14:textId="77777777">
            <w:pPr>
              <w:pStyle w:val="Normal6"/>
              <w:rPr>
                <w:szCs w:val="24"/>
                <w:lang w:val="en-GB"/>
              </w:rPr>
            </w:pPr>
          </w:p>
        </w:tc>
      </w:tr>
      <w:tr w14:paraId="07416AA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233FFDC" w14:textId="77777777">
            <w:pPr>
              <w:pStyle w:val="Normal6"/>
              <w:rPr>
                <w:lang w:val="en-GB"/>
              </w:rPr>
            </w:pPr>
            <w:r w:rsidRPr="002B4A69">
              <w:rPr>
                <w:b/>
                <w:i/>
                <w:vertAlign w:val="superscript"/>
                <w:lang w:val="en-GB"/>
              </w:rPr>
              <w:t>28</w:t>
            </w:r>
            <w:r w:rsidRPr="002B4A69">
              <w:rPr>
                <w:lang w:val="en-GB"/>
              </w:rPr>
              <w:t xml:space="preserve"> </w:t>
            </w:r>
            <w:r w:rsidRPr="002B4A69">
              <w:rPr>
                <w:b/>
                <w:i/>
                <w:lang w:val="en-GB"/>
              </w:rPr>
              <w:t xml:space="preserve">In line with the interpretation of the Commission set out in Guidance </w:t>
            </w:r>
            <w:r w:rsidRPr="002B4A69">
              <w:rPr>
                <w:b/>
                <w:i/>
                <w:lang w:val="en-GB"/>
              </w:rPr>
              <w:t>Document No. 0: Guidance on Interpretation of Annex I of the EU ETS Directive (excl. aviation and maritime activities): https://climate.ec.europa.eu/document/edc93136-82a0-482c-bf47-39ecaf13b318_en.</w:t>
            </w:r>
          </w:p>
        </w:tc>
        <w:tc>
          <w:tcPr>
            <w:tcW w:w="4876" w:type="dxa"/>
          </w:tcPr>
          <w:p w:rsidR="001F04EE" w:rsidRPr="002B4A69" w:rsidP="00723F81" w14:paraId="7FEB7701" w14:textId="77777777">
            <w:pPr>
              <w:pStyle w:val="Normal6"/>
              <w:rPr>
                <w:szCs w:val="24"/>
                <w:lang w:val="en-GB"/>
              </w:rPr>
            </w:pPr>
          </w:p>
        </w:tc>
      </w:tr>
    </w:tbl>
    <w:p w:rsidR="001F04EE" w:rsidRPr="002B4A69" w:rsidP="001F04EE" w14:paraId="73A499B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CA9417F" w14:textId="77777777">
      <w:r w:rsidRPr="002B4A69">
        <w:rPr>
          <w:rStyle w:val="HideTWBExt"/>
        </w:rPr>
        <w:t>&lt;/Amend&gt;</w:t>
      </w:r>
    </w:p>
    <w:p w:rsidR="001F04EE" w:rsidRPr="002B4A69" w:rsidP="001F04EE" w14:paraId="511BB88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543</w:t>
      </w:r>
      <w:r w:rsidRPr="002B4A69">
        <w:rPr>
          <w:rStyle w:val="HideTWBExt"/>
          <w:b w:val="0"/>
          <w:lang w:val="en-GB"/>
        </w:rPr>
        <w:t>&lt;/NumAm&gt;</w:t>
      </w:r>
    </w:p>
    <w:p w:rsidR="001F04EE" w:rsidRPr="002B4A69" w:rsidP="001F04EE" w14:paraId="2F823502"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31386924"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5C2654A1"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45899A6D" w14:textId="77777777">
      <w:r w:rsidRPr="002B4A69">
        <w:rPr>
          <w:rStyle w:val="HideTWBExt"/>
        </w:rPr>
        <w:t>&lt;/RepeatBlock-By&gt;</w:t>
      </w:r>
    </w:p>
    <w:p w:rsidR="001F04EE" w:rsidRPr="002B4A69" w:rsidP="001F04EE" w14:paraId="4AF61DB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EDDDDD3"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83B8A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093CF48" w14:textId="77777777">
            <w:pPr>
              <w:keepNext/>
            </w:pPr>
          </w:p>
        </w:tc>
      </w:tr>
      <w:tr w14:paraId="0FE190C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4F9AAF" w14:textId="77777777">
            <w:pPr>
              <w:pStyle w:val="ColumnHeading"/>
              <w:keepNext/>
              <w:rPr>
                <w:lang w:val="en-GB"/>
              </w:rPr>
            </w:pPr>
            <w:r w:rsidRPr="002B4A69">
              <w:rPr>
                <w:lang w:val="en-GB"/>
              </w:rPr>
              <w:t>Text proposed by the Commission</w:t>
            </w:r>
          </w:p>
        </w:tc>
        <w:tc>
          <w:tcPr>
            <w:tcW w:w="4876" w:type="dxa"/>
          </w:tcPr>
          <w:p w:rsidR="001F04EE" w:rsidRPr="002B4A69" w:rsidP="00723F81" w14:paraId="09EE23D6" w14:textId="77777777">
            <w:pPr>
              <w:pStyle w:val="ColumnHeading"/>
              <w:keepNext/>
              <w:rPr>
                <w:lang w:val="en-GB"/>
              </w:rPr>
            </w:pPr>
            <w:r w:rsidRPr="002B4A69">
              <w:rPr>
                <w:lang w:val="en-GB"/>
              </w:rPr>
              <w:t>Amendment</w:t>
            </w:r>
          </w:p>
        </w:tc>
      </w:tr>
      <w:tr w14:paraId="5876404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B7ADE94" w14:textId="77777777">
            <w:pPr>
              <w:pStyle w:val="Normal6"/>
              <w:rPr>
                <w:lang w:val="en-GB"/>
              </w:rPr>
            </w:pPr>
            <w:r w:rsidRPr="002B4A69">
              <w:rPr>
                <w:b/>
                <w:i/>
                <w:lang w:val="en-GB"/>
              </w:rPr>
              <w:t>(72)</w:t>
            </w:r>
            <w:r w:rsidRPr="002B4A69">
              <w:rPr>
                <w:b/>
                <w:i/>
                <w:lang w:val="en-GB"/>
              </w:rPr>
              <w:tab/>
              <w:t>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b/>
                <w:i/>
                <w:vertAlign w:val="superscript"/>
                <w:lang w:val="en-GB"/>
              </w:rPr>
              <w:t>28</w:t>
            </w:r>
            <w:r w:rsidRPr="002B4A69">
              <w:rPr>
                <w:lang w:val="en-GB"/>
              </w:rPr>
              <w:t xml:space="preserve"> </w:t>
            </w:r>
            <w:r w:rsidRPr="002B4A69">
              <w:rPr>
                <w:b/>
                <w:i/>
                <w:lang w:val="en-GB"/>
              </w:rPr>
              <w:t>,</w:t>
            </w:r>
            <w:r w:rsidRPr="002B4A69">
              <w:rPr>
                <w:b/>
                <w:i/>
                <w:lang w:val="en-GB"/>
              </w:rPr>
              <w:t xml:space="preserve"> so that the incineration and co-incineration of waste can be part of a single activity. In addition, units for the incineration of municipal waste should be included in the greenhouse gas emission permits of an EU ETS activity. To this end, the current exemption of such units should be deleted in point 5 of Annex I to Directive 2003/87/EC. The recovery of waste through chemical recycling activities, including thermal treatment processes such as pyrolysis or gasification, is not covered by the extension of the scope of </w:t>
            </w:r>
            <w:r w:rsidRPr="002B4A69">
              <w:rPr>
                <w:b/>
                <w:i/>
                <w:lang w:val="en-GB"/>
              </w:rPr>
              <w:t xml:space="preserve">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b/>
                <w:i/>
                <w:lang w:val="en-GB"/>
              </w:rPr>
              <w:t>hour .</w:t>
            </w:r>
            <w:r w:rsidRPr="002B4A69">
              <w:rPr>
                <w:b/>
                <w:i/>
                <w:lang w:val="en-GB"/>
              </w:rPr>
              <w:t xml:space="preserve"> Implementing Regulation (EU) 2018/2066 should be reviewed and updated accordingly regarding the monitoring and reporting rules for emissions from municipal waste incineration installations.</w:t>
            </w:r>
          </w:p>
        </w:tc>
        <w:tc>
          <w:tcPr>
            <w:tcW w:w="4876" w:type="dxa"/>
          </w:tcPr>
          <w:p w:rsidR="001F04EE" w:rsidRPr="002B4A69" w:rsidP="00723F81" w14:paraId="13B9C2E3" w14:textId="77777777">
            <w:pPr>
              <w:pStyle w:val="Normal6"/>
              <w:rPr>
                <w:szCs w:val="24"/>
                <w:lang w:val="en-GB"/>
              </w:rPr>
            </w:pPr>
            <w:r w:rsidRPr="002B4A69">
              <w:rPr>
                <w:b/>
                <w:i/>
                <w:lang w:val="en-GB"/>
              </w:rPr>
              <w:t>deleted</w:t>
            </w:r>
          </w:p>
        </w:tc>
      </w:tr>
      <w:tr w14:paraId="5313540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B8BC385" w14:textId="77777777">
            <w:pPr>
              <w:pStyle w:val="Normal6"/>
              <w:rPr>
                <w:lang w:val="en-GB"/>
              </w:rPr>
            </w:pPr>
            <w:r w:rsidRPr="002B4A69">
              <w:rPr>
                <w:b/>
                <w:i/>
                <w:lang w:val="en-GB"/>
              </w:rPr>
              <w:t>__________________</w:t>
            </w:r>
          </w:p>
        </w:tc>
        <w:tc>
          <w:tcPr>
            <w:tcW w:w="4876" w:type="dxa"/>
          </w:tcPr>
          <w:p w:rsidR="001F04EE" w:rsidRPr="002B4A69" w:rsidP="00723F81" w14:paraId="4BD8B136" w14:textId="77777777">
            <w:pPr>
              <w:pStyle w:val="Normal6"/>
              <w:rPr>
                <w:szCs w:val="24"/>
                <w:lang w:val="en-GB"/>
              </w:rPr>
            </w:pPr>
          </w:p>
        </w:tc>
      </w:tr>
      <w:tr w14:paraId="2AA2164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8BBAEF" w14:textId="77777777">
            <w:pPr>
              <w:pStyle w:val="Normal6"/>
              <w:rPr>
                <w:lang w:val="en-GB"/>
              </w:rPr>
            </w:pPr>
            <w:r w:rsidRPr="002B4A69">
              <w:rPr>
                <w:b/>
                <w:i/>
                <w:vertAlign w:val="superscript"/>
                <w:lang w:val="en-GB"/>
              </w:rPr>
              <w:t>28</w:t>
            </w:r>
            <w:r w:rsidRPr="002B4A69">
              <w:rPr>
                <w:lang w:val="en-GB"/>
              </w:rPr>
              <w:t xml:space="preserve"> </w:t>
            </w:r>
            <w:r w:rsidRPr="002B4A69">
              <w:rPr>
                <w:b/>
                <w:i/>
                <w:lang w:val="en-GB"/>
              </w:rPr>
              <w:t>In line with the interpretation of the Commission set out in Guidance Document No. 0: Guidance on Interpretation of Annex I of the EU ETS Directive (excl. aviation and maritime activities): https://climate.ec.europa.eu/document/edc93136-82a0-482c-bf47-39ecaf13b318_en.</w:t>
            </w:r>
          </w:p>
        </w:tc>
        <w:tc>
          <w:tcPr>
            <w:tcW w:w="4876" w:type="dxa"/>
          </w:tcPr>
          <w:p w:rsidR="001F04EE" w:rsidRPr="002B4A69" w:rsidP="00723F81" w14:paraId="368F1840" w14:textId="77777777">
            <w:pPr>
              <w:pStyle w:val="Normal6"/>
              <w:rPr>
                <w:szCs w:val="24"/>
                <w:lang w:val="en-GB"/>
              </w:rPr>
            </w:pPr>
          </w:p>
        </w:tc>
      </w:tr>
    </w:tbl>
    <w:p w:rsidR="001F04EE" w:rsidRPr="002B4A69" w:rsidP="001F04EE" w14:paraId="273DA97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39BF861"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11945E28" w14:textId="77777777">
      <w:pPr>
        <w:pStyle w:val="Normal12Italic"/>
        <w:rPr>
          <w:noProof w:val="0"/>
          <w:lang w:val="en-GB"/>
        </w:rPr>
      </w:pPr>
      <w:r w:rsidRPr="002B4A69">
        <w:rPr>
          <w:noProof w:val="0"/>
          <w:lang w:val="en-GB"/>
        </w:rPr>
        <w:t>This recital explains the proposed creation of a separate ETS activity for waste incineration and co-incineration, including the removal of the existing safeguard for municipal waste incineration units in Annex I, point 5. Since the new activity is deleted by the previous proposal for amendments, the recital would no longer reflect the amended text. Its deletion does not affect co-incineration activities already covered by the EU ETS under the combustion activity.</w:t>
      </w:r>
    </w:p>
    <w:p w:rsidR="001F04EE" w:rsidRPr="002B4A69" w:rsidP="001F04EE" w14:paraId="03ECF1DC" w14:textId="77777777">
      <w:r w:rsidRPr="002B4A69">
        <w:rPr>
          <w:rStyle w:val="HideTWBExt"/>
        </w:rPr>
        <w:t>&lt;/Amend&gt;</w:t>
      </w:r>
    </w:p>
    <w:p w:rsidR="001F04EE" w:rsidRPr="002B4A69" w:rsidP="001F04EE" w14:paraId="0FAC81B9"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544</w:t>
      </w:r>
      <w:r w:rsidRPr="002B4A69">
        <w:rPr>
          <w:rStyle w:val="HideTWBExt"/>
          <w:b w:val="0"/>
          <w:lang w:val="en-GB"/>
        </w:rPr>
        <w:t>&lt;/NumAm&gt;</w:t>
      </w:r>
    </w:p>
    <w:p w:rsidR="001F04EE" w:rsidRPr="002B4A69" w:rsidP="001F04EE" w14:paraId="67F960C2"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6501E869" w14:textId="77777777">
      <w:r w:rsidRPr="002B4A69">
        <w:rPr>
          <w:rStyle w:val="HideTWBExt"/>
        </w:rPr>
        <w:t>&lt;/RepeatBlock-By&gt;</w:t>
      </w:r>
    </w:p>
    <w:p w:rsidR="001F04EE" w:rsidRPr="002B4A69" w:rsidP="001F04EE" w14:paraId="153E009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6A9E279"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3C2F3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E61FD38" w14:textId="77777777">
            <w:pPr>
              <w:keepNext/>
            </w:pPr>
          </w:p>
        </w:tc>
      </w:tr>
      <w:tr w14:paraId="46993D3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FEB99E9" w14:textId="77777777">
            <w:pPr>
              <w:pStyle w:val="ColumnHeading"/>
              <w:keepNext/>
              <w:rPr>
                <w:lang w:val="en-GB"/>
              </w:rPr>
            </w:pPr>
            <w:r w:rsidRPr="002B4A69">
              <w:rPr>
                <w:lang w:val="en-GB"/>
              </w:rPr>
              <w:t>Text proposed by the Commission</w:t>
            </w:r>
          </w:p>
        </w:tc>
        <w:tc>
          <w:tcPr>
            <w:tcW w:w="4876" w:type="dxa"/>
          </w:tcPr>
          <w:p w:rsidR="001F04EE" w:rsidRPr="002B4A69" w:rsidP="00723F81" w14:paraId="7C7C4613" w14:textId="77777777">
            <w:pPr>
              <w:pStyle w:val="ColumnHeading"/>
              <w:keepNext/>
              <w:rPr>
                <w:lang w:val="en-GB"/>
              </w:rPr>
            </w:pPr>
            <w:r w:rsidRPr="002B4A69">
              <w:rPr>
                <w:lang w:val="en-GB"/>
              </w:rPr>
              <w:t>Amendment</w:t>
            </w:r>
          </w:p>
        </w:tc>
      </w:tr>
      <w:tr w14:paraId="10E6C66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FCE399F" w14:textId="77777777">
            <w:pPr>
              <w:pStyle w:val="Normal6"/>
              <w:rPr>
                <w:lang w:val="en-GB"/>
              </w:rPr>
            </w:pPr>
            <w:r w:rsidRPr="002B4A69">
              <w:rPr>
                <w:b/>
                <w:i/>
                <w:lang w:val="en-GB"/>
              </w:rPr>
              <w:t>(72)</w:t>
            </w:r>
            <w:r w:rsidRPr="002B4A69">
              <w:rPr>
                <w:b/>
                <w:i/>
                <w:lang w:val="en-GB"/>
              </w:rPr>
              <w:tab/>
              <w:t>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b/>
                <w:i/>
                <w:vertAlign w:val="superscript"/>
                <w:lang w:val="en-GB"/>
              </w:rPr>
              <w:t>28</w:t>
            </w:r>
            <w:r w:rsidRPr="002B4A69">
              <w:rPr>
                <w:lang w:val="en-GB"/>
              </w:rPr>
              <w:t xml:space="preserve"> </w:t>
            </w:r>
            <w:r w:rsidRPr="002B4A69">
              <w:rPr>
                <w:b/>
                <w:i/>
                <w:lang w:val="en-GB"/>
              </w:rPr>
              <w:t>,</w:t>
            </w:r>
            <w:r w:rsidRPr="002B4A69">
              <w:rPr>
                <w:b/>
                <w:i/>
                <w:lang w:val="en-GB"/>
              </w:rPr>
              <w:t xml:space="preserve"> so that the incineration and co-incineration of waste can be part of a single activity. In addition, units for the incineration of municipal waste should be included in the greenhouse gas emission permits of an EU ETS activity. To this end, the current exemption of such units should be deleted in point 5 of Annex I to Directive 2003/87/EC. The recovery of waste through chemical recycling activities, including thermal treatment processes such as pyrolysis or 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b/>
                <w:i/>
                <w:lang w:val="en-GB"/>
              </w:rPr>
              <w:t>hour .</w:t>
            </w:r>
            <w:r w:rsidRPr="002B4A69">
              <w:rPr>
                <w:b/>
                <w:i/>
                <w:lang w:val="en-GB"/>
              </w:rPr>
              <w:t xml:space="preserve"> Implementing Regulation (EU) 2018/2066 should be reviewed and updated accordingly regarding the monitoring and reporting rules for emissions from municipal waste incineration </w:t>
            </w:r>
            <w:r w:rsidRPr="002B4A69">
              <w:rPr>
                <w:b/>
                <w:i/>
                <w:lang w:val="en-GB"/>
              </w:rPr>
              <w:t>installations.</w:t>
            </w:r>
          </w:p>
        </w:tc>
        <w:tc>
          <w:tcPr>
            <w:tcW w:w="4876" w:type="dxa"/>
          </w:tcPr>
          <w:p w:rsidR="001F04EE" w:rsidRPr="002B4A69" w:rsidP="00723F81" w14:paraId="25859661" w14:textId="77777777">
            <w:pPr>
              <w:pStyle w:val="Normal6"/>
              <w:rPr>
                <w:szCs w:val="24"/>
                <w:lang w:val="en-GB"/>
              </w:rPr>
            </w:pPr>
            <w:r w:rsidRPr="002B4A69">
              <w:rPr>
                <w:b/>
                <w:i/>
                <w:lang w:val="en-GB"/>
              </w:rPr>
              <w:t>deleted</w:t>
            </w:r>
          </w:p>
        </w:tc>
      </w:tr>
      <w:tr w14:paraId="67E3B8C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0563BFB" w14:textId="77777777">
            <w:pPr>
              <w:pStyle w:val="Normal6"/>
              <w:rPr>
                <w:lang w:val="en-GB"/>
              </w:rPr>
            </w:pPr>
            <w:r w:rsidRPr="002B4A69">
              <w:rPr>
                <w:b/>
                <w:i/>
                <w:lang w:val="en-GB"/>
              </w:rPr>
              <w:t>__________________</w:t>
            </w:r>
          </w:p>
        </w:tc>
        <w:tc>
          <w:tcPr>
            <w:tcW w:w="4876" w:type="dxa"/>
          </w:tcPr>
          <w:p w:rsidR="001F04EE" w:rsidRPr="002B4A69" w:rsidP="00723F81" w14:paraId="0747C881" w14:textId="77777777">
            <w:pPr>
              <w:pStyle w:val="Normal6"/>
              <w:rPr>
                <w:szCs w:val="24"/>
                <w:lang w:val="en-GB"/>
              </w:rPr>
            </w:pPr>
          </w:p>
        </w:tc>
      </w:tr>
      <w:tr w14:paraId="46CD960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635AB0B" w14:textId="77777777">
            <w:pPr>
              <w:pStyle w:val="Normal6"/>
              <w:rPr>
                <w:lang w:val="en-GB"/>
              </w:rPr>
            </w:pPr>
            <w:r w:rsidRPr="002B4A69">
              <w:rPr>
                <w:b/>
                <w:i/>
                <w:vertAlign w:val="superscript"/>
                <w:lang w:val="en-GB"/>
              </w:rPr>
              <w:t>28</w:t>
            </w:r>
            <w:r w:rsidRPr="002B4A69">
              <w:rPr>
                <w:lang w:val="en-GB"/>
              </w:rPr>
              <w:t xml:space="preserve"> </w:t>
            </w:r>
            <w:r w:rsidRPr="002B4A69">
              <w:rPr>
                <w:b/>
                <w:i/>
                <w:lang w:val="en-GB"/>
              </w:rPr>
              <w:t>In line with the interpretation of the Commission set out in Guidance Document No. 0: Guidance on Interpretation of Annex I of the EU ETS Directive (excl. aviation and maritime activities): https://climate.ec.europa.eu/document/edc93136-82a0-482c-bf47-39ecaf13b318_en.</w:t>
            </w:r>
          </w:p>
        </w:tc>
        <w:tc>
          <w:tcPr>
            <w:tcW w:w="4876" w:type="dxa"/>
          </w:tcPr>
          <w:p w:rsidR="001F04EE" w:rsidRPr="002B4A69" w:rsidP="00723F81" w14:paraId="73EF84FB" w14:textId="77777777">
            <w:pPr>
              <w:pStyle w:val="Normal6"/>
              <w:rPr>
                <w:szCs w:val="24"/>
                <w:lang w:val="en-GB"/>
              </w:rPr>
            </w:pPr>
          </w:p>
        </w:tc>
      </w:tr>
    </w:tbl>
    <w:p w:rsidR="001F04EE" w:rsidRPr="002B4A69" w:rsidP="001F04EE" w14:paraId="58018CB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E7F4FB2" w14:textId="77777777">
      <w:r w:rsidRPr="002B4A69">
        <w:rPr>
          <w:rStyle w:val="HideTWBExt"/>
        </w:rPr>
        <w:t>&lt;/Amend&gt;</w:t>
      </w:r>
    </w:p>
    <w:p w:rsidR="001F04EE" w:rsidRPr="002B4A69" w:rsidP="001F04EE" w14:paraId="26CD5D8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545</w:t>
      </w:r>
      <w:r w:rsidRPr="002B4A69">
        <w:rPr>
          <w:rStyle w:val="HideTWBExt"/>
          <w:b w:val="0"/>
          <w:lang w:val="en-GB"/>
        </w:rPr>
        <w:t>&lt;/NumAm&gt;</w:t>
      </w:r>
    </w:p>
    <w:p w:rsidR="001F04EE" w:rsidRPr="002B4A69" w:rsidP="001F04EE" w14:paraId="2F8AF8E3"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017AF050" w14:textId="77777777">
      <w:r w:rsidRPr="002B4A69">
        <w:rPr>
          <w:rStyle w:val="HideTWBExt"/>
        </w:rPr>
        <w:t>&lt;/RepeatBlock-By&gt;</w:t>
      </w:r>
    </w:p>
    <w:p w:rsidR="001F04EE" w:rsidRPr="002B4A69" w:rsidP="001F04EE" w14:paraId="6461EA5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B686EDE"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05451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071F65F" w14:textId="77777777">
            <w:pPr>
              <w:keepNext/>
            </w:pPr>
          </w:p>
        </w:tc>
      </w:tr>
      <w:tr w14:paraId="1146014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837A3FA" w14:textId="77777777">
            <w:pPr>
              <w:pStyle w:val="ColumnHeading"/>
              <w:keepNext/>
              <w:rPr>
                <w:lang w:val="en-GB"/>
              </w:rPr>
            </w:pPr>
            <w:r w:rsidRPr="002B4A69">
              <w:rPr>
                <w:lang w:val="en-GB"/>
              </w:rPr>
              <w:t>Text proposed by the Commission</w:t>
            </w:r>
          </w:p>
        </w:tc>
        <w:tc>
          <w:tcPr>
            <w:tcW w:w="4876" w:type="dxa"/>
          </w:tcPr>
          <w:p w:rsidR="001F04EE" w:rsidRPr="002B4A69" w:rsidP="00723F81" w14:paraId="599A589A" w14:textId="77777777">
            <w:pPr>
              <w:pStyle w:val="ColumnHeading"/>
              <w:keepNext/>
              <w:rPr>
                <w:lang w:val="en-GB"/>
              </w:rPr>
            </w:pPr>
            <w:r w:rsidRPr="002B4A69">
              <w:rPr>
                <w:lang w:val="en-GB"/>
              </w:rPr>
              <w:t>Amendment</w:t>
            </w:r>
          </w:p>
        </w:tc>
      </w:tr>
      <w:tr w14:paraId="5321BAF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5AC123B" w14:textId="77777777">
            <w:pPr>
              <w:pStyle w:val="Normal6"/>
              <w:rPr>
                <w:lang w:val="en-GB"/>
              </w:rPr>
            </w:pPr>
            <w:r w:rsidRPr="002B4A69">
              <w:rPr>
                <w:b/>
                <w:i/>
                <w:lang w:val="en-GB"/>
              </w:rPr>
              <w:t>(72)</w:t>
            </w:r>
            <w:r w:rsidRPr="002B4A69">
              <w:rPr>
                <w:b/>
                <w:i/>
                <w:lang w:val="en-GB"/>
              </w:rPr>
              <w:tab/>
              <w:t>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b/>
                <w:i/>
                <w:vertAlign w:val="superscript"/>
                <w:lang w:val="en-GB"/>
              </w:rPr>
              <w:t>28</w:t>
            </w:r>
            <w:r w:rsidRPr="002B4A69">
              <w:rPr>
                <w:lang w:val="en-GB"/>
              </w:rPr>
              <w:t xml:space="preserve"> </w:t>
            </w:r>
            <w:r w:rsidRPr="002B4A69">
              <w:rPr>
                <w:b/>
                <w:i/>
                <w:lang w:val="en-GB"/>
              </w:rPr>
              <w:t>,</w:t>
            </w:r>
            <w:r w:rsidRPr="002B4A69">
              <w:rPr>
                <w:b/>
                <w:i/>
                <w:lang w:val="en-GB"/>
              </w:rPr>
              <w:t xml:space="preserve"> so that the incineration and co-incineration of waste can be part of a single activity. In addition, units for the incineration of municipal waste should be included in the greenhouse gas emission permits of an EU ETS activity. To this end, the current </w:t>
            </w:r>
            <w:r w:rsidRPr="002B4A69">
              <w:rPr>
                <w:b/>
                <w:i/>
                <w:lang w:val="en-GB"/>
              </w:rPr>
              <w:t xml:space="preserve">exemption of such units should be deleted in point 5 of Annex I to Directive 2003/87/EC. The recovery of waste through chemical recycling activities, including thermal treatment processes such as pyrolysis or 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b/>
                <w:i/>
                <w:lang w:val="en-GB"/>
              </w:rPr>
              <w:t>hour .</w:t>
            </w:r>
            <w:r w:rsidRPr="002B4A69">
              <w:rPr>
                <w:b/>
                <w:i/>
                <w:lang w:val="en-GB"/>
              </w:rPr>
              <w:t xml:space="preserve"> Implementing Regulation (EU) 2018/2066 should be reviewed and updated accordingly regarding the monitoring and reporting rules for emissions from municipal waste incineration installations.</w:t>
            </w:r>
          </w:p>
        </w:tc>
        <w:tc>
          <w:tcPr>
            <w:tcW w:w="4876" w:type="dxa"/>
          </w:tcPr>
          <w:p w:rsidR="001F04EE" w:rsidRPr="002B4A69" w:rsidP="00723F81" w14:paraId="75442A90" w14:textId="77777777">
            <w:pPr>
              <w:pStyle w:val="Normal6"/>
              <w:rPr>
                <w:szCs w:val="24"/>
                <w:lang w:val="en-GB"/>
              </w:rPr>
            </w:pPr>
            <w:r w:rsidRPr="002B4A69">
              <w:rPr>
                <w:b/>
                <w:i/>
                <w:lang w:val="en-GB"/>
              </w:rPr>
              <w:t>deleted</w:t>
            </w:r>
          </w:p>
        </w:tc>
      </w:tr>
      <w:tr w14:paraId="14CCAB7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00D874B" w14:textId="77777777">
            <w:pPr>
              <w:pStyle w:val="Normal6"/>
              <w:rPr>
                <w:lang w:val="en-GB"/>
              </w:rPr>
            </w:pPr>
            <w:r w:rsidRPr="002B4A69">
              <w:rPr>
                <w:b/>
                <w:i/>
                <w:lang w:val="en-GB"/>
              </w:rPr>
              <w:t>__________________</w:t>
            </w:r>
          </w:p>
        </w:tc>
        <w:tc>
          <w:tcPr>
            <w:tcW w:w="4876" w:type="dxa"/>
          </w:tcPr>
          <w:p w:rsidR="001F04EE" w:rsidRPr="002B4A69" w:rsidP="00723F81" w14:paraId="320C169F" w14:textId="77777777">
            <w:pPr>
              <w:pStyle w:val="Normal6"/>
              <w:rPr>
                <w:szCs w:val="24"/>
                <w:lang w:val="en-GB"/>
              </w:rPr>
            </w:pPr>
          </w:p>
        </w:tc>
      </w:tr>
      <w:tr w14:paraId="4592453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ADA44E1" w14:textId="77777777">
            <w:pPr>
              <w:pStyle w:val="Normal6"/>
              <w:rPr>
                <w:lang w:val="en-GB"/>
              </w:rPr>
            </w:pPr>
            <w:r w:rsidRPr="002B4A69">
              <w:rPr>
                <w:b/>
                <w:i/>
                <w:vertAlign w:val="superscript"/>
                <w:lang w:val="en-GB"/>
              </w:rPr>
              <w:t>28</w:t>
            </w:r>
            <w:r w:rsidRPr="002B4A69">
              <w:rPr>
                <w:lang w:val="en-GB"/>
              </w:rPr>
              <w:t xml:space="preserve"> </w:t>
            </w:r>
            <w:r w:rsidRPr="002B4A69">
              <w:rPr>
                <w:b/>
                <w:i/>
                <w:lang w:val="en-GB"/>
              </w:rPr>
              <w:t>In line with the interpretation of the Commission set out in Guidance Document No. 0: Guidance on Interpretation of Annex I of the EU ETS Directive (excl. aviation and maritime activities): https://climate.ec.europa.eu/document/edc93136-82a0-482c-bf47-39ecaf13b318_en.</w:t>
            </w:r>
          </w:p>
        </w:tc>
        <w:tc>
          <w:tcPr>
            <w:tcW w:w="4876" w:type="dxa"/>
          </w:tcPr>
          <w:p w:rsidR="001F04EE" w:rsidRPr="002B4A69" w:rsidP="00723F81" w14:paraId="72912701" w14:textId="77777777">
            <w:pPr>
              <w:pStyle w:val="Normal6"/>
              <w:rPr>
                <w:szCs w:val="24"/>
                <w:lang w:val="en-GB"/>
              </w:rPr>
            </w:pPr>
          </w:p>
        </w:tc>
      </w:tr>
    </w:tbl>
    <w:p w:rsidR="001F04EE" w:rsidRPr="002B4A69" w:rsidP="001F04EE" w14:paraId="1775AED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8C12482" w14:textId="77777777">
      <w:r w:rsidRPr="002B4A69">
        <w:rPr>
          <w:rStyle w:val="HideTWBExt"/>
        </w:rPr>
        <w:t>&lt;/Amend&gt;</w:t>
      </w:r>
    </w:p>
    <w:p w:rsidR="001F04EE" w:rsidRPr="002B4A69" w:rsidP="001F04EE" w14:paraId="2A6E2A4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546</w:t>
      </w:r>
      <w:r w:rsidRPr="002B4A69">
        <w:rPr>
          <w:rStyle w:val="HideTWBExt"/>
          <w:b w:val="0"/>
          <w:lang w:val="en-GB"/>
        </w:rPr>
        <w:t>&lt;/NumAm&gt;</w:t>
      </w:r>
    </w:p>
    <w:p w:rsidR="001F04EE" w:rsidRPr="002B4A69" w:rsidP="001F04EE" w14:paraId="5F582474" w14:textId="77777777">
      <w:pPr>
        <w:pStyle w:val="NormalBold"/>
      </w:pPr>
      <w:r w:rsidRPr="002B4A69">
        <w:rPr>
          <w:rStyle w:val="HideTWBExt"/>
          <w:b w:val="0"/>
        </w:rPr>
        <w:t>&lt;RepeatBlock-By&gt;&lt;Members&gt;</w:t>
      </w:r>
      <w:r w:rsidRPr="002B4A69">
        <w:t>Grégory Allione</w:t>
      </w:r>
      <w:r w:rsidRPr="002B4A69">
        <w:rPr>
          <w:rStyle w:val="HideTWBExt"/>
          <w:b w:val="0"/>
        </w:rPr>
        <w:t>&lt;/Members&gt;</w:t>
      </w:r>
    </w:p>
    <w:p w:rsidR="001F04EE" w:rsidRPr="002B4A69" w:rsidP="001F04EE" w14:paraId="537B675B" w14:textId="77777777">
      <w:r w:rsidRPr="002B4A69">
        <w:rPr>
          <w:rStyle w:val="HideTWBExt"/>
        </w:rPr>
        <w:t>&lt;/RepeatBlock-By&gt;</w:t>
      </w:r>
    </w:p>
    <w:p w:rsidR="001F04EE" w:rsidRPr="002B4A69" w:rsidP="001F04EE" w14:paraId="4038F98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4C8B5D5"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1512B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2F4A2C5" w14:textId="77777777">
            <w:pPr>
              <w:keepNext/>
            </w:pPr>
          </w:p>
        </w:tc>
      </w:tr>
      <w:tr w14:paraId="6FCC4A2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97CDF31" w14:textId="77777777">
            <w:pPr>
              <w:pStyle w:val="ColumnHeading"/>
              <w:keepNext/>
              <w:rPr>
                <w:lang w:val="en-GB"/>
              </w:rPr>
            </w:pPr>
            <w:r w:rsidRPr="002B4A69">
              <w:rPr>
                <w:lang w:val="en-GB"/>
              </w:rPr>
              <w:t>Text proposed by the Commission</w:t>
            </w:r>
          </w:p>
        </w:tc>
        <w:tc>
          <w:tcPr>
            <w:tcW w:w="4876" w:type="dxa"/>
          </w:tcPr>
          <w:p w:rsidR="001F04EE" w:rsidRPr="002B4A69" w:rsidP="00723F81" w14:paraId="168B0F07" w14:textId="77777777">
            <w:pPr>
              <w:pStyle w:val="ColumnHeading"/>
              <w:keepNext/>
              <w:rPr>
                <w:lang w:val="en-GB"/>
              </w:rPr>
            </w:pPr>
            <w:r w:rsidRPr="002B4A69">
              <w:rPr>
                <w:lang w:val="en-GB"/>
              </w:rPr>
              <w:t>Amendment</w:t>
            </w:r>
          </w:p>
        </w:tc>
      </w:tr>
      <w:tr w14:paraId="5144D13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B465088" w14:textId="77777777">
            <w:pPr>
              <w:pStyle w:val="Normal6"/>
              <w:rPr>
                <w:lang w:val="en-GB"/>
              </w:rPr>
            </w:pPr>
            <w:r w:rsidRPr="002B4A69">
              <w:rPr>
                <w:b/>
                <w:i/>
                <w:lang w:val="en-GB"/>
              </w:rPr>
              <w:t>(72)</w:t>
            </w:r>
            <w:r w:rsidRPr="002B4A69">
              <w:rPr>
                <w:b/>
                <w:i/>
                <w:lang w:val="en-GB"/>
              </w:rPr>
              <w:tab/>
              <w:t>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b/>
                <w:i/>
                <w:vertAlign w:val="superscript"/>
                <w:lang w:val="en-GB"/>
              </w:rPr>
              <w:t>28</w:t>
            </w:r>
            <w:r w:rsidRPr="002B4A69">
              <w:rPr>
                <w:lang w:val="en-GB"/>
              </w:rPr>
              <w:t xml:space="preserve"> </w:t>
            </w:r>
            <w:r w:rsidRPr="002B4A69">
              <w:rPr>
                <w:b/>
                <w:i/>
                <w:lang w:val="en-GB"/>
              </w:rPr>
              <w:t>,</w:t>
            </w:r>
            <w:r w:rsidRPr="002B4A69">
              <w:rPr>
                <w:b/>
                <w:i/>
                <w:lang w:val="en-GB"/>
              </w:rPr>
              <w:t xml:space="preserve"> so that the incineration and co-incineration of waste can be part of a single activity. In addition, units for the incineration of municipal waste should be included in the greenhouse gas emission permits of an EU ETS activity. To this end, the current exemption of such units should be deleted in point 5 of Annex I to Directive 2003/87/EC. The recovery of waste through chemical recycling activities, including thermal treatment processes such as pyrolysis or 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b/>
                <w:i/>
                <w:lang w:val="en-GB"/>
              </w:rPr>
              <w:t>hour .</w:t>
            </w:r>
            <w:r w:rsidRPr="002B4A69">
              <w:rPr>
                <w:b/>
                <w:i/>
                <w:lang w:val="en-GB"/>
              </w:rPr>
              <w:t xml:space="preserve"> Implementing Regulation (EU) 2018/2066 should be reviewed and updated accordingly regarding the monitoring and reporting rules for emissions from municipal waste incineration </w:t>
            </w:r>
            <w:r w:rsidRPr="002B4A69">
              <w:rPr>
                <w:b/>
                <w:i/>
                <w:lang w:val="en-GB"/>
              </w:rPr>
              <w:t>installations.</w:t>
            </w:r>
          </w:p>
        </w:tc>
        <w:tc>
          <w:tcPr>
            <w:tcW w:w="4876" w:type="dxa"/>
          </w:tcPr>
          <w:p w:rsidR="001F04EE" w:rsidRPr="002B4A69" w:rsidP="00723F81" w14:paraId="238C1D17" w14:textId="77777777">
            <w:pPr>
              <w:pStyle w:val="Normal6"/>
              <w:rPr>
                <w:szCs w:val="24"/>
                <w:lang w:val="en-GB"/>
              </w:rPr>
            </w:pPr>
            <w:r w:rsidRPr="002B4A69">
              <w:rPr>
                <w:b/>
                <w:i/>
                <w:lang w:val="en-GB"/>
              </w:rPr>
              <w:t>deleted</w:t>
            </w:r>
          </w:p>
        </w:tc>
      </w:tr>
      <w:tr w14:paraId="147DDAD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81B57B0" w14:textId="77777777">
            <w:pPr>
              <w:pStyle w:val="Normal6"/>
              <w:rPr>
                <w:lang w:val="en-GB"/>
              </w:rPr>
            </w:pPr>
            <w:r w:rsidRPr="002B4A69">
              <w:rPr>
                <w:b/>
                <w:i/>
                <w:lang w:val="en-GB"/>
              </w:rPr>
              <w:t>__________________</w:t>
            </w:r>
          </w:p>
        </w:tc>
        <w:tc>
          <w:tcPr>
            <w:tcW w:w="4876" w:type="dxa"/>
          </w:tcPr>
          <w:p w:rsidR="001F04EE" w:rsidRPr="002B4A69" w:rsidP="00723F81" w14:paraId="2BFFEEEE" w14:textId="77777777">
            <w:pPr>
              <w:pStyle w:val="Normal6"/>
              <w:rPr>
                <w:szCs w:val="24"/>
                <w:lang w:val="en-GB"/>
              </w:rPr>
            </w:pPr>
          </w:p>
        </w:tc>
      </w:tr>
      <w:tr w14:paraId="2872B1F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B40E3F6" w14:textId="77777777">
            <w:pPr>
              <w:pStyle w:val="Normal6"/>
              <w:rPr>
                <w:lang w:val="en-GB"/>
              </w:rPr>
            </w:pPr>
            <w:r w:rsidRPr="002B4A69">
              <w:rPr>
                <w:b/>
                <w:i/>
                <w:vertAlign w:val="superscript"/>
                <w:lang w:val="en-GB"/>
              </w:rPr>
              <w:t>28</w:t>
            </w:r>
            <w:r w:rsidRPr="002B4A69">
              <w:rPr>
                <w:lang w:val="en-GB"/>
              </w:rPr>
              <w:t xml:space="preserve"> </w:t>
            </w:r>
            <w:r w:rsidRPr="002B4A69">
              <w:rPr>
                <w:b/>
                <w:i/>
                <w:lang w:val="en-GB"/>
              </w:rPr>
              <w:t>In line with the interpretation of the Commission set out in Guidance Document No. 0: Guidance on Interpretation of Annex I of the EU ETS Directive (excl. aviation and maritime activities): https://climate.ec.europa.eu/document/edc93136-82a0-482c-bf47-39ecaf13b318_en.</w:t>
            </w:r>
          </w:p>
        </w:tc>
        <w:tc>
          <w:tcPr>
            <w:tcW w:w="4876" w:type="dxa"/>
          </w:tcPr>
          <w:p w:rsidR="001F04EE" w:rsidRPr="002B4A69" w:rsidP="00723F81" w14:paraId="43763241" w14:textId="77777777">
            <w:pPr>
              <w:pStyle w:val="Normal6"/>
              <w:rPr>
                <w:szCs w:val="24"/>
                <w:lang w:val="en-GB"/>
              </w:rPr>
            </w:pPr>
          </w:p>
        </w:tc>
      </w:tr>
    </w:tbl>
    <w:p w:rsidR="001F04EE" w:rsidRPr="002B4A69" w:rsidP="001F04EE" w14:paraId="53214B9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F5D7596" w14:textId="77777777">
      <w:r w:rsidRPr="002B4A69">
        <w:rPr>
          <w:rStyle w:val="HideTWBExt"/>
        </w:rPr>
        <w:t>&lt;/Amend&gt;</w:t>
      </w:r>
    </w:p>
    <w:p w:rsidR="001F04EE" w:rsidRPr="002B4A69" w:rsidP="001F04EE" w14:paraId="13FB013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547</w:t>
      </w:r>
      <w:r w:rsidRPr="002B4A69">
        <w:rPr>
          <w:rStyle w:val="HideTWBExt"/>
          <w:b w:val="0"/>
          <w:lang w:val="en-GB"/>
        </w:rPr>
        <w:t>&lt;/NumAm&gt;</w:t>
      </w:r>
    </w:p>
    <w:p w:rsidR="001F04EE" w:rsidRPr="002B4A69" w:rsidP="001F04EE" w14:paraId="1F6A441E" w14:textId="77777777">
      <w:pPr>
        <w:pStyle w:val="NormalBold"/>
      </w:pPr>
      <w:r w:rsidRPr="002B4A69">
        <w:rPr>
          <w:rStyle w:val="HideTWBExt"/>
          <w:b w:val="0"/>
        </w:rPr>
        <w:t>&lt;RepeatBlock-By&gt;&lt;Members&gt;</w:t>
      </w:r>
      <w:r w:rsidRPr="002B4A6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2B4A69">
        <w:rPr>
          <w:rStyle w:val="HideTWBExt"/>
          <w:b w:val="0"/>
        </w:rPr>
        <w:t>&lt;/Members&gt;</w:t>
      </w:r>
    </w:p>
    <w:p w:rsidR="001F04EE" w:rsidRPr="002B4A69" w:rsidP="001F04EE" w14:paraId="4AC40206" w14:textId="77777777">
      <w:r w:rsidRPr="002B4A69">
        <w:rPr>
          <w:rStyle w:val="HideTWBExt"/>
        </w:rPr>
        <w:t>&lt;/RepeatBlock-By&gt;</w:t>
      </w:r>
    </w:p>
    <w:p w:rsidR="001F04EE" w:rsidRPr="002B4A69" w:rsidP="001F04EE" w14:paraId="5C8E72D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FD7EFE7" w14:textId="77777777">
      <w:pPr>
        <w:pStyle w:val="NormalBold"/>
      </w:pPr>
      <w:r w:rsidRPr="002B4A69">
        <w:rPr>
          <w:rStyle w:val="HideTWBExt"/>
          <w:b w:val="0"/>
        </w:rPr>
        <w:t>&lt;Article&gt;</w:t>
      </w:r>
      <w:r w:rsidRPr="002B4A69">
        <w:t>Recital 72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CA723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A1B564B" w14:textId="77777777">
            <w:pPr>
              <w:keepNext/>
            </w:pPr>
          </w:p>
        </w:tc>
      </w:tr>
      <w:tr w14:paraId="31B1F3E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28D2C5B" w14:textId="77777777">
            <w:pPr>
              <w:pStyle w:val="ColumnHeading"/>
              <w:keepNext/>
              <w:rPr>
                <w:lang w:val="en-GB"/>
              </w:rPr>
            </w:pPr>
            <w:r w:rsidRPr="002B4A69">
              <w:rPr>
                <w:lang w:val="en-GB"/>
              </w:rPr>
              <w:t>Text proposed by the Commission</w:t>
            </w:r>
          </w:p>
        </w:tc>
        <w:tc>
          <w:tcPr>
            <w:tcW w:w="4876" w:type="dxa"/>
          </w:tcPr>
          <w:p w:rsidR="001F04EE" w:rsidRPr="002B4A69" w:rsidP="00723F81" w14:paraId="3CEB809E" w14:textId="77777777">
            <w:pPr>
              <w:pStyle w:val="ColumnHeading"/>
              <w:keepNext/>
              <w:rPr>
                <w:lang w:val="en-GB"/>
              </w:rPr>
            </w:pPr>
            <w:r w:rsidRPr="002B4A69">
              <w:rPr>
                <w:lang w:val="en-GB"/>
              </w:rPr>
              <w:t>Amendment</w:t>
            </w:r>
          </w:p>
        </w:tc>
      </w:tr>
      <w:tr w14:paraId="64AD337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2E6E233" w14:textId="77777777">
            <w:pPr>
              <w:pStyle w:val="Normal6"/>
              <w:rPr>
                <w:lang w:val="en-GB"/>
              </w:rPr>
            </w:pPr>
            <w:r w:rsidRPr="002B4A69">
              <w:rPr>
                <w:lang w:val="en-GB"/>
              </w:rPr>
              <w:t>(72)</w:t>
            </w:r>
            <w:r w:rsidRPr="002B4A69">
              <w:rPr>
                <w:lang w:val="en-GB"/>
              </w:rPr>
              <w:tab/>
              <w:t>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vertAlign w:val="superscript"/>
                <w:lang w:val="en-GB"/>
              </w:rPr>
              <w:t>28</w:t>
            </w:r>
            <w:r w:rsidRPr="002B4A69">
              <w:rPr>
                <w:lang w:val="en-GB"/>
              </w:rPr>
              <w:t xml:space="preserve"> ,</w:t>
            </w:r>
            <w:r w:rsidRPr="002B4A69">
              <w:rPr>
                <w:lang w:val="en-GB"/>
              </w:rPr>
              <w:t xml:space="preserve"> so that the incineration and co-incineration of waste can be part of a single activity</w:t>
            </w:r>
            <w:r w:rsidRPr="002B4A69">
              <w:rPr>
                <w:b/>
                <w:i/>
                <w:lang w:val="en-GB"/>
              </w:rPr>
              <w:t xml:space="preserve">. In addition, units for the incineration of municipal waste should be included in the greenhouse gas emission permits of an </w:t>
            </w:r>
            <w:r w:rsidRPr="002B4A69">
              <w:rPr>
                <w:b/>
                <w:i/>
                <w:lang w:val="en-GB"/>
              </w:rPr>
              <w:t>EU ETS activity. To this end, the current exemption of such units should be deleted in point 5 of Annex I to Directive 2003/87/EC</w:t>
            </w:r>
            <w:r w:rsidRPr="002B4A69">
              <w:rPr>
                <w:lang w:val="en-GB"/>
              </w:rPr>
              <w:t xml:space="preserve">. The recovery of waste through chemical recycling activities, including thermal treatment processes such as pyrolysis or 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w:t>
            </w:r>
            <w:r w:rsidRPr="002B4A69">
              <w:rPr>
                <w:lang w:val="en-GB"/>
              </w:rPr>
              <w:t>hour .</w:t>
            </w:r>
            <w:r w:rsidRPr="002B4A69">
              <w:rPr>
                <w:lang w:val="en-GB"/>
              </w:rPr>
              <w:t xml:space="preserve"> </w:t>
            </w:r>
            <w:r w:rsidRPr="002B4A69">
              <w:rPr>
                <w:b/>
                <w:i/>
                <w:lang w:val="en-GB"/>
              </w:rPr>
              <w:t>Implementing Regulation (EU) 2018/2066 should be reviewed and updated accordingly regarding the monitoring and reporting rules for emissions from</w:t>
            </w:r>
            <w:r w:rsidRPr="002B4A69">
              <w:rPr>
                <w:lang w:val="en-GB"/>
              </w:rPr>
              <w:t xml:space="preserve"> municipal waste incineration installations.</w:t>
            </w:r>
          </w:p>
        </w:tc>
        <w:tc>
          <w:tcPr>
            <w:tcW w:w="4876" w:type="dxa"/>
          </w:tcPr>
          <w:p w:rsidR="001F04EE" w:rsidRPr="002B4A69" w:rsidP="00723F81" w14:paraId="3E808CFA" w14:textId="77777777">
            <w:pPr>
              <w:pStyle w:val="Normal6"/>
              <w:rPr>
                <w:szCs w:val="24"/>
                <w:lang w:val="en-GB"/>
              </w:rPr>
            </w:pPr>
            <w:r w:rsidRPr="002B4A69">
              <w:rPr>
                <w:lang w:val="en-GB"/>
              </w:rPr>
              <w:t>(72)</w:t>
            </w:r>
            <w:r w:rsidRPr="002B4A69">
              <w:rPr>
                <w:lang w:val="en-GB"/>
              </w:rPr>
              <w:tab/>
              <w:t>A new activity for waste incineration and co-incineration should be established in Annex I. The installations covered by the scope of this activity should be defined in line with the definition of waste incineration plants and waste co-incineration plants in Directive 2010/75/EU of the European Parliament and of the Council, for non-hazardous waste. This new activity includes emissions from co-incineration, which were already covered by Directive 2003/87/EC as part of the activity ‘Combustion of fuels’</w:t>
            </w:r>
            <w:r w:rsidRPr="002B4A69">
              <w:rPr>
                <w:vertAlign w:val="superscript"/>
                <w:lang w:val="en-GB"/>
              </w:rPr>
              <w:t>28</w:t>
            </w:r>
            <w:r w:rsidRPr="002B4A69">
              <w:rPr>
                <w:lang w:val="en-GB"/>
              </w:rPr>
              <w:t xml:space="preserve">, so that the incineration and co-incineration of waste can be part of a single activity. The recovery of waste through chemical recycling activities, including thermal treatment processes such as pyrolysis or </w:t>
            </w:r>
            <w:r w:rsidRPr="002B4A69">
              <w:rPr>
                <w:lang w:val="en-GB"/>
              </w:rPr>
              <w:t xml:space="preserve">gasification, is not covered by the extension of the scope of the EU ETS to the extent that the substances resulting from the treatment are not subsequently incinerated. 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as installations with a capacity exceeding 3 tonnes per hour. Municipal waste incineration installations </w:t>
            </w:r>
            <w:r w:rsidRPr="002B4A69">
              <w:rPr>
                <w:b/>
                <w:i/>
                <w:lang w:val="en-GB"/>
              </w:rPr>
              <w:t>should nevertheless be excluded from that activity and, consequently, from the scope of the EU ETS</w:t>
            </w:r>
            <w:r w:rsidRPr="002B4A69">
              <w:rPr>
                <w:lang w:val="en-GB"/>
              </w:rPr>
              <w:t xml:space="preserve">. </w:t>
            </w:r>
            <w:r w:rsidRPr="002B4A69">
              <w:rPr>
                <w:b/>
                <w:i/>
                <w:lang w:val="en-GB"/>
              </w:rPr>
              <w:t>For consistency, the exemption for units for the incineration of municipal waste in point 5 of Annex I should be maintained, and the specific reference which, since 2024, subjects those installations to Articles 14 and 15 solely for monitoring, reporting and verification purposes should not be reintroduced in the first row of the table.</w:t>
            </w:r>
          </w:p>
        </w:tc>
      </w:tr>
      <w:tr w14:paraId="7FDEA55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9CB54C" w14:textId="77777777">
            <w:pPr>
              <w:pStyle w:val="Normal6"/>
              <w:rPr>
                <w:lang w:val="en-GB"/>
              </w:rPr>
            </w:pPr>
            <w:r w:rsidRPr="002B4A69">
              <w:rPr>
                <w:lang w:val="en-GB"/>
              </w:rPr>
              <w:t>__________________</w:t>
            </w:r>
          </w:p>
        </w:tc>
        <w:tc>
          <w:tcPr>
            <w:tcW w:w="4876" w:type="dxa"/>
          </w:tcPr>
          <w:p w:rsidR="001F04EE" w:rsidRPr="002B4A69" w:rsidP="00723F81" w14:paraId="0DE4069E" w14:textId="77777777">
            <w:pPr>
              <w:pStyle w:val="Normal6"/>
              <w:rPr>
                <w:szCs w:val="24"/>
                <w:lang w:val="en-GB"/>
              </w:rPr>
            </w:pPr>
            <w:r w:rsidRPr="002B4A69">
              <w:rPr>
                <w:lang w:val="en-GB"/>
              </w:rPr>
              <w:t>__________________</w:t>
            </w:r>
          </w:p>
        </w:tc>
      </w:tr>
      <w:tr w14:paraId="5538C28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B7A5240" w14:textId="77777777">
            <w:pPr>
              <w:pStyle w:val="Normal6"/>
              <w:rPr>
                <w:lang w:val="en-GB"/>
              </w:rPr>
            </w:pPr>
            <w:r w:rsidRPr="002B4A69">
              <w:rPr>
                <w:vertAlign w:val="superscript"/>
                <w:lang w:val="en-GB"/>
              </w:rPr>
              <w:t>28</w:t>
            </w:r>
            <w:r w:rsidRPr="002B4A69">
              <w:rPr>
                <w:lang w:val="en-GB"/>
              </w:rPr>
              <w:t xml:space="preserve"> In line with the interpretation of the Commission set out in Guidance Document No. 0: Guidance on Interpretation of Annex I of the EU ETS Directive (excl. aviation and maritime activities): https://climate.ec.europa.eu/document/edc93136-82a0-482c-bf47-39ecaf13b318_en.</w:t>
            </w:r>
          </w:p>
        </w:tc>
        <w:tc>
          <w:tcPr>
            <w:tcW w:w="4876" w:type="dxa"/>
          </w:tcPr>
          <w:p w:rsidR="001F04EE" w:rsidRPr="002B4A69" w:rsidP="00723F81" w14:paraId="3EB23219" w14:textId="77777777">
            <w:pPr>
              <w:pStyle w:val="Normal6"/>
              <w:rPr>
                <w:szCs w:val="24"/>
                <w:lang w:val="en-GB"/>
              </w:rPr>
            </w:pPr>
            <w:r w:rsidRPr="002B4A69">
              <w:rPr>
                <w:vertAlign w:val="superscript"/>
                <w:lang w:val="en-GB"/>
              </w:rPr>
              <w:t>28</w:t>
            </w:r>
            <w:r w:rsidRPr="002B4A69">
              <w:rPr>
                <w:lang w:val="en-GB"/>
              </w:rPr>
              <w:t xml:space="preserve"> In line with the interpretation of the Commission set out in Guidance Document No. 0: Guidance on Interpretation of Annex I of the EU ETS Directive (excl. aviation and maritime activities): https://climate.ec.europa.eu/document/edc93136-82a0-482c-bf47-39ecaf13b318_en.</w:t>
            </w:r>
          </w:p>
        </w:tc>
      </w:tr>
    </w:tbl>
    <w:p w:rsidR="001F04EE" w:rsidRPr="002B4A69" w:rsidP="001F04EE" w14:paraId="7D8C4A0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A01C2B9" w14:textId="77777777">
      <w:r w:rsidRPr="002B4A69">
        <w:rPr>
          <w:rStyle w:val="HideTWBExt"/>
        </w:rPr>
        <w:t>&lt;/Amend&gt;</w:t>
      </w:r>
    </w:p>
    <w:p w:rsidR="001F04EE" w:rsidRPr="002B4A69" w:rsidP="001F04EE" w14:paraId="08D0FBC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548</w:t>
      </w:r>
      <w:r w:rsidRPr="002B4A69">
        <w:rPr>
          <w:rStyle w:val="HideTWBExt"/>
          <w:b w:val="0"/>
          <w:lang w:val="en-GB"/>
        </w:rPr>
        <w:t>&lt;/NumAm&gt;</w:t>
      </w:r>
    </w:p>
    <w:p w:rsidR="001F04EE" w:rsidRPr="002B4A69" w:rsidP="001F04EE" w14:paraId="5458F0E4" w14:textId="77777777">
      <w:pPr>
        <w:pStyle w:val="NormalBold"/>
      </w:pPr>
      <w:r w:rsidRPr="002B4A69">
        <w:rPr>
          <w:rStyle w:val="HideTWBExt"/>
          <w:b w:val="0"/>
        </w:rPr>
        <w:t>&lt;RepeatBlock-By&gt;&lt;Members&gt;</w:t>
      </w:r>
      <w:r w:rsidRPr="002B4A69">
        <w:t>Sérgio Humberto, Paulo Cunha, Paulo do Nascimento Cabral, Lídia Pereira</w:t>
      </w:r>
      <w:r w:rsidRPr="002B4A69">
        <w:rPr>
          <w:rStyle w:val="HideTWBExt"/>
          <w:b w:val="0"/>
        </w:rPr>
        <w:t>&lt;/Members&gt;</w:t>
      </w:r>
    </w:p>
    <w:p w:rsidR="001F04EE" w:rsidRPr="002B4A69" w:rsidP="001F04EE" w14:paraId="731E399C" w14:textId="77777777">
      <w:r w:rsidRPr="002B4A69">
        <w:rPr>
          <w:rStyle w:val="HideTWBExt"/>
        </w:rPr>
        <w:t>&lt;/RepeatBlock-By&gt;</w:t>
      </w:r>
    </w:p>
    <w:p w:rsidR="001F04EE" w:rsidRPr="002B4A69" w:rsidP="001F04EE" w14:paraId="69950D4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62A72EC" w14:textId="77777777">
      <w:pPr>
        <w:pStyle w:val="NormalBold"/>
      </w:pPr>
      <w:r w:rsidRPr="002B4A69">
        <w:rPr>
          <w:rStyle w:val="HideTWBExt"/>
          <w:b w:val="0"/>
        </w:rPr>
        <w:t>&lt;Article&gt;</w:t>
      </w:r>
      <w:r w:rsidRPr="002B4A69">
        <w:t>Recital 73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85A1A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5878852" w14:textId="77777777">
            <w:pPr>
              <w:keepNext/>
            </w:pPr>
          </w:p>
        </w:tc>
      </w:tr>
      <w:tr w14:paraId="1E7F231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0978B38" w14:textId="77777777">
            <w:pPr>
              <w:pStyle w:val="ColumnHeading"/>
              <w:keepNext/>
              <w:rPr>
                <w:lang w:val="en-GB"/>
              </w:rPr>
            </w:pPr>
            <w:r w:rsidRPr="002B4A69">
              <w:rPr>
                <w:lang w:val="en-GB"/>
              </w:rPr>
              <w:t>Text proposed by the Commission</w:t>
            </w:r>
          </w:p>
        </w:tc>
        <w:tc>
          <w:tcPr>
            <w:tcW w:w="4876" w:type="dxa"/>
          </w:tcPr>
          <w:p w:rsidR="001F04EE" w:rsidRPr="002B4A69" w:rsidP="00723F81" w14:paraId="50C48715" w14:textId="77777777">
            <w:pPr>
              <w:pStyle w:val="ColumnHeading"/>
              <w:keepNext/>
              <w:rPr>
                <w:lang w:val="en-GB"/>
              </w:rPr>
            </w:pPr>
            <w:r w:rsidRPr="002B4A69">
              <w:rPr>
                <w:lang w:val="en-GB"/>
              </w:rPr>
              <w:t>Amendment</w:t>
            </w:r>
          </w:p>
        </w:tc>
      </w:tr>
      <w:tr w14:paraId="14E68BE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E73302F" w14:textId="77777777">
            <w:pPr>
              <w:pStyle w:val="Normal6"/>
              <w:rPr>
                <w:lang w:val="en-GB"/>
              </w:rPr>
            </w:pPr>
          </w:p>
        </w:tc>
        <w:tc>
          <w:tcPr>
            <w:tcW w:w="4876" w:type="dxa"/>
          </w:tcPr>
          <w:p w:rsidR="001F04EE" w:rsidRPr="002B4A69" w:rsidP="00723F81" w14:paraId="740C3F55" w14:textId="77777777">
            <w:pPr>
              <w:pStyle w:val="Normal6"/>
              <w:rPr>
                <w:szCs w:val="24"/>
                <w:lang w:val="en-GB"/>
              </w:rPr>
            </w:pPr>
            <w:r w:rsidRPr="002B4A69">
              <w:rPr>
                <w:b/>
                <w:i/>
                <w:lang w:val="en-GB"/>
              </w:rPr>
              <w:t>(73a)</w:t>
            </w:r>
            <w:r w:rsidRPr="002B4A69">
              <w:rPr>
                <w:b/>
                <w:i/>
                <w:lang w:val="en-GB"/>
              </w:rPr>
              <w:tab/>
              <w:t xml:space="preserve">Without prejudice to the possibility of including waste incineration activities within the scope of this Directive, incineration remains the most effective method of treating municipal waste in many Member States, as it obviates the need for landfill and facilitates energy recovery through the generation of electricity and heat. </w:t>
            </w:r>
            <w:r w:rsidRPr="002B4A69">
              <w:rPr>
                <w:b/>
                <w:i/>
                <w:lang w:val="en-GB"/>
              </w:rPr>
              <w:t>In order to</w:t>
            </w:r>
            <w:r w:rsidRPr="002B4A69">
              <w:rPr>
                <w:b/>
                <w:i/>
                <w:lang w:val="en-GB"/>
              </w:rPr>
              <w:t xml:space="preserve"> give these Member States enough time to adapt their municipal waste treatment capacities, municipal waste incineration should be exempt from the surrender obligation until 2035, subject to reasonable and realistic criteria. Such a transition period would be in line with the deadlines for the EU’s waste targets, </w:t>
            </w:r>
            <w:r w:rsidRPr="002B4A69">
              <w:rPr>
                <w:b/>
                <w:i/>
                <w:lang w:val="en-GB"/>
              </w:rPr>
              <w:t>in particular</w:t>
            </w:r>
            <w:r w:rsidRPr="002B4A69">
              <w:rPr>
                <w:b/>
                <w:i/>
                <w:lang w:val="en-GB"/>
              </w:rPr>
              <w:t xml:space="preserve"> the 2035 landfill reduction target. This temporary exemption is needed </w:t>
            </w:r>
            <w:r w:rsidRPr="002B4A69">
              <w:rPr>
                <w:b/>
                <w:i/>
                <w:lang w:val="en-GB"/>
              </w:rPr>
              <w:t>in order to</w:t>
            </w:r>
            <w:r w:rsidRPr="002B4A69">
              <w:rPr>
                <w:b/>
                <w:i/>
                <w:lang w:val="en-GB"/>
              </w:rPr>
              <w:t xml:space="preserve"> prevent total divestment and a situation whereby existing incineration facilities are no longer viable to run, with the result that more waste would be disposed of at landfill sites, which are close to maximum capacity already. In those circumstances, it would not be feasible to comply with the 10 % municipal waste landfill limit laid down in Article 5(5) of Directive 1999/31/EC.</w:t>
            </w:r>
          </w:p>
        </w:tc>
      </w:tr>
    </w:tbl>
    <w:p w:rsidR="001F04EE" w:rsidRPr="002B4A69" w:rsidP="001F04EE" w14:paraId="6B92DA3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{PT}</w:t>
      </w:r>
      <w:r w:rsidRPr="002B4A69">
        <w:rPr>
          <w:noProof w:val="0"/>
          <w:lang w:val="en-GB"/>
        </w:rPr>
        <w:t>pt</w:t>
      </w:r>
      <w:r w:rsidRPr="002B4A69">
        <w:rPr>
          <w:rStyle w:val="HideTWBExt"/>
          <w:lang w:val="en-GB"/>
        </w:rPr>
        <w:t>&lt;/Original&gt;</w:t>
      </w:r>
    </w:p>
    <w:p w:rsidR="001F04EE" w:rsidRPr="002B4A69" w:rsidP="001F04EE" w14:paraId="7BCB3983" w14:textId="77777777">
      <w:r w:rsidRPr="002B4A69">
        <w:rPr>
          <w:rStyle w:val="HideTWBExt"/>
        </w:rPr>
        <w:t>&lt;/Amend&gt;</w:t>
      </w:r>
    </w:p>
    <w:p w:rsidR="001F04EE" w:rsidRPr="002B4A69" w:rsidP="001F04EE" w14:paraId="29D52D2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549</w:t>
      </w:r>
      <w:r w:rsidRPr="002B4A69">
        <w:rPr>
          <w:rStyle w:val="HideTWBExt"/>
          <w:b w:val="0"/>
          <w:lang w:val="en-GB"/>
        </w:rPr>
        <w:t>&lt;/NumAm&gt;</w:t>
      </w:r>
    </w:p>
    <w:p w:rsidR="001F04EE" w:rsidRPr="002B4A69" w:rsidP="001F04EE" w14:paraId="72313F0D" w14:textId="77777777">
      <w:pPr>
        <w:pStyle w:val="NormalBold"/>
      </w:pPr>
      <w:r w:rsidRPr="002B4A69">
        <w:rPr>
          <w:rStyle w:val="HideTWBExt"/>
          <w:b w:val="0"/>
        </w:rPr>
        <w:t>&lt;RepeatBlock-By&gt;&lt;Members&gt;</w:t>
      </w:r>
      <w:r w:rsidRPr="002B4A69">
        <w:t>Jorge Buxadé Villalba, Roman Haider, Silvia Sardone, Marie-Luce Brasier-Clain, Mathilde Androuët, Anne-Sophie Frigout</w:t>
      </w:r>
      <w:r w:rsidRPr="002B4A69">
        <w:rPr>
          <w:rStyle w:val="HideTWBExt"/>
          <w:b w:val="0"/>
        </w:rPr>
        <w:t>&lt;/Members&gt;</w:t>
      </w:r>
    </w:p>
    <w:p w:rsidR="001F04EE" w:rsidRPr="002B4A69" w:rsidP="001F04EE" w14:paraId="664CBD6C" w14:textId="77777777">
      <w:r w:rsidRPr="002B4A69">
        <w:rPr>
          <w:rStyle w:val="HideTWBExt"/>
        </w:rPr>
        <w:t>&lt;/RepeatBlock-By&gt;</w:t>
      </w:r>
    </w:p>
    <w:p w:rsidR="001F04EE" w:rsidRPr="002B4A69" w:rsidP="001F04EE" w14:paraId="290BC110"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2FA3AB6"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CE368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4AB1EED" w14:textId="77777777">
            <w:pPr>
              <w:keepNext/>
            </w:pPr>
          </w:p>
        </w:tc>
      </w:tr>
      <w:tr w14:paraId="7EBBFAF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90E9703" w14:textId="77777777">
            <w:pPr>
              <w:pStyle w:val="ColumnHeading"/>
              <w:keepNext/>
              <w:rPr>
                <w:lang w:val="en-GB"/>
              </w:rPr>
            </w:pPr>
            <w:r w:rsidRPr="002B4A69">
              <w:rPr>
                <w:lang w:val="en-GB"/>
              </w:rPr>
              <w:t>Text proposed by the Commission</w:t>
            </w:r>
          </w:p>
        </w:tc>
        <w:tc>
          <w:tcPr>
            <w:tcW w:w="4876" w:type="dxa"/>
          </w:tcPr>
          <w:p w:rsidR="001F04EE" w:rsidRPr="002B4A69" w:rsidP="00723F81" w14:paraId="5FC409E2" w14:textId="77777777">
            <w:pPr>
              <w:pStyle w:val="ColumnHeading"/>
              <w:keepNext/>
              <w:rPr>
                <w:lang w:val="en-GB"/>
              </w:rPr>
            </w:pPr>
            <w:r w:rsidRPr="002B4A69">
              <w:rPr>
                <w:lang w:val="en-GB"/>
              </w:rPr>
              <w:t>Amendment</w:t>
            </w:r>
          </w:p>
        </w:tc>
      </w:tr>
      <w:tr w14:paraId="1E584F0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C98BE97" w14:textId="77777777">
            <w:pPr>
              <w:pStyle w:val="Normal6"/>
              <w:rPr>
                <w:lang w:val="en-GB"/>
              </w:rPr>
            </w:pPr>
            <w:r w:rsidRPr="002B4A69">
              <w:rPr>
                <w:b/>
                <w:i/>
                <w:lang w:val="en-GB"/>
              </w:rPr>
              <w:t>[...]</w:t>
            </w:r>
          </w:p>
        </w:tc>
        <w:tc>
          <w:tcPr>
            <w:tcW w:w="4876" w:type="dxa"/>
          </w:tcPr>
          <w:p w:rsidR="001F04EE" w:rsidRPr="002B4A69" w:rsidP="00723F81" w14:paraId="5AD451F0" w14:textId="77777777">
            <w:pPr>
              <w:pStyle w:val="Normal6"/>
              <w:rPr>
                <w:szCs w:val="24"/>
                <w:lang w:val="en-GB"/>
              </w:rPr>
            </w:pPr>
            <w:r w:rsidRPr="002B4A69">
              <w:rPr>
                <w:b/>
                <w:i/>
                <w:lang w:val="en-GB"/>
              </w:rPr>
              <w:t>deleted</w:t>
            </w:r>
          </w:p>
        </w:tc>
      </w:tr>
    </w:tbl>
    <w:p w:rsidR="001F04EE" w:rsidRPr="002B4A69" w:rsidP="001F04EE" w14:paraId="3CDCE6D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191508E" w14:textId="77777777">
      <w:r w:rsidRPr="002B4A69">
        <w:rPr>
          <w:rStyle w:val="HideTWBExt"/>
        </w:rPr>
        <w:t>&lt;/Amend&gt;</w:t>
      </w:r>
    </w:p>
    <w:p w:rsidR="001F04EE" w:rsidRPr="002B4A69" w:rsidP="001F04EE" w14:paraId="25B960B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550</w:t>
      </w:r>
      <w:r w:rsidRPr="002B4A69">
        <w:rPr>
          <w:rStyle w:val="HideTWBExt"/>
          <w:b w:val="0"/>
          <w:lang w:val="en-GB"/>
        </w:rPr>
        <w:t>&lt;/NumAm&gt;</w:t>
      </w:r>
    </w:p>
    <w:p w:rsidR="001F04EE" w:rsidRPr="002B4A69" w:rsidP="001F04EE" w14:paraId="53C0E17D"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29976668"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30407022"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331AA5B7" w14:textId="77777777">
      <w:r w:rsidRPr="002B4A69">
        <w:rPr>
          <w:rStyle w:val="HideTWBExt"/>
        </w:rPr>
        <w:t>&lt;/RepeatBlock-By&gt;</w:t>
      </w:r>
    </w:p>
    <w:p w:rsidR="001F04EE" w:rsidRPr="002B4A69" w:rsidP="001F04EE" w14:paraId="20541D6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5F88335"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7BFA0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9CE6817" w14:textId="77777777">
            <w:pPr>
              <w:keepNext/>
            </w:pPr>
          </w:p>
        </w:tc>
      </w:tr>
      <w:tr w14:paraId="7C8D59C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53460F9" w14:textId="77777777">
            <w:pPr>
              <w:pStyle w:val="ColumnHeading"/>
              <w:keepNext/>
              <w:rPr>
                <w:lang w:val="en-GB"/>
              </w:rPr>
            </w:pPr>
            <w:r w:rsidRPr="002B4A69">
              <w:rPr>
                <w:lang w:val="en-GB"/>
              </w:rPr>
              <w:t>Text proposed by the Commission</w:t>
            </w:r>
          </w:p>
        </w:tc>
        <w:tc>
          <w:tcPr>
            <w:tcW w:w="4876" w:type="dxa"/>
          </w:tcPr>
          <w:p w:rsidR="001F04EE" w:rsidRPr="002B4A69" w:rsidP="00723F81" w14:paraId="3578F64B" w14:textId="77777777">
            <w:pPr>
              <w:pStyle w:val="ColumnHeading"/>
              <w:keepNext/>
              <w:rPr>
                <w:lang w:val="en-GB"/>
              </w:rPr>
            </w:pPr>
            <w:r w:rsidRPr="002B4A69">
              <w:rPr>
                <w:lang w:val="en-GB"/>
              </w:rPr>
              <w:t>Amendment</w:t>
            </w:r>
          </w:p>
        </w:tc>
      </w:tr>
      <w:tr w14:paraId="210F6AF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5BB4DBD" w14:textId="77777777">
            <w:pPr>
              <w:pStyle w:val="Normal6"/>
              <w:rPr>
                <w:lang w:val="en-GB"/>
              </w:rPr>
            </w:pPr>
            <w:r w:rsidRPr="002B4A69">
              <w:rPr>
                <w:b/>
                <w:i/>
                <w:lang w:val="en-GB"/>
              </w:rPr>
              <w:t>[...]</w:t>
            </w:r>
          </w:p>
        </w:tc>
        <w:tc>
          <w:tcPr>
            <w:tcW w:w="4876" w:type="dxa"/>
          </w:tcPr>
          <w:p w:rsidR="001F04EE" w:rsidRPr="002B4A69" w:rsidP="00723F81" w14:paraId="0DA22919" w14:textId="77777777">
            <w:pPr>
              <w:pStyle w:val="Normal6"/>
              <w:rPr>
                <w:szCs w:val="24"/>
                <w:lang w:val="en-GB"/>
              </w:rPr>
            </w:pPr>
            <w:r w:rsidRPr="002B4A69">
              <w:rPr>
                <w:b/>
                <w:i/>
                <w:lang w:val="en-GB"/>
              </w:rPr>
              <w:t>deleted</w:t>
            </w:r>
          </w:p>
        </w:tc>
      </w:tr>
    </w:tbl>
    <w:p w:rsidR="001F04EE" w:rsidRPr="002B4A69" w:rsidP="001F04EE" w14:paraId="6787592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E7300D5"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2CF3CDE9" w14:textId="77777777">
      <w:pPr>
        <w:pStyle w:val="Normal12Italic"/>
        <w:rPr>
          <w:noProof w:val="0"/>
          <w:lang w:val="en-GB"/>
        </w:rPr>
      </w:pPr>
      <w:r w:rsidRPr="002B4A69">
        <w:rPr>
          <w:noProof w:val="0"/>
          <w:lang w:val="en-GB"/>
        </w:rPr>
        <w:t>This recital provides the rationale for gradually introducing the surrender obligation for municipal waste incineration and increasing the Union-wide quantity of allowances accordingly. Both provisions are removed by the corresponding amendments. A gradual phase-in would, in any event, only defer the cost of inclusion: it would not give operators control over the fossil content of residual waste or provide a cleaner treatment alternative. The recital should therefore be deleted.</w:t>
      </w:r>
    </w:p>
    <w:p w:rsidR="001F04EE" w:rsidRPr="002B4A69" w:rsidP="001F04EE" w14:paraId="202F3804" w14:textId="77777777">
      <w:r w:rsidRPr="002B4A69">
        <w:rPr>
          <w:rStyle w:val="HideTWBExt"/>
        </w:rPr>
        <w:t>&lt;/Amend&gt;</w:t>
      </w:r>
    </w:p>
    <w:p w:rsidR="001F04EE" w:rsidRPr="002B4A69" w:rsidP="001F04EE" w14:paraId="5201107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551</w:t>
      </w:r>
      <w:r w:rsidRPr="002B4A69">
        <w:rPr>
          <w:rStyle w:val="HideTWBExt"/>
          <w:b w:val="0"/>
          <w:lang w:val="en-GB"/>
        </w:rPr>
        <w:t>&lt;/NumAm&gt;</w:t>
      </w:r>
    </w:p>
    <w:p w:rsidR="001F04EE" w:rsidRPr="002B4A69" w:rsidP="001F04EE" w14:paraId="0DE119D8"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0FA935EF" w14:textId="77777777">
      <w:r w:rsidRPr="002B4A69">
        <w:rPr>
          <w:rStyle w:val="HideTWBExt"/>
        </w:rPr>
        <w:t>&lt;/RepeatBlock-By&gt;</w:t>
      </w:r>
    </w:p>
    <w:p w:rsidR="001F04EE" w:rsidRPr="002B4A69" w:rsidP="001F04EE" w14:paraId="6986C9B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2F58503"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00BA1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FFCB6E1" w14:textId="77777777">
            <w:pPr>
              <w:keepNext/>
            </w:pPr>
          </w:p>
        </w:tc>
      </w:tr>
      <w:tr w14:paraId="351425E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FEF0056" w14:textId="77777777">
            <w:pPr>
              <w:pStyle w:val="ColumnHeading"/>
              <w:keepNext/>
              <w:rPr>
                <w:lang w:val="en-GB"/>
              </w:rPr>
            </w:pPr>
            <w:r w:rsidRPr="002B4A69">
              <w:rPr>
                <w:lang w:val="en-GB"/>
              </w:rPr>
              <w:t>Text proposed by the Commission</w:t>
            </w:r>
          </w:p>
        </w:tc>
        <w:tc>
          <w:tcPr>
            <w:tcW w:w="4876" w:type="dxa"/>
          </w:tcPr>
          <w:p w:rsidR="001F04EE" w:rsidRPr="002B4A69" w:rsidP="00723F81" w14:paraId="5EEC94C5" w14:textId="77777777">
            <w:pPr>
              <w:pStyle w:val="ColumnHeading"/>
              <w:keepNext/>
              <w:rPr>
                <w:lang w:val="en-GB"/>
              </w:rPr>
            </w:pPr>
            <w:r w:rsidRPr="002B4A69">
              <w:rPr>
                <w:lang w:val="en-GB"/>
              </w:rPr>
              <w:t>Amendment</w:t>
            </w:r>
          </w:p>
        </w:tc>
      </w:tr>
      <w:tr w14:paraId="16C9835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0FDFA2F" w14:textId="77777777">
            <w:pPr>
              <w:pStyle w:val="Normal6"/>
              <w:rPr>
                <w:lang w:val="en-GB"/>
              </w:rPr>
            </w:pPr>
            <w:r w:rsidRPr="002B4A69">
              <w:rPr>
                <w:b/>
                <w:i/>
                <w:lang w:val="en-GB"/>
              </w:rPr>
              <w:t>[...]</w:t>
            </w:r>
          </w:p>
        </w:tc>
        <w:tc>
          <w:tcPr>
            <w:tcW w:w="4876" w:type="dxa"/>
          </w:tcPr>
          <w:p w:rsidR="001F04EE" w:rsidRPr="002B4A69" w:rsidP="00723F81" w14:paraId="0A73C7ED" w14:textId="77777777">
            <w:pPr>
              <w:pStyle w:val="Normal6"/>
              <w:rPr>
                <w:szCs w:val="24"/>
                <w:lang w:val="en-GB"/>
              </w:rPr>
            </w:pPr>
            <w:r w:rsidRPr="002B4A69">
              <w:rPr>
                <w:b/>
                <w:i/>
                <w:lang w:val="en-GB"/>
              </w:rPr>
              <w:t>deleted</w:t>
            </w:r>
          </w:p>
        </w:tc>
      </w:tr>
    </w:tbl>
    <w:p w:rsidR="001F04EE" w:rsidRPr="002B4A69" w:rsidP="001F04EE" w14:paraId="4BBFD1C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8DFBC33" w14:textId="77777777">
      <w:r w:rsidRPr="002B4A69">
        <w:rPr>
          <w:rStyle w:val="HideTWBExt"/>
        </w:rPr>
        <w:t>&lt;/Amend&gt;</w:t>
      </w:r>
    </w:p>
    <w:p w:rsidR="001F04EE" w:rsidRPr="002B4A69" w:rsidP="001F04EE" w14:paraId="03637E3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552</w:t>
      </w:r>
      <w:r w:rsidRPr="002B4A69">
        <w:rPr>
          <w:rStyle w:val="HideTWBExt"/>
          <w:b w:val="0"/>
          <w:lang w:val="en-GB"/>
        </w:rPr>
        <w:t>&lt;/NumAm&gt;</w:t>
      </w:r>
    </w:p>
    <w:p w:rsidR="001F04EE" w:rsidRPr="002B4A69" w:rsidP="001F04EE" w14:paraId="1AED6470" w14:textId="77777777">
      <w:pPr>
        <w:pStyle w:val="NormalBold"/>
      </w:pPr>
      <w:r w:rsidRPr="002B4A69">
        <w:rPr>
          <w:rStyle w:val="HideTWBExt"/>
          <w:b w:val="0"/>
        </w:rPr>
        <w:t>&lt;RepeatBlock-By&gt;&lt;Members&gt;</w:t>
      </w:r>
      <w:r w:rsidRPr="002B4A69">
        <w:t>Grégory Allione</w:t>
      </w:r>
      <w:r w:rsidRPr="002B4A69">
        <w:rPr>
          <w:rStyle w:val="HideTWBExt"/>
          <w:b w:val="0"/>
        </w:rPr>
        <w:t>&lt;/Members&gt;</w:t>
      </w:r>
    </w:p>
    <w:p w:rsidR="001F04EE" w:rsidRPr="002B4A69" w:rsidP="001F04EE" w14:paraId="2032E479" w14:textId="77777777">
      <w:r w:rsidRPr="002B4A69">
        <w:rPr>
          <w:rStyle w:val="HideTWBExt"/>
        </w:rPr>
        <w:t>&lt;/RepeatBlock-By&gt;</w:t>
      </w:r>
    </w:p>
    <w:p w:rsidR="001F04EE" w:rsidRPr="002B4A69" w:rsidP="001F04EE" w14:paraId="5B73A9E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F491837"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15240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233035F" w14:textId="77777777">
            <w:pPr>
              <w:keepNext/>
            </w:pPr>
          </w:p>
        </w:tc>
      </w:tr>
      <w:tr w14:paraId="743C953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8153767" w14:textId="77777777">
            <w:pPr>
              <w:pStyle w:val="ColumnHeading"/>
              <w:keepNext/>
              <w:rPr>
                <w:lang w:val="en-GB"/>
              </w:rPr>
            </w:pPr>
            <w:r w:rsidRPr="002B4A69">
              <w:rPr>
                <w:lang w:val="en-GB"/>
              </w:rPr>
              <w:t>Text proposed by the Commission</w:t>
            </w:r>
          </w:p>
        </w:tc>
        <w:tc>
          <w:tcPr>
            <w:tcW w:w="4876" w:type="dxa"/>
          </w:tcPr>
          <w:p w:rsidR="001F04EE" w:rsidRPr="002B4A69" w:rsidP="00723F81" w14:paraId="70FB5018" w14:textId="77777777">
            <w:pPr>
              <w:pStyle w:val="ColumnHeading"/>
              <w:keepNext/>
              <w:rPr>
                <w:lang w:val="en-GB"/>
              </w:rPr>
            </w:pPr>
            <w:r w:rsidRPr="002B4A69">
              <w:rPr>
                <w:lang w:val="en-GB"/>
              </w:rPr>
              <w:t>Amendment</w:t>
            </w:r>
          </w:p>
        </w:tc>
      </w:tr>
      <w:tr w14:paraId="667562C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335396B" w14:textId="77777777">
            <w:pPr>
              <w:pStyle w:val="Normal6"/>
              <w:rPr>
                <w:lang w:val="en-GB"/>
              </w:rPr>
            </w:pPr>
            <w:r w:rsidRPr="002B4A69">
              <w:rPr>
                <w:b/>
                <w:i/>
                <w:lang w:val="en-GB"/>
              </w:rPr>
              <w:t>[...]</w:t>
            </w:r>
          </w:p>
        </w:tc>
        <w:tc>
          <w:tcPr>
            <w:tcW w:w="4876" w:type="dxa"/>
          </w:tcPr>
          <w:p w:rsidR="001F04EE" w:rsidRPr="002B4A69" w:rsidP="00723F81" w14:paraId="3BE8A100" w14:textId="77777777">
            <w:pPr>
              <w:pStyle w:val="Normal6"/>
              <w:rPr>
                <w:szCs w:val="24"/>
                <w:lang w:val="en-GB"/>
              </w:rPr>
            </w:pPr>
            <w:r w:rsidRPr="002B4A69">
              <w:rPr>
                <w:b/>
                <w:i/>
                <w:lang w:val="en-GB"/>
              </w:rPr>
              <w:t>deleted</w:t>
            </w:r>
          </w:p>
        </w:tc>
      </w:tr>
    </w:tbl>
    <w:p w:rsidR="001F04EE" w:rsidRPr="002B4A69" w:rsidP="001F04EE" w14:paraId="405A533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4373B4C" w14:textId="77777777">
      <w:r w:rsidRPr="002B4A69">
        <w:rPr>
          <w:rStyle w:val="HideTWBExt"/>
        </w:rPr>
        <w:t>&lt;/Amend&gt;</w:t>
      </w:r>
    </w:p>
    <w:p w:rsidR="001F04EE" w:rsidRPr="002B4A69" w:rsidP="001F04EE" w14:paraId="3F28E18D"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553</w:t>
      </w:r>
      <w:r w:rsidRPr="002B4A69">
        <w:rPr>
          <w:rStyle w:val="HideTWBExt"/>
          <w:b w:val="0"/>
          <w:lang w:val="en-GB"/>
        </w:rPr>
        <w:t>&lt;/NumAm&gt;</w:t>
      </w:r>
    </w:p>
    <w:p w:rsidR="001F04EE" w:rsidRPr="002B4A69" w:rsidP="001F04EE" w14:paraId="1E61C34E"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278E3C16" w14:textId="77777777">
      <w:r w:rsidRPr="002B4A69">
        <w:rPr>
          <w:rStyle w:val="HideTWBExt"/>
        </w:rPr>
        <w:t>&lt;/RepeatBlock-By&gt;</w:t>
      </w:r>
    </w:p>
    <w:p w:rsidR="001F04EE" w:rsidRPr="002B4A69" w:rsidP="001F04EE" w14:paraId="16A3ED0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9C95254"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CA4FC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B68351C" w14:textId="77777777">
            <w:pPr>
              <w:keepNext/>
            </w:pPr>
          </w:p>
        </w:tc>
      </w:tr>
      <w:tr w14:paraId="30CBAC2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76398FB" w14:textId="77777777">
            <w:pPr>
              <w:pStyle w:val="ColumnHeading"/>
              <w:keepNext/>
              <w:rPr>
                <w:lang w:val="en-GB"/>
              </w:rPr>
            </w:pPr>
            <w:r w:rsidRPr="002B4A69">
              <w:rPr>
                <w:lang w:val="en-GB"/>
              </w:rPr>
              <w:t>Text proposed by the Commission</w:t>
            </w:r>
          </w:p>
        </w:tc>
        <w:tc>
          <w:tcPr>
            <w:tcW w:w="4876" w:type="dxa"/>
          </w:tcPr>
          <w:p w:rsidR="001F04EE" w:rsidRPr="002B4A69" w:rsidP="00723F81" w14:paraId="12F08930" w14:textId="77777777">
            <w:pPr>
              <w:pStyle w:val="ColumnHeading"/>
              <w:keepNext/>
              <w:rPr>
                <w:lang w:val="en-GB"/>
              </w:rPr>
            </w:pPr>
            <w:r w:rsidRPr="002B4A69">
              <w:rPr>
                <w:lang w:val="en-GB"/>
              </w:rPr>
              <w:t>Amendment</w:t>
            </w:r>
          </w:p>
        </w:tc>
      </w:tr>
      <w:tr w14:paraId="4DB5C34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09883CE" w14:textId="77777777">
            <w:pPr>
              <w:pStyle w:val="Normal6"/>
              <w:rPr>
                <w:lang w:val="en-GB"/>
              </w:rPr>
            </w:pPr>
            <w:r w:rsidRPr="002B4A69">
              <w:rPr>
                <w:b/>
                <w:i/>
                <w:lang w:val="en-GB"/>
              </w:rPr>
              <w:t>[...]</w:t>
            </w:r>
          </w:p>
        </w:tc>
        <w:tc>
          <w:tcPr>
            <w:tcW w:w="4876" w:type="dxa"/>
          </w:tcPr>
          <w:p w:rsidR="001F04EE" w:rsidRPr="002B4A69" w:rsidP="00723F81" w14:paraId="46052052" w14:textId="77777777">
            <w:pPr>
              <w:pStyle w:val="Normal6"/>
              <w:rPr>
                <w:szCs w:val="24"/>
                <w:lang w:val="en-GB"/>
              </w:rPr>
            </w:pPr>
            <w:r w:rsidRPr="002B4A69">
              <w:rPr>
                <w:b/>
                <w:i/>
                <w:lang w:val="en-GB"/>
              </w:rPr>
              <w:t>deleted</w:t>
            </w:r>
          </w:p>
        </w:tc>
      </w:tr>
    </w:tbl>
    <w:p w:rsidR="001F04EE" w:rsidRPr="002B4A69" w:rsidP="001F04EE" w14:paraId="511069C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DB7F1D4" w14:textId="77777777">
      <w:r w:rsidRPr="002B4A69">
        <w:rPr>
          <w:rStyle w:val="HideTWBExt"/>
        </w:rPr>
        <w:t>&lt;/Amend&gt;</w:t>
      </w:r>
    </w:p>
    <w:p w:rsidR="001F04EE" w:rsidRPr="002B4A69" w:rsidP="001F04EE" w14:paraId="0E32599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554</w:t>
      </w:r>
      <w:r w:rsidRPr="002B4A69">
        <w:rPr>
          <w:rStyle w:val="HideTWBExt"/>
          <w:b w:val="0"/>
          <w:lang w:val="en-GB"/>
        </w:rPr>
        <w:t>&lt;/NumAm&gt;</w:t>
      </w:r>
    </w:p>
    <w:p w:rsidR="001F04EE" w:rsidRPr="002B4A69" w:rsidP="001F04EE" w14:paraId="3CA43227" w14:textId="77777777">
      <w:pPr>
        <w:pStyle w:val="NormalBold"/>
      </w:pPr>
      <w:r w:rsidRPr="002B4A69">
        <w:rPr>
          <w:rStyle w:val="HideTWBExt"/>
          <w:b w:val="0"/>
        </w:rPr>
        <w:t>&lt;RepeatBlock-By&gt;&lt;Members&gt;</w:t>
      </w:r>
      <w:r w:rsidRPr="002B4A69">
        <w:t>Marie-Luce Brasier-Clain, Anne-Sophie Frigout, Mathilde Androuët, Valérie Deloge, Ondřej Knotek, Jana Nagyová, Barbara Bonte</w:t>
      </w:r>
      <w:r w:rsidRPr="002B4A69">
        <w:rPr>
          <w:rStyle w:val="HideTWBExt"/>
          <w:b w:val="0"/>
        </w:rPr>
        <w:t>&lt;/Members&gt;</w:t>
      </w:r>
    </w:p>
    <w:p w:rsidR="001F04EE" w:rsidRPr="002B4A69" w:rsidP="001F04EE" w14:paraId="0224C768" w14:textId="77777777">
      <w:r w:rsidRPr="002B4A69">
        <w:rPr>
          <w:rStyle w:val="HideTWBExt"/>
        </w:rPr>
        <w:t>&lt;/RepeatBlock-By&gt;</w:t>
      </w:r>
    </w:p>
    <w:p w:rsidR="001F04EE" w:rsidRPr="002B4A69" w:rsidP="001F04EE" w14:paraId="58028DF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50D0483"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DBD82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F7306E2" w14:textId="77777777">
            <w:pPr>
              <w:keepNext/>
            </w:pPr>
          </w:p>
        </w:tc>
      </w:tr>
      <w:tr w14:paraId="0AE65C1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F003804" w14:textId="77777777">
            <w:pPr>
              <w:pStyle w:val="ColumnHeading"/>
              <w:keepNext/>
              <w:rPr>
                <w:lang w:val="en-GB"/>
              </w:rPr>
            </w:pPr>
            <w:r w:rsidRPr="002B4A69">
              <w:rPr>
                <w:lang w:val="en-GB"/>
              </w:rPr>
              <w:t>Text proposed by the Commission</w:t>
            </w:r>
          </w:p>
        </w:tc>
        <w:tc>
          <w:tcPr>
            <w:tcW w:w="4876" w:type="dxa"/>
          </w:tcPr>
          <w:p w:rsidR="001F04EE" w:rsidRPr="002B4A69" w:rsidP="00723F81" w14:paraId="7671E836" w14:textId="77777777">
            <w:pPr>
              <w:pStyle w:val="ColumnHeading"/>
              <w:keepNext/>
              <w:rPr>
                <w:lang w:val="en-GB"/>
              </w:rPr>
            </w:pPr>
            <w:r w:rsidRPr="002B4A69">
              <w:rPr>
                <w:lang w:val="en-GB"/>
              </w:rPr>
              <w:t>Amendment</w:t>
            </w:r>
          </w:p>
        </w:tc>
      </w:tr>
      <w:tr w14:paraId="22FDEA7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2671381" w14:textId="77777777">
            <w:pPr>
              <w:pStyle w:val="Normal6"/>
              <w:rPr>
                <w:lang w:val="en-GB"/>
              </w:rPr>
            </w:pPr>
            <w:r w:rsidRPr="002B4A69">
              <w:rPr>
                <w:b/>
                <w:i/>
                <w:lang w:val="en-GB"/>
              </w:rPr>
              <w:t>[...]</w:t>
            </w:r>
          </w:p>
        </w:tc>
        <w:tc>
          <w:tcPr>
            <w:tcW w:w="4876" w:type="dxa"/>
          </w:tcPr>
          <w:p w:rsidR="001F04EE" w:rsidRPr="002B4A69" w:rsidP="00723F81" w14:paraId="07640419" w14:textId="77777777">
            <w:pPr>
              <w:pStyle w:val="Normal6"/>
              <w:rPr>
                <w:szCs w:val="24"/>
                <w:lang w:val="en-GB"/>
              </w:rPr>
            </w:pPr>
            <w:r w:rsidRPr="002B4A69">
              <w:rPr>
                <w:b/>
                <w:i/>
                <w:lang w:val="en-GB"/>
              </w:rPr>
              <w:t>deleted</w:t>
            </w:r>
          </w:p>
        </w:tc>
      </w:tr>
    </w:tbl>
    <w:p w:rsidR="001F04EE" w:rsidRPr="002B4A69" w:rsidP="001F04EE" w14:paraId="021846E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7864A876" w14:textId="77777777">
      <w:r w:rsidRPr="002B4A69">
        <w:rPr>
          <w:rStyle w:val="HideTWBExt"/>
        </w:rPr>
        <w:t>&lt;/Amend&gt;</w:t>
      </w:r>
    </w:p>
    <w:p w:rsidR="001F04EE" w:rsidRPr="002B4A69" w:rsidP="001F04EE" w14:paraId="6526478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555</w:t>
      </w:r>
      <w:r w:rsidRPr="002B4A69">
        <w:rPr>
          <w:rStyle w:val="HideTWBExt"/>
          <w:b w:val="0"/>
          <w:lang w:val="en-GB"/>
        </w:rPr>
        <w:t>&lt;/NumAm&gt;</w:t>
      </w:r>
    </w:p>
    <w:p w:rsidR="001F04EE" w:rsidRPr="002B4A69" w:rsidP="001F04EE" w14:paraId="08926E72"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74A3B692" w14:textId="77777777">
      <w:r w:rsidRPr="002B4A69">
        <w:rPr>
          <w:rStyle w:val="HideTWBExt"/>
        </w:rPr>
        <w:t>&lt;/RepeatBlock-By&gt;</w:t>
      </w:r>
    </w:p>
    <w:p w:rsidR="001F04EE" w:rsidRPr="002B4A69" w:rsidP="001F04EE" w14:paraId="479FF0D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DE7D819"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D9EAC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25A2F6B" w14:textId="77777777">
            <w:pPr>
              <w:keepNext/>
            </w:pPr>
          </w:p>
        </w:tc>
      </w:tr>
      <w:tr w14:paraId="25E17A8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B106BAB" w14:textId="77777777">
            <w:pPr>
              <w:pStyle w:val="ColumnHeading"/>
              <w:keepNext/>
              <w:rPr>
                <w:lang w:val="en-GB"/>
              </w:rPr>
            </w:pPr>
            <w:r w:rsidRPr="002B4A69">
              <w:rPr>
                <w:lang w:val="en-GB"/>
              </w:rPr>
              <w:t>Text proposed by the Commission</w:t>
            </w:r>
          </w:p>
        </w:tc>
        <w:tc>
          <w:tcPr>
            <w:tcW w:w="4876" w:type="dxa"/>
          </w:tcPr>
          <w:p w:rsidR="001F04EE" w:rsidRPr="002B4A69" w:rsidP="00723F81" w14:paraId="1FFF72BD" w14:textId="77777777">
            <w:pPr>
              <w:pStyle w:val="ColumnHeading"/>
              <w:keepNext/>
              <w:rPr>
                <w:lang w:val="en-GB"/>
              </w:rPr>
            </w:pPr>
            <w:r w:rsidRPr="002B4A69">
              <w:rPr>
                <w:lang w:val="en-GB"/>
              </w:rPr>
              <w:t>Amendment</w:t>
            </w:r>
          </w:p>
        </w:tc>
      </w:tr>
      <w:tr w14:paraId="0E78507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6274E69" w14:textId="77777777">
            <w:pPr>
              <w:pStyle w:val="Normal6"/>
              <w:rPr>
                <w:lang w:val="en-GB"/>
              </w:rPr>
            </w:pPr>
            <w:r w:rsidRPr="002B4A69">
              <w:rPr>
                <w:b/>
                <w:i/>
                <w:lang w:val="en-GB"/>
              </w:rPr>
              <w:t>[...]</w:t>
            </w:r>
          </w:p>
        </w:tc>
        <w:tc>
          <w:tcPr>
            <w:tcW w:w="4876" w:type="dxa"/>
          </w:tcPr>
          <w:p w:rsidR="001F04EE" w:rsidRPr="002B4A69" w:rsidP="00723F81" w14:paraId="3CF7EE28" w14:textId="77777777">
            <w:pPr>
              <w:pStyle w:val="Normal6"/>
              <w:rPr>
                <w:szCs w:val="24"/>
                <w:lang w:val="en-GB"/>
              </w:rPr>
            </w:pPr>
            <w:r w:rsidRPr="002B4A69">
              <w:rPr>
                <w:b/>
                <w:i/>
                <w:lang w:val="en-GB"/>
              </w:rPr>
              <w:t>deleted</w:t>
            </w:r>
          </w:p>
        </w:tc>
      </w:tr>
    </w:tbl>
    <w:p w:rsidR="001F04EE" w:rsidRPr="002B4A69" w:rsidP="001F04EE" w14:paraId="38B3E09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7BACD66" w14:textId="77777777">
      <w:r w:rsidRPr="002B4A69">
        <w:rPr>
          <w:rStyle w:val="HideTWBExt"/>
        </w:rPr>
        <w:t>&lt;/Amend&gt;</w:t>
      </w:r>
    </w:p>
    <w:p w:rsidR="001F04EE" w:rsidRPr="002B4A69" w:rsidP="001F04EE" w14:paraId="231EF58B"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556</w:t>
      </w:r>
      <w:r w:rsidRPr="002B4A69">
        <w:rPr>
          <w:rStyle w:val="HideTWBExt"/>
          <w:b w:val="0"/>
          <w:lang w:val="en-GB"/>
        </w:rPr>
        <w:t>&lt;/NumAm&gt;</w:t>
      </w:r>
    </w:p>
    <w:p w:rsidR="001F04EE" w:rsidRPr="002B4A69" w:rsidP="001F04EE" w14:paraId="75BEA810" w14:textId="77777777">
      <w:pPr>
        <w:pStyle w:val="NormalBold"/>
      </w:pPr>
      <w:r w:rsidRPr="002B4A69">
        <w:rPr>
          <w:rStyle w:val="HideTWBExt"/>
          <w:b w:val="0"/>
        </w:rPr>
        <w:t>&lt;RepeatBlock-By&gt;&lt;Members&gt;</w:t>
      </w:r>
      <w:r w:rsidRPr="002B4A69">
        <w:t>Martin Hojsík, Michal Wiezik</w:t>
      </w:r>
      <w:r w:rsidRPr="002B4A69">
        <w:rPr>
          <w:rStyle w:val="HideTWBExt"/>
          <w:b w:val="0"/>
        </w:rPr>
        <w:t>&lt;/Members&gt;</w:t>
      </w:r>
    </w:p>
    <w:p w:rsidR="001F04EE" w:rsidRPr="002B4A69" w:rsidP="001F04EE" w14:paraId="2E427476" w14:textId="77777777">
      <w:r w:rsidRPr="002B4A69">
        <w:rPr>
          <w:rStyle w:val="HideTWBExt"/>
        </w:rPr>
        <w:t>&lt;/RepeatBlock-By&gt;</w:t>
      </w:r>
    </w:p>
    <w:p w:rsidR="001F04EE" w:rsidRPr="002B4A69" w:rsidP="001F04EE" w14:paraId="467A9614"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7DC547B"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A865E5"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AA1DD03" w14:textId="77777777">
            <w:pPr>
              <w:keepNext/>
            </w:pPr>
          </w:p>
        </w:tc>
      </w:tr>
      <w:tr w14:paraId="7DB2272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5A1008" w14:textId="77777777">
            <w:pPr>
              <w:pStyle w:val="ColumnHeading"/>
              <w:keepNext/>
              <w:rPr>
                <w:lang w:val="en-GB"/>
              </w:rPr>
            </w:pPr>
            <w:r w:rsidRPr="002B4A69">
              <w:rPr>
                <w:lang w:val="en-GB"/>
              </w:rPr>
              <w:t>Text proposed by the Commission</w:t>
            </w:r>
          </w:p>
        </w:tc>
        <w:tc>
          <w:tcPr>
            <w:tcW w:w="4876" w:type="dxa"/>
          </w:tcPr>
          <w:p w:rsidR="001F04EE" w:rsidRPr="002B4A69" w:rsidP="00723F81" w14:paraId="2325D6E7" w14:textId="77777777">
            <w:pPr>
              <w:pStyle w:val="ColumnHeading"/>
              <w:keepNext/>
              <w:rPr>
                <w:lang w:val="en-GB"/>
              </w:rPr>
            </w:pPr>
            <w:r w:rsidRPr="002B4A69">
              <w:rPr>
                <w:lang w:val="en-GB"/>
              </w:rPr>
              <w:t>Amendment</w:t>
            </w:r>
          </w:p>
        </w:tc>
      </w:tr>
      <w:tr w14:paraId="686FA0B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6949E5E" w14:textId="77777777">
            <w:pPr>
              <w:pStyle w:val="Normal6"/>
              <w:rPr>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2031 onwards should be gradually introduced with respect to verified emissions reported for the period 2031 to </w:t>
            </w:r>
            <w:r w:rsidRPr="002B4A69">
              <w:rPr>
                <w:b/>
                <w:i/>
                <w:lang w:val="en-GB"/>
              </w:rPr>
              <w:t>2034</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2031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2031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w:t>
            </w:r>
            <w:r w:rsidRPr="002B4A69">
              <w:rPr>
                <w:lang w:val="en-GB"/>
              </w:rPr>
              <w:t>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w:t>
            </w:r>
            <w:r w:rsidRPr="002B4A69">
              <w:rPr>
                <w:b/>
                <w:i/>
                <w:lang w:val="en-GB"/>
              </w:rPr>
              <w:t>number of allowances added to the cap in respect of the sector should be proportionate to the gradually increasing surrender obligation for those years</w:t>
            </w:r>
            <w:r w:rsidRPr="002B4A69">
              <w:rPr>
                <w:lang w:val="en-GB"/>
              </w:rPr>
              <w:t xml:space="preserve">. The figures relating to the inclusion 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 </w:t>
            </w:r>
            <w:r w:rsidRPr="002B4A69">
              <w:rPr>
                <w:b/>
                <w:i/>
                <w:lang w:val="en-GB"/>
              </w:rPr>
              <w:t xml:space="preserve">The number of allowances added to the total Union-wide quantity of allowances in respect of the sector should be commensurate to the phase-in trajectory from 2031 to 2034, equivalent to 25% of that total number in 2031, 50% of that total number adjusted by the linear reduction factor in 2032, 75% of that total number adjusted by the linear reduction factor in 2033, and 100% of that total number adjusted by the linear reduction factor as of 2034. As from 2035, municipal waste incineration installations should surrender the number of allowances corresponding to </w:t>
            </w:r>
            <w:r w:rsidRPr="002B4A69">
              <w:rPr>
                <w:b/>
                <w:i/>
                <w:lang w:val="en-GB"/>
              </w:rPr>
              <w:t>all of</w:t>
            </w:r>
            <w:r w:rsidRPr="002B4A69">
              <w:rPr>
                <w:b/>
                <w:i/>
                <w:lang w:val="en-GB"/>
              </w:rPr>
              <w:t xml:space="preserve"> their verified emissions reported in the preceding year.</w:t>
            </w:r>
          </w:p>
        </w:tc>
        <w:tc>
          <w:tcPr>
            <w:tcW w:w="4876" w:type="dxa"/>
          </w:tcPr>
          <w:p w:rsidR="001F04EE" w:rsidRPr="002B4A69" w:rsidP="00723F81" w14:paraId="7E8C5396" w14:textId="77777777">
            <w:pPr>
              <w:pStyle w:val="Normal6"/>
              <w:rPr>
                <w:szCs w:val="24"/>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2031 onwards should be gradually introduced with respect to verified emissions reported for the period 2031 to </w:t>
            </w:r>
            <w:r w:rsidRPr="002B4A69">
              <w:rPr>
                <w:b/>
                <w:i/>
                <w:lang w:val="en-GB"/>
              </w:rPr>
              <w:t>2032</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2031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2031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w:t>
            </w:r>
            <w:r w:rsidRPr="002B4A69">
              <w:rPr>
                <w:lang w:val="en-GB"/>
              </w:rPr>
              <w:t>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w:t>
            </w:r>
            <w:r w:rsidRPr="002B4A69">
              <w:rPr>
                <w:b/>
                <w:i/>
                <w:lang w:val="en-GB"/>
              </w:rPr>
              <w:t xml:space="preserve">installations covered by Article 12a of Directive 2003/87/EC shall not be eligible for free allocation under Article </w:t>
            </w:r>
            <w:r w:rsidRPr="002B4A69">
              <w:rPr>
                <w:b/>
                <w:i/>
                <w:lang w:val="en-GB"/>
              </w:rPr>
              <w:t>10b, and</w:t>
            </w:r>
            <w:r w:rsidRPr="002B4A69">
              <w:rPr>
                <w:b/>
                <w:i/>
                <w:lang w:val="en-GB"/>
              </w:rPr>
              <w:t xml:space="preserve"> shall not benefit from the exception for district heating</w:t>
            </w:r>
            <w:r w:rsidRPr="002B4A69">
              <w:rPr>
                <w:lang w:val="en-GB"/>
              </w:rPr>
              <w:t>. The figures relating to the inclusion 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w:t>
            </w:r>
          </w:p>
        </w:tc>
      </w:tr>
      <w:tr w14:paraId="6611353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759D2B" w14:textId="77777777">
            <w:pPr>
              <w:pStyle w:val="Normal6"/>
              <w:rPr>
                <w:lang w:val="en-GB"/>
              </w:rPr>
            </w:pPr>
            <w:r w:rsidRPr="002B4A69">
              <w:rPr>
                <w:lang w:val="en-GB"/>
              </w:rPr>
              <w:t>__________________</w:t>
            </w:r>
          </w:p>
        </w:tc>
        <w:tc>
          <w:tcPr>
            <w:tcW w:w="4876" w:type="dxa"/>
          </w:tcPr>
          <w:p w:rsidR="001F04EE" w:rsidRPr="002B4A69" w:rsidP="00723F81" w14:paraId="441B4ACB" w14:textId="77777777">
            <w:pPr>
              <w:pStyle w:val="Normal6"/>
              <w:rPr>
                <w:szCs w:val="24"/>
                <w:lang w:val="en-GB"/>
              </w:rPr>
            </w:pPr>
            <w:r w:rsidRPr="002B4A69">
              <w:rPr>
                <w:lang w:val="en-GB"/>
              </w:rPr>
              <w:t>__________________</w:t>
            </w:r>
          </w:p>
        </w:tc>
      </w:tr>
      <w:tr w14:paraId="3C53366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D339FA1" w14:textId="77777777">
            <w:pPr>
              <w:pStyle w:val="Normal6"/>
              <w:rPr>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c>
          <w:tcPr>
            <w:tcW w:w="4876" w:type="dxa"/>
          </w:tcPr>
          <w:p w:rsidR="001F04EE" w:rsidRPr="002B4A69" w:rsidP="00723F81" w14:paraId="007FA7C1" w14:textId="77777777">
            <w:pPr>
              <w:pStyle w:val="Normal6"/>
              <w:rPr>
                <w:szCs w:val="24"/>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r>
    </w:tbl>
    <w:p w:rsidR="001F04EE" w:rsidRPr="002B4A69" w:rsidP="001F04EE" w14:paraId="5F5C175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AF75F4E"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2F102E38" w14:textId="77777777">
      <w:pPr>
        <w:pStyle w:val="Normal12Italic"/>
        <w:rPr>
          <w:noProof w:val="0"/>
          <w:lang w:val="en-GB"/>
        </w:rPr>
      </w:pPr>
      <w:r w:rsidRPr="002B4A69">
        <w:rPr>
          <w:noProof w:val="0"/>
          <w:lang w:val="en-GB"/>
        </w:rPr>
        <w:t>Municipal waste management is predominantly local, regional and does not face the same carbon leakage risk as internationally traded industrial sectors. The Commission proposal extends free allocation for district heating generally (including waste-to-energy CHP) to 2040; excluding installations covered by Article 12a from this exception removes free allocation for waste-to-energy district heating specifically, without touching free allocation for other district-heating sources.</w:t>
      </w:r>
    </w:p>
    <w:p w:rsidR="001F04EE" w:rsidRPr="002B4A69" w:rsidP="001F04EE" w14:paraId="1AC9EFFD" w14:textId="77777777">
      <w:r w:rsidRPr="002B4A69">
        <w:rPr>
          <w:rStyle w:val="HideTWBExt"/>
        </w:rPr>
        <w:t>&lt;/Amend&gt;</w:t>
      </w:r>
    </w:p>
    <w:p w:rsidR="001F04EE" w:rsidRPr="002B4A69" w:rsidP="001F04EE" w14:paraId="6FEE608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557</w:t>
      </w:r>
      <w:r w:rsidRPr="002B4A69">
        <w:rPr>
          <w:rStyle w:val="HideTWBExt"/>
          <w:b w:val="0"/>
          <w:lang w:val="en-GB"/>
        </w:rPr>
        <w:t>&lt;/NumAm&gt;</w:t>
      </w:r>
    </w:p>
    <w:p w:rsidR="001F04EE" w:rsidRPr="002B4A69" w:rsidP="001F04EE" w14:paraId="26F98D2F"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4EAA06D6" w14:textId="77777777">
      <w:r w:rsidRPr="002B4A69">
        <w:rPr>
          <w:rStyle w:val="HideTWBExt"/>
        </w:rPr>
        <w:t>&lt;/RepeatBlock-By&gt;</w:t>
      </w:r>
    </w:p>
    <w:p w:rsidR="001F04EE" w:rsidRPr="002B4A69" w:rsidP="001F04EE" w14:paraId="6BD5138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85A6546"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FFA2F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EEC22CA" w14:textId="77777777">
            <w:pPr>
              <w:keepNext/>
            </w:pPr>
          </w:p>
        </w:tc>
      </w:tr>
      <w:tr w14:paraId="73E7828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11B6958" w14:textId="77777777">
            <w:pPr>
              <w:pStyle w:val="ColumnHeading"/>
              <w:keepNext/>
              <w:rPr>
                <w:lang w:val="en-GB"/>
              </w:rPr>
            </w:pPr>
            <w:r w:rsidRPr="002B4A69">
              <w:rPr>
                <w:lang w:val="en-GB"/>
              </w:rPr>
              <w:t>Text proposed by the Commission</w:t>
            </w:r>
          </w:p>
        </w:tc>
        <w:tc>
          <w:tcPr>
            <w:tcW w:w="4876" w:type="dxa"/>
          </w:tcPr>
          <w:p w:rsidR="001F04EE" w:rsidRPr="002B4A69" w:rsidP="00723F81" w14:paraId="03A534CE" w14:textId="77777777">
            <w:pPr>
              <w:pStyle w:val="ColumnHeading"/>
              <w:keepNext/>
              <w:rPr>
                <w:lang w:val="en-GB"/>
              </w:rPr>
            </w:pPr>
            <w:r w:rsidRPr="002B4A69">
              <w:rPr>
                <w:lang w:val="en-GB"/>
              </w:rPr>
              <w:t>Amendment</w:t>
            </w:r>
          </w:p>
        </w:tc>
      </w:tr>
      <w:tr w14:paraId="4BAAFC1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38737A8" w14:textId="77777777">
            <w:pPr>
              <w:pStyle w:val="Normal6"/>
              <w:rPr>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w:t>
            </w:r>
            <w:r w:rsidRPr="002B4A69">
              <w:rPr>
                <w:b/>
                <w:i/>
                <w:lang w:val="en-GB"/>
              </w:rPr>
              <w:t>2031</w:t>
            </w:r>
            <w:r w:rsidRPr="002B4A69">
              <w:rPr>
                <w:lang w:val="en-GB"/>
              </w:rPr>
              <w:t xml:space="preserve"> onwards should be gradually introduced with respect to verified emissions reported for the period </w:t>
            </w:r>
            <w:r w:rsidRPr="002B4A69">
              <w:rPr>
                <w:b/>
                <w:i/>
                <w:lang w:val="en-GB"/>
              </w:rPr>
              <w:t>2031 to 2034</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w:t>
            </w:r>
            <w:r w:rsidRPr="002B4A69">
              <w:rPr>
                <w:b/>
                <w:i/>
                <w:lang w:val="en-GB"/>
              </w:rPr>
              <w:t xml:space="preserve">2031 allows for technical and administrative preparation, </w:t>
            </w:r>
            <w:r w:rsidRPr="002B4A69">
              <w:rPr>
                <w:b/>
                <w:i/>
                <w:lang w:val="en-GB"/>
              </w:rPr>
              <w:t>in particular for</w:t>
            </w:r>
            <w:r w:rsidRPr="002B4A69">
              <w:rPr>
                <w:b/>
                <w:i/>
                <w:lang w:val="en-GB"/>
              </w:rPr>
              <w:t xml:space="preserve"> the development of monitoring and reporting rules that are better tailored to municipal waste incineration, including the distinction of biomass and fossil emissions. The start from 2031</w:t>
            </w:r>
            <w:r w:rsidRPr="002B4A69">
              <w:rPr>
                <w:lang w:val="en-GB"/>
              </w:rPr>
              <w:t xml:space="preserve">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w:t>
            </w:r>
            <w:r w:rsidRPr="002B4A69">
              <w:rPr>
                <w:lang w:val="en-GB"/>
              </w:rPr>
              <w:t>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number of allowances added to the cap in respect of the sector 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2024 until </w:t>
            </w:r>
            <w:r w:rsidRPr="002B4A69">
              <w:rPr>
                <w:b/>
                <w:i/>
                <w:lang w:val="en-GB"/>
              </w:rPr>
              <w:t>2031</w:t>
            </w:r>
            <w:r w:rsidRPr="002B4A69">
              <w:rPr>
                <w:lang w:val="en-GB"/>
              </w:rPr>
              <w:t xml:space="preserve">, by projections for estimated reporting data and capacity developments. The number of allowances added to the total Union-wide quantity of allowances in respect of the sector should be commensurate to the phase-in trajectory from </w:t>
            </w:r>
            <w:r w:rsidRPr="002B4A69">
              <w:rPr>
                <w:b/>
                <w:i/>
                <w:lang w:val="en-GB"/>
              </w:rPr>
              <w:t>2031 to 2034</w:t>
            </w:r>
            <w:r w:rsidRPr="002B4A69">
              <w:rPr>
                <w:lang w:val="en-GB"/>
              </w:rPr>
              <w:t xml:space="preserve">, equivalent to 25% of that total number in </w:t>
            </w:r>
            <w:r w:rsidRPr="002B4A69">
              <w:rPr>
                <w:b/>
                <w:i/>
                <w:lang w:val="en-GB"/>
              </w:rPr>
              <w:t>2031</w:t>
            </w:r>
            <w:r w:rsidRPr="002B4A69">
              <w:rPr>
                <w:lang w:val="en-GB"/>
              </w:rPr>
              <w:t xml:space="preserve">, 50% of that total number adjusted by the linear reduction factor in </w:t>
            </w:r>
            <w:r w:rsidRPr="002B4A69">
              <w:rPr>
                <w:b/>
                <w:i/>
                <w:lang w:val="en-GB"/>
              </w:rPr>
              <w:t>2032</w:t>
            </w:r>
            <w:r w:rsidRPr="002B4A69">
              <w:rPr>
                <w:lang w:val="en-GB"/>
              </w:rPr>
              <w:t xml:space="preserve">, 75% of that total number adjusted by the linear reduction factor in </w:t>
            </w:r>
            <w:r w:rsidRPr="002B4A69">
              <w:rPr>
                <w:b/>
                <w:i/>
                <w:lang w:val="en-GB"/>
              </w:rPr>
              <w:t>2033</w:t>
            </w:r>
            <w:r w:rsidRPr="002B4A69">
              <w:rPr>
                <w:lang w:val="en-GB"/>
              </w:rPr>
              <w:t xml:space="preserve">, and 100% of that total number adjusted by the linear reduction factor as of </w:t>
            </w:r>
            <w:r w:rsidRPr="002B4A69">
              <w:rPr>
                <w:b/>
                <w:i/>
                <w:lang w:val="en-GB"/>
              </w:rPr>
              <w:t>2034</w:t>
            </w:r>
            <w:r w:rsidRPr="002B4A69">
              <w:rPr>
                <w:lang w:val="en-GB"/>
              </w:rPr>
              <w:t xml:space="preserve">. As from </w:t>
            </w:r>
            <w:r w:rsidRPr="002B4A69">
              <w:rPr>
                <w:b/>
                <w:i/>
                <w:lang w:val="en-GB"/>
              </w:rPr>
              <w:t>2035</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c>
          <w:tcPr>
            <w:tcW w:w="4876" w:type="dxa"/>
          </w:tcPr>
          <w:p w:rsidR="001F04EE" w:rsidRPr="002B4A69" w:rsidP="00723F81" w14:paraId="456EEDF0" w14:textId="77777777">
            <w:pPr>
              <w:pStyle w:val="Normal6"/>
              <w:rPr>
                <w:szCs w:val="24"/>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w:t>
            </w:r>
            <w:r w:rsidRPr="002B4A69">
              <w:rPr>
                <w:b/>
                <w:i/>
                <w:lang w:val="en-GB"/>
              </w:rPr>
              <w:t>2028</w:t>
            </w:r>
            <w:r w:rsidRPr="002B4A69">
              <w:rPr>
                <w:lang w:val="en-GB"/>
              </w:rPr>
              <w:t xml:space="preserve"> onwards should be gradually introduced with respect to verified emissions reported for the period </w:t>
            </w:r>
            <w:r w:rsidRPr="002B4A69">
              <w:rPr>
                <w:b/>
                <w:i/>
                <w:lang w:val="en-GB"/>
              </w:rPr>
              <w:t>2028 to 2031</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w:t>
            </w:r>
            <w:r w:rsidRPr="002B4A69">
              <w:rPr>
                <w:b/>
                <w:i/>
                <w:lang w:val="en-GB"/>
              </w:rPr>
              <w:t>2028</w:t>
            </w:r>
            <w:r w:rsidRPr="002B4A69">
              <w:rPr>
                <w:lang w:val="en-GB"/>
              </w:rPr>
              <w:t xml:space="preserve">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w:t>
            </w:r>
            <w:r w:rsidRPr="002B4A69">
              <w:rPr>
                <w:lang w:val="en-GB"/>
              </w:rPr>
              <w:t xml:space="preserve">reduction, collection, sorting and recycling and address landfilling, avoiding any unintended consequences in terms of waste diversion contrary to the waste hierarchy. To protect the environmental integrity of the system, the number of allowances added to the cap in respect of the sector 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2024 until </w:t>
            </w:r>
            <w:r w:rsidRPr="002B4A69">
              <w:rPr>
                <w:b/>
                <w:i/>
                <w:lang w:val="en-GB"/>
              </w:rPr>
              <w:t>2028</w:t>
            </w:r>
            <w:r w:rsidRPr="002B4A69">
              <w:rPr>
                <w:lang w:val="en-GB"/>
              </w:rPr>
              <w:t xml:space="preserve">, by projections for estimated reporting data and capacity developments. The number of allowances added to the total Union-wide quantity of allowances in respect of the sector should be commensurate to the phase-in trajectory from </w:t>
            </w:r>
            <w:r w:rsidRPr="002B4A69">
              <w:rPr>
                <w:b/>
                <w:i/>
                <w:lang w:val="en-GB"/>
              </w:rPr>
              <w:t>2028 to 2031</w:t>
            </w:r>
            <w:r w:rsidRPr="002B4A69">
              <w:rPr>
                <w:lang w:val="en-GB"/>
              </w:rPr>
              <w:t xml:space="preserve">, equivalent to 25% of that total number in </w:t>
            </w:r>
            <w:r w:rsidRPr="002B4A69">
              <w:rPr>
                <w:b/>
                <w:i/>
                <w:lang w:val="en-GB"/>
              </w:rPr>
              <w:t>2028</w:t>
            </w:r>
            <w:r w:rsidRPr="002B4A69">
              <w:rPr>
                <w:lang w:val="en-GB"/>
              </w:rPr>
              <w:t xml:space="preserve">, 50% of that total number adjusted by the linear reduction factor in </w:t>
            </w:r>
            <w:r w:rsidRPr="002B4A69">
              <w:rPr>
                <w:b/>
                <w:i/>
                <w:lang w:val="en-GB"/>
              </w:rPr>
              <w:t>2029</w:t>
            </w:r>
            <w:r w:rsidRPr="002B4A69">
              <w:rPr>
                <w:lang w:val="en-GB"/>
              </w:rPr>
              <w:t xml:space="preserve">, 75% of that total number adjusted by the linear reduction factor in </w:t>
            </w:r>
            <w:r w:rsidRPr="002B4A69">
              <w:rPr>
                <w:b/>
                <w:i/>
                <w:lang w:val="en-GB"/>
              </w:rPr>
              <w:t>2030</w:t>
            </w:r>
            <w:r w:rsidRPr="002B4A69">
              <w:rPr>
                <w:lang w:val="en-GB"/>
              </w:rPr>
              <w:t xml:space="preserve">, and 100% of that total number adjusted by the linear reduction factor as of </w:t>
            </w:r>
            <w:r w:rsidRPr="002B4A69">
              <w:rPr>
                <w:b/>
                <w:i/>
                <w:lang w:val="en-GB"/>
              </w:rPr>
              <w:t>2031</w:t>
            </w:r>
            <w:r w:rsidRPr="002B4A69">
              <w:rPr>
                <w:lang w:val="en-GB"/>
              </w:rPr>
              <w:t xml:space="preserve">. As from </w:t>
            </w:r>
            <w:r w:rsidRPr="002B4A69">
              <w:rPr>
                <w:b/>
                <w:i/>
                <w:lang w:val="en-GB"/>
              </w:rPr>
              <w:t>2032</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r>
      <w:tr w14:paraId="29F5C6C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995A10B" w14:textId="77777777">
            <w:pPr>
              <w:pStyle w:val="Normal6"/>
              <w:rPr>
                <w:lang w:val="en-GB"/>
              </w:rPr>
            </w:pPr>
            <w:r w:rsidRPr="002B4A69">
              <w:rPr>
                <w:lang w:val="en-GB"/>
              </w:rPr>
              <w:t>__________________</w:t>
            </w:r>
          </w:p>
        </w:tc>
        <w:tc>
          <w:tcPr>
            <w:tcW w:w="4876" w:type="dxa"/>
          </w:tcPr>
          <w:p w:rsidR="001F04EE" w:rsidRPr="002B4A69" w:rsidP="00723F81" w14:paraId="7C502704" w14:textId="77777777">
            <w:pPr>
              <w:pStyle w:val="Normal6"/>
              <w:rPr>
                <w:szCs w:val="24"/>
                <w:lang w:val="en-GB"/>
              </w:rPr>
            </w:pPr>
            <w:r w:rsidRPr="002B4A69">
              <w:rPr>
                <w:lang w:val="en-GB"/>
              </w:rPr>
              <w:t>__________________</w:t>
            </w:r>
          </w:p>
        </w:tc>
      </w:tr>
      <w:tr w14:paraId="6AB4827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4D6AF28" w14:textId="77777777">
            <w:pPr>
              <w:pStyle w:val="Normal6"/>
              <w:rPr>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c>
          <w:tcPr>
            <w:tcW w:w="4876" w:type="dxa"/>
          </w:tcPr>
          <w:p w:rsidR="001F04EE" w:rsidRPr="002B4A69" w:rsidP="00723F81" w14:paraId="4B0A7197" w14:textId="77777777">
            <w:pPr>
              <w:pStyle w:val="Normal6"/>
              <w:rPr>
                <w:szCs w:val="24"/>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r>
    </w:tbl>
    <w:p w:rsidR="001F04EE" w:rsidRPr="002B4A69" w:rsidP="001F04EE" w14:paraId="29FD526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64E8D48" w14:textId="77777777">
      <w:r w:rsidRPr="002B4A69">
        <w:rPr>
          <w:rStyle w:val="HideTWBExt"/>
        </w:rPr>
        <w:t>&lt;/Amend&gt;</w:t>
      </w:r>
    </w:p>
    <w:p w:rsidR="001F04EE" w:rsidRPr="002B4A69" w:rsidP="001F04EE" w14:paraId="5793C34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558</w:t>
      </w:r>
      <w:r w:rsidRPr="002B4A69">
        <w:rPr>
          <w:rStyle w:val="HideTWBExt"/>
          <w:b w:val="0"/>
          <w:lang w:val="en-GB"/>
        </w:rPr>
        <w:t>&lt;/NumAm&gt;</w:t>
      </w:r>
    </w:p>
    <w:p w:rsidR="001F04EE" w:rsidRPr="002B4A69" w:rsidP="001F04EE" w14:paraId="5AB81E1D" w14:textId="77777777">
      <w:pPr>
        <w:pStyle w:val="NormalBold"/>
      </w:pPr>
      <w:r w:rsidRPr="002B4A69">
        <w:rPr>
          <w:rStyle w:val="HideTWBExt"/>
          <w:b w:val="0"/>
        </w:rPr>
        <w:t>&lt;RepeatBlock-By&gt;&lt;Members&gt;</w:t>
      </w:r>
      <w:r w:rsidRPr="002B4A69">
        <w:t>Sophie Wilmès, Olivier Chastel, Benoit Cassart</w:t>
      </w:r>
      <w:r w:rsidRPr="002B4A69">
        <w:rPr>
          <w:rStyle w:val="HideTWBExt"/>
          <w:b w:val="0"/>
        </w:rPr>
        <w:t>&lt;/Members&gt;</w:t>
      </w:r>
    </w:p>
    <w:p w:rsidR="001F04EE" w:rsidRPr="002B4A69" w:rsidP="001F04EE" w14:paraId="646820C4" w14:textId="77777777">
      <w:r w:rsidRPr="002B4A69">
        <w:rPr>
          <w:rStyle w:val="HideTWBExt"/>
        </w:rPr>
        <w:t>&lt;/RepeatBlock-By&gt;</w:t>
      </w:r>
    </w:p>
    <w:p w:rsidR="001F04EE" w:rsidRPr="002B4A69" w:rsidP="001F04EE" w14:paraId="09BDDE1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3FCE401"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7D0E6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7C3CC30" w14:textId="77777777">
            <w:pPr>
              <w:keepNext/>
            </w:pPr>
          </w:p>
        </w:tc>
      </w:tr>
      <w:tr w14:paraId="1CDB74A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19E4B66" w14:textId="77777777">
            <w:pPr>
              <w:pStyle w:val="ColumnHeading"/>
              <w:keepNext/>
              <w:rPr>
                <w:lang w:val="en-GB"/>
              </w:rPr>
            </w:pPr>
            <w:r w:rsidRPr="002B4A69">
              <w:rPr>
                <w:lang w:val="en-GB"/>
              </w:rPr>
              <w:t>Text proposed by the Commission</w:t>
            </w:r>
          </w:p>
        </w:tc>
        <w:tc>
          <w:tcPr>
            <w:tcW w:w="4876" w:type="dxa"/>
          </w:tcPr>
          <w:p w:rsidR="001F04EE" w:rsidRPr="002B4A69" w:rsidP="00723F81" w14:paraId="10BF7AEC" w14:textId="77777777">
            <w:pPr>
              <w:pStyle w:val="ColumnHeading"/>
              <w:keepNext/>
              <w:rPr>
                <w:lang w:val="en-GB"/>
              </w:rPr>
            </w:pPr>
            <w:r w:rsidRPr="002B4A69">
              <w:rPr>
                <w:lang w:val="en-GB"/>
              </w:rPr>
              <w:t>Amendment</w:t>
            </w:r>
          </w:p>
        </w:tc>
      </w:tr>
      <w:tr w14:paraId="19EF5AE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17A228" w14:textId="77777777">
            <w:pPr>
              <w:pStyle w:val="Normal6"/>
              <w:rPr>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2031 onwards should be gradually introduced with respect to verified emissions reported for the period 2031 to </w:t>
            </w:r>
            <w:r w:rsidRPr="002B4A69">
              <w:rPr>
                <w:b/>
                <w:i/>
                <w:lang w:val="en-GB"/>
              </w:rPr>
              <w:t>2034</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2031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2031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w:t>
            </w:r>
            <w:r w:rsidRPr="002B4A69">
              <w:rPr>
                <w:lang w:val="en-GB"/>
              </w:rPr>
              <w:t xml:space="preserve">and address landfilling, avoiding any unintended consequences in terms of waste diversion contrary to the waste hierarchy. To protect the environmental integrity of the system, the number of allowances added to the cap in respect of the sector 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 The number of allowances added to the total Union-wide quantity of allowances in respect of the sector should be commensurate to the phase-in trajectory from 2031 to </w:t>
            </w:r>
            <w:r w:rsidRPr="002B4A69">
              <w:rPr>
                <w:b/>
                <w:i/>
                <w:lang w:val="en-GB"/>
              </w:rPr>
              <w:t>2034</w:t>
            </w:r>
            <w:r w:rsidRPr="002B4A69">
              <w:rPr>
                <w:lang w:val="en-GB"/>
              </w:rPr>
              <w:t xml:space="preserve">, equivalent to </w:t>
            </w:r>
            <w:r w:rsidRPr="002B4A69">
              <w:rPr>
                <w:b/>
                <w:i/>
                <w:lang w:val="en-GB"/>
              </w:rPr>
              <w:t>25%</w:t>
            </w:r>
            <w:r w:rsidRPr="002B4A69">
              <w:rPr>
                <w:lang w:val="en-GB"/>
              </w:rPr>
              <w:t xml:space="preserve"> of that total number in 2031, </w:t>
            </w:r>
            <w:r w:rsidRPr="002B4A69">
              <w:rPr>
                <w:b/>
                <w:i/>
                <w:lang w:val="en-GB"/>
              </w:rPr>
              <w:t>50%</w:t>
            </w:r>
            <w:r w:rsidRPr="002B4A69">
              <w:rPr>
                <w:lang w:val="en-GB"/>
              </w:rPr>
              <w:t xml:space="preserve"> of that total number adjusted by the linear reduction factor in 2032, </w:t>
            </w:r>
            <w:r w:rsidRPr="002B4A69">
              <w:rPr>
                <w:b/>
                <w:i/>
                <w:lang w:val="en-GB"/>
              </w:rPr>
              <w:t>75%</w:t>
            </w:r>
            <w:r w:rsidRPr="002B4A69">
              <w:rPr>
                <w:lang w:val="en-GB"/>
              </w:rPr>
              <w:t xml:space="preserve"> of that total number adjusted by the linear reduction factor in 2033, </w:t>
            </w:r>
            <w:r w:rsidRPr="002B4A69">
              <w:rPr>
                <w:b/>
                <w:i/>
                <w:lang w:val="en-GB"/>
              </w:rPr>
              <w:t>and 100%</w:t>
            </w:r>
            <w:r w:rsidRPr="002B4A69">
              <w:rPr>
                <w:lang w:val="en-GB"/>
              </w:rPr>
              <w:t xml:space="preserve"> of that total number adjusted by the linear reduction factor as of 2034. As from </w:t>
            </w:r>
            <w:r w:rsidRPr="002B4A69">
              <w:rPr>
                <w:b/>
                <w:i/>
                <w:lang w:val="en-GB"/>
              </w:rPr>
              <w:t>2035</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c>
          <w:tcPr>
            <w:tcW w:w="4876" w:type="dxa"/>
          </w:tcPr>
          <w:p w:rsidR="001F04EE" w:rsidRPr="002B4A69" w:rsidP="00723F81" w14:paraId="67B4B0CB" w14:textId="77777777">
            <w:pPr>
              <w:pStyle w:val="Normal6"/>
              <w:rPr>
                <w:szCs w:val="24"/>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2031 onwards should be gradually introduced with respect to verified emissions reported for the period 2031 to </w:t>
            </w:r>
            <w:r w:rsidRPr="002B4A69">
              <w:rPr>
                <w:b/>
                <w:i/>
                <w:lang w:val="en-GB"/>
              </w:rPr>
              <w:t>2035</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2031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2031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w:t>
            </w:r>
            <w:r w:rsidRPr="002B4A69">
              <w:rPr>
                <w:lang w:val="en-GB"/>
              </w:rPr>
              <w:t xml:space="preserve">and address landfilling, avoiding any unintended consequences in terms of waste diversion contrary to the waste hierarchy. To protect the environmental integrity of the system, the number of allowances added to the cap in respect of the sector 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 The number of allowances added to the total Union-wide quantity of allowances in respect of the sector should be commensurate to the phase-in trajectory from 2031 to </w:t>
            </w:r>
            <w:r w:rsidRPr="002B4A69">
              <w:rPr>
                <w:b/>
                <w:i/>
                <w:lang w:val="en-GB"/>
              </w:rPr>
              <w:t>2035</w:t>
            </w:r>
            <w:r w:rsidRPr="002B4A69">
              <w:rPr>
                <w:lang w:val="en-GB"/>
              </w:rPr>
              <w:t xml:space="preserve">, equivalent to </w:t>
            </w:r>
            <w:r w:rsidRPr="002B4A69">
              <w:rPr>
                <w:b/>
                <w:i/>
                <w:lang w:val="en-GB"/>
              </w:rPr>
              <w:t>20%</w:t>
            </w:r>
            <w:r w:rsidRPr="002B4A69">
              <w:rPr>
                <w:lang w:val="en-GB"/>
              </w:rPr>
              <w:t xml:space="preserve"> of that total number in 2031, </w:t>
            </w:r>
            <w:r w:rsidRPr="002B4A69">
              <w:rPr>
                <w:b/>
                <w:i/>
                <w:lang w:val="en-GB"/>
              </w:rPr>
              <w:t>40%</w:t>
            </w:r>
            <w:r w:rsidRPr="002B4A69">
              <w:rPr>
                <w:lang w:val="en-GB"/>
              </w:rPr>
              <w:t xml:space="preserve"> of that total number adjusted by the linear reduction factor in 2032, </w:t>
            </w:r>
            <w:r w:rsidRPr="002B4A69">
              <w:rPr>
                <w:b/>
                <w:i/>
                <w:lang w:val="en-GB"/>
              </w:rPr>
              <w:t>60%</w:t>
            </w:r>
            <w:r w:rsidRPr="002B4A69">
              <w:rPr>
                <w:lang w:val="en-GB"/>
              </w:rPr>
              <w:t xml:space="preserve"> of that total number adjusted by the linear reduction factor in 2033, </w:t>
            </w:r>
            <w:r w:rsidRPr="002B4A69">
              <w:rPr>
                <w:b/>
                <w:i/>
                <w:lang w:val="en-GB"/>
              </w:rPr>
              <w:t>80%</w:t>
            </w:r>
            <w:r w:rsidRPr="002B4A69">
              <w:rPr>
                <w:lang w:val="en-GB"/>
              </w:rPr>
              <w:t xml:space="preserve"> of that total number adjusted by the linear reduction factor as of 2034 </w:t>
            </w:r>
            <w:r w:rsidRPr="002B4A69">
              <w:rPr>
                <w:b/>
                <w:i/>
                <w:lang w:val="en-GB"/>
              </w:rPr>
              <w:t>and 100 % of that total number adjusted by the linear reduction factor as of 2035</w:t>
            </w:r>
            <w:r w:rsidRPr="002B4A69">
              <w:rPr>
                <w:lang w:val="en-GB"/>
              </w:rPr>
              <w:t xml:space="preserve">. As from </w:t>
            </w:r>
            <w:r w:rsidRPr="002B4A69">
              <w:rPr>
                <w:b/>
                <w:i/>
                <w:lang w:val="en-GB"/>
              </w:rPr>
              <w:t>2036</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r>
      <w:tr w14:paraId="56CC7C8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E7F0CC3" w14:textId="77777777">
            <w:pPr>
              <w:pStyle w:val="Normal6"/>
              <w:rPr>
                <w:lang w:val="en-GB"/>
              </w:rPr>
            </w:pPr>
            <w:r w:rsidRPr="002B4A69">
              <w:rPr>
                <w:lang w:val="en-GB"/>
              </w:rPr>
              <w:t>__________________</w:t>
            </w:r>
          </w:p>
        </w:tc>
        <w:tc>
          <w:tcPr>
            <w:tcW w:w="4876" w:type="dxa"/>
          </w:tcPr>
          <w:p w:rsidR="001F04EE" w:rsidRPr="002B4A69" w:rsidP="00723F81" w14:paraId="3B195B33" w14:textId="77777777">
            <w:pPr>
              <w:pStyle w:val="Normal6"/>
              <w:rPr>
                <w:szCs w:val="24"/>
                <w:lang w:val="en-GB"/>
              </w:rPr>
            </w:pPr>
            <w:r w:rsidRPr="002B4A69">
              <w:rPr>
                <w:lang w:val="en-GB"/>
              </w:rPr>
              <w:t>__________________</w:t>
            </w:r>
          </w:p>
        </w:tc>
      </w:tr>
      <w:tr w14:paraId="5D04F0D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DD15DEA" w14:textId="77777777">
            <w:pPr>
              <w:pStyle w:val="Normal6"/>
              <w:rPr>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c>
          <w:tcPr>
            <w:tcW w:w="4876" w:type="dxa"/>
          </w:tcPr>
          <w:p w:rsidR="001F04EE" w:rsidRPr="002B4A69" w:rsidP="00723F81" w14:paraId="640CE047" w14:textId="77777777">
            <w:pPr>
              <w:pStyle w:val="Normal6"/>
              <w:rPr>
                <w:szCs w:val="24"/>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r>
    </w:tbl>
    <w:p w:rsidR="001F04EE" w:rsidRPr="002B4A69" w:rsidP="001F04EE" w14:paraId="2197406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28F0F14" w14:textId="77777777">
      <w:r w:rsidRPr="002B4A69">
        <w:rPr>
          <w:rStyle w:val="HideTWBExt"/>
        </w:rPr>
        <w:t>&lt;/Amend&gt;</w:t>
      </w:r>
    </w:p>
    <w:p w:rsidR="001F04EE" w:rsidRPr="002B4A69" w:rsidP="001F04EE" w14:paraId="0C3B715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559</w:t>
      </w:r>
      <w:r w:rsidRPr="002B4A69">
        <w:rPr>
          <w:rStyle w:val="HideTWBExt"/>
          <w:b w:val="0"/>
          <w:lang w:val="en-GB"/>
        </w:rPr>
        <w:t>&lt;/NumAm&gt;</w:t>
      </w:r>
    </w:p>
    <w:p w:rsidR="001F04EE" w:rsidRPr="002B4A69" w:rsidP="001F04EE" w14:paraId="5F7798DA" w14:textId="77777777">
      <w:pPr>
        <w:pStyle w:val="NormalBold"/>
      </w:pPr>
      <w:r w:rsidRPr="002B4A69">
        <w:rPr>
          <w:rStyle w:val="HideTWBExt"/>
          <w:b w:val="0"/>
        </w:rPr>
        <w:t>&lt;RepeatBlock-By&gt;&lt;Members&gt;</w:t>
      </w:r>
      <w:r w:rsidRPr="002B4A69">
        <w:t>Emma Wiesner, Yvan Verougstraete</w:t>
      </w:r>
      <w:r w:rsidRPr="002B4A69">
        <w:rPr>
          <w:rStyle w:val="HideTWBExt"/>
          <w:b w:val="0"/>
        </w:rPr>
        <w:t>&lt;/Members&gt;</w:t>
      </w:r>
    </w:p>
    <w:p w:rsidR="001F04EE" w:rsidRPr="002B4A69" w:rsidP="001F04EE" w14:paraId="0A2FCE45" w14:textId="77777777">
      <w:r w:rsidRPr="002B4A69">
        <w:rPr>
          <w:rStyle w:val="HideTWBExt"/>
        </w:rPr>
        <w:t>&lt;/RepeatBlock-By&gt;</w:t>
      </w:r>
    </w:p>
    <w:p w:rsidR="001F04EE" w:rsidRPr="002B4A69" w:rsidP="001F04EE" w14:paraId="6708F63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DD9C0CB"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7DC0E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5C6036B" w14:textId="77777777">
            <w:pPr>
              <w:keepNext/>
            </w:pPr>
          </w:p>
        </w:tc>
      </w:tr>
      <w:tr w14:paraId="50C5D27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B5EAED2" w14:textId="77777777">
            <w:pPr>
              <w:pStyle w:val="ColumnHeading"/>
              <w:keepNext/>
              <w:rPr>
                <w:lang w:val="en-GB"/>
              </w:rPr>
            </w:pPr>
            <w:r w:rsidRPr="002B4A69">
              <w:rPr>
                <w:lang w:val="en-GB"/>
              </w:rPr>
              <w:t>Text proposed by the Commission</w:t>
            </w:r>
          </w:p>
        </w:tc>
        <w:tc>
          <w:tcPr>
            <w:tcW w:w="4876" w:type="dxa"/>
          </w:tcPr>
          <w:p w:rsidR="001F04EE" w:rsidRPr="002B4A69" w:rsidP="00723F81" w14:paraId="6A6571A6" w14:textId="77777777">
            <w:pPr>
              <w:pStyle w:val="ColumnHeading"/>
              <w:keepNext/>
              <w:rPr>
                <w:lang w:val="en-GB"/>
              </w:rPr>
            </w:pPr>
            <w:r w:rsidRPr="002B4A69">
              <w:rPr>
                <w:lang w:val="en-GB"/>
              </w:rPr>
              <w:t>Amendment</w:t>
            </w:r>
          </w:p>
        </w:tc>
      </w:tr>
      <w:tr w14:paraId="3F2155F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027B496" w14:textId="77777777">
            <w:pPr>
              <w:pStyle w:val="Normal6"/>
              <w:rPr>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2031 onwards should be gradually introduced with respect to verified emissions reported for the period 2031 to </w:t>
            </w:r>
            <w:r w:rsidRPr="002B4A69">
              <w:rPr>
                <w:b/>
                <w:i/>
                <w:lang w:val="en-GB"/>
              </w:rPr>
              <w:t>2034</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2031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2031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number of allowances added to the cap in respect of the sector </w:t>
            </w:r>
            <w:r w:rsidRPr="002B4A69">
              <w:rPr>
                <w:lang w:val="en-GB"/>
              </w:rPr>
              <w:t xml:space="preserve">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 The number of allowances added to the total Union-wide quantity of allowances in respect of the sector should be commensurate to the phase-in trajectory from 2031 to </w:t>
            </w:r>
            <w:r w:rsidRPr="002B4A69">
              <w:rPr>
                <w:b/>
                <w:i/>
                <w:lang w:val="en-GB"/>
              </w:rPr>
              <w:t>2034</w:t>
            </w:r>
            <w:r w:rsidRPr="002B4A69">
              <w:rPr>
                <w:lang w:val="en-GB"/>
              </w:rPr>
              <w:t xml:space="preserve">, equivalent to </w:t>
            </w:r>
            <w:r w:rsidRPr="002B4A69">
              <w:rPr>
                <w:b/>
                <w:i/>
                <w:lang w:val="en-GB"/>
              </w:rPr>
              <w:t>25%</w:t>
            </w:r>
            <w:r w:rsidRPr="002B4A69">
              <w:rPr>
                <w:lang w:val="en-GB"/>
              </w:rPr>
              <w:t xml:space="preserve"> of that total number in 2031, </w:t>
            </w:r>
            <w:r w:rsidRPr="002B4A69">
              <w:rPr>
                <w:b/>
                <w:i/>
                <w:lang w:val="en-GB"/>
              </w:rPr>
              <w:t>50%</w:t>
            </w:r>
            <w:r w:rsidRPr="002B4A69">
              <w:rPr>
                <w:lang w:val="en-GB"/>
              </w:rPr>
              <w:t xml:space="preserve"> of that total number adjusted by the linear reduction factor in 2032, </w:t>
            </w:r>
            <w:r w:rsidRPr="002B4A69">
              <w:rPr>
                <w:b/>
                <w:i/>
                <w:lang w:val="en-GB"/>
              </w:rPr>
              <w:t>75%</w:t>
            </w:r>
            <w:r w:rsidRPr="002B4A69">
              <w:rPr>
                <w:lang w:val="en-GB"/>
              </w:rPr>
              <w:t xml:space="preserve"> of that total number adjusted by the linear reduction factor in 2033</w:t>
            </w:r>
            <w:r w:rsidRPr="002B4A69">
              <w:rPr>
                <w:b/>
                <w:i/>
                <w:lang w:val="en-GB"/>
              </w:rPr>
              <w:t>, and 100% of that total number adjusted by the linear reduction factor as of 2034</w:t>
            </w:r>
            <w:r w:rsidRPr="002B4A69">
              <w:rPr>
                <w:lang w:val="en-GB"/>
              </w:rPr>
              <w:t xml:space="preserve">. As from </w:t>
            </w:r>
            <w:r w:rsidRPr="002B4A69">
              <w:rPr>
                <w:b/>
                <w:i/>
                <w:lang w:val="en-GB"/>
              </w:rPr>
              <w:t>2035</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c>
          <w:tcPr>
            <w:tcW w:w="4876" w:type="dxa"/>
          </w:tcPr>
          <w:p w:rsidR="001F04EE" w:rsidRPr="002B4A69" w:rsidP="00723F81" w14:paraId="1E47AF6B" w14:textId="77777777">
            <w:pPr>
              <w:pStyle w:val="Normal6"/>
              <w:rPr>
                <w:szCs w:val="24"/>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2031 onwards should be gradually introduced with respect to verified emissions reported for the period 2031 to </w:t>
            </w:r>
            <w:r w:rsidRPr="002B4A69">
              <w:rPr>
                <w:b/>
                <w:i/>
                <w:lang w:val="en-GB"/>
              </w:rPr>
              <w:t>2033</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2031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2031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number of allowances added to the cap in respect of the sector </w:t>
            </w:r>
            <w:r w:rsidRPr="002B4A69">
              <w:rPr>
                <w:lang w:val="en-GB"/>
              </w:rPr>
              <w:t xml:space="preserve">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 The number of allowances added to the total Union-wide quantity of allowances in respect of the sector should be commensurate to the phase-in trajectory from 2031 to </w:t>
            </w:r>
            <w:r w:rsidRPr="002B4A69">
              <w:rPr>
                <w:b/>
                <w:i/>
                <w:lang w:val="en-GB"/>
              </w:rPr>
              <w:t>2033</w:t>
            </w:r>
            <w:r w:rsidRPr="002B4A69">
              <w:rPr>
                <w:lang w:val="en-GB"/>
              </w:rPr>
              <w:t xml:space="preserve">, equivalent to </w:t>
            </w:r>
            <w:r w:rsidRPr="002B4A69">
              <w:rPr>
                <w:b/>
                <w:i/>
                <w:lang w:val="en-GB"/>
              </w:rPr>
              <w:t>50%</w:t>
            </w:r>
            <w:r w:rsidRPr="002B4A69">
              <w:rPr>
                <w:lang w:val="en-GB"/>
              </w:rPr>
              <w:t xml:space="preserve"> of that total number in 2031, </w:t>
            </w:r>
            <w:r w:rsidRPr="002B4A69">
              <w:rPr>
                <w:b/>
                <w:i/>
                <w:lang w:val="en-GB"/>
              </w:rPr>
              <w:t>75%</w:t>
            </w:r>
            <w:r w:rsidRPr="002B4A69">
              <w:rPr>
                <w:lang w:val="en-GB"/>
              </w:rPr>
              <w:t xml:space="preserve"> of that total number adjusted by the linear reduction factor in 2032, </w:t>
            </w:r>
            <w:r w:rsidRPr="002B4A69">
              <w:rPr>
                <w:b/>
                <w:i/>
                <w:lang w:val="en-GB"/>
              </w:rPr>
              <w:t>100%</w:t>
            </w:r>
            <w:r w:rsidRPr="002B4A69">
              <w:rPr>
                <w:lang w:val="en-GB"/>
              </w:rPr>
              <w:t xml:space="preserve"> of that total number adjusted by the linear reduction factor in 2033. As from </w:t>
            </w:r>
            <w:r w:rsidRPr="002B4A69">
              <w:rPr>
                <w:b/>
                <w:i/>
                <w:lang w:val="en-GB"/>
              </w:rPr>
              <w:t>2034</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r>
      <w:tr w14:paraId="4C67E24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CEACF9F" w14:textId="77777777">
            <w:pPr>
              <w:pStyle w:val="Normal6"/>
              <w:rPr>
                <w:lang w:val="en-GB"/>
              </w:rPr>
            </w:pPr>
            <w:r w:rsidRPr="002B4A69">
              <w:rPr>
                <w:lang w:val="en-GB"/>
              </w:rPr>
              <w:t>__________________</w:t>
            </w:r>
          </w:p>
        </w:tc>
        <w:tc>
          <w:tcPr>
            <w:tcW w:w="4876" w:type="dxa"/>
          </w:tcPr>
          <w:p w:rsidR="001F04EE" w:rsidRPr="002B4A69" w:rsidP="00723F81" w14:paraId="572BF521" w14:textId="77777777">
            <w:pPr>
              <w:pStyle w:val="Normal6"/>
              <w:rPr>
                <w:szCs w:val="24"/>
                <w:lang w:val="en-GB"/>
              </w:rPr>
            </w:pPr>
            <w:r w:rsidRPr="002B4A69">
              <w:rPr>
                <w:lang w:val="en-GB"/>
              </w:rPr>
              <w:t>__________________</w:t>
            </w:r>
          </w:p>
        </w:tc>
      </w:tr>
      <w:tr w14:paraId="5E3775B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85FCDB3" w14:textId="77777777">
            <w:pPr>
              <w:pStyle w:val="Normal6"/>
              <w:rPr>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c>
          <w:tcPr>
            <w:tcW w:w="4876" w:type="dxa"/>
          </w:tcPr>
          <w:p w:rsidR="001F04EE" w:rsidRPr="002B4A69" w:rsidP="00723F81" w14:paraId="1E63300F" w14:textId="77777777">
            <w:pPr>
              <w:pStyle w:val="Normal6"/>
              <w:rPr>
                <w:szCs w:val="24"/>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r>
    </w:tbl>
    <w:p w:rsidR="001F04EE" w:rsidRPr="002B4A69" w:rsidP="001F04EE" w14:paraId="10AC6F5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2370483"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53B4F51F" w14:textId="77777777">
      <w:pPr>
        <w:pStyle w:val="Normal12Italic"/>
        <w:rPr>
          <w:noProof w:val="0"/>
          <w:lang w:val="en-GB"/>
        </w:rPr>
      </w:pPr>
      <w:r w:rsidRPr="002B4A69">
        <w:rPr>
          <w:noProof w:val="0"/>
          <w:lang w:val="en-GB"/>
        </w:rPr>
        <w:t>Municipal waste incineration is a mature, well-characterised sector with MRV data already collected, so this four-year phase-in should be accelerated to three-years, with the appropriate adjustments to new allowances to be added to the overall cap and the relevant surrendering obligations. This will ensure that the carbon price signal remains meaningful. We address the risk of waste diversion towards landfilling in response to rising carbon costs by extending the ETS scope to landfilling as well, and by deleting the possible opt-out below.</w:t>
      </w:r>
    </w:p>
    <w:p w:rsidR="001F04EE" w:rsidRPr="002B4A69" w:rsidP="001F04EE" w14:paraId="602C96CD" w14:textId="77777777">
      <w:r w:rsidRPr="002B4A69">
        <w:rPr>
          <w:rStyle w:val="HideTWBExt"/>
        </w:rPr>
        <w:t>&lt;/Amend&gt;</w:t>
      </w:r>
    </w:p>
    <w:p w:rsidR="001F04EE" w:rsidRPr="002B4A69" w:rsidP="001F04EE" w14:paraId="5214E95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560</w:t>
      </w:r>
      <w:r w:rsidRPr="002B4A69">
        <w:rPr>
          <w:rStyle w:val="HideTWBExt"/>
          <w:b w:val="0"/>
          <w:lang w:val="en-GB"/>
        </w:rPr>
        <w:t>&lt;/NumAm&gt;</w:t>
      </w:r>
    </w:p>
    <w:p w:rsidR="001F04EE" w:rsidRPr="002B4A69" w:rsidP="001F04EE" w14:paraId="0748B734" w14:textId="77777777">
      <w:pPr>
        <w:pStyle w:val="NormalBold"/>
      </w:pPr>
      <w:r w:rsidRPr="002B4A69">
        <w:rPr>
          <w:rStyle w:val="HideTWBExt"/>
          <w:b w:val="0"/>
        </w:rPr>
        <w:t>&lt;RepeatBlock-By&gt;&lt;Members&gt;</w:t>
      </w:r>
      <w:r w:rsidRPr="002B4A69">
        <w:t>Jacek Ozdoba</w:t>
      </w:r>
      <w:r w:rsidRPr="002B4A69">
        <w:rPr>
          <w:rStyle w:val="HideTWBExt"/>
          <w:b w:val="0"/>
        </w:rPr>
        <w:t>&lt;/Members&gt;</w:t>
      </w:r>
    </w:p>
    <w:p w:rsidR="001F04EE" w:rsidRPr="002B4A69" w:rsidP="001F04EE" w14:paraId="0BA8FE64" w14:textId="77777777">
      <w:r w:rsidRPr="002B4A69">
        <w:rPr>
          <w:rStyle w:val="HideTWBExt"/>
        </w:rPr>
        <w:t>&lt;/RepeatBlock-By&gt;</w:t>
      </w:r>
    </w:p>
    <w:p w:rsidR="001F04EE" w:rsidRPr="002B4A69" w:rsidP="001F04EE" w14:paraId="6D33F42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D2A7459"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75143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0BE8805" w14:textId="77777777">
            <w:pPr>
              <w:keepNext/>
            </w:pPr>
          </w:p>
        </w:tc>
      </w:tr>
      <w:tr w14:paraId="5927362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E963BA2" w14:textId="77777777">
            <w:pPr>
              <w:pStyle w:val="ColumnHeading"/>
              <w:keepNext/>
              <w:rPr>
                <w:lang w:val="en-GB"/>
              </w:rPr>
            </w:pPr>
            <w:r w:rsidRPr="002B4A69">
              <w:rPr>
                <w:lang w:val="en-GB"/>
              </w:rPr>
              <w:t>Text proposed by the Commission</w:t>
            </w:r>
          </w:p>
        </w:tc>
        <w:tc>
          <w:tcPr>
            <w:tcW w:w="4876" w:type="dxa"/>
          </w:tcPr>
          <w:p w:rsidR="001F04EE" w:rsidRPr="002B4A69" w:rsidP="00723F81" w14:paraId="347A76AA" w14:textId="77777777">
            <w:pPr>
              <w:pStyle w:val="ColumnHeading"/>
              <w:keepNext/>
              <w:rPr>
                <w:lang w:val="en-GB"/>
              </w:rPr>
            </w:pPr>
            <w:r w:rsidRPr="002B4A69">
              <w:rPr>
                <w:lang w:val="en-GB"/>
              </w:rPr>
              <w:t>Amendment</w:t>
            </w:r>
          </w:p>
        </w:tc>
      </w:tr>
      <w:tr w14:paraId="08FAD7F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055E45D" w14:textId="77777777">
            <w:pPr>
              <w:pStyle w:val="Normal6"/>
              <w:rPr>
                <w:lang w:val="en-GB"/>
              </w:rPr>
            </w:pPr>
            <w:r w:rsidRPr="002B4A69">
              <w:rPr>
                <w:lang w:val="en-GB"/>
              </w:rPr>
              <w:t>(74)</w:t>
            </w:r>
            <w:r w:rsidRPr="002B4A69">
              <w:rPr>
                <w:lang w:val="en-GB"/>
              </w:rPr>
              <w:tab/>
            </w:r>
            <w:r w:rsidRPr="002B4A69">
              <w:rPr>
                <w:b/>
                <w:bCs/>
                <w:i/>
                <w:iCs/>
                <w:lang w:val="en-GB"/>
              </w:rPr>
              <w:t xml:space="preserve">To ensure a smooth transition of the sector in the EU ETS, </w:t>
            </w:r>
            <w:r w:rsidRPr="002B4A69">
              <w:rPr>
                <w:lang w:val="en-GB"/>
              </w:rPr>
              <w:t xml:space="preserve">the surrendering of allowances by municipal waste incineration installations that become subject to the system from </w:t>
            </w:r>
            <w:r w:rsidRPr="002B4A69">
              <w:rPr>
                <w:b/>
                <w:bCs/>
                <w:i/>
                <w:iCs/>
                <w:lang w:val="en-GB"/>
              </w:rPr>
              <w:t>2031</w:t>
            </w:r>
            <w:r w:rsidRPr="002B4A69">
              <w:rPr>
                <w:lang w:val="en-GB"/>
              </w:rPr>
              <w:t xml:space="preserve"> onwards should be gradually introduced with respect to verified emissions reported for the period </w:t>
            </w:r>
            <w:r w:rsidRPr="002B4A69">
              <w:rPr>
                <w:b/>
                <w:bCs/>
                <w:i/>
                <w:iCs/>
                <w:lang w:val="en-GB"/>
              </w:rPr>
              <w:t>2031</w:t>
            </w:r>
            <w:r w:rsidRPr="002B4A69">
              <w:rPr>
                <w:lang w:val="en-GB"/>
              </w:rPr>
              <w:t xml:space="preserve"> to </w:t>
            </w:r>
            <w:r w:rsidRPr="002B4A69">
              <w:rPr>
                <w:b/>
                <w:bCs/>
                <w:i/>
                <w:iCs/>
                <w:lang w:val="en-GB"/>
              </w:rPr>
              <w:t>2034</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w:t>
            </w:r>
            <w:r w:rsidRPr="002B4A69">
              <w:rPr>
                <w:b/>
                <w:bCs/>
                <w:i/>
                <w:iCs/>
                <w:lang w:val="en-GB"/>
              </w:rPr>
              <w:t>2031</w:t>
            </w:r>
            <w:r w:rsidRPr="002B4A69">
              <w:rPr>
                <w:lang w:val="en-GB"/>
              </w:rPr>
              <w:t xml:space="preserve">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w:t>
            </w:r>
            <w:r w:rsidRPr="002B4A69">
              <w:rPr>
                <w:b/>
                <w:bCs/>
                <w:i/>
                <w:iCs/>
                <w:lang w:val="en-GB"/>
              </w:rPr>
              <w:t>2031</w:t>
            </w:r>
            <w:r w:rsidRPr="002B4A69">
              <w:rPr>
                <w:lang w:val="en-GB"/>
              </w:rPr>
              <w:t xml:space="preserve">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w:t>
            </w:r>
            <w:r w:rsidRPr="002B4A69">
              <w:rPr>
                <w:lang w:val="en-GB"/>
              </w:rPr>
              <w:t xml:space="preserve">the system, the number of allowances added to the cap in respect of the sector 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w:t>
            </w:r>
            <w:r w:rsidRPr="002B4A69">
              <w:rPr>
                <w:b/>
                <w:bCs/>
                <w:i/>
                <w:iCs/>
                <w:lang w:val="en-GB"/>
              </w:rPr>
              <w:t>2024</w:t>
            </w:r>
            <w:r w:rsidRPr="002B4A69">
              <w:rPr>
                <w:lang w:val="en-GB"/>
              </w:rPr>
              <w:t xml:space="preserve"> until </w:t>
            </w:r>
            <w:r w:rsidRPr="002B4A69">
              <w:rPr>
                <w:b/>
                <w:bCs/>
                <w:i/>
                <w:iCs/>
                <w:lang w:val="en-GB"/>
              </w:rPr>
              <w:t>2031</w:t>
            </w:r>
            <w:r w:rsidRPr="002B4A69">
              <w:rPr>
                <w:lang w:val="en-GB"/>
              </w:rPr>
              <w:t xml:space="preserve">, by projections for estimated reporting data and capacity developments. The number of allowances added to the total Union-wide quantity of allowances in respect of the sector should be commensurate to the phase-in trajectory from </w:t>
            </w:r>
            <w:r w:rsidRPr="002B4A69">
              <w:rPr>
                <w:b/>
                <w:bCs/>
                <w:i/>
                <w:iCs/>
                <w:lang w:val="en-GB"/>
              </w:rPr>
              <w:t>2031</w:t>
            </w:r>
            <w:r w:rsidRPr="002B4A69">
              <w:rPr>
                <w:lang w:val="en-GB"/>
              </w:rPr>
              <w:t xml:space="preserve"> to </w:t>
            </w:r>
            <w:r w:rsidRPr="002B4A69">
              <w:rPr>
                <w:b/>
                <w:bCs/>
                <w:i/>
                <w:iCs/>
                <w:lang w:val="en-GB"/>
              </w:rPr>
              <w:t>2034</w:t>
            </w:r>
            <w:r w:rsidRPr="002B4A69">
              <w:rPr>
                <w:lang w:val="en-GB"/>
              </w:rPr>
              <w:t xml:space="preserve">, equivalent to 25% of that total number in </w:t>
            </w:r>
            <w:r w:rsidRPr="002B4A69">
              <w:rPr>
                <w:b/>
                <w:bCs/>
                <w:i/>
                <w:iCs/>
                <w:lang w:val="en-GB"/>
              </w:rPr>
              <w:t>2031</w:t>
            </w:r>
            <w:r w:rsidRPr="002B4A69">
              <w:rPr>
                <w:lang w:val="en-GB"/>
              </w:rPr>
              <w:t xml:space="preserve">, 50% of that total number adjusted by the linear reduction factor in 2032, 75% of that total number adjusted by the linear reduction factor in </w:t>
            </w:r>
            <w:r w:rsidRPr="002B4A69">
              <w:rPr>
                <w:b/>
                <w:bCs/>
                <w:i/>
                <w:iCs/>
                <w:lang w:val="en-GB"/>
              </w:rPr>
              <w:t>2033</w:t>
            </w:r>
            <w:r w:rsidRPr="002B4A69">
              <w:rPr>
                <w:lang w:val="en-GB"/>
              </w:rPr>
              <w:t xml:space="preserve">, and 100% of that total number adjusted by the linear reduction factor as of </w:t>
            </w:r>
            <w:r w:rsidRPr="002B4A69">
              <w:rPr>
                <w:b/>
                <w:bCs/>
                <w:i/>
                <w:iCs/>
                <w:lang w:val="en-GB"/>
              </w:rPr>
              <w:t>2034</w:t>
            </w:r>
            <w:r w:rsidRPr="002B4A69">
              <w:rPr>
                <w:lang w:val="en-GB"/>
              </w:rPr>
              <w:t>.</w:t>
            </w:r>
            <w:r w:rsidRPr="002B4A69">
              <w:rPr>
                <w:b/>
                <w:i/>
                <w:lang w:val="en-GB"/>
              </w:rPr>
              <w:t xml:space="preserve"> </w:t>
            </w:r>
            <w:r w:rsidRPr="002B4A69">
              <w:rPr>
                <w:lang w:val="en-GB"/>
              </w:rPr>
              <w:t xml:space="preserve">As from </w:t>
            </w:r>
            <w:r w:rsidRPr="002B4A69">
              <w:rPr>
                <w:b/>
                <w:bCs/>
                <w:i/>
                <w:iCs/>
                <w:lang w:val="en-GB"/>
              </w:rPr>
              <w:t>2035</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c>
          <w:tcPr>
            <w:tcW w:w="4876" w:type="dxa"/>
          </w:tcPr>
          <w:p w:rsidR="001F04EE" w:rsidRPr="002B4A69" w:rsidP="00723F81" w14:paraId="0A26AE56" w14:textId="37DBB24B">
            <w:pPr>
              <w:pStyle w:val="Normal6"/>
              <w:rPr>
                <w:szCs w:val="24"/>
                <w:lang w:val="en-GB"/>
              </w:rPr>
            </w:pPr>
            <w:r w:rsidRPr="002B4A69">
              <w:rPr>
                <w:lang w:val="en-GB"/>
              </w:rPr>
              <w:t>(74)</w:t>
            </w:r>
            <w:r w:rsidRPr="002B4A69">
              <w:rPr>
                <w:lang w:val="en-GB"/>
              </w:rPr>
              <w:tab/>
              <w:t xml:space="preserve">The surrendering of allowances by municipal waste incineration installations that become subject to the system from </w:t>
            </w:r>
            <w:r w:rsidRPr="002B4A69">
              <w:rPr>
                <w:b/>
                <w:bCs/>
                <w:i/>
                <w:iCs/>
                <w:lang w:val="en-GB"/>
              </w:rPr>
              <w:t>2050</w:t>
            </w:r>
            <w:r w:rsidRPr="002B4A69">
              <w:rPr>
                <w:lang w:val="en-GB"/>
              </w:rPr>
              <w:t xml:space="preserve"> onwards should be gradually introduced with respect to verified emissions reported for the period </w:t>
            </w:r>
            <w:r w:rsidRPr="002B4A69">
              <w:rPr>
                <w:b/>
                <w:bCs/>
                <w:i/>
                <w:iCs/>
                <w:lang w:val="en-GB"/>
              </w:rPr>
              <w:t>2051</w:t>
            </w:r>
            <w:r w:rsidRPr="002B4A69">
              <w:rPr>
                <w:lang w:val="en-GB"/>
              </w:rPr>
              <w:t xml:space="preserve"> to </w:t>
            </w:r>
            <w:r w:rsidRPr="002B4A69">
              <w:rPr>
                <w:b/>
                <w:bCs/>
                <w:i/>
                <w:iCs/>
                <w:lang w:val="en-GB"/>
              </w:rPr>
              <w:t>2054</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w:t>
            </w:r>
            <w:r w:rsidRPr="002B4A69">
              <w:rPr>
                <w:b/>
                <w:bCs/>
                <w:i/>
                <w:iCs/>
                <w:lang w:val="en-GB"/>
              </w:rPr>
              <w:t>2050</w:t>
            </w:r>
            <w:r w:rsidRPr="002B4A69">
              <w:rPr>
                <w:lang w:val="en-GB"/>
              </w:rPr>
              <w:t xml:space="preserve">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w:t>
            </w:r>
            <w:r w:rsidRPr="002B4A69">
              <w:rPr>
                <w:b/>
                <w:bCs/>
                <w:i/>
                <w:iCs/>
                <w:lang w:val="en-GB"/>
              </w:rPr>
              <w:t>2050</w:t>
            </w:r>
            <w:r w:rsidRPr="002B4A69">
              <w:rPr>
                <w:lang w:val="en-GB"/>
              </w:rPr>
              <w:t xml:space="preserve">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number of allowances </w:t>
            </w:r>
            <w:r w:rsidRPr="002B4A69">
              <w:rPr>
                <w:lang w:val="en-GB"/>
              </w:rPr>
              <w:t xml:space="preserve">added to the cap in respect of the sector 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EEA and the EFTA), adjusted, from </w:t>
            </w:r>
            <w:r w:rsidRPr="002B4A69">
              <w:rPr>
                <w:b/>
                <w:bCs/>
                <w:i/>
                <w:iCs/>
                <w:lang w:val="en-GB"/>
              </w:rPr>
              <w:t>2044</w:t>
            </w:r>
            <w:r w:rsidRPr="002B4A69">
              <w:rPr>
                <w:lang w:val="en-GB"/>
              </w:rPr>
              <w:t xml:space="preserve"> until </w:t>
            </w:r>
            <w:r w:rsidRPr="002B4A69">
              <w:rPr>
                <w:b/>
                <w:bCs/>
                <w:i/>
                <w:iCs/>
                <w:lang w:val="en-GB"/>
              </w:rPr>
              <w:t>2051</w:t>
            </w:r>
            <w:r w:rsidRPr="002B4A69">
              <w:rPr>
                <w:lang w:val="en-GB"/>
              </w:rPr>
              <w:t xml:space="preserve">, by projections for estimated reporting data and capacity developments. The number of allowances added to the total Union-wide quantity of allowances in respect of the sector should be commensurate to the phase-in trajectory from </w:t>
            </w:r>
            <w:r w:rsidRPr="002B4A69">
              <w:rPr>
                <w:b/>
                <w:bCs/>
                <w:i/>
                <w:iCs/>
                <w:lang w:val="en-GB"/>
              </w:rPr>
              <w:t>2051</w:t>
            </w:r>
            <w:r w:rsidRPr="002B4A69">
              <w:rPr>
                <w:lang w:val="en-GB"/>
              </w:rPr>
              <w:t xml:space="preserve"> to </w:t>
            </w:r>
            <w:r w:rsidRPr="002B4A69">
              <w:rPr>
                <w:b/>
                <w:bCs/>
                <w:i/>
                <w:iCs/>
                <w:lang w:val="en-GB"/>
              </w:rPr>
              <w:t>2054</w:t>
            </w:r>
            <w:r w:rsidRPr="002B4A69">
              <w:rPr>
                <w:lang w:val="en-GB"/>
              </w:rPr>
              <w:t>, equivalent to 25</w:t>
            </w:r>
            <w:r w:rsidR="00FD3A20">
              <w:rPr>
                <w:lang w:val="en-GB"/>
              </w:rPr>
              <w:t> </w:t>
            </w:r>
            <w:r w:rsidRPr="002B4A69">
              <w:rPr>
                <w:lang w:val="en-GB"/>
              </w:rPr>
              <w:t xml:space="preserve">% of that total number in </w:t>
            </w:r>
            <w:r w:rsidRPr="002B4A69">
              <w:rPr>
                <w:b/>
                <w:bCs/>
                <w:i/>
                <w:iCs/>
                <w:lang w:val="en-GB"/>
              </w:rPr>
              <w:t>2051</w:t>
            </w:r>
            <w:r w:rsidRPr="002B4A69">
              <w:rPr>
                <w:lang w:val="en-GB"/>
              </w:rPr>
              <w:t>, 50</w:t>
            </w:r>
            <w:r w:rsidR="00FD3A20">
              <w:rPr>
                <w:lang w:val="en-GB"/>
              </w:rPr>
              <w:t> </w:t>
            </w:r>
            <w:r w:rsidRPr="002B4A69">
              <w:rPr>
                <w:lang w:val="en-GB"/>
              </w:rPr>
              <w:t xml:space="preserve">% of that total number adjusted by the linear reduction factor in 2032, 75% of that total number adjusted by the linear reduction factor in </w:t>
            </w:r>
            <w:r w:rsidRPr="002B4A69">
              <w:rPr>
                <w:b/>
                <w:bCs/>
                <w:i/>
                <w:iCs/>
                <w:lang w:val="en-GB"/>
              </w:rPr>
              <w:t>2053</w:t>
            </w:r>
            <w:r w:rsidRPr="002B4A69">
              <w:rPr>
                <w:lang w:val="en-GB"/>
              </w:rPr>
              <w:t>, and 100</w:t>
            </w:r>
            <w:r w:rsidR="00FD3A20">
              <w:rPr>
                <w:lang w:val="en-GB"/>
              </w:rPr>
              <w:t> </w:t>
            </w:r>
            <w:r w:rsidRPr="002B4A69">
              <w:rPr>
                <w:lang w:val="en-GB"/>
              </w:rPr>
              <w:t xml:space="preserve">% of that total number adjusted by the linear reduction factor as of </w:t>
            </w:r>
            <w:r w:rsidRPr="002B4A69">
              <w:rPr>
                <w:b/>
                <w:bCs/>
                <w:i/>
                <w:iCs/>
                <w:lang w:val="en-GB"/>
              </w:rPr>
              <w:t>2054</w:t>
            </w:r>
            <w:r w:rsidRPr="002B4A69">
              <w:rPr>
                <w:lang w:val="en-GB"/>
              </w:rPr>
              <w:t>.</w:t>
            </w:r>
            <w:r w:rsidRPr="002B4A69">
              <w:rPr>
                <w:b/>
                <w:i/>
                <w:lang w:val="en-GB"/>
              </w:rPr>
              <w:t xml:space="preserve"> </w:t>
            </w:r>
            <w:r w:rsidRPr="002B4A69">
              <w:rPr>
                <w:lang w:val="en-GB"/>
              </w:rPr>
              <w:t xml:space="preserve">As from </w:t>
            </w:r>
            <w:r w:rsidRPr="002B4A69">
              <w:rPr>
                <w:b/>
                <w:bCs/>
                <w:i/>
                <w:iCs/>
                <w:lang w:val="en-GB"/>
              </w:rPr>
              <w:t>2055</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r>
      <w:tr w14:paraId="3D61F99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A3BAD1F" w14:textId="77777777">
            <w:pPr>
              <w:pStyle w:val="Normal6"/>
              <w:rPr>
                <w:lang w:val="en-GB"/>
              </w:rPr>
            </w:pPr>
            <w:r w:rsidRPr="002B4A69">
              <w:rPr>
                <w:lang w:val="en-GB"/>
              </w:rPr>
              <w:t>__________________</w:t>
            </w:r>
          </w:p>
        </w:tc>
        <w:tc>
          <w:tcPr>
            <w:tcW w:w="4876" w:type="dxa"/>
          </w:tcPr>
          <w:p w:rsidR="001F04EE" w:rsidRPr="002B4A69" w:rsidP="00723F81" w14:paraId="7E6D2CF0" w14:textId="77777777">
            <w:pPr>
              <w:pStyle w:val="Normal6"/>
              <w:rPr>
                <w:szCs w:val="24"/>
                <w:lang w:val="en-GB"/>
              </w:rPr>
            </w:pPr>
            <w:r w:rsidRPr="002B4A69">
              <w:rPr>
                <w:lang w:val="en-GB"/>
              </w:rPr>
              <w:t>__________________</w:t>
            </w:r>
          </w:p>
        </w:tc>
      </w:tr>
      <w:tr w14:paraId="48F3F15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2B1AA6A" w14:textId="77777777">
            <w:pPr>
              <w:pStyle w:val="Normal6"/>
              <w:rPr>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c>
          <w:tcPr>
            <w:tcW w:w="4876" w:type="dxa"/>
          </w:tcPr>
          <w:p w:rsidR="001F04EE" w:rsidRPr="002B4A69" w:rsidP="00723F81" w14:paraId="24E38F0F" w14:textId="77777777">
            <w:pPr>
              <w:pStyle w:val="Normal6"/>
              <w:rPr>
                <w:szCs w:val="24"/>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r>
    </w:tbl>
    <w:p w:rsidR="001F04EE" w:rsidRPr="002B4A69" w:rsidP="001F04EE" w14:paraId="517D731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{PL}</w:t>
      </w:r>
      <w:r w:rsidRPr="002B4A69">
        <w:rPr>
          <w:noProof w:val="0"/>
          <w:lang w:val="en-GB"/>
        </w:rPr>
        <w:t>pl</w:t>
      </w:r>
      <w:r w:rsidRPr="002B4A69">
        <w:rPr>
          <w:rStyle w:val="HideTWBExt"/>
          <w:lang w:val="en-GB"/>
        </w:rPr>
        <w:t>&lt;/Original&gt;</w:t>
      </w:r>
    </w:p>
    <w:p w:rsidR="001F04EE" w:rsidRPr="002B4A69" w:rsidP="001F04EE" w14:paraId="54B5EC56" w14:textId="77777777">
      <w:r w:rsidRPr="002B4A69">
        <w:rPr>
          <w:rStyle w:val="HideTWBExt"/>
        </w:rPr>
        <w:t>&lt;/Amend&gt;</w:t>
      </w:r>
    </w:p>
    <w:p w:rsidR="001F04EE" w:rsidRPr="002B4A69" w:rsidP="001F04EE" w14:paraId="7650B91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561</w:t>
      </w:r>
      <w:r w:rsidRPr="002B4A69">
        <w:rPr>
          <w:rStyle w:val="HideTWBExt"/>
          <w:b w:val="0"/>
          <w:lang w:val="en-GB"/>
        </w:rPr>
        <w:t>&lt;/NumAm&gt;</w:t>
      </w:r>
    </w:p>
    <w:p w:rsidR="001F04EE" w:rsidRPr="002B4A69" w:rsidP="001F04EE" w14:paraId="11DA5BB0" w14:textId="77777777">
      <w:pPr>
        <w:pStyle w:val="NormalBold"/>
      </w:pPr>
      <w:r w:rsidRPr="002B4A69">
        <w:rPr>
          <w:rStyle w:val="HideTWBExt"/>
          <w:b w:val="0"/>
        </w:rPr>
        <w:t>&lt;RepeatBlock-By&gt;&lt;Members&gt;</w:t>
      </w:r>
      <w:r w:rsidRPr="002B4A69">
        <w:t>Heléne Fritzon</w:t>
      </w:r>
      <w:r w:rsidRPr="002B4A69">
        <w:rPr>
          <w:rStyle w:val="HideTWBExt"/>
          <w:b w:val="0"/>
        </w:rPr>
        <w:t>&lt;/Members&gt;</w:t>
      </w:r>
    </w:p>
    <w:p w:rsidR="001F04EE" w:rsidRPr="002B4A69" w:rsidP="001F04EE" w14:paraId="00FC33CD" w14:textId="77777777">
      <w:r w:rsidRPr="002B4A69">
        <w:rPr>
          <w:rStyle w:val="HideTWBExt"/>
        </w:rPr>
        <w:t>&lt;/RepeatBlock-By&gt;</w:t>
      </w:r>
    </w:p>
    <w:p w:rsidR="001F04EE" w:rsidRPr="002B4A69" w:rsidP="001F04EE" w14:paraId="665BF02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019CABC" w14:textId="77777777">
      <w:pPr>
        <w:pStyle w:val="NormalBold"/>
      </w:pPr>
      <w:r w:rsidRPr="002B4A69">
        <w:rPr>
          <w:rStyle w:val="HideTWBExt"/>
          <w:b w:val="0"/>
        </w:rPr>
        <w:t>&lt;Article&gt;</w:t>
      </w:r>
      <w:r w:rsidRPr="002B4A69">
        <w:t>Recital 74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C0072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883722E" w14:textId="77777777">
            <w:pPr>
              <w:keepNext/>
            </w:pPr>
          </w:p>
        </w:tc>
      </w:tr>
      <w:tr w14:paraId="6BDF73E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2DE7493" w14:textId="77777777">
            <w:pPr>
              <w:pStyle w:val="ColumnHeading"/>
              <w:keepNext/>
              <w:rPr>
                <w:lang w:val="en-GB"/>
              </w:rPr>
            </w:pPr>
            <w:r w:rsidRPr="002B4A69">
              <w:rPr>
                <w:lang w:val="en-GB"/>
              </w:rPr>
              <w:t>Text proposed by the Commission</w:t>
            </w:r>
          </w:p>
        </w:tc>
        <w:tc>
          <w:tcPr>
            <w:tcW w:w="4876" w:type="dxa"/>
          </w:tcPr>
          <w:p w:rsidR="001F04EE" w:rsidRPr="002B4A69" w:rsidP="00723F81" w14:paraId="6B2B0158" w14:textId="77777777">
            <w:pPr>
              <w:pStyle w:val="ColumnHeading"/>
              <w:keepNext/>
              <w:rPr>
                <w:lang w:val="en-GB"/>
              </w:rPr>
            </w:pPr>
            <w:r w:rsidRPr="002B4A69">
              <w:rPr>
                <w:lang w:val="en-GB"/>
              </w:rPr>
              <w:t>Amendment</w:t>
            </w:r>
          </w:p>
        </w:tc>
      </w:tr>
      <w:tr w14:paraId="08337CD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66EEE63" w14:textId="77777777">
            <w:pPr>
              <w:pStyle w:val="Normal6"/>
              <w:rPr>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w:t>
            </w:r>
            <w:r w:rsidRPr="002B4A69">
              <w:rPr>
                <w:b/>
                <w:i/>
                <w:lang w:val="en-GB"/>
              </w:rPr>
              <w:t>2031</w:t>
            </w:r>
            <w:r w:rsidRPr="002B4A69">
              <w:rPr>
                <w:lang w:val="en-GB"/>
              </w:rPr>
              <w:t xml:space="preserve"> onwards should be gradually introduced with respect to verified emissions reported for the period </w:t>
            </w:r>
            <w:r w:rsidRPr="002B4A69">
              <w:rPr>
                <w:b/>
                <w:i/>
                <w:lang w:val="en-GB"/>
              </w:rPr>
              <w:t>2031 to 2034</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w:t>
            </w:r>
            <w:r w:rsidRPr="002B4A69">
              <w:rPr>
                <w:b/>
                <w:i/>
                <w:lang w:val="en-GB"/>
              </w:rPr>
              <w:t>2031</w:t>
            </w:r>
            <w:r w:rsidRPr="002B4A69">
              <w:rPr>
                <w:lang w:val="en-GB"/>
              </w:rPr>
              <w:t xml:space="preserve">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w:t>
            </w:r>
            <w:r w:rsidRPr="002B4A69">
              <w:rPr>
                <w:b/>
                <w:i/>
                <w:lang w:val="en-GB"/>
              </w:rPr>
              <w:t>2031</w:t>
            </w:r>
            <w:r w:rsidRPr="002B4A69">
              <w:rPr>
                <w:lang w:val="en-GB"/>
              </w:rPr>
              <w:t xml:space="preserve">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number of allowances added to the cap in respect of the sector should be proportionate to the gradually increasing surrender obligation for those years. The figures relating to the inclusion </w:t>
            </w:r>
            <w:r w:rsidRPr="002B4A69">
              <w:rPr>
                <w:lang w:val="en-GB"/>
              </w:rPr>
              <w:t xml:space="preserve">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 The number of allowances added to the total Union-wide quantity of allowances in respect of the sector should be commensurate to the phase-in trajectory from </w:t>
            </w:r>
            <w:r w:rsidRPr="002B4A69">
              <w:rPr>
                <w:b/>
                <w:i/>
                <w:lang w:val="en-GB"/>
              </w:rPr>
              <w:t>2031 to 2034</w:t>
            </w:r>
            <w:r w:rsidRPr="002B4A69">
              <w:rPr>
                <w:lang w:val="en-GB"/>
              </w:rPr>
              <w:t xml:space="preserve">, equivalent to 25% of that total number in </w:t>
            </w:r>
            <w:r w:rsidRPr="002B4A69">
              <w:rPr>
                <w:b/>
                <w:i/>
                <w:lang w:val="en-GB"/>
              </w:rPr>
              <w:t>2031</w:t>
            </w:r>
            <w:r w:rsidRPr="002B4A69">
              <w:rPr>
                <w:lang w:val="en-GB"/>
              </w:rPr>
              <w:t xml:space="preserve">, 50% of that total number adjusted by the linear reduction factor in </w:t>
            </w:r>
            <w:r w:rsidRPr="002B4A69">
              <w:rPr>
                <w:b/>
                <w:i/>
                <w:lang w:val="en-GB"/>
              </w:rPr>
              <w:t>2032</w:t>
            </w:r>
            <w:r w:rsidRPr="002B4A69">
              <w:rPr>
                <w:lang w:val="en-GB"/>
              </w:rPr>
              <w:t xml:space="preserve">, 75% of that total number adjusted by the linear reduction factor in </w:t>
            </w:r>
            <w:r w:rsidRPr="002B4A69">
              <w:rPr>
                <w:b/>
                <w:i/>
                <w:lang w:val="en-GB"/>
              </w:rPr>
              <w:t>2033</w:t>
            </w:r>
            <w:r w:rsidRPr="002B4A69">
              <w:rPr>
                <w:lang w:val="en-GB"/>
              </w:rPr>
              <w:t xml:space="preserve">, and 100% of that total number adjusted by the linear reduction factor as of </w:t>
            </w:r>
            <w:r w:rsidRPr="002B4A69">
              <w:rPr>
                <w:b/>
                <w:i/>
                <w:lang w:val="en-GB"/>
              </w:rPr>
              <w:t>2034</w:t>
            </w:r>
            <w:r w:rsidRPr="002B4A69">
              <w:rPr>
                <w:lang w:val="en-GB"/>
              </w:rPr>
              <w:t xml:space="preserve">. As from </w:t>
            </w:r>
            <w:r w:rsidRPr="002B4A69">
              <w:rPr>
                <w:b/>
                <w:i/>
                <w:lang w:val="en-GB"/>
              </w:rPr>
              <w:t>2035</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c>
          <w:tcPr>
            <w:tcW w:w="4876" w:type="dxa"/>
          </w:tcPr>
          <w:p w:rsidR="001F04EE" w:rsidRPr="002B4A69" w:rsidP="00723F81" w14:paraId="18BC3B16" w14:textId="77777777">
            <w:pPr>
              <w:pStyle w:val="Normal6"/>
              <w:rPr>
                <w:szCs w:val="24"/>
                <w:lang w:val="en-GB"/>
              </w:rPr>
            </w:pPr>
            <w:r w:rsidRPr="002B4A69">
              <w:rPr>
                <w:lang w:val="en-GB"/>
              </w:rPr>
              <w:t>(74)</w:t>
            </w:r>
            <w:r w:rsidRPr="002B4A69">
              <w:rPr>
                <w:lang w:val="en-GB"/>
              </w:rPr>
              <w:tab/>
              <w:t xml:space="preserve">To ensure a smooth transition of the sector in the EU ETS, the surrendering of allowances by municipal waste incineration installations that become subject to the system from </w:t>
            </w:r>
            <w:r w:rsidRPr="002B4A69">
              <w:rPr>
                <w:b/>
                <w:i/>
                <w:lang w:val="en-GB"/>
              </w:rPr>
              <w:t>2029</w:t>
            </w:r>
            <w:r w:rsidRPr="002B4A69">
              <w:rPr>
                <w:lang w:val="en-GB"/>
              </w:rPr>
              <w:t xml:space="preserve"> onwards should be gradually introduced with respect to verified emissions reported for the period </w:t>
            </w:r>
            <w:r w:rsidRPr="002B4A69">
              <w:rPr>
                <w:b/>
                <w:i/>
                <w:lang w:val="en-GB"/>
              </w:rPr>
              <w:t>2029 to 2032</w:t>
            </w:r>
            <w:r w:rsidRPr="002B4A69">
              <w:rPr>
                <w:lang w:val="en-GB"/>
              </w:rPr>
              <w:t xml:space="preserve">. This staged integration should not apply to installations currently already included in the EU ETS. Several reasons support a staged integration of the compliance obligation rather than immediate full inclusion. The start from </w:t>
            </w:r>
            <w:r w:rsidRPr="002B4A69">
              <w:rPr>
                <w:b/>
                <w:i/>
                <w:lang w:val="en-GB"/>
              </w:rPr>
              <w:t>2029</w:t>
            </w:r>
            <w:r w:rsidRPr="002B4A69">
              <w:rPr>
                <w:lang w:val="en-GB"/>
              </w:rPr>
              <w:t xml:space="preserve"> allows for technical and administrative preparation, </w:t>
            </w:r>
            <w:r w:rsidRPr="002B4A69">
              <w:rPr>
                <w:lang w:val="en-GB"/>
              </w:rPr>
              <w:t>in particular for</w:t>
            </w:r>
            <w:r w:rsidRPr="002B4A69">
              <w:rPr>
                <w:lang w:val="en-GB"/>
              </w:rPr>
              <w:t xml:space="preserve"> the development of monitoring and reporting rules that are better tailored to municipal waste incineration, including the distinction of biomass and fossil emissions. The start from </w:t>
            </w:r>
            <w:r w:rsidRPr="002B4A69">
              <w:rPr>
                <w:b/>
                <w:i/>
                <w:lang w:val="en-GB"/>
              </w:rPr>
              <w:t>2029</w:t>
            </w:r>
            <w:r w:rsidRPr="002B4A69">
              <w:rPr>
                <w:lang w:val="en-GB"/>
              </w:rPr>
              <w:t xml:space="preserve"> combined with the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established in Article 5(5) of Directive 1999/31/EC</w:t>
            </w:r>
            <w:r w:rsidRPr="002B4A69">
              <w:rPr>
                <w:vertAlign w:val="superscript"/>
                <w:lang w:val="en-GB"/>
              </w:rPr>
              <w:t>29</w:t>
            </w:r>
            <w:r w:rsidRPr="002B4A69">
              <w:rPr>
                <w:lang w:val="en-GB"/>
              </w:rPr>
              <w:t xml:space="preserve"> 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number of allowances added to the cap in respect of the sector should be proportionate to the gradually increasing surrender obligation for those years. The figures relating to the inclusion </w:t>
            </w:r>
            <w:r w:rsidRPr="002B4A69">
              <w:rPr>
                <w:lang w:val="en-GB"/>
              </w:rPr>
              <w:t xml:space="preserve">of municipal waste incineration should be derived from the data monitored and reported for the sector under Directive 2003/87/EC for 2024 in the Union and the States of the EEA and the EFTA), adjusted, from 2024 until 2031, by projections for estimated reporting data and capacity developments. The number of allowances added to the total Union-wide quantity of allowances in respect of the sector should be commensurate to the phase-in trajectory from </w:t>
            </w:r>
            <w:r w:rsidRPr="002B4A69">
              <w:rPr>
                <w:b/>
                <w:i/>
                <w:lang w:val="en-GB"/>
              </w:rPr>
              <w:t>2029 to 2032</w:t>
            </w:r>
            <w:r w:rsidRPr="002B4A69">
              <w:rPr>
                <w:lang w:val="en-GB"/>
              </w:rPr>
              <w:t xml:space="preserve">, equivalent to 25% of that total number in </w:t>
            </w:r>
            <w:r w:rsidRPr="002B4A69">
              <w:rPr>
                <w:b/>
                <w:i/>
                <w:lang w:val="en-GB"/>
              </w:rPr>
              <w:t>2029</w:t>
            </w:r>
            <w:r w:rsidRPr="002B4A69">
              <w:rPr>
                <w:lang w:val="en-GB"/>
              </w:rPr>
              <w:t xml:space="preserve">, 50% of that total number adjusted by the linear reduction factor in </w:t>
            </w:r>
            <w:r w:rsidRPr="002B4A69">
              <w:rPr>
                <w:b/>
                <w:i/>
                <w:lang w:val="en-GB"/>
              </w:rPr>
              <w:t>2030</w:t>
            </w:r>
            <w:r w:rsidRPr="002B4A69">
              <w:rPr>
                <w:lang w:val="en-GB"/>
              </w:rPr>
              <w:t xml:space="preserve">, 75% of that total number adjusted by the linear reduction factor in </w:t>
            </w:r>
            <w:r w:rsidRPr="002B4A69">
              <w:rPr>
                <w:b/>
                <w:i/>
                <w:lang w:val="en-GB"/>
              </w:rPr>
              <w:t>2031</w:t>
            </w:r>
            <w:r w:rsidRPr="002B4A69">
              <w:rPr>
                <w:lang w:val="en-GB"/>
              </w:rPr>
              <w:t xml:space="preserve">, and 100% of that total number adjusted by the linear reduction factor as of </w:t>
            </w:r>
            <w:r w:rsidRPr="002B4A69">
              <w:rPr>
                <w:b/>
                <w:i/>
                <w:lang w:val="en-GB"/>
              </w:rPr>
              <w:t>2032</w:t>
            </w:r>
            <w:r w:rsidRPr="002B4A69">
              <w:rPr>
                <w:lang w:val="en-GB"/>
              </w:rPr>
              <w:t xml:space="preserve">. As from </w:t>
            </w:r>
            <w:r w:rsidRPr="002B4A69">
              <w:rPr>
                <w:b/>
                <w:i/>
                <w:lang w:val="en-GB"/>
              </w:rPr>
              <w:t>2033</w:t>
            </w:r>
            <w:r w:rsidRPr="002B4A69">
              <w:rPr>
                <w:lang w:val="en-GB"/>
              </w:rPr>
              <w:t xml:space="preserve">, municipal waste incineration installations should surrender the number of allowances corresponding to </w:t>
            </w:r>
            <w:r w:rsidRPr="002B4A69">
              <w:rPr>
                <w:lang w:val="en-GB"/>
              </w:rPr>
              <w:t>all of</w:t>
            </w:r>
            <w:r w:rsidRPr="002B4A69">
              <w:rPr>
                <w:lang w:val="en-GB"/>
              </w:rPr>
              <w:t xml:space="preserve"> their verified emissions reported in the preceding year.</w:t>
            </w:r>
          </w:p>
        </w:tc>
      </w:tr>
      <w:tr w14:paraId="53A04AE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A49AA70" w14:textId="77777777">
            <w:pPr>
              <w:pStyle w:val="Normal6"/>
              <w:rPr>
                <w:lang w:val="en-GB"/>
              </w:rPr>
            </w:pPr>
            <w:r w:rsidRPr="002B4A69">
              <w:rPr>
                <w:lang w:val="en-GB"/>
              </w:rPr>
              <w:t>__________________</w:t>
            </w:r>
          </w:p>
        </w:tc>
        <w:tc>
          <w:tcPr>
            <w:tcW w:w="4876" w:type="dxa"/>
          </w:tcPr>
          <w:p w:rsidR="001F04EE" w:rsidRPr="002B4A69" w:rsidP="00723F81" w14:paraId="371C4C1A" w14:textId="77777777">
            <w:pPr>
              <w:pStyle w:val="Normal6"/>
              <w:rPr>
                <w:szCs w:val="24"/>
                <w:lang w:val="en-GB"/>
              </w:rPr>
            </w:pPr>
            <w:r w:rsidRPr="002B4A69">
              <w:rPr>
                <w:lang w:val="en-GB"/>
              </w:rPr>
              <w:t>__________________</w:t>
            </w:r>
          </w:p>
        </w:tc>
      </w:tr>
      <w:tr w14:paraId="16826F9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7654D83" w14:textId="77777777">
            <w:pPr>
              <w:pStyle w:val="Normal6"/>
              <w:rPr>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c>
          <w:tcPr>
            <w:tcW w:w="4876" w:type="dxa"/>
          </w:tcPr>
          <w:p w:rsidR="001F04EE" w:rsidRPr="002B4A69" w:rsidP="00723F81" w14:paraId="145B8823" w14:textId="77777777">
            <w:pPr>
              <w:pStyle w:val="Normal6"/>
              <w:rPr>
                <w:szCs w:val="24"/>
                <w:lang w:val="en-GB"/>
              </w:rPr>
            </w:pPr>
            <w:r w:rsidRPr="002B4A69">
              <w:rPr>
                <w:vertAlign w:val="superscript"/>
                <w:lang w:val="en-GB"/>
              </w:rPr>
              <w:t>29</w:t>
            </w:r>
            <w:r w:rsidRPr="002B4A69">
              <w:rPr>
                <w:lang w:val="en-GB"/>
              </w:rPr>
              <w:t xml:space="preserve"> Directive 2008/98/EC of the European Parliament and of the Council of 19 November 2008 on waste and repealing certain Directives (OJ L 312, 22.11.2008, p. 3–30 (ELI: http://data.europa.eu/eli/dir/2008/98/oj)</w:t>
            </w:r>
          </w:p>
        </w:tc>
      </w:tr>
    </w:tbl>
    <w:p w:rsidR="001F04EE" w:rsidRPr="002B4A69" w:rsidP="001F04EE" w14:paraId="2500F67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0FCD714" w14:textId="77777777">
      <w:r w:rsidRPr="002B4A69">
        <w:rPr>
          <w:rStyle w:val="HideTWBExt"/>
        </w:rPr>
        <w:t>&lt;/Amend&gt;</w:t>
      </w:r>
    </w:p>
    <w:p w:rsidR="001F04EE" w:rsidRPr="002B4A69" w:rsidP="001F04EE" w14:paraId="479EF79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562</w:t>
      </w:r>
      <w:r w:rsidRPr="002B4A69">
        <w:rPr>
          <w:rStyle w:val="HideTWBExt"/>
          <w:b w:val="0"/>
          <w:lang w:val="en-GB"/>
        </w:rPr>
        <w:t>&lt;/NumAm&gt;</w:t>
      </w:r>
    </w:p>
    <w:p w:rsidR="001F04EE" w:rsidRPr="002B4A69" w:rsidP="001F04EE" w14:paraId="388C896F" w14:textId="77777777">
      <w:pPr>
        <w:pStyle w:val="NormalBold"/>
      </w:pPr>
      <w:r w:rsidRPr="002B4A69">
        <w:rPr>
          <w:rStyle w:val="HideTWBExt"/>
          <w:b w:val="0"/>
        </w:rPr>
        <w:t>&lt;RepeatBlock-By&gt;&lt;Members&gt;</w:t>
      </w:r>
      <w:r w:rsidRPr="002B4A69">
        <w:t>Ana Vasconcelos</w:t>
      </w:r>
      <w:r w:rsidRPr="002B4A69">
        <w:rPr>
          <w:rStyle w:val="HideTWBExt"/>
          <w:b w:val="0"/>
        </w:rPr>
        <w:t>&lt;/Members&gt;</w:t>
      </w:r>
    </w:p>
    <w:p w:rsidR="001F04EE" w:rsidRPr="002B4A69" w:rsidP="001F04EE" w14:paraId="028148A9" w14:textId="77777777">
      <w:r w:rsidRPr="002B4A69">
        <w:rPr>
          <w:rStyle w:val="HideTWBExt"/>
        </w:rPr>
        <w:t>&lt;/RepeatBlock-By&gt;</w:t>
      </w:r>
    </w:p>
    <w:p w:rsidR="001F04EE" w:rsidRPr="002B4A69" w:rsidP="001F04EE" w14:paraId="34CD2D00"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E4415EB" w14:textId="77777777">
      <w:pPr>
        <w:pStyle w:val="NormalBold"/>
      </w:pPr>
      <w:r w:rsidRPr="002B4A69">
        <w:rPr>
          <w:rStyle w:val="HideTWBExt"/>
          <w:b w:val="0"/>
        </w:rPr>
        <w:t>&lt;Article&gt;</w:t>
      </w:r>
      <w:r w:rsidRPr="002B4A69">
        <w:t>Recital 74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99012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509BCB3" w14:textId="77777777">
            <w:pPr>
              <w:keepNext/>
            </w:pPr>
          </w:p>
        </w:tc>
      </w:tr>
      <w:tr w14:paraId="05AB2E5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5CF3FF8" w14:textId="77777777">
            <w:pPr>
              <w:pStyle w:val="ColumnHeading"/>
              <w:keepNext/>
              <w:rPr>
                <w:lang w:val="en-GB"/>
              </w:rPr>
            </w:pPr>
            <w:r w:rsidRPr="002B4A69">
              <w:rPr>
                <w:lang w:val="en-GB"/>
              </w:rPr>
              <w:t>Text proposed by the Commission</w:t>
            </w:r>
          </w:p>
        </w:tc>
        <w:tc>
          <w:tcPr>
            <w:tcW w:w="4876" w:type="dxa"/>
          </w:tcPr>
          <w:p w:rsidR="001F04EE" w:rsidRPr="002B4A69" w:rsidP="00723F81" w14:paraId="4AD5C31E" w14:textId="77777777">
            <w:pPr>
              <w:pStyle w:val="ColumnHeading"/>
              <w:keepNext/>
              <w:rPr>
                <w:lang w:val="en-GB"/>
              </w:rPr>
            </w:pPr>
            <w:r w:rsidRPr="002B4A69">
              <w:rPr>
                <w:lang w:val="en-GB"/>
              </w:rPr>
              <w:t>Amendment</w:t>
            </w:r>
          </w:p>
        </w:tc>
      </w:tr>
      <w:tr w14:paraId="25EDDE7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31C99CB" w14:textId="77777777">
            <w:pPr>
              <w:pStyle w:val="Normal6"/>
              <w:rPr>
                <w:lang w:val="en-GB"/>
              </w:rPr>
            </w:pPr>
          </w:p>
        </w:tc>
        <w:tc>
          <w:tcPr>
            <w:tcW w:w="4876" w:type="dxa"/>
          </w:tcPr>
          <w:p w:rsidR="001F04EE" w:rsidRPr="002B4A69" w:rsidP="00723F81" w14:paraId="4B44B558" w14:textId="77777777">
            <w:pPr>
              <w:pStyle w:val="Normal6"/>
              <w:rPr>
                <w:szCs w:val="24"/>
                <w:lang w:val="en-GB"/>
              </w:rPr>
            </w:pPr>
            <w:r w:rsidRPr="002B4A69">
              <w:rPr>
                <w:b/>
                <w:i/>
                <w:lang w:val="en-GB"/>
              </w:rPr>
              <w:t>(74a)</w:t>
            </w:r>
            <w:r w:rsidRPr="002B4A69">
              <w:rPr>
                <w:b/>
                <w:i/>
                <w:lang w:val="en-GB"/>
              </w:rPr>
              <w:tab/>
              <w:t xml:space="preserve">In several Member States, </w:t>
            </w:r>
            <w:r w:rsidRPr="002B4A69">
              <w:rPr>
                <w:b/>
                <w:i/>
                <w:lang w:val="en-GB"/>
              </w:rPr>
              <w:t>in particular in</w:t>
            </w:r>
            <w:r w:rsidRPr="002B4A69">
              <w:rPr>
                <w:b/>
                <w:i/>
                <w:lang w:val="en-GB"/>
              </w:rPr>
              <w:t xml:space="preserve"> Southern Europe, climatic conditions and historical energy infrastructure development have not favoured the deployment of district </w:t>
            </w:r>
            <w:r w:rsidRPr="002B4A69">
              <w:rPr>
                <w:b/>
                <w:i/>
                <w:lang w:val="en-GB"/>
              </w:rPr>
              <w:t>heating networks. Waste-to-energy installations in those Member States therefore contribute predominantly through electricity generation and grid balancing rather than heat supply. To ensure equal treatment, avoid undue geographical distortions and preserve incentives for efficient energy recovery from residual waste in accordance with the waste hierarchy, waste incineration and co-incineration installations achieving high energy efficiency should be eligible for treatment equivalent to district heating installations for the purposes of free allocation.</w:t>
            </w:r>
          </w:p>
        </w:tc>
      </w:tr>
    </w:tbl>
    <w:p w:rsidR="001F04EE" w:rsidRPr="002B4A69" w:rsidP="001F04EE" w14:paraId="317B56F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3C4FBC1" w14:textId="77777777">
      <w:r w:rsidRPr="002B4A69">
        <w:rPr>
          <w:rStyle w:val="HideTWBExt"/>
        </w:rPr>
        <w:t>&lt;/Amend&gt;</w:t>
      </w:r>
    </w:p>
    <w:p w:rsidR="001F04EE" w:rsidRPr="002B4A69" w:rsidP="001F04EE" w14:paraId="7561AA7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563</w:t>
      </w:r>
      <w:r w:rsidRPr="002B4A69">
        <w:rPr>
          <w:rStyle w:val="HideTWBExt"/>
          <w:b w:val="0"/>
          <w:lang w:val="en-GB"/>
        </w:rPr>
        <w:t>&lt;/NumAm&gt;</w:t>
      </w:r>
    </w:p>
    <w:p w:rsidR="001F04EE" w:rsidRPr="002B4A69" w:rsidP="001F04EE" w14:paraId="3ED4C9FB" w14:textId="77777777">
      <w:pPr>
        <w:pStyle w:val="NormalBold"/>
      </w:pPr>
      <w:r w:rsidRPr="002B4A69">
        <w:rPr>
          <w:rStyle w:val="HideTWBExt"/>
          <w:b w:val="0"/>
        </w:rPr>
        <w:t>&lt;RepeatBlock-By&gt;&lt;Members&gt;</w:t>
      </w:r>
      <w:r w:rsidRPr="002B4A69">
        <w:t>Thomas Pellerin-Carlin, Christophe Clergeau</w:t>
      </w:r>
      <w:r w:rsidRPr="002B4A69">
        <w:rPr>
          <w:rStyle w:val="HideTWBExt"/>
          <w:b w:val="0"/>
        </w:rPr>
        <w:t>&lt;/Members&gt;</w:t>
      </w:r>
    </w:p>
    <w:p w:rsidR="001F04EE" w:rsidRPr="002B4A69" w:rsidP="001F04EE" w14:paraId="045571B0" w14:textId="77777777">
      <w:r w:rsidRPr="002B4A69">
        <w:rPr>
          <w:rStyle w:val="HideTWBExt"/>
        </w:rPr>
        <w:t>&lt;/RepeatBlock-By&gt;</w:t>
      </w:r>
    </w:p>
    <w:p w:rsidR="001F04EE" w:rsidRPr="002B4A69" w:rsidP="001F04EE" w14:paraId="5CF715B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E0846AD" w14:textId="77777777">
      <w:pPr>
        <w:pStyle w:val="NormalBold"/>
      </w:pPr>
      <w:r w:rsidRPr="002B4A69">
        <w:rPr>
          <w:rStyle w:val="HideTWBExt"/>
          <w:b w:val="0"/>
        </w:rPr>
        <w:t>&lt;Article&gt;</w:t>
      </w:r>
      <w:r w:rsidRPr="002B4A69">
        <w:t>Recital 74 b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10E0A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E8C1BBC" w14:textId="77777777">
            <w:pPr>
              <w:keepNext/>
            </w:pPr>
          </w:p>
        </w:tc>
      </w:tr>
      <w:tr w14:paraId="070C666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2881D8B" w14:textId="77777777">
            <w:pPr>
              <w:pStyle w:val="ColumnHeading"/>
              <w:keepNext/>
              <w:rPr>
                <w:lang w:val="en-GB"/>
              </w:rPr>
            </w:pPr>
            <w:r w:rsidRPr="002B4A69">
              <w:rPr>
                <w:lang w:val="en-GB"/>
              </w:rPr>
              <w:t>Text proposed by the Commission</w:t>
            </w:r>
          </w:p>
        </w:tc>
        <w:tc>
          <w:tcPr>
            <w:tcW w:w="4876" w:type="dxa"/>
          </w:tcPr>
          <w:p w:rsidR="001F04EE" w:rsidRPr="002B4A69" w:rsidP="00723F81" w14:paraId="6AE24F63" w14:textId="77777777">
            <w:pPr>
              <w:pStyle w:val="ColumnHeading"/>
              <w:keepNext/>
              <w:rPr>
                <w:lang w:val="en-GB"/>
              </w:rPr>
            </w:pPr>
            <w:r w:rsidRPr="002B4A69">
              <w:rPr>
                <w:lang w:val="en-GB"/>
              </w:rPr>
              <w:t>Amendment</w:t>
            </w:r>
          </w:p>
        </w:tc>
      </w:tr>
      <w:tr w14:paraId="4AFB8D4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1C14461" w14:textId="77777777">
            <w:pPr>
              <w:pStyle w:val="Normal6"/>
              <w:rPr>
                <w:lang w:val="en-GB"/>
              </w:rPr>
            </w:pPr>
          </w:p>
        </w:tc>
        <w:tc>
          <w:tcPr>
            <w:tcW w:w="4876" w:type="dxa"/>
          </w:tcPr>
          <w:p w:rsidR="001F04EE" w:rsidRPr="002B4A69" w:rsidP="00723F81" w14:paraId="6E68F13C" w14:textId="77777777">
            <w:pPr>
              <w:pStyle w:val="Normal6"/>
              <w:rPr>
                <w:szCs w:val="24"/>
                <w:lang w:val="en-GB"/>
              </w:rPr>
            </w:pPr>
            <w:r w:rsidRPr="002B4A69">
              <w:rPr>
                <w:b/>
                <w:i/>
                <w:lang w:val="en-GB"/>
              </w:rPr>
              <w:t>(74b)</w:t>
            </w:r>
            <w:r w:rsidRPr="002B4A69">
              <w:rPr>
                <w:b/>
                <w:i/>
                <w:lang w:val="en-GB"/>
              </w:rPr>
              <w:tab/>
              <w:t xml:space="preserve">The inclusion of municipal waste incineration installations within the scope of Directive 2003/87/EC should be accompanied by appropriate measures to ensure that the carbon price signal contributes to the objectives of the waste hierarchy and does not create incentives for the diversion of waste away from recycling, reuse and other higher-value forms of waste prevention and recovery. Member States should therefore put in place appropriate measures to promote waste prevention, reuse, recycling and the circular use of materials, while ensuring that the costs arising from the inclusion of waste incineration in the EU ETS are not unduly passed on to households and other consumers, in particular where those costs can be avoided through waste prevention, separate collection, sorting and recycling. Such measures should </w:t>
            </w:r>
            <w:r w:rsidRPr="002B4A69">
              <w:rPr>
                <w:b/>
                <w:i/>
                <w:lang w:val="en-GB"/>
              </w:rPr>
              <w:t>provide households and other waste producers with appropriate incentives and accessible alternatives to mixed waste disposal, while ensuring that the polluter pays principle is effectively applied across the waste value chain. Such measures should be developed in a coherent manner with Union waste and circular economy legislation and should be further supported and strengthened through Regulation (EU) [</w:t>
            </w:r>
            <w:r w:rsidRPr="002B4A69">
              <w:rPr>
                <w:b/>
                <w:i/>
                <w:lang w:val="en-GB"/>
              </w:rPr>
              <w:t>…./..</w:t>
            </w:r>
            <w:r w:rsidRPr="002B4A69">
              <w:rPr>
                <w:b/>
                <w:i/>
                <w:lang w:val="en-GB"/>
              </w:rPr>
              <w:t>] [Circular Economy Act], including, where appropriate, measures aimed at increasing recycling capacity, promoting the uptake of secondary raw materials and circular products, strengthening waste prevention and reuse, ensuring effective separate collection and sorting, and reducing the incineration and landfilling of recyclable and reusable materials.</w:t>
            </w:r>
          </w:p>
        </w:tc>
      </w:tr>
    </w:tbl>
    <w:p w:rsidR="001F04EE" w:rsidRPr="002B4A69" w:rsidP="001F04EE" w14:paraId="2F66A3C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FA690E5" w14:textId="77777777">
      <w:r w:rsidRPr="002B4A69">
        <w:rPr>
          <w:rStyle w:val="HideTWBExt"/>
        </w:rPr>
        <w:t>&lt;/Amend&gt;</w:t>
      </w:r>
    </w:p>
    <w:p w:rsidR="001F04EE" w:rsidRPr="002B4A69" w:rsidP="001F04EE" w14:paraId="00772A9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564</w:t>
      </w:r>
      <w:r w:rsidRPr="002B4A69">
        <w:rPr>
          <w:rStyle w:val="HideTWBExt"/>
          <w:b w:val="0"/>
          <w:lang w:val="en-GB"/>
        </w:rPr>
        <w:t>&lt;/NumAm&gt;</w:t>
      </w:r>
    </w:p>
    <w:p w:rsidR="001F04EE" w:rsidRPr="002B4A69" w:rsidP="001F04EE" w14:paraId="76AA41B0" w14:textId="77777777">
      <w:pPr>
        <w:pStyle w:val="NormalBold"/>
      </w:pPr>
      <w:r w:rsidRPr="002B4A69">
        <w:rPr>
          <w:rStyle w:val="HideTWBExt"/>
          <w:b w:val="0"/>
        </w:rPr>
        <w:t>&lt;RepeatBlock-By&gt;&lt;Members&gt;</w:t>
      </w:r>
      <w:r w:rsidRPr="002B4A69">
        <w:t>Marie-Luce Brasier-Clain, Anne-Sophie Frigout, Mathilde Androuët, Valérie Deloge, Ondřej Knotek, Jana Nagyová, Barbara Bonte</w:t>
      </w:r>
      <w:r w:rsidRPr="002B4A69">
        <w:rPr>
          <w:rStyle w:val="HideTWBExt"/>
          <w:b w:val="0"/>
        </w:rPr>
        <w:t>&lt;/Members&gt;</w:t>
      </w:r>
    </w:p>
    <w:p w:rsidR="001F04EE" w:rsidRPr="002B4A69" w:rsidP="001F04EE" w14:paraId="7CA704C8" w14:textId="77777777">
      <w:r w:rsidRPr="002B4A69">
        <w:rPr>
          <w:rStyle w:val="HideTWBExt"/>
        </w:rPr>
        <w:t>&lt;/RepeatBlock-By&gt;</w:t>
      </w:r>
    </w:p>
    <w:p w:rsidR="001F04EE" w:rsidRPr="002B4A69" w:rsidP="001F04EE" w14:paraId="2E6F5E2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17C9F05"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933E0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4ED3EE9" w14:textId="77777777">
            <w:pPr>
              <w:keepNext/>
            </w:pPr>
          </w:p>
        </w:tc>
      </w:tr>
      <w:tr w14:paraId="472D9CC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7C029AF" w14:textId="77777777">
            <w:pPr>
              <w:pStyle w:val="ColumnHeading"/>
              <w:keepNext/>
              <w:rPr>
                <w:lang w:val="en-GB"/>
              </w:rPr>
            </w:pPr>
            <w:r w:rsidRPr="002B4A69">
              <w:rPr>
                <w:lang w:val="en-GB"/>
              </w:rPr>
              <w:t>Text proposed by the Commission</w:t>
            </w:r>
          </w:p>
        </w:tc>
        <w:tc>
          <w:tcPr>
            <w:tcW w:w="4876" w:type="dxa"/>
          </w:tcPr>
          <w:p w:rsidR="001F04EE" w:rsidRPr="002B4A69" w:rsidP="00723F81" w14:paraId="220C267F" w14:textId="77777777">
            <w:pPr>
              <w:pStyle w:val="ColumnHeading"/>
              <w:keepNext/>
              <w:rPr>
                <w:lang w:val="en-GB"/>
              </w:rPr>
            </w:pPr>
            <w:r w:rsidRPr="002B4A69">
              <w:rPr>
                <w:lang w:val="en-GB"/>
              </w:rPr>
              <w:t>Amendment</w:t>
            </w:r>
          </w:p>
        </w:tc>
      </w:tr>
      <w:tr w14:paraId="624AC79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BE4FC9A"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w:t>
            </w:r>
            <w:r w:rsidRPr="002B4A69">
              <w:rPr>
                <w:b/>
                <w:i/>
                <w:lang w:val="en-GB"/>
              </w:rPr>
              <w:t>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5ABB6627" w14:textId="77777777">
            <w:pPr>
              <w:pStyle w:val="Normal6"/>
              <w:rPr>
                <w:szCs w:val="24"/>
                <w:lang w:val="en-GB"/>
              </w:rPr>
            </w:pPr>
            <w:r w:rsidRPr="002B4A69">
              <w:rPr>
                <w:b/>
                <w:i/>
                <w:lang w:val="en-GB"/>
              </w:rPr>
              <w:t>deleted</w:t>
            </w:r>
          </w:p>
        </w:tc>
      </w:tr>
    </w:tbl>
    <w:p w:rsidR="001F04EE" w:rsidRPr="002B4A69" w:rsidP="001F04EE" w14:paraId="69D7315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7F8C8F66" w14:textId="77777777">
      <w:r w:rsidRPr="002B4A69">
        <w:rPr>
          <w:rStyle w:val="HideTWBExt"/>
        </w:rPr>
        <w:t>&lt;/Amend&gt;</w:t>
      </w:r>
    </w:p>
    <w:p w:rsidR="001F04EE" w:rsidRPr="002B4A69" w:rsidP="001F04EE" w14:paraId="235B7AF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565</w:t>
      </w:r>
      <w:r w:rsidRPr="002B4A69">
        <w:rPr>
          <w:rStyle w:val="HideTWBExt"/>
          <w:b w:val="0"/>
          <w:lang w:val="en-GB"/>
        </w:rPr>
        <w:t>&lt;/NumAm&gt;</w:t>
      </w:r>
    </w:p>
    <w:p w:rsidR="001F04EE" w:rsidRPr="002B4A69" w:rsidP="001F04EE" w14:paraId="0789E3DA" w14:textId="77777777">
      <w:pPr>
        <w:pStyle w:val="NormalBold"/>
      </w:pPr>
      <w:r w:rsidRPr="002B4A69">
        <w:rPr>
          <w:rStyle w:val="HideTWBExt"/>
          <w:b w:val="0"/>
        </w:rPr>
        <w:t>&lt;RepeatBlock-By&gt;&lt;Members&gt;</w:t>
      </w:r>
      <w:r w:rsidRPr="002B4A69">
        <w:t>Jeannette Baljeu</w:t>
      </w:r>
      <w:r w:rsidRPr="002B4A69">
        <w:rPr>
          <w:rStyle w:val="HideTWBExt"/>
          <w:b w:val="0"/>
        </w:rPr>
        <w:t>&lt;/Members&gt;</w:t>
      </w:r>
    </w:p>
    <w:p w:rsidR="001F04EE" w:rsidRPr="002B4A69" w:rsidP="001F04EE" w14:paraId="4FF6CE8D" w14:textId="77777777">
      <w:r w:rsidRPr="002B4A69">
        <w:rPr>
          <w:rStyle w:val="HideTWBExt"/>
        </w:rPr>
        <w:t>&lt;/RepeatBlock-By&gt;</w:t>
      </w:r>
    </w:p>
    <w:p w:rsidR="001F04EE" w:rsidRPr="002B4A69" w:rsidP="001F04EE" w14:paraId="4A5EE57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595014F"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A1081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06004B3" w14:textId="77777777">
            <w:pPr>
              <w:keepNext/>
            </w:pPr>
          </w:p>
        </w:tc>
      </w:tr>
      <w:tr w14:paraId="1C517CB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2BF4121" w14:textId="77777777">
            <w:pPr>
              <w:pStyle w:val="ColumnHeading"/>
              <w:keepNext/>
              <w:rPr>
                <w:lang w:val="en-GB"/>
              </w:rPr>
            </w:pPr>
            <w:r w:rsidRPr="002B4A69">
              <w:rPr>
                <w:lang w:val="en-GB"/>
              </w:rPr>
              <w:t>Text proposed by the Commission</w:t>
            </w:r>
          </w:p>
        </w:tc>
        <w:tc>
          <w:tcPr>
            <w:tcW w:w="4876" w:type="dxa"/>
          </w:tcPr>
          <w:p w:rsidR="001F04EE" w:rsidRPr="002B4A69" w:rsidP="00723F81" w14:paraId="6E325771" w14:textId="77777777">
            <w:pPr>
              <w:pStyle w:val="ColumnHeading"/>
              <w:keepNext/>
              <w:rPr>
                <w:lang w:val="en-GB"/>
              </w:rPr>
            </w:pPr>
            <w:r w:rsidRPr="002B4A69">
              <w:rPr>
                <w:lang w:val="en-GB"/>
              </w:rPr>
              <w:t>Amendment</w:t>
            </w:r>
          </w:p>
        </w:tc>
      </w:tr>
      <w:tr w14:paraId="1EF2D61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D2968D7"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w:t>
            </w:r>
            <w:r w:rsidRPr="002B4A69">
              <w:rPr>
                <w:b/>
                <w:i/>
                <w:lang w:val="en-GB"/>
              </w:rPr>
              <w:t>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38A7F871" w14:textId="77777777">
            <w:pPr>
              <w:pStyle w:val="Normal6"/>
              <w:rPr>
                <w:szCs w:val="24"/>
                <w:lang w:val="en-GB"/>
              </w:rPr>
            </w:pPr>
            <w:r w:rsidRPr="002B4A69">
              <w:rPr>
                <w:b/>
                <w:i/>
                <w:lang w:val="en-GB"/>
              </w:rPr>
              <w:t>deleted</w:t>
            </w:r>
          </w:p>
        </w:tc>
      </w:tr>
    </w:tbl>
    <w:p w:rsidR="001F04EE" w:rsidRPr="002B4A69" w:rsidP="001F04EE" w14:paraId="650C6F1F"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90FE3A3" w14:textId="77777777">
      <w:r w:rsidRPr="002B4A69">
        <w:rPr>
          <w:rStyle w:val="HideTWBExt"/>
        </w:rPr>
        <w:t>&lt;/Amend&gt;</w:t>
      </w:r>
    </w:p>
    <w:p w:rsidR="001F04EE" w:rsidRPr="002B4A69" w:rsidP="001F04EE" w14:paraId="4FF3B79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566</w:t>
      </w:r>
      <w:r w:rsidRPr="002B4A69">
        <w:rPr>
          <w:rStyle w:val="HideTWBExt"/>
          <w:b w:val="0"/>
          <w:lang w:val="en-GB"/>
        </w:rPr>
        <w:t>&lt;/NumAm&gt;</w:t>
      </w:r>
    </w:p>
    <w:p w:rsidR="001F04EE" w:rsidRPr="002B4A69" w:rsidP="001F04EE" w14:paraId="53D65F8A" w14:textId="77777777">
      <w:pPr>
        <w:pStyle w:val="NormalBold"/>
      </w:pPr>
      <w:r w:rsidRPr="002B4A69">
        <w:rPr>
          <w:rStyle w:val="HideTWBExt"/>
          <w:b w:val="0"/>
        </w:rPr>
        <w:t>&lt;RepeatBlock-By&gt;&lt;Members&gt;</w:t>
      </w:r>
      <w:r w:rsidRPr="002B4A69">
        <w:t>Grégory Allione</w:t>
      </w:r>
      <w:r w:rsidRPr="002B4A69">
        <w:rPr>
          <w:rStyle w:val="HideTWBExt"/>
          <w:b w:val="0"/>
        </w:rPr>
        <w:t>&lt;/Members&gt;</w:t>
      </w:r>
    </w:p>
    <w:p w:rsidR="001F04EE" w:rsidRPr="002B4A69" w:rsidP="001F04EE" w14:paraId="621C0281" w14:textId="77777777">
      <w:r w:rsidRPr="002B4A69">
        <w:rPr>
          <w:rStyle w:val="HideTWBExt"/>
        </w:rPr>
        <w:t>&lt;/RepeatBlock-By&gt;</w:t>
      </w:r>
    </w:p>
    <w:p w:rsidR="001F04EE" w:rsidRPr="002B4A69" w:rsidP="001F04EE" w14:paraId="6798F2B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1A541BB"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44625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BD7938C" w14:textId="77777777">
            <w:pPr>
              <w:keepNext/>
            </w:pPr>
          </w:p>
        </w:tc>
      </w:tr>
      <w:tr w14:paraId="3AC7509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27E510C" w14:textId="77777777">
            <w:pPr>
              <w:pStyle w:val="ColumnHeading"/>
              <w:keepNext/>
              <w:rPr>
                <w:lang w:val="en-GB"/>
              </w:rPr>
            </w:pPr>
            <w:r w:rsidRPr="002B4A69">
              <w:rPr>
                <w:lang w:val="en-GB"/>
              </w:rPr>
              <w:t>Text proposed by the Commission</w:t>
            </w:r>
          </w:p>
        </w:tc>
        <w:tc>
          <w:tcPr>
            <w:tcW w:w="4876" w:type="dxa"/>
          </w:tcPr>
          <w:p w:rsidR="001F04EE" w:rsidRPr="002B4A69" w:rsidP="00723F81" w14:paraId="42F7E2DF" w14:textId="77777777">
            <w:pPr>
              <w:pStyle w:val="ColumnHeading"/>
              <w:keepNext/>
              <w:rPr>
                <w:lang w:val="en-GB"/>
              </w:rPr>
            </w:pPr>
            <w:r w:rsidRPr="002B4A69">
              <w:rPr>
                <w:lang w:val="en-GB"/>
              </w:rPr>
              <w:t>Amendment</w:t>
            </w:r>
          </w:p>
        </w:tc>
      </w:tr>
      <w:tr w14:paraId="6FA7DBC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B6C9272"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w:t>
            </w:r>
            <w:r w:rsidRPr="002B4A69">
              <w:rPr>
                <w:b/>
                <w:i/>
                <w:lang w:val="en-GB"/>
              </w:rPr>
              <w:t>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5F3AD91B" w14:textId="77777777">
            <w:pPr>
              <w:pStyle w:val="Normal6"/>
              <w:rPr>
                <w:szCs w:val="24"/>
                <w:lang w:val="en-GB"/>
              </w:rPr>
            </w:pPr>
            <w:r w:rsidRPr="002B4A69">
              <w:rPr>
                <w:b/>
                <w:i/>
                <w:lang w:val="en-GB"/>
              </w:rPr>
              <w:t>deleted</w:t>
            </w:r>
          </w:p>
        </w:tc>
      </w:tr>
    </w:tbl>
    <w:p w:rsidR="001F04EE" w:rsidRPr="002B4A69" w:rsidP="001F04EE" w14:paraId="15A6CAD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ABF7AE2" w14:textId="77777777">
      <w:r w:rsidRPr="002B4A69">
        <w:rPr>
          <w:rStyle w:val="HideTWBExt"/>
        </w:rPr>
        <w:t>&lt;/Amend&gt;</w:t>
      </w:r>
    </w:p>
    <w:p w:rsidR="001F04EE" w:rsidRPr="002B4A69" w:rsidP="001F04EE" w14:paraId="56D491F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567</w:t>
      </w:r>
      <w:r w:rsidRPr="002B4A69">
        <w:rPr>
          <w:rStyle w:val="HideTWBExt"/>
          <w:b w:val="0"/>
          <w:lang w:val="en-GB"/>
        </w:rPr>
        <w:t>&lt;/NumAm&gt;</w:t>
      </w:r>
    </w:p>
    <w:p w:rsidR="001F04EE" w:rsidRPr="002B4A69" w:rsidP="001F04EE" w14:paraId="33F08134"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2C9984E1" w14:textId="77777777">
      <w:r w:rsidRPr="002B4A69">
        <w:rPr>
          <w:rStyle w:val="HideTWBExt"/>
        </w:rPr>
        <w:t>&lt;/RepeatBlock-By&gt;</w:t>
      </w:r>
    </w:p>
    <w:p w:rsidR="001F04EE" w:rsidRPr="002B4A69" w:rsidP="001F04EE" w14:paraId="188B6F2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834D71B"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1CCAD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E2D04C4" w14:textId="77777777">
            <w:pPr>
              <w:keepNext/>
            </w:pPr>
          </w:p>
        </w:tc>
      </w:tr>
      <w:tr w14:paraId="02A2F3F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B9F5D32" w14:textId="77777777">
            <w:pPr>
              <w:pStyle w:val="ColumnHeading"/>
              <w:keepNext/>
              <w:rPr>
                <w:lang w:val="en-GB"/>
              </w:rPr>
            </w:pPr>
            <w:r w:rsidRPr="002B4A69">
              <w:rPr>
                <w:lang w:val="en-GB"/>
              </w:rPr>
              <w:t>Text proposed by the Commission</w:t>
            </w:r>
          </w:p>
        </w:tc>
        <w:tc>
          <w:tcPr>
            <w:tcW w:w="4876" w:type="dxa"/>
          </w:tcPr>
          <w:p w:rsidR="001F04EE" w:rsidRPr="002B4A69" w:rsidP="00723F81" w14:paraId="5BC729FF" w14:textId="77777777">
            <w:pPr>
              <w:pStyle w:val="ColumnHeading"/>
              <w:keepNext/>
              <w:rPr>
                <w:lang w:val="en-GB"/>
              </w:rPr>
            </w:pPr>
            <w:r w:rsidRPr="002B4A69">
              <w:rPr>
                <w:lang w:val="en-GB"/>
              </w:rPr>
              <w:t>Amendment</w:t>
            </w:r>
          </w:p>
        </w:tc>
      </w:tr>
      <w:tr w14:paraId="7CBB29E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0769D94"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w:t>
            </w:r>
            <w:r w:rsidRPr="002B4A69">
              <w:rPr>
                <w:b/>
                <w:i/>
                <w:lang w:val="en-GB"/>
              </w:rPr>
              <w:t>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218815DB" w14:textId="77777777">
            <w:pPr>
              <w:pStyle w:val="Normal6"/>
              <w:rPr>
                <w:szCs w:val="24"/>
                <w:lang w:val="en-GB"/>
              </w:rPr>
            </w:pPr>
            <w:r w:rsidRPr="002B4A69">
              <w:rPr>
                <w:b/>
                <w:i/>
                <w:lang w:val="en-GB"/>
              </w:rPr>
              <w:t>deleted</w:t>
            </w:r>
          </w:p>
        </w:tc>
      </w:tr>
    </w:tbl>
    <w:p w:rsidR="001F04EE" w:rsidRPr="002B4A69" w:rsidP="001F04EE" w14:paraId="3344723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3DE9167" w14:textId="77777777">
      <w:r w:rsidRPr="002B4A69">
        <w:rPr>
          <w:rStyle w:val="HideTWBExt"/>
        </w:rPr>
        <w:t>&lt;/Amend&gt;</w:t>
      </w:r>
    </w:p>
    <w:p w:rsidR="001F04EE" w:rsidRPr="002B4A69" w:rsidP="001F04EE" w14:paraId="05C14DB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568</w:t>
      </w:r>
      <w:r w:rsidRPr="002B4A69">
        <w:rPr>
          <w:rStyle w:val="HideTWBExt"/>
          <w:b w:val="0"/>
          <w:lang w:val="en-GB"/>
        </w:rPr>
        <w:t>&lt;/NumAm&gt;</w:t>
      </w:r>
    </w:p>
    <w:p w:rsidR="001F04EE" w:rsidRPr="002B4A69" w:rsidP="001F04EE" w14:paraId="63CEA770"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09FA649C"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65F25DE1"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1E087D32" w14:textId="77777777">
      <w:r w:rsidRPr="002B4A69">
        <w:rPr>
          <w:rStyle w:val="HideTWBExt"/>
        </w:rPr>
        <w:t>&lt;/RepeatBlock-By&gt;</w:t>
      </w:r>
    </w:p>
    <w:p w:rsidR="001F04EE" w:rsidRPr="002B4A69" w:rsidP="001F04EE" w14:paraId="46B7B5B0"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0C20891"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5C7A0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ECF5E2A" w14:textId="77777777">
            <w:pPr>
              <w:keepNext/>
            </w:pPr>
          </w:p>
        </w:tc>
      </w:tr>
      <w:tr w14:paraId="4726A3C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AC13EE0" w14:textId="77777777">
            <w:pPr>
              <w:pStyle w:val="ColumnHeading"/>
              <w:keepNext/>
              <w:rPr>
                <w:lang w:val="en-GB"/>
              </w:rPr>
            </w:pPr>
            <w:r w:rsidRPr="002B4A69">
              <w:rPr>
                <w:lang w:val="en-GB"/>
              </w:rPr>
              <w:t>Text proposed by the Commission</w:t>
            </w:r>
          </w:p>
        </w:tc>
        <w:tc>
          <w:tcPr>
            <w:tcW w:w="4876" w:type="dxa"/>
          </w:tcPr>
          <w:p w:rsidR="001F04EE" w:rsidRPr="002B4A69" w:rsidP="00723F81" w14:paraId="0295C802" w14:textId="77777777">
            <w:pPr>
              <w:pStyle w:val="ColumnHeading"/>
              <w:keepNext/>
              <w:rPr>
                <w:lang w:val="en-GB"/>
              </w:rPr>
            </w:pPr>
            <w:r w:rsidRPr="002B4A69">
              <w:rPr>
                <w:lang w:val="en-GB"/>
              </w:rPr>
              <w:t>Amendment</w:t>
            </w:r>
          </w:p>
        </w:tc>
      </w:tr>
      <w:tr w14:paraId="410F20F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0660C32" w14:textId="77777777">
            <w:pPr>
              <w:pStyle w:val="Normal6"/>
              <w:rPr>
                <w:lang w:val="en-GB"/>
              </w:rPr>
            </w:pPr>
            <w:r w:rsidRPr="002B4A69">
              <w:rPr>
                <w:b/>
                <w:i/>
                <w:lang w:val="en-GB"/>
              </w:rPr>
              <w:t>(75)</w:t>
            </w:r>
            <w:r w:rsidRPr="002B4A69">
              <w:rPr>
                <w:b/>
                <w:i/>
                <w:lang w:val="en-GB"/>
              </w:rPr>
              <w:tab/>
              <w:t xml:space="preserve">To further ensure a smooth transition, where a Member State has </w:t>
            </w:r>
            <w:r w:rsidRPr="002B4A69">
              <w:rPr>
                <w:b/>
                <w:i/>
                <w:lang w:val="en-GB"/>
              </w:rPr>
              <w:t>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55EEB128" w14:textId="77777777">
            <w:pPr>
              <w:pStyle w:val="Normal6"/>
              <w:rPr>
                <w:szCs w:val="24"/>
                <w:lang w:val="en-GB"/>
              </w:rPr>
            </w:pPr>
            <w:r w:rsidRPr="002B4A69">
              <w:rPr>
                <w:b/>
                <w:i/>
                <w:lang w:val="en-GB"/>
              </w:rPr>
              <w:t>deleted</w:t>
            </w:r>
          </w:p>
        </w:tc>
      </w:tr>
    </w:tbl>
    <w:p w:rsidR="001F04EE" w:rsidRPr="002B4A69" w:rsidP="001F04EE" w14:paraId="7C6FE6CF"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BF69FEA"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F61B2A4" w14:textId="77777777">
      <w:pPr>
        <w:pStyle w:val="Normal12Italic"/>
        <w:rPr>
          <w:noProof w:val="0"/>
          <w:lang w:val="en-GB"/>
        </w:rPr>
      </w:pPr>
      <w:r w:rsidRPr="002B4A69">
        <w:rPr>
          <w:noProof w:val="0"/>
          <w:lang w:val="en-GB"/>
        </w:rPr>
        <w:t>The temporary opt-out presupposes that waste incineration will enter the EU ETS. Its conditions concern national taxation and progress towards waste targets, rather than an operator’s ability to reduce emissions from the residual waste it treats. As the proposed inclusion and Article 12b are deleted by the previous amendments, the recital no longer has a basis. Its argument linking the temporary nature of the opt-out to downstream carbon accounting should also be removed.</w:t>
      </w:r>
    </w:p>
    <w:p w:rsidR="001F04EE" w:rsidRPr="002B4A69" w:rsidP="001F04EE" w14:paraId="120F274E" w14:textId="77777777">
      <w:r w:rsidRPr="002B4A69">
        <w:rPr>
          <w:rStyle w:val="HideTWBExt"/>
        </w:rPr>
        <w:t>&lt;/Amend&gt;</w:t>
      </w:r>
    </w:p>
    <w:p w:rsidR="001F04EE" w:rsidRPr="002B4A69" w:rsidP="001F04EE" w14:paraId="58EED54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569</w:t>
      </w:r>
      <w:r w:rsidRPr="002B4A69">
        <w:rPr>
          <w:rStyle w:val="HideTWBExt"/>
          <w:b w:val="0"/>
          <w:lang w:val="en-GB"/>
        </w:rPr>
        <w:t>&lt;/NumAm&gt;</w:t>
      </w:r>
    </w:p>
    <w:p w:rsidR="001F04EE" w:rsidRPr="002B4A69" w:rsidP="001F04EE" w14:paraId="5D7890EE" w14:textId="77777777">
      <w:pPr>
        <w:pStyle w:val="NormalBold"/>
      </w:pPr>
      <w:r w:rsidRPr="002B4A69">
        <w:rPr>
          <w:rStyle w:val="HideTWBExt"/>
          <w:b w:val="0"/>
        </w:rPr>
        <w:t>&lt;RepeatBlock-By&gt;&lt;Members&gt;</w:t>
      </w:r>
      <w:r w:rsidRPr="002B4A69">
        <w:t>Emma Wiesner, Yvan Verougstraete, Martin Hojsík, Karin Karlsbro, Jeannette Baljeu</w:t>
      </w:r>
      <w:r w:rsidRPr="002B4A69">
        <w:rPr>
          <w:rStyle w:val="HideTWBExt"/>
          <w:b w:val="0"/>
        </w:rPr>
        <w:t>&lt;/Members&gt;</w:t>
      </w:r>
    </w:p>
    <w:p w:rsidR="001F04EE" w:rsidRPr="002B4A69" w:rsidP="001F04EE" w14:paraId="755CE4A2" w14:textId="77777777">
      <w:r w:rsidRPr="002B4A69">
        <w:rPr>
          <w:rStyle w:val="HideTWBExt"/>
        </w:rPr>
        <w:t>&lt;/RepeatBlock-By&gt;</w:t>
      </w:r>
    </w:p>
    <w:p w:rsidR="001F04EE" w:rsidRPr="002B4A69" w:rsidP="001F04EE" w14:paraId="07BC037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2DD427F"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A0030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D4CD54F" w14:textId="77777777">
            <w:pPr>
              <w:keepNext/>
            </w:pPr>
          </w:p>
        </w:tc>
      </w:tr>
      <w:tr w14:paraId="06EA9BF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0A005E5" w14:textId="77777777">
            <w:pPr>
              <w:pStyle w:val="ColumnHeading"/>
              <w:keepNext/>
              <w:rPr>
                <w:lang w:val="en-GB"/>
              </w:rPr>
            </w:pPr>
            <w:r w:rsidRPr="002B4A69">
              <w:rPr>
                <w:lang w:val="en-GB"/>
              </w:rPr>
              <w:t>Text proposed by the Commission</w:t>
            </w:r>
          </w:p>
        </w:tc>
        <w:tc>
          <w:tcPr>
            <w:tcW w:w="4876" w:type="dxa"/>
          </w:tcPr>
          <w:p w:rsidR="001F04EE" w:rsidRPr="002B4A69" w:rsidP="00723F81" w14:paraId="060EF571" w14:textId="77777777">
            <w:pPr>
              <w:pStyle w:val="ColumnHeading"/>
              <w:keepNext/>
              <w:rPr>
                <w:lang w:val="en-GB"/>
              </w:rPr>
            </w:pPr>
            <w:r w:rsidRPr="002B4A69">
              <w:rPr>
                <w:lang w:val="en-GB"/>
              </w:rPr>
              <w:t>Amendment</w:t>
            </w:r>
          </w:p>
        </w:tc>
      </w:tr>
      <w:tr w14:paraId="17AD40C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16DF0C6" w14:textId="77777777">
            <w:pPr>
              <w:pStyle w:val="Normal6"/>
              <w:rPr>
                <w:lang w:val="en-GB"/>
              </w:rPr>
            </w:pPr>
            <w:r w:rsidRPr="002B4A69">
              <w:rPr>
                <w:b/>
                <w:i/>
                <w:lang w:val="en-GB"/>
              </w:rPr>
              <w:t>(75)</w:t>
            </w:r>
            <w:r w:rsidRPr="002B4A69">
              <w:rPr>
                <w:b/>
                <w:i/>
                <w:lang w:val="en-GB"/>
              </w:rPr>
              <w:tab/>
              <w:t>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21BAD5EA" w14:textId="77777777">
            <w:pPr>
              <w:pStyle w:val="Normal6"/>
              <w:rPr>
                <w:szCs w:val="24"/>
                <w:lang w:val="en-GB"/>
              </w:rPr>
            </w:pPr>
            <w:r w:rsidRPr="002B4A69">
              <w:rPr>
                <w:b/>
                <w:i/>
                <w:lang w:val="en-GB"/>
              </w:rPr>
              <w:t>deleted</w:t>
            </w:r>
          </w:p>
        </w:tc>
      </w:tr>
    </w:tbl>
    <w:p w:rsidR="001F04EE" w:rsidRPr="002B4A69" w:rsidP="001F04EE" w14:paraId="6C9A28A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116176F"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778DE0E7" w14:textId="77777777">
      <w:pPr>
        <w:pStyle w:val="Normal12Italic"/>
        <w:rPr>
          <w:noProof w:val="0"/>
          <w:lang w:val="en-GB"/>
        </w:rPr>
      </w:pPr>
      <w:r w:rsidRPr="002B4A69">
        <w:rPr>
          <w:noProof w:val="0"/>
          <w:lang w:val="en-GB"/>
        </w:rPr>
        <w:t>Municipal waste incineration is a mature, well-characterised sector with MRV data already collected. We address the risk of waste diversion towards landfilling in response to rising carbon costs by extending the ETS scope to landfilling as well, and by deleting the possible opt-out.</w:t>
      </w:r>
    </w:p>
    <w:p w:rsidR="001F04EE" w:rsidRPr="002B4A69" w:rsidP="001F04EE" w14:paraId="18F9E732" w14:textId="77777777">
      <w:r w:rsidRPr="002B4A69">
        <w:rPr>
          <w:rStyle w:val="HideTWBExt"/>
        </w:rPr>
        <w:t>&lt;/Amend&gt;</w:t>
      </w:r>
    </w:p>
    <w:p w:rsidR="001F04EE" w:rsidRPr="002B4A69" w:rsidP="001F04EE" w14:paraId="5609C02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570</w:t>
      </w:r>
      <w:r w:rsidRPr="002B4A69">
        <w:rPr>
          <w:rStyle w:val="HideTWBExt"/>
          <w:b w:val="0"/>
          <w:lang w:val="en-GB"/>
        </w:rPr>
        <w:t>&lt;/NumAm&gt;</w:t>
      </w:r>
    </w:p>
    <w:p w:rsidR="001F04EE" w:rsidRPr="002B4A69" w:rsidP="001F04EE" w14:paraId="4F1D55FC"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337878C4" w14:textId="77777777">
      <w:r w:rsidRPr="002B4A69">
        <w:rPr>
          <w:rStyle w:val="HideTWBExt"/>
        </w:rPr>
        <w:t>&lt;/RepeatBlock-By&gt;</w:t>
      </w:r>
    </w:p>
    <w:p w:rsidR="001F04EE" w:rsidRPr="002B4A69" w:rsidP="001F04EE" w14:paraId="2FBDD75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0FAD9CF"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4E39D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2828C53" w14:textId="77777777">
            <w:pPr>
              <w:keepNext/>
            </w:pPr>
          </w:p>
        </w:tc>
      </w:tr>
      <w:tr w14:paraId="50BE4F2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50E10AC" w14:textId="77777777">
            <w:pPr>
              <w:pStyle w:val="ColumnHeading"/>
              <w:keepNext/>
              <w:rPr>
                <w:lang w:val="en-GB"/>
              </w:rPr>
            </w:pPr>
            <w:r w:rsidRPr="002B4A69">
              <w:rPr>
                <w:lang w:val="en-GB"/>
              </w:rPr>
              <w:t>Text proposed by the Commission</w:t>
            </w:r>
          </w:p>
        </w:tc>
        <w:tc>
          <w:tcPr>
            <w:tcW w:w="4876" w:type="dxa"/>
          </w:tcPr>
          <w:p w:rsidR="001F04EE" w:rsidRPr="002B4A69" w:rsidP="00723F81" w14:paraId="17A28468" w14:textId="77777777">
            <w:pPr>
              <w:pStyle w:val="ColumnHeading"/>
              <w:keepNext/>
              <w:rPr>
                <w:lang w:val="en-GB"/>
              </w:rPr>
            </w:pPr>
            <w:r w:rsidRPr="002B4A69">
              <w:rPr>
                <w:lang w:val="en-GB"/>
              </w:rPr>
              <w:t>Amendment</w:t>
            </w:r>
          </w:p>
        </w:tc>
      </w:tr>
      <w:tr w14:paraId="3364DE5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FEFDFBE"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w:t>
            </w:r>
            <w:r w:rsidRPr="002B4A69">
              <w:rPr>
                <w:b/>
                <w:i/>
                <w:lang w:val="en-GB"/>
              </w:rPr>
              <w:t>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20673B91" w14:textId="77777777">
            <w:pPr>
              <w:pStyle w:val="Normal6"/>
              <w:rPr>
                <w:szCs w:val="24"/>
                <w:lang w:val="en-GB"/>
              </w:rPr>
            </w:pPr>
            <w:r w:rsidRPr="002B4A69">
              <w:rPr>
                <w:b/>
                <w:i/>
                <w:lang w:val="en-GB"/>
              </w:rPr>
              <w:t>deleted</w:t>
            </w:r>
          </w:p>
        </w:tc>
      </w:tr>
    </w:tbl>
    <w:p w:rsidR="001F04EE" w:rsidRPr="002B4A69" w:rsidP="001F04EE" w14:paraId="3FB2F0C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ECB99BF" w14:textId="77777777">
      <w:r w:rsidRPr="002B4A69">
        <w:rPr>
          <w:rStyle w:val="HideTWBExt"/>
        </w:rPr>
        <w:t>&lt;/Amend&gt;</w:t>
      </w:r>
    </w:p>
    <w:p w:rsidR="001F04EE" w:rsidRPr="002B4A69" w:rsidP="001F04EE" w14:paraId="359DC7AB"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571</w:t>
      </w:r>
      <w:r w:rsidRPr="002B4A69">
        <w:rPr>
          <w:rStyle w:val="HideTWBExt"/>
          <w:b w:val="0"/>
          <w:lang w:val="en-GB"/>
        </w:rPr>
        <w:t>&lt;/NumAm&gt;</w:t>
      </w:r>
    </w:p>
    <w:p w:rsidR="001F04EE" w:rsidRPr="002B4A69" w:rsidP="001F04EE" w14:paraId="0101C09E"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3B472A8A" w14:textId="77777777">
      <w:r w:rsidRPr="002B4A69">
        <w:rPr>
          <w:rStyle w:val="HideTWBExt"/>
        </w:rPr>
        <w:t>&lt;/RepeatBlock-By&gt;</w:t>
      </w:r>
    </w:p>
    <w:p w:rsidR="001F04EE" w:rsidRPr="002B4A69" w:rsidP="001F04EE" w14:paraId="3437D25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C8E241B"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C2157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40C1658" w14:textId="77777777">
            <w:pPr>
              <w:keepNext/>
            </w:pPr>
          </w:p>
        </w:tc>
      </w:tr>
      <w:tr w14:paraId="11EF1F8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6BD8A56" w14:textId="77777777">
            <w:pPr>
              <w:pStyle w:val="ColumnHeading"/>
              <w:keepNext/>
              <w:rPr>
                <w:lang w:val="en-GB"/>
              </w:rPr>
            </w:pPr>
            <w:r w:rsidRPr="002B4A69">
              <w:rPr>
                <w:lang w:val="en-GB"/>
              </w:rPr>
              <w:t>Text proposed by the Commission</w:t>
            </w:r>
          </w:p>
        </w:tc>
        <w:tc>
          <w:tcPr>
            <w:tcW w:w="4876" w:type="dxa"/>
          </w:tcPr>
          <w:p w:rsidR="001F04EE" w:rsidRPr="002B4A69" w:rsidP="00723F81" w14:paraId="5070C980" w14:textId="77777777">
            <w:pPr>
              <w:pStyle w:val="ColumnHeading"/>
              <w:keepNext/>
              <w:rPr>
                <w:lang w:val="en-GB"/>
              </w:rPr>
            </w:pPr>
            <w:r w:rsidRPr="002B4A69">
              <w:rPr>
                <w:lang w:val="en-GB"/>
              </w:rPr>
              <w:t>Amendment</w:t>
            </w:r>
          </w:p>
        </w:tc>
      </w:tr>
      <w:tr w14:paraId="2669979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9A14DB"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w:t>
            </w:r>
            <w:r w:rsidRPr="002B4A69">
              <w:rPr>
                <w:b/>
                <w:i/>
                <w:lang w:val="en-GB"/>
              </w:rPr>
              <w:t>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3B1EC49D" w14:textId="77777777">
            <w:pPr>
              <w:pStyle w:val="Normal6"/>
              <w:rPr>
                <w:szCs w:val="24"/>
                <w:lang w:val="en-GB"/>
              </w:rPr>
            </w:pPr>
            <w:r w:rsidRPr="002B4A69">
              <w:rPr>
                <w:b/>
                <w:i/>
                <w:lang w:val="en-GB"/>
              </w:rPr>
              <w:t>deleted</w:t>
            </w:r>
          </w:p>
        </w:tc>
      </w:tr>
    </w:tbl>
    <w:p w:rsidR="001F04EE" w:rsidRPr="002B4A69" w:rsidP="001F04EE" w14:paraId="3BE8A26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6AAB4D0" w14:textId="77777777">
      <w:r w:rsidRPr="002B4A69">
        <w:rPr>
          <w:rStyle w:val="HideTWBExt"/>
        </w:rPr>
        <w:t>&lt;/Amend&gt;</w:t>
      </w:r>
    </w:p>
    <w:p w:rsidR="001F04EE" w:rsidRPr="002B4A69" w:rsidP="001F04EE" w14:paraId="222F421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572</w:t>
      </w:r>
      <w:r w:rsidRPr="002B4A69">
        <w:rPr>
          <w:rStyle w:val="HideTWBExt"/>
          <w:b w:val="0"/>
          <w:lang w:val="en-GB"/>
        </w:rPr>
        <w:t>&lt;/NumAm&gt;</w:t>
      </w:r>
    </w:p>
    <w:p w:rsidR="001F04EE" w:rsidRPr="002B4A69" w:rsidP="001F04EE" w14:paraId="0A073723" w14:textId="77777777">
      <w:pPr>
        <w:pStyle w:val="NormalBold"/>
      </w:pPr>
      <w:r w:rsidRPr="002B4A69">
        <w:rPr>
          <w:rStyle w:val="HideTWBExt"/>
          <w:b w:val="0"/>
        </w:rPr>
        <w:t>&lt;RepeatBlock-By&gt;&lt;Members&gt;</w:t>
      </w:r>
      <w:r w:rsidRPr="002B4A69">
        <w:t>Jorge Buxadé Villalba, Roman Haider, Antonín Staněk, Silvia Sardone, Marie-Luce Brasier-Clain, Mathilde Androuët, Anne-Sophie Frigout</w:t>
      </w:r>
      <w:r w:rsidRPr="002B4A69">
        <w:rPr>
          <w:rStyle w:val="HideTWBExt"/>
          <w:b w:val="0"/>
        </w:rPr>
        <w:t>&lt;/Members&gt;</w:t>
      </w:r>
    </w:p>
    <w:p w:rsidR="001F04EE" w:rsidRPr="002B4A69" w:rsidP="001F04EE" w14:paraId="51DAF7D4" w14:textId="77777777">
      <w:r w:rsidRPr="002B4A69">
        <w:rPr>
          <w:rStyle w:val="HideTWBExt"/>
        </w:rPr>
        <w:t>&lt;/RepeatBlock-By&gt;</w:t>
      </w:r>
    </w:p>
    <w:p w:rsidR="001F04EE" w:rsidRPr="002B4A69" w:rsidP="001F04EE" w14:paraId="5862701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373B1D2"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56211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879A25A" w14:textId="77777777">
            <w:pPr>
              <w:keepNext/>
            </w:pPr>
          </w:p>
        </w:tc>
      </w:tr>
      <w:tr w14:paraId="3449AC8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C40A415" w14:textId="77777777">
            <w:pPr>
              <w:pStyle w:val="ColumnHeading"/>
              <w:keepNext/>
              <w:rPr>
                <w:lang w:val="en-GB"/>
              </w:rPr>
            </w:pPr>
            <w:r w:rsidRPr="002B4A69">
              <w:rPr>
                <w:lang w:val="en-GB"/>
              </w:rPr>
              <w:t>Text proposed by the Commission</w:t>
            </w:r>
          </w:p>
        </w:tc>
        <w:tc>
          <w:tcPr>
            <w:tcW w:w="4876" w:type="dxa"/>
          </w:tcPr>
          <w:p w:rsidR="001F04EE" w:rsidRPr="002B4A69" w:rsidP="00723F81" w14:paraId="16E397F7" w14:textId="77777777">
            <w:pPr>
              <w:pStyle w:val="ColumnHeading"/>
              <w:keepNext/>
              <w:rPr>
                <w:lang w:val="en-GB"/>
              </w:rPr>
            </w:pPr>
            <w:r w:rsidRPr="002B4A69">
              <w:rPr>
                <w:lang w:val="en-GB"/>
              </w:rPr>
              <w:t>Amendment</w:t>
            </w:r>
          </w:p>
        </w:tc>
      </w:tr>
      <w:tr w14:paraId="592775C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96BBF89"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w:t>
            </w:r>
            <w:r w:rsidRPr="002B4A69">
              <w:rPr>
                <w:b/>
                <w:i/>
                <w:lang w:val="en-GB"/>
              </w:rPr>
              <w:t>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059FA91D" w14:textId="77777777">
            <w:pPr>
              <w:pStyle w:val="Normal6"/>
              <w:rPr>
                <w:szCs w:val="24"/>
                <w:lang w:val="en-GB"/>
              </w:rPr>
            </w:pPr>
            <w:r w:rsidRPr="002B4A69">
              <w:rPr>
                <w:b/>
                <w:i/>
                <w:lang w:val="en-GB"/>
              </w:rPr>
              <w:t>deleted</w:t>
            </w:r>
          </w:p>
        </w:tc>
      </w:tr>
    </w:tbl>
    <w:p w:rsidR="001F04EE" w:rsidRPr="002B4A69" w:rsidP="001F04EE" w14:paraId="59DF497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612F83B" w14:textId="77777777">
      <w:r w:rsidRPr="002B4A69">
        <w:rPr>
          <w:rStyle w:val="HideTWBExt"/>
        </w:rPr>
        <w:t>&lt;/Amend&gt;</w:t>
      </w:r>
    </w:p>
    <w:p w:rsidR="001F04EE" w:rsidRPr="002B4A69" w:rsidP="001F04EE" w14:paraId="22138EC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573</w:t>
      </w:r>
      <w:r w:rsidRPr="002B4A69">
        <w:rPr>
          <w:rStyle w:val="HideTWBExt"/>
          <w:b w:val="0"/>
          <w:lang w:val="en-GB"/>
        </w:rPr>
        <w:t>&lt;/NumAm&gt;</w:t>
      </w:r>
    </w:p>
    <w:p w:rsidR="001F04EE" w:rsidRPr="002B4A69" w:rsidP="001F04EE" w14:paraId="635923B6" w14:textId="77777777">
      <w:pPr>
        <w:pStyle w:val="NormalBold"/>
      </w:pPr>
      <w:r w:rsidRPr="002B4A69">
        <w:rPr>
          <w:rStyle w:val="HideTWBExt"/>
          <w:b w:val="0"/>
        </w:rPr>
        <w:t>&lt;RepeatBlock-By&gt;&lt;Members&gt;</w:t>
      </w:r>
      <w:r w:rsidRPr="002B4A69">
        <w:t>Heléne Fritzon</w:t>
      </w:r>
      <w:r w:rsidRPr="002B4A69">
        <w:rPr>
          <w:rStyle w:val="HideTWBExt"/>
          <w:b w:val="0"/>
        </w:rPr>
        <w:t>&lt;/Members&gt;</w:t>
      </w:r>
    </w:p>
    <w:p w:rsidR="001F04EE" w:rsidRPr="002B4A69" w:rsidP="001F04EE" w14:paraId="6DBBD887" w14:textId="77777777">
      <w:r w:rsidRPr="002B4A69">
        <w:rPr>
          <w:rStyle w:val="HideTWBExt"/>
        </w:rPr>
        <w:t>&lt;/RepeatBlock-By&gt;</w:t>
      </w:r>
    </w:p>
    <w:p w:rsidR="001F04EE" w:rsidRPr="002B4A69" w:rsidP="001F04EE" w14:paraId="5A6EA3F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194E404"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C3745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7FC4A84" w14:textId="77777777">
            <w:pPr>
              <w:keepNext/>
            </w:pPr>
          </w:p>
        </w:tc>
      </w:tr>
      <w:tr w14:paraId="79DDDCC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953AF10" w14:textId="77777777">
            <w:pPr>
              <w:pStyle w:val="ColumnHeading"/>
              <w:keepNext/>
              <w:rPr>
                <w:lang w:val="en-GB"/>
              </w:rPr>
            </w:pPr>
            <w:r w:rsidRPr="002B4A69">
              <w:rPr>
                <w:lang w:val="en-GB"/>
              </w:rPr>
              <w:t>Text proposed by the Commission</w:t>
            </w:r>
          </w:p>
        </w:tc>
        <w:tc>
          <w:tcPr>
            <w:tcW w:w="4876" w:type="dxa"/>
          </w:tcPr>
          <w:p w:rsidR="001F04EE" w:rsidRPr="002B4A69" w:rsidP="00723F81" w14:paraId="0A6FB0CA" w14:textId="77777777">
            <w:pPr>
              <w:pStyle w:val="ColumnHeading"/>
              <w:keepNext/>
              <w:rPr>
                <w:lang w:val="en-GB"/>
              </w:rPr>
            </w:pPr>
            <w:r w:rsidRPr="002B4A69">
              <w:rPr>
                <w:lang w:val="en-GB"/>
              </w:rPr>
              <w:t>Amendment</w:t>
            </w:r>
          </w:p>
        </w:tc>
      </w:tr>
      <w:tr w14:paraId="3FC7171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F6C466A" w14:textId="77777777">
            <w:pPr>
              <w:pStyle w:val="Normal6"/>
              <w:rPr>
                <w:lang w:val="en-GB"/>
              </w:rPr>
            </w:pPr>
            <w:r w:rsidRPr="002B4A69">
              <w:rPr>
                <w:b/>
                <w:i/>
                <w:lang w:val="en-GB"/>
              </w:rPr>
              <w:t>(75)</w:t>
            </w:r>
            <w:r w:rsidRPr="002B4A69">
              <w:rPr>
                <w:b/>
                <w:i/>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w:t>
            </w:r>
            <w:r w:rsidRPr="002B4A69">
              <w:rPr>
                <w:b/>
                <w:i/>
                <w:lang w:val="en-GB"/>
              </w:rPr>
              <w:t>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07D6354A" w14:textId="77777777">
            <w:pPr>
              <w:pStyle w:val="Normal6"/>
              <w:rPr>
                <w:szCs w:val="24"/>
                <w:lang w:val="en-GB"/>
              </w:rPr>
            </w:pPr>
            <w:r w:rsidRPr="002B4A69">
              <w:rPr>
                <w:b/>
                <w:i/>
                <w:lang w:val="en-GB"/>
              </w:rPr>
              <w:t>deleted</w:t>
            </w:r>
          </w:p>
        </w:tc>
      </w:tr>
    </w:tbl>
    <w:p w:rsidR="001F04EE" w:rsidRPr="002B4A69" w:rsidP="001F04EE" w14:paraId="53CEE5C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35254F1" w14:textId="77777777">
      <w:r w:rsidRPr="002B4A69">
        <w:rPr>
          <w:rStyle w:val="HideTWBExt"/>
        </w:rPr>
        <w:t>&lt;/Amend&gt;</w:t>
      </w:r>
    </w:p>
    <w:p w:rsidR="001F04EE" w:rsidRPr="002B4A69" w:rsidP="001F04EE" w14:paraId="70A3CC1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574</w:t>
      </w:r>
      <w:r w:rsidRPr="002B4A69">
        <w:rPr>
          <w:rStyle w:val="HideTWBExt"/>
          <w:b w:val="0"/>
          <w:lang w:val="en-GB"/>
        </w:rPr>
        <w:t>&lt;/NumAm&gt;</w:t>
      </w:r>
    </w:p>
    <w:p w:rsidR="001F04EE" w:rsidRPr="002B4A69" w:rsidP="001F04EE" w14:paraId="56D8B69D" w14:textId="77777777">
      <w:pPr>
        <w:pStyle w:val="NormalBold"/>
      </w:pPr>
      <w:r w:rsidRPr="002B4A69">
        <w:rPr>
          <w:rStyle w:val="HideTWBExt"/>
          <w:b w:val="0"/>
        </w:rPr>
        <w:t>&lt;RepeatBlock-By&gt;&lt;Members&gt;</w:t>
      </w:r>
      <w:r w:rsidRPr="002B4A69">
        <w:t>Thomas Bajada</w:t>
      </w:r>
      <w:r w:rsidRPr="002B4A69">
        <w:rPr>
          <w:rStyle w:val="HideTWBExt"/>
          <w:b w:val="0"/>
        </w:rPr>
        <w:t>&lt;/Members&gt;</w:t>
      </w:r>
    </w:p>
    <w:p w:rsidR="001F04EE" w:rsidRPr="002B4A69" w:rsidP="001F04EE" w14:paraId="52E28A6A" w14:textId="77777777">
      <w:r w:rsidRPr="002B4A69">
        <w:rPr>
          <w:rStyle w:val="HideTWBExt"/>
        </w:rPr>
        <w:t>&lt;/RepeatBlock-By&gt;</w:t>
      </w:r>
    </w:p>
    <w:p w:rsidR="001F04EE" w:rsidRPr="002B4A69" w:rsidP="001F04EE" w14:paraId="57E4D52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0D13DEA"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0B926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640F533" w14:textId="77777777">
            <w:pPr>
              <w:keepNext/>
            </w:pPr>
          </w:p>
        </w:tc>
      </w:tr>
      <w:tr w14:paraId="47BBD8F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7FC3597" w14:textId="77777777">
            <w:pPr>
              <w:pStyle w:val="ColumnHeading"/>
              <w:keepNext/>
              <w:rPr>
                <w:lang w:val="en-GB"/>
              </w:rPr>
            </w:pPr>
            <w:r w:rsidRPr="002B4A69">
              <w:rPr>
                <w:lang w:val="en-GB"/>
              </w:rPr>
              <w:t>Text proposed by the Commission</w:t>
            </w:r>
          </w:p>
        </w:tc>
        <w:tc>
          <w:tcPr>
            <w:tcW w:w="4876" w:type="dxa"/>
          </w:tcPr>
          <w:p w:rsidR="001F04EE" w:rsidRPr="002B4A69" w:rsidP="00723F81" w14:paraId="41A08FDD" w14:textId="77777777">
            <w:pPr>
              <w:pStyle w:val="ColumnHeading"/>
              <w:keepNext/>
              <w:rPr>
                <w:lang w:val="en-GB"/>
              </w:rPr>
            </w:pPr>
            <w:r w:rsidRPr="002B4A69">
              <w:rPr>
                <w:lang w:val="en-GB"/>
              </w:rPr>
              <w:t>Amendment</w:t>
            </w:r>
          </w:p>
        </w:tc>
      </w:tr>
      <w:tr w14:paraId="39C6022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C805B99" w14:textId="77777777">
            <w:pPr>
              <w:pStyle w:val="Normal6"/>
              <w:rPr>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w:t>
            </w:r>
            <w:r w:rsidRPr="002B4A69">
              <w:rPr>
                <w:lang w:val="en-GB"/>
              </w:rPr>
              <w:t>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3346AF76" w14:textId="77777777">
            <w:pPr>
              <w:pStyle w:val="Normal6"/>
              <w:rPr>
                <w:szCs w:val="24"/>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w:t>
            </w:r>
            <w:r w:rsidRPr="002B4A69">
              <w:rPr>
                <w:lang w:val="en-GB"/>
              </w:rPr>
              <w:t xml:space="preserve">recycling targets under Article 11(2)(d) and (e) of Directive 2008/98/EC; and it is on track to achieve the municipal waste landfill target under Article 5(5) of Directive 1999/31/EC. </w:t>
            </w:r>
            <w:r w:rsidRPr="002B4A69">
              <w:rPr>
                <w:b/>
                <w:i/>
                <w:lang w:val="en-GB"/>
              </w:rPr>
              <w:t>Account should also be taken of the particular circumstances of island Member States, which struggle to fulfill landfilling obligations and have not yet developed a waste-to-energy plant. Island Member States should therefore be eligible for the same temporary opt-out, subject to demonstrating that they have initiated a procurement procedure for the construction and commissioning of their first waste-to-energy plant, without prejudice to the two-condition test applicable to other Member States.</w:t>
            </w:r>
            <w:r w:rsidRPr="002B4A69">
              <w:rPr>
                <w:lang w:val="en-GB"/>
              </w:rPr>
              <w:t xml:space="preserve">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r>
    </w:tbl>
    <w:p w:rsidR="001F04EE" w:rsidRPr="002B4A69" w:rsidP="001F04EE" w14:paraId="7C4D8C8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614E245"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2A3958FE" w14:textId="77777777">
      <w:pPr>
        <w:pStyle w:val="Normal12Italic"/>
        <w:rPr>
          <w:noProof w:val="0"/>
          <w:lang w:val="en-GB"/>
        </w:rPr>
      </w:pPr>
      <w:r w:rsidRPr="002B4A69">
        <w:rPr>
          <w:noProof w:val="0"/>
          <w:lang w:val="en-GB"/>
        </w:rPr>
        <w:t>This amendment addresses a narrow structural issue for Island Member States, where spatial constraints and insularity made municipal waste incineration (particularly waste-to-energy) unviable until recently. Supporting island Member States in developing their first waste-to-energy plant aiming to reduce reliance on landfilling practices, recover energy from residual waste, and contribute to landfill reduction in a proportionate and territorially fair manner.</w:t>
      </w:r>
    </w:p>
    <w:p w:rsidR="001F04EE" w:rsidRPr="002B4A69" w:rsidP="001F04EE" w14:paraId="7517DFA3" w14:textId="77777777">
      <w:r w:rsidRPr="002B4A69">
        <w:rPr>
          <w:rStyle w:val="HideTWBExt"/>
        </w:rPr>
        <w:t>&lt;/Amend&gt;</w:t>
      </w:r>
    </w:p>
    <w:p w:rsidR="001F04EE" w:rsidRPr="002B4A69" w:rsidP="001F04EE" w14:paraId="6567291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575</w:t>
      </w:r>
      <w:r w:rsidRPr="002B4A69">
        <w:rPr>
          <w:rStyle w:val="HideTWBExt"/>
          <w:b w:val="0"/>
          <w:lang w:val="en-GB"/>
        </w:rPr>
        <w:t>&lt;/NumAm&gt;</w:t>
      </w:r>
    </w:p>
    <w:p w:rsidR="001F04EE" w:rsidRPr="002B4A69" w:rsidP="001F04EE" w14:paraId="41A04653" w14:textId="77777777">
      <w:pPr>
        <w:pStyle w:val="NormalBold"/>
      </w:pPr>
      <w:r w:rsidRPr="002B4A69">
        <w:rPr>
          <w:rStyle w:val="HideTWBExt"/>
          <w:b w:val="0"/>
        </w:rPr>
        <w:t>&lt;RepeatBlock-By&gt;&lt;Members&gt;</w:t>
      </w:r>
      <w:r w:rsidRPr="002B4A69">
        <w:t>Wouter Beke, Liesbet Sommen, Pascal Arimont</w:t>
      </w:r>
      <w:r w:rsidRPr="002B4A69">
        <w:rPr>
          <w:rStyle w:val="HideTWBExt"/>
          <w:b w:val="0"/>
        </w:rPr>
        <w:t>&lt;/Members&gt;</w:t>
      </w:r>
    </w:p>
    <w:p w:rsidR="001F04EE" w:rsidRPr="002B4A69" w:rsidP="001F04EE" w14:paraId="3CB6B85E" w14:textId="77777777">
      <w:r w:rsidRPr="002B4A69">
        <w:rPr>
          <w:rStyle w:val="HideTWBExt"/>
        </w:rPr>
        <w:t>&lt;/RepeatBlock-By&gt;</w:t>
      </w:r>
    </w:p>
    <w:p w:rsidR="001F04EE" w:rsidRPr="002B4A69" w:rsidP="001F04EE" w14:paraId="48CBBC4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B039AC2"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6BEBE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454D493" w14:textId="77777777">
            <w:pPr>
              <w:keepNext/>
            </w:pPr>
          </w:p>
        </w:tc>
      </w:tr>
      <w:tr w14:paraId="5C0307D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84621B0" w14:textId="77777777">
            <w:pPr>
              <w:pStyle w:val="ColumnHeading"/>
              <w:keepNext/>
              <w:rPr>
                <w:lang w:val="en-GB"/>
              </w:rPr>
            </w:pPr>
            <w:r w:rsidRPr="002B4A69">
              <w:rPr>
                <w:lang w:val="en-GB"/>
              </w:rPr>
              <w:t>Text proposed by the Commission</w:t>
            </w:r>
          </w:p>
        </w:tc>
        <w:tc>
          <w:tcPr>
            <w:tcW w:w="4876" w:type="dxa"/>
          </w:tcPr>
          <w:p w:rsidR="001F04EE" w:rsidRPr="002B4A69" w:rsidP="00723F81" w14:paraId="758720D2" w14:textId="77777777">
            <w:pPr>
              <w:pStyle w:val="ColumnHeading"/>
              <w:keepNext/>
              <w:rPr>
                <w:lang w:val="en-GB"/>
              </w:rPr>
            </w:pPr>
            <w:r w:rsidRPr="002B4A69">
              <w:rPr>
                <w:lang w:val="en-GB"/>
              </w:rPr>
              <w:t>Amendment</w:t>
            </w:r>
          </w:p>
        </w:tc>
      </w:tr>
      <w:tr w14:paraId="375202F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B51483A" w14:textId="77777777">
            <w:pPr>
              <w:pStyle w:val="Normal6"/>
              <w:rPr>
                <w:lang w:val="en-GB"/>
              </w:rPr>
            </w:pPr>
            <w:r w:rsidRPr="002B4A69">
              <w:rPr>
                <w:lang w:val="en-GB"/>
              </w:rPr>
              <w:t>(75)</w:t>
            </w:r>
            <w:r w:rsidRPr="002B4A69">
              <w:rPr>
                <w:lang w:val="en-GB"/>
              </w:rPr>
              <w:tab/>
              <w:t>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784CD9F2" w14:textId="77777777">
            <w:pPr>
              <w:pStyle w:val="Normal6"/>
              <w:rPr>
                <w:szCs w:val="24"/>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t>
            </w:r>
            <w:r w:rsidRPr="002B4A69">
              <w:rPr>
                <w:b/>
                <w:i/>
                <w:lang w:val="en-GB"/>
              </w:rPr>
              <w:t>within two years</w:t>
            </w:r>
            <w:r w:rsidRPr="002B4A69">
              <w:rPr>
                <w:lang w:val="en-GB"/>
              </w:rPr>
              <w:t xml:space="preserv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r>
    </w:tbl>
    <w:p w:rsidR="001F04EE" w:rsidRPr="002B4A69" w:rsidP="001F04EE" w14:paraId="60478BE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3CFDBAA" w14:textId="77777777">
      <w:r w:rsidRPr="002B4A69">
        <w:rPr>
          <w:rStyle w:val="HideTWBExt"/>
        </w:rPr>
        <w:t>&lt;/Amend&gt;</w:t>
      </w:r>
    </w:p>
    <w:p w:rsidR="001F04EE" w:rsidRPr="002B4A69" w:rsidP="001F04EE" w14:paraId="6A740F9B"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576</w:t>
      </w:r>
      <w:r w:rsidRPr="002B4A69">
        <w:rPr>
          <w:rStyle w:val="HideTWBExt"/>
          <w:b w:val="0"/>
          <w:lang w:val="en-GB"/>
        </w:rPr>
        <w:t>&lt;/NumAm&gt;</w:t>
      </w:r>
    </w:p>
    <w:p w:rsidR="001F04EE" w:rsidRPr="002B4A69" w:rsidP="001F04EE" w14:paraId="01879C82"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4A8BE09F" w14:textId="77777777">
      <w:r w:rsidRPr="002B4A69">
        <w:rPr>
          <w:rStyle w:val="HideTWBExt"/>
        </w:rPr>
        <w:t>&lt;/RepeatBlock-By&gt;</w:t>
      </w:r>
    </w:p>
    <w:p w:rsidR="001F04EE" w:rsidRPr="002B4A69" w:rsidP="001F04EE" w14:paraId="733512D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620E107"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BAE6F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665AD6C" w14:textId="77777777">
            <w:pPr>
              <w:keepNext/>
            </w:pPr>
          </w:p>
        </w:tc>
      </w:tr>
      <w:tr w14:paraId="437BDB2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E3A9C2B" w14:textId="77777777">
            <w:pPr>
              <w:pStyle w:val="ColumnHeading"/>
              <w:keepNext/>
              <w:rPr>
                <w:lang w:val="en-GB"/>
              </w:rPr>
            </w:pPr>
            <w:r w:rsidRPr="002B4A69">
              <w:rPr>
                <w:lang w:val="en-GB"/>
              </w:rPr>
              <w:t>Text proposed by the Commission</w:t>
            </w:r>
          </w:p>
        </w:tc>
        <w:tc>
          <w:tcPr>
            <w:tcW w:w="4876" w:type="dxa"/>
          </w:tcPr>
          <w:p w:rsidR="001F04EE" w:rsidRPr="002B4A69" w:rsidP="00723F81" w14:paraId="1985F7B0" w14:textId="77777777">
            <w:pPr>
              <w:pStyle w:val="ColumnHeading"/>
              <w:keepNext/>
              <w:rPr>
                <w:lang w:val="en-GB"/>
              </w:rPr>
            </w:pPr>
            <w:r w:rsidRPr="002B4A69">
              <w:rPr>
                <w:lang w:val="en-GB"/>
              </w:rPr>
              <w:t>Amendment</w:t>
            </w:r>
          </w:p>
        </w:tc>
      </w:tr>
      <w:tr w14:paraId="2AE6562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1933433" w14:textId="77777777">
            <w:pPr>
              <w:pStyle w:val="Normal6"/>
              <w:rPr>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w:t>
            </w:r>
            <w:r w:rsidRPr="002B4A69">
              <w:rPr>
                <w:b/>
                <w:i/>
                <w:lang w:val="en-GB"/>
              </w:rPr>
              <w:t>temporary</w:t>
            </w:r>
            <w:r w:rsidRPr="002B4A69">
              <w:rPr>
                <w:lang w:val="en-GB"/>
              </w:rPr>
              <w:t xml:space="preserve">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07463184" w14:textId="77777777">
            <w:pPr>
              <w:pStyle w:val="Normal6"/>
              <w:rPr>
                <w:szCs w:val="24"/>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w:t>
            </w:r>
            <w:r w:rsidRPr="002B4A69">
              <w:rPr>
                <w:b/>
                <w:i/>
                <w:lang w:val="en-GB"/>
              </w:rPr>
              <w:t>permanent</w:t>
            </w:r>
            <w:r w:rsidRPr="002B4A69">
              <w:rPr>
                <w:lang w:val="en-GB"/>
              </w:rPr>
              <w:t xml:space="preserve"> opt-out possibility should be introduced until the end of 2035.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r>
    </w:tbl>
    <w:p w:rsidR="001F04EE" w:rsidRPr="002B4A69" w:rsidP="001F04EE" w14:paraId="6183897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E3D8F62" w14:textId="77777777">
      <w:r w:rsidRPr="002B4A69">
        <w:rPr>
          <w:rStyle w:val="HideTWBExt"/>
        </w:rPr>
        <w:t>&lt;/Amend&gt;</w:t>
      </w:r>
    </w:p>
    <w:p w:rsidR="001F04EE" w:rsidRPr="002B4A69" w:rsidP="001F04EE" w14:paraId="1BB3F35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577</w:t>
      </w:r>
      <w:r w:rsidRPr="002B4A69">
        <w:rPr>
          <w:rStyle w:val="HideTWBExt"/>
          <w:b w:val="0"/>
          <w:lang w:val="en-GB"/>
        </w:rPr>
        <w:t>&lt;/NumAm&gt;</w:t>
      </w:r>
    </w:p>
    <w:p w:rsidR="001F04EE" w:rsidRPr="002B4A69" w:rsidP="001F04EE" w14:paraId="618B147D" w14:textId="77777777">
      <w:pPr>
        <w:pStyle w:val="NormalBold"/>
      </w:pPr>
      <w:r w:rsidRPr="002B4A69">
        <w:rPr>
          <w:rStyle w:val="HideTWBExt"/>
          <w:b w:val="0"/>
        </w:rPr>
        <w:t>&lt;RepeatBlock-By&gt;&lt;Members&gt;</w:t>
      </w:r>
      <w:r w:rsidRPr="002B4A69">
        <w:t>Jacek Ozdoba</w:t>
      </w:r>
      <w:r w:rsidRPr="002B4A69">
        <w:rPr>
          <w:rStyle w:val="HideTWBExt"/>
          <w:b w:val="0"/>
        </w:rPr>
        <w:t>&lt;/Members&gt;</w:t>
      </w:r>
    </w:p>
    <w:p w:rsidR="001F04EE" w:rsidRPr="002B4A69" w:rsidP="001F04EE" w14:paraId="2F9DEEFB" w14:textId="77777777">
      <w:r w:rsidRPr="002B4A69">
        <w:rPr>
          <w:rStyle w:val="HideTWBExt"/>
        </w:rPr>
        <w:t>&lt;/RepeatBlock-By&gt;</w:t>
      </w:r>
    </w:p>
    <w:p w:rsidR="001F04EE" w:rsidRPr="002B4A69" w:rsidP="001F04EE" w14:paraId="58E5D86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4AC546C"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CF64F5"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22F54A7" w14:textId="77777777">
            <w:pPr>
              <w:keepNext/>
            </w:pPr>
          </w:p>
        </w:tc>
      </w:tr>
      <w:tr w14:paraId="5FAFA35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B60E01F" w14:textId="77777777">
            <w:pPr>
              <w:pStyle w:val="ColumnHeading"/>
              <w:keepNext/>
              <w:rPr>
                <w:lang w:val="en-GB"/>
              </w:rPr>
            </w:pPr>
            <w:r w:rsidRPr="002B4A69">
              <w:rPr>
                <w:lang w:val="en-GB"/>
              </w:rPr>
              <w:t>Text proposed by the Commission</w:t>
            </w:r>
          </w:p>
        </w:tc>
        <w:tc>
          <w:tcPr>
            <w:tcW w:w="4876" w:type="dxa"/>
          </w:tcPr>
          <w:p w:rsidR="001F04EE" w:rsidRPr="002B4A69" w:rsidP="00723F81" w14:paraId="5E82EC49" w14:textId="77777777">
            <w:pPr>
              <w:pStyle w:val="ColumnHeading"/>
              <w:keepNext/>
              <w:rPr>
                <w:lang w:val="en-GB"/>
              </w:rPr>
            </w:pPr>
            <w:r w:rsidRPr="002B4A69">
              <w:rPr>
                <w:lang w:val="en-GB"/>
              </w:rPr>
              <w:t>Amendment</w:t>
            </w:r>
          </w:p>
        </w:tc>
      </w:tr>
      <w:tr w14:paraId="5FC3F9D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01AB70B" w14:textId="77777777">
            <w:pPr>
              <w:pStyle w:val="Normal6"/>
              <w:rPr>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w:t>
            </w:r>
            <w:r w:rsidRPr="002B4A69">
              <w:rPr>
                <w:b/>
                <w:bCs/>
                <w:i/>
                <w:iCs/>
                <w:lang w:val="en-GB"/>
              </w:rPr>
              <w:t>2035</w:t>
            </w:r>
            <w:r w:rsidRPr="002B4A69">
              <w:rPr>
                <w:lang w:val="en-GB"/>
              </w:rPr>
              <w:t xml:space="preserve">.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w:t>
            </w:r>
            <w:r w:rsidRPr="002B4A69">
              <w:rPr>
                <w:b/>
                <w:bCs/>
                <w:i/>
                <w:iCs/>
                <w:lang w:val="en-GB"/>
              </w:rPr>
              <w:t>2029</w:t>
            </w:r>
            <w:r w:rsidRPr="002B4A69">
              <w:rPr>
                <w:lang w:val="en-GB"/>
              </w:rPr>
              <w:t>.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4BED0ACB" w14:textId="77777777">
            <w:pPr>
              <w:pStyle w:val="Normal6"/>
              <w:rPr>
                <w:szCs w:val="24"/>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temporary opt-out possibility should be introduced until the end of </w:t>
            </w:r>
            <w:r w:rsidRPr="002B4A69">
              <w:rPr>
                <w:b/>
                <w:bCs/>
                <w:i/>
                <w:iCs/>
                <w:lang w:val="en-GB"/>
              </w:rPr>
              <w:t>2055</w:t>
            </w:r>
            <w:r w:rsidRPr="002B4A69">
              <w:rPr>
                <w:lang w:val="en-GB"/>
              </w:rPr>
              <w:t xml:space="preserve">.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w:t>
            </w:r>
            <w:r w:rsidRPr="002B4A69">
              <w:rPr>
                <w:b/>
                <w:bCs/>
                <w:i/>
                <w:iCs/>
                <w:lang w:val="en-GB"/>
              </w:rPr>
              <w:t>2049</w:t>
            </w:r>
            <w:r w:rsidRPr="002B4A69">
              <w:rPr>
                <w:lang w:val="en-GB"/>
              </w:rPr>
              <w:t>.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r>
    </w:tbl>
    <w:p w:rsidR="001F04EE" w:rsidRPr="002B4A69" w:rsidP="001F04EE" w14:paraId="7C55979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{PL}</w:t>
      </w:r>
      <w:r w:rsidRPr="002B4A69">
        <w:rPr>
          <w:noProof w:val="0"/>
          <w:lang w:val="en-GB"/>
        </w:rPr>
        <w:t>pl</w:t>
      </w:r>
      <w:r w:rsidRPr="002B4A69">
        <w:rPr>
          <w:rStyle w:val="HideTWBExt"/>
          <w:lang w:val="en-GB"/>
        </w:rPr>
        <w:t>&lt;/Original&gt;</w:t>
      </w:r>
    </w:p>
    <w:p w:rsidR="001F04EE" w:rsidRPr="002B4A69" w:rsidP="001F04EE" w14:paraId="7AA60CF7" w14:textId="77777777">
      <w:r w:rsidRPr="002B4A69">
        <w:rPr>
          <w:rStyle w:val="HideTWBExt"/>
        </w:rPr>
        <w:t>&lt;/Amend&gt;</w:t>
      </w:r>
    </w:p>
    <w:p w:rsidR="001F04EE" w:rsidRPr="002B4A69" w:rsidP="001F04EE" w14:paraId="02DA496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578</w:t>
      </w:r>
      <w:r w:rsidRPr="002B4A69">
        <w:rPr>
          <w:rStyle w:val="HideTWBExt"/>
          <w:b w:val="0"/>
          <w:lang w:val="en-GB"/>
        </w:rPr>
        <w:t>&lt;/NumAm&gt;</w:t>
      </w:r>
    </w:p>
    <w:p w:rsidR="001F04EE" w:rsidRPr="002B4A69" w:rsidP="001F04EE" w14:paraId="0B3DFA83" w14:textId="77777777">
      <w:pPr>
        <w:pStyle w:val="NormalBold"/>
      </w:pPr>
      <w:r w:rsidRPr="002B4A69">
        <w:rPr>
          <w:rStyle w:val="HideTWBExt"/>
          <w:b w:val="0"/>
        </w:rPr>
        <w:t>&lt;RepeatBlock-By&gt;&lt;Members&gt;</w:t>
      </w:r>
      <w:r w:rsidRPr="002B4A69">
        <w:t>Irene Tinagli, Alessandra Moretti, Giorgio Gori</w:t>
      </w:r>
      <w:r w:rsidRPr="002B4A69">
        <w:rPr>
          <w:rStyle w:val="HideTWBExt"/>
          <w:b w:val="0"/>
        </w:rPr>
        <w:t>&lt;/Members&gt;</w:t>
      </w:r>
    </w:p>
    <w:p w:rsidR="001F04EE" w:rsidRPr="002B4A69" w:rsidP="001F04EE" w14:paraId="63C03920" w14:textId="77777777">
      <w:r w:rsidRPr="002B4A69">
        <w:rPr>
          <w:rStyle w:val="HideTWBExt"/>
        </w:rPr>
        <w:t>&lt;/RepeatBlock-By&gt;</w:t>
      </w:r>
    </w:p>
    <w:p w:rsidR="001F04EE" w:rsidRPr="002B4A69" w:rsidP="001F04EE" w14:paraId="605C60A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2F59228" w14:textId="77777777">
      <w:pPr>
        <w:pStyle w:val="NormalBold"/>
      </w:pPr>
      <w:r w:rsidRPr="002B4A69">
        <w:rPr>
          <w:rStyle w:val="HideTWBExt"/>
          <w:b w:val="0"/>
        </w:rPr>
        <w:t>&lt;Article&gt;</w:t>
      </w:r>
      <w:r w:rsidRPr="002B4A69">
        <w:t>Recital 75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B7070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1F4E30C" w14:textId="77777777">
            <w:pPr>
              <w:keepNext/>
            </w:pPr>
          </w:p>
        </w:tc>
      </w:tr>
      <w:tr w14:paraId="0F5CE9A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A95257A" w14:textId="77777777">
            <w:pPr>
              <w:pStyle w:val="ColumnHeading"/>
              <w:keepNext/>
              <w:rPr>
                <w:lang w:val="en-GB"/>
              </w:rPr>
            </w:pPr>
            <w:r w:rsidRPr="002B4A69">
              <w:rPr>
                <w:lang w:val="en-GB"/>
              </w:rPr>
              <w:t>Text proposed by the Commission</w:t>
            </w:r>
          </w:p>
        </w:tc>
        <w:tc>
          <w:tcPr>
            <w:tcW w:w="4876" w:type="dxa"/>
          </w:tcPr>
          <w:p w:rsidR="001F04EE" w:rsidRPr="002B4A69" w:rsidP="00723F81" w14:paraId="46CBB148" w14:textId="77777777">
            <w:pPr>
              <w:pStyle w:val="ColumnHeading"/>
              <w:keepNext/>
              <w:rPr>
                <w:lang w:val="en-GB"/>
              </w:rPr>
            </w:pPr>
            <w:r w:rsidRPr="002B4A69">
              <w:rPr>
                <w:lang w:val="en-GB"/>
              </w:rPr>
              <w:t>Amendment</w:t>
            </w:r>
          </w:p>
        </w:tc>
      </w:tr>
      <w:tr w14:paraId="123B74C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A7C84FB" w14:textId="77777777">
            <w:pPr>
              <w:pStyle w:val="Normal6"/>
              <w:rPr>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w:t>
            </w:r>
            <w:r w:rsidRPr="002B4A69">
              <w:rPr>
                <w:b/>
                <w:i/>
                <w:lang w:val="en-GB"/>
              </w:rPr>
              <w:t>temporary</w:t>
            </w:r>
            <w:r w:rsidRPr="002B4A69">
              <w:rPr>
                <w:lang w:val="en-GB"/>
              </w:rPr>
              <w:t xml:space="preserve"> opt-out possibility should be introduced </w:t>
            </w:r>
            <w:r w:rsidRPr="002B4A69">
              <w:rPr>
                <w:b/>
                <w:i/>
                <w:lang w:val="en-GB"/>
              </w:rPr>
              <w:t>until the end of 2035</w:t>
            </w:r>
            <w:r w:rsidRPr="002B4A69">
              <w:rPr>
                <w:lang w:val="en-GB"/>
              </w:rPr>
              <w:t>.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c>
          <w:tcPr>
            <w:tcW w:w="4876" w:type="dxa"/>
          </w:tcPr>
          <w:p w:rsidR="001F04EE" w:rsidRPr="002B4A69" w:rsidP="00723F81" w14:paraId="16067ECE" w14:textId="77777777">
            <w:pPr>
              <w:pStyle w:val="Normal6"/>
              <w:rPr>
                <w:szCs w:val="24"/>
                <w:lang w:val="en-GB"/>
              </w:rPr>
            </w:pPr>
            <w:r w:rsidRPr="002B4A69">
              <w:rPr>
                <w:lang w:val="en-GB"/>
              </w:rPr>
              <w:t>(75)</w:t>
            </w:r>
            <w:r w:rsidRPr="002B4A69">
              <w:rPr>
                <w:lang w:val="en-GB"/>
              </w:rPr>
              <w:tab/>
              <w:t xml:space="preserve">To further ensure a smooth transition, where a Member State has equivalent measures in place that achieve the objectives for including municipal waste incineration in Directive 2003/87/EC, a </w:t>
            </w:r>
            <w:r w:rsidRPr="002B4A69">
              <w:rPr>
                <w:b/>
                <w:i/>
                <w:lang w:val="en-GB"/>
              </w:rPr>
              <w:t>permanent</w:t>
            </w:r>
            <w:r w:rsidRPr="002B4A69">
              <w:rPr>
                <w:lang w:val="en-GB"/>
              </w:rPr>
              <w:t xml:space="preserve"> opt-out possibility should be introduced. To ensure compatibility with decarbonisation, material and carbon circularity and a level playing field, the option of applying that derogation should be available only where a Member State can demonstrate it meets at least two out of the following three conditions: having an equivalent national carbon tax in place with a tax rate higher than the average auctioning price for the relevant year; it is on track to achieve the EU municipal waste recycling targets under Article 11(2)(d) and (e) of Directive 2008/98/EC;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ensure compatibility with moving the accounting of emissions where carbon dioxide is captured and used in intermediate or final products (CCU) to the point of their release from products into the atmosphere while preventing a high risk of underaccounting.</w:t>
            </w:r>
          </w:p>
        </w:tc>
      </w:tr>
    </w:tbl>
    <w:p w:rsidR="001F04EE" w:rsidRPr="002B4A69" w:rsidP="001F04EE" w14:paraId="0DFC159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AD52224" w14:textId="77777777">
      <w:r w:rsidRPr="002B4A69">
        <w:rPr>
          <w:rStyle w:val="HideTWBExt"/>
        </w:rPr>
        <w:t>&lt;/Amend&gt;</w:t>
      </w:r>
    </w:p>
    <w:p w:rsidR="001F04EE" w:rsidRPr="002B4A69" w:rsidP="001F04EE" w14:paraId="181B9DD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579</w:t>
      </w:r>
      <w:r w:rsidRPr="002B4A69">
        <w:rPr>
          <w:rStyle w:val="HideTWBExt"/>
          <w:b w:val="0"/>
          <w:lang w:val="en-GB"/>
        </w:rPr>
        <w:t>&lt;/NumAm&gt;</w:t>
      </w:r>
    </w:p>
    <w:p w:rsidR="001F04EE" w:rsidRPr="002B4A69" w:rsidP="001F04EE" w14:paraId="7681E27E" w14:textId="77777777">
      <w:pPr>
        <w:pStyle w:val="NormalBold"/>
      </w:pPr>
      <w:r w:rsidRPr="002B4A69">
        <w:rPr>
          <w:rStyle w:val="HideTWBExt"/>
          <w:b w:val="0"/>
        </w:rPr>
        <w:t>&lt;RepeatBlock-By&gt;&lt;Members&gt;</w:t>
      </w:r>
      <w:r w:rsidRPr="002B4A69">
        <w:t>Letizia Moratti, Andrzej Halicki, Adam Jarubas, Massimiliano Salini, Flavio Tosi</w:t>
      </w:r>
      <w:r w:rsidRPr="002B4A69">
        <w:rPr>
          <w:rStyle w:val="HideTWBExt"/>
          <w:b w:val="0"/>
        </w:rPr>
        <w:t>&lt;/Members&gt;</w:t>
      </w:r>
    </w:p>
    <w:p w:rsidR="001F04EE" w:rsidRPr="002B4A69" w:rsidP="001F04EE" w14:paraId="6FDAE2DF" w14:textId="77777777">
      <w:r w:rsidRPr="002B4A69">
        <w:rPr>
          <w:rStyle w:val="HideTWBExt"/>
        </w:rPr>
        <w:t>&lt;/RepeatBlock-By&gt;</w:t>
      </w:r>
    </w:p>
    <w:p w:rsidR="001F04EE" w:rsidRPr="002B4A69" w:rsidP="001F04EE" w14:paraId="3B3E82D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82D64DD" w14:textId="77777777">
      <w:pPr>
        <w:pStyle w:val="NormalBold"/>
      </w:pPr>
      <w:r w:rsidRPr="002B4A69">
        <w:rPr>
          <w:rStyle w:val="HideTWBExt"/>
          <w:b w:val="0"/>
        </w:rPr>
        <w:t>&lt;Article&gt;</w:t>
      </w:r>
      <w:r w:rsidRPr="002B4A69">
        <w:t>Recital 75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8A311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083636E" w14:textId="77777777">
            <w:pPr>
              <w:keepNext/>
            </w:pPr>
          </w:p>
        </w:tc>
      </w:tr>
      <w:tr w14:paraId="308BF89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F8995FF" w14:textId="77777777">
            <w:pPr>
              <w:pStyle w:val="ColumnHeading"/>
              <w:keepNext/>
              <w:rPr>
                <w:lang w:val="en-GB"/>
              </w:rPr>
            </w:pPr>
            <w:r w:rsidRPr="002B4A69">
              <w:rPr>
                <w:lang w:val="en-GB"/>
              </w:rPr>
              <w:t>Text proposed by the Commission</w:t>
            </w:r>
          </w:p>
        </w:tc>
        <w:tc>
          <w:tcPr>
            <w:tcW w:w="4876" w:type="dxa"/>
          </w:tcPr>
          <w:p w:rsidR="001F04EE" w:rsidRPr="002B4A69" w:rsidP="00723F81" w14:paraId="1C4C274A" w14:textId="77777777">
            <w:pPr>
              <w:pStyle w:val="ColumnHeading"/>
              <w:keepNext/>
              <w:rPr>
                <w:lang w:val="en-GB"/>
              </w:rPr>
            </w:pPr>
            <w:r w:rsidRPr="002B4A69">
              <w:rPr>
                <w:lang w:val="en-GB"/>
              </w:rPr>
              <w:t>Amendment</w:t>
            </w:r>
          </w:p>
        </w:tc>
      </w:tr>
      <w:tr w14:paraId="393E5F1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4CC3689" w14:textId="77777777">
            <w:pPr>
              <w:pStyle w:val="Normal6"/>
              <w:rPr>
                <w:lang w:val="en-GB"/>
              </w:rPr>
            </w:pPr>
          </w:p>
        </w:tc>
        <w:tc>
          <w:tcPr>
            <w:tcW w:w="4876" w:type="dxa"/>
          </w:tcPr>
          <w:p w:rsidR="001F04EE" w:rsidRPr="002B4A69" w:rsidP="00723F81" w14:paraId="2954E769" w14:textId="77777777">
            <w:pPr>
              <w:pStyle w:val="Normal6"/>
              <w:rPr>
                <w:szCs w:val="24"/>
                <w:lang w:val="en-GB"/>
              </w:rPr>
            </w:pPr>
            <w:r w:rsidRPr="002B4A69">
              <w:rPr>
                <w:b/>
                <w:i/>
                <w:lang w:val="en-GB"/>
              </w:rPr>
              <w:t>(75a)</w:t>
            </w:r>
            <w:r w:rsidRPr="002B4A69">
              <w:rPr>
                <w:b/>
                <w:i/>
                <w:lang w:val="en-GB"/>
              </w:rPr>
              <w:tab/>
              <w:t>Electricity generation from fossil fuels remains exposed to the carbon cost arising from the EU ETS. In order to temporarily mitigate the impact of those costs on electricity generation and until wholesale electricity prices return on a sustained basis to levels comparable to those prevailing before the energy crisis, the Commission should establish a methodology for determining the quantity and modalities of allocation of additional allowances dedicated to fossil-fuel electricity generation, taking into account the need to mitigate the impact of carbon costs while preserving the overall integrity of the EU ETS. In determining the appropriate source of additional allowances, the Commission should assess different options, including, where appropriate, the use or restoration of allowances that have ceased to be valid pursuant to Article 1(5a) of Decision (EU) 2015/1814, as well as other mechanisms compatible with the objectives and integrity of the EU ETS.</w:t>
            </w:r>
          </w:p>
        </w:tc>
      </w:tr>
    </w:tbl>
    <w:p w:rsidR="001F04EE" w:rsidRPr="002B4A69" w:rsidP="001F04EE" w14:paraId="28D3CFA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0D2E827" w14:textId="77777777">
      <w:r w:rsidRPr="002B4A69">
        <w:rPr>
          <w:rStyle w:val="HideTWBExt"/>
        </w:rPr>
        <w:t>&lt;/Amend&gt;</w:t>
      </w:r>
    </w:p>
    <w:p w:rsidR="001F04EE" w:rsidRPr="002B4A69" w:rsidP="001F04EE" w14:paraId="6AD6E7B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580</w:t>
      </w:r>
      <w:r w:rsidRPr="002B4A69">
        <w:rPr>
          <w:rStyle w:val="HideTWBExt"/>
          <w:b w:val="0"/>
          <w:lang w:val="en-GB"/>
        </w:rPr>
        <w:t>&lt;/NumAm&gt;</w:t>
      </w:r>
    </w:p>
    <w:p w:rsidR="001F04EE" w:rsidRPr="002B4A69" w:rsidP="001F04EE" w14:paraId="5184B5B8" w14:textId="77777777">
      <w:pPr>
        <w:pStyle w:val="NormalBold"/>
      </w:pPr>
      <w:r w:rsidRPr="002B4A69">
        <w:rPr>
          <w:rStyle w:val="HideTWBExt"/>
          <w:b w:val="0"/>
        </w:rPr>
        <w:t>&lt;RepeatBlock-By&gt;&lt;Members&gt;</w:t>
      </w:r>
      <w:r w:rsidRPr="002B4A69">
        <w:t>Jorge Buxadé Villalba, Roman Haider, Antonín Staněk, Silvia Sardone, Marie-Luce Brasier-Clain, Mathilde Androuët, Anne-Sophie Frigout</w:t>
      </w:r>
      <w:r w:rsidRPr="002B4A69">
        <w:rPr>
          <w:rStyle w:val="HideTWBExt"/>
          <w:b w:val="0"/>
        </w:rPr>
        <w:t>&lt;/Members&gt;</w:t>
      </w:r>
    </w:p>
    <w:p w:rsidR="001F04EE" w:rsidRPr="002B4A69" w:rsidP="001F04EE" w14:paraId="6B3C2417" w14:textId="77777777">
      <w:r w:rsidRPr="002B4A69">
        <w:rPr>
          <w:rStyle w:val="HideTWBExt"/>
        </w:rPr>
        <w:t>&lt;/RepeatBlock-By&gt;</w:t>
      </w:r>
    </w:p>
    <w:p w:rsidR="001F04EE" w:rsidRPr="002B4A69" w:rsidP="001F04EE" w14:paraId="7D4174C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32AAC6C"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5B07F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7257DE2" w14:textId="77777777">
            <w:pPr>
              <w:keepNext/>
            </w:pPr>
          </w:p>
        </w:tc>
      </w:tr>
      <w:tr w14:paraId="260FD4C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34E5A4B" w14:textId="77777777">
            <w:pPr>
              <w:pStyle w:val="ColumnHeading"/>
              <w:keepNext/>
              <w:rPr>
                <w:lang w:val="en-GB"/>
              </w:rPr>
            </w:pPr>
            <w:r w:rsidRPr="002B4A69">
              <w:rPr>
                <w:lang w:val="en-GB"/>
              </w:rPr>
              <w:t>Text proposed by the Commission</w:t>
            </w:r>
          </w:p>
        </w:tc>
        <w:tc>
          <w:tcPr>
            <w:tcW w:w="4876" w:type="dxa"/>
          </w:tcPr>
          <w:p w:rsidR="001F04EE" w:rsidRPr="002B4A69" w:rsidP="00723F81" w14:paraId="3FEA9982" w14:textId="77777777">
            <w:pPr>
              <w:pStyle w:val="ColumnHeading"/>
              <w:keepNext/>
              <w:rPr>
                <w:lang w:val="en-GB"/>
              </w:rPr>
            </w:pPr>
            <w:r w:rsidRPr="002B4A69">
              <w:rPr>
                <w:lang w:val="en-GB"/>
              </w:rPr>
              <w:t>Amendment</w:t>
            </w:r>
          </w:p>
        </w:tc>
      </w:tr>
      <w:tr w14:paraId="12B41C5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8630493" w14:textId="77777777">
            <w:pPr>
              <w:pStyle w:val="Normal6"/>
              <w:rPr>
                <w:lang w:val="en-GB"/>
              </w:rPr>
            </w:pPr>
            <w:r w:rsidRPr="002B4A69">
              <w:rPr>
                <w:b/>
                <w:i/>
                <w:lang w:val="en-GB"/>
              </w:rPr>
              <w:t>(76)</w:t>
            </w:r>
            <w:r w:rsidRPr="002B4A69">
              <w:rPr>
                <w:b/>
                <w:i/>
                <w:lang w:val="en-GB"/>
              </w:rPr>
              <w:tab/>
              <w:t xml:space="preserve">Taking into account the special characteristics and permanent constraints of the outermost regions of the Union as recognised in Article 349 of the Treaty on </w:t>
            </w:r>
            <w:r w:rsidRPr="002B4A69">
              <w:rPr>
                <w:b/>
                <w:i/>
                <w:lang w:val="en-GB"/>
              </w:rPr>
              <w:t>the Functioning of the European Union (TFEU), and given their constraints in deploying a comprehensive waste-management ecosystem at scale and distance from recycling markets, an option is provided for Member States to temporarily exempt installations located in the outermost regions from the surrender obligation for waste incineration and co-incineration pursuant to Directive 2003/87/EC.</w:t>
            </w:r>
          </w:p>
        </w:tc>
        <w:tc>
          <w:tcPr>
            <w:tcW w:w="4876" w:type="dxa"/>
          </w:tcPr>
          <w:p w:rsidR="001F04EE" w:rsidRPr="002B4A69" w:rsidP="00723F81" w14:paraId="19B36847" w14:textId="77777777">
            <w:pPr>
              <w:pStyle w:val="Normal6"/>
              <w:rPr>
                <w:szCs w:val="24"/>
                <w:lang w:val="en-GB"/>
              </w:rPr>
            </w:pPr>
            <w:r w:rsidRPr="002B4A69">
              <w:rPr>
                <w:b/>
                <w:i/>
                <w:lang w:val="en-GB"/>
              </w:rPr>
              <w:t>deleted</w:t>
            </w:r>
          </w:p>
        </w:tc>
      </w:tr>
    </w:tbl>
    <w:p w:rsidR="001F04EE" w:rsidRPr="002B4A69" w:rsidP="001F04EE" w14:paraId="22B050C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117E950" w14:textId="77777777">
      <w:r w:rsidRPr="002B4A69">
        <w:rPr>
          <w:rStyle w:val="HideTWBExt"/>
        </w:rPr>
        <w:t>&lt;/Amend&gt;</w:t>
      </w:r>
    </w:p>
    <w:p w:rsidR="001F04EE" w:rsidRPr="002B4A69" w:rsidP="001F04EE" w14:paraId="6A4F9B9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581</w:t>
      </w:r>
      <w:r w:rsidRPr="002B4A69">
        <w:rPr>
          <w:rStyle w:val="HideTWBExt"/>
          <w:b w:val="0"/>
          <w:lang w:val="en-GB"/>
        </w:rPr>
        <w:t>&lt;/NumAm&gt;</w:t>
      </w:r>
    </w:p>
    <w:p w:rsidR="001F04EE" w:rsidRPr="002B4A69" w:rsidP="001F04EE" w14:paraId="0B11EEF8"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4A094927" w14:textId="77777777">
      <w:r w:rsidRPr="002B4A69">
        <w:rPr>
          <w:rStyle w:val="HideTWBExt"/>
        </w:rPr>
        <w:t>&lt;/RepeatBlock-By&gt;</w:t>
      </w:r>
    </w:p>
    <w:p w:rsidR="001F04EE" w:rsidRPr="002B4A69" w:rsidP="001F04EE" w14:paraId="61484BA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D8C75B5"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7C569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08C6145" w14:textId="77777777">
            <w:pPr>
              <w:keepNext/>
            </w:pPr>
          </w:p>
        </w:tc>
      </w:tr>
      <w:tr w14:paraId="38B46E2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113372D" w14:textId="77777777">
            <w:pPr>
              <w:pStyle w:val="ColumnHeading"/>
              <w:keepNext/>
              <w:rPr>
                <w:lang w:val="en-GB"/>
              </w:rPr>
            </w:pPr>
            <w:r w:rsidRPr="002B4A69">
              <w:rPr>
                <w:lang w:val="en-GB"/>
              </w:rPr>
              <w:t>Text proposed by the Commission</w:t>
            </w:r>
          </w:p>
        </w:tc>
        <w:tc>
          <w:tcPr>
            <w:tcW w:w="4876" w:type="dxa"/>
          </w:tcPr>
          <w:p w:rsidR="001F04EE" w:rsidRPr="002B4A69" w:rsidP="00723F81" w14:paraId="69388788" w14:textId="77777777">
            <w:pPr>
              <w:pStyle w:val="ColumnHeading"/>
              <w:keepNext/>
              <w:rPr>
                <w:lang w:val="en-GB"/>
              </w:rPr>
            </w:pPr>
            <w:r w:rsidRPr="002B4A69">
              <w:rPr>
                <w:lang w:val="en-GB"/>
              </w:rPr>
              <w:t>Amendment</w:t>
            </w:r>
          </w:p>
        </w:tc>
      </w:tr>
      <w:tr w14:paraId="0063CF0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CF3CBA0" w14:textId="77777777">
            <w:pPr>
              <w:pStyle w:val="Normal6"/>
              <w:rPr>
                <w:lang w:val="en-GB"/>
              </w:rPr>
            </w:pPr>
            <w:r w:rsidRPr="002B4A69">
              <w:rPr>
                <w:b/>
                <w:i/>
                <w:lang w:val="en-GB"/>
              </w:rPr>
              <w:t>(76)</w:t>
            </w:r>
            <w:r w:rsidRPr="002B4A69">
              <w:rPr>
                <w:b/>
                <w:i/>
                <w:lang w:val="en-GB"/>
              </w:rPr>
              <w:tab/>
              <w:t>Taking into account the special characteristics and permanent constraints of the outermost regions of the Union as recognised in Article 349 of the Treaty on the Functioning of the European Union (TFEU), and given their constraints in deploying a comprehensive waste-management ecosystem at scale and distance from recycling markets, an option is provided for Member States to temporarily exempt installations located in the outermost regions from the surrender obligation for waste incineration and co-incineration pursuant to Directive 2003/87/EC.</w:t>
            </w:r>
          </w:p>
        </w:tc>
        <w:tc>
          <w:tcPr>
            <w:tcW w:w="4876" w:type="dxa"/>
          </w:tcPr>
          <w:p w:rsidR="001F04EE" w:rsidRPr="002B4A69" w:rsidP="00723F81" w14:paraId="2FD7AF10" w14:textId="77777777">
            <w:pPr>
              <w:pStyle w:val="Normal6"/>
              <w:rPr>
                <w:szCs w:val="24"/>
                <w:lang w:val="en-GB"/>
              </w:rPr>
            </w:pPr>
            <w:r w:rsidRPr="002B4A69">
              <w:rPr>
                <w:b/>
                <w:i/>
                <w:lang w:val="en-GB"/>
              </w:rPr>
              <w:t>deleted</w:t>
            </w:r>
          </w:p>
        </w:tc>
      </w:tr>
    </w:tbl>
    <w:p w:rsidR="001F04EE" w:rsidRPr="002B4A69" w:rsidP="001F04EE" w14:paraId="100B288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71F623F" w14:textId="77777777">
      <w:r w:rsidRPr="002B4A69">
        <w:rPr>
          <w:rStyle w:val="HideTWBExt"/>
        </w:rPr>
        <w:t>&lt;/Amend&gt;</w:t>
      </w:r>
    </w:p>
    <w:p w:rsidR="001F04EE" w:rsidRPr="002B4A69" w:rsidP="001F04EE" w14:paraId="549BF23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582</w:t>
      </w:r>
      <w:r w:rsidRPr="002B4A69">
        <w:rPr>
          <w:rStyle w:val="HideTWBExt"/>
          <w:b w:val="0"/>
          <w:lang w:val="en-GB"/>
        </w:rPr>
        <w:t>&lt;/NumAm&gt;</w:t>
      </w:r>
    </w:p>
    <w:p w:rsidR="001F04EE" w:rsidRPr="002B4A69" w:rsidP="001F04EE" w14:paraId="7DA7D442" w14:textId="77777777">
      <w:pPr>
        <w:pStyle w:val="NormalBold"/>
      </w:pPr>
      <w:r w:rsidRPr="002B4A69">
        <w:rPr>
          <w:rStyle w:val="HideTWBExt"/>
          <w:b w:val="0"/>
        </w:rPr>
        <w:t>&lt;RepeatBlock-By&gt;&lt;Members&gt;</w:t>
      </w:r>
      <w:r w:rsidRPr="002B4A69">
        <w:t xml:space="preserve">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w:t>
      </w:r>
      <w:r w:rsidRPr="002B4A69">
        <w:t>Daniele Polato, Ruggero Razza, Marco Squarta, Francesco Torselli, Francesco Ventola, Mariateresa Vivaldini</w:t>
      </w:r>
      <w:r w:rsidRPr="002B4A69">
        <w:rPr>
          <w:rStyle w:val="HideTWBExt"/>
          <w:b w:val="0"/>
        </w:rPr>
        <w:t>&lt;/Members&gt;</w:t>
      </w:r>
    </w:p>
    <w:p w:rsidR="001F04EE" w:rsidRPr="002B4A69" w:rsidP="001F04EE" w14:paraId="2A86F598" w14:textId="77777777">
      <w:r w:rsidRPr="002B4A69">
        <w:rPr>
          <w:rStyle w:val="HideTWBExt"/>
        </w:rPr>
        <w:t>&lt;/RepeatBlock-By&gt;</w:t>
      </w:r>
    </w:p>
    <w:p w:rsidR="001F04EE" w:rsidRPr="002B4A69" w:rsidP="001F04EE" w14:paraId="1688876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EBE992A"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B195B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1069C93" w14:textId="77777777">
            <w:pPr>
              <w:keepNext/>
            </w:pPr>
          </w:p>
        </w:tc>
      </w:tr>
      <w:tr w14:paraId="5FC6D4D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8C92694" w14:textId="77777777">
            <w:pPr>
              <w:pStyle w:val="ColumnHeading"/>
              <w:keepNext/>
              <w:rPr>
                <w:lang w:val="en-GB"/>
              </w:rPr>
            </w:pPr>
            <w:r w:rsidRPr="002B4A69">
              <w:rPr>
                <w:lang w:val="en-GB"/>
              </w:rPr>
              <w:t>Text proposed by the Commission</w:t>
            </w:r>
          </w:p>
        </w:tc>
        <w:tc>
          <w:tcPr>
            <w:tcW w:w="4876" w:type="dxa"/>
          </w:tcPr>
          <w:p w:rsidR="001F04EE" w:rsidRPr="002B4A69" w:rsidP="00723F81" w14:paraId="57D9F633" w14:textId="77777777">
            <w:pPr>
              <w:pStyle w:val="ColumnHeading"/>
              <w:keepNext/>
              <w:rPr>
                <w:lang w:val="en-GB"/>
              </w:rPr>
            </w:pPr>
            <w:r w:rsidRPr="002B4A69">
              <w:rPr>
                <w:lang w:val="en-GB"/>
              </w:rPr>
              <w:t>Amendment</w:t>
            </w:r>
          </w:p>
        </w:tc>
      </w:tr>
      <w:tr w14:paraId="50E3A52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9E160C0" w14:textId="77777777">
            <w:pPr>
              <w:pStyle w:val="Normal6"/>
              <w:rPr>
                <w:lang w:val="en-GB"/>
              </w:rPr>
            </w:pPr>
            <w:r w:rsidRPr="002B4A69">
              <w:rPr>
                <w:b/>
                <w:i/>
                <w:lang w:val="en-GB"/>
              </w:rPr>
              <w:t>(76)</w:t>
            </w:r>
            <w:r w:rsidRPr="002B4A69">
              <w:rPr>
                <w:b/>
                <w:i/>
                <w:lang w:val="en-GB"/>
              </w:rPr>
              <w:tab/>
              <w:t>Taking into account the special characteristics and permanent constraints of the outermost regions of the Union as recognised in Article 349 of the Treaty on the Functioning of the European Union (TFEU), and given their constraints in deploying a comprehensive waste-management ecosystem at scale and distance from recycling markets, an option is provided for Member States to temporarily exempt installations located in the outermost regions from the surrender obligation for waste incineration and co-incineration pursuant to Directive 2003/87/EC.</w:t>
            </w:r>
          </w:p>
        </w:tc>
        <w:tc>
          <w:tcPr>
            <w:tcW w:w="4876" w:type="dxa"/>
          </w:tcPr>
          <w:p w:rsidR="001F04EE" w:rsidRPr="002B4A69" w:rsidP="00723F81" w14:paraId="06499B9E" w14:textId="77777777">
            <w:pPr>
              <w:pStyle w:val="Normal6"/>
              <w:rPr>
                <w:szCs w:val="24"/>
                <w:lang w:val="en-GB"/>
              </w:rPr>
            </w:pPr>
            <w:r w:rsidRPr="002B4A69">
              <w:rPr>
                <w:b/>
                <w:i/>
                <w:lang w:val="en-GB"/>
              </w:rPr>
              <w:t>deleted</w:t>
            </w:r>
          </w:p>
        </w:tc>
      </w:tr>
    </w:tbl>
    <w:p w:rsidR="001F04EE" w:rsidRPr="002B4A69" w:rsidP="001F04EE" w14:paraId="4843E88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03CDD62" w14:textId="77777777">
      <w:r w:rsidRPr="002B4A69">
        <w:rPr>
          <w:rStyle w:val="HideTWBExt"/>
        </w:rPr>
        <w:t>&lt;/Amend&gt;</w:t>
      </w:r>
    </w:p>
    <w:p w:rsidR="001F04EE" w:rsidRPr="002B4A69" w:rsidP="001F04EE" w14:paraId="22500E5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583</w:t>
      </w:r>
      <w:r w:rsidRPr="002B4A69">
        <w:rPr>
          <w:rStyle w:val="HideTWBExt"/>
          <w:b w:val="0"/>
          <w:lang w:val="en-GB"/>
        </w:rPr>
        <w:t>&lt;/NumAm&gt;</w:t>
      </w:r>
    </w:p>
    <w:p w:rsidR="001F04EE" w:rsidRPr="002B4A69" w:rsidP="001F04EE" w14:paraId="7442F459"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47A4E4E1" w14:textId="77777777">
      <w:r w:rsidRPr="002B4A69">
        <w:rPr>
          <w:rStyle w:val="HideTWBExt"/>
        </w:rPr>
        <w:t>&lt;/RepeatBlock-By&gt;</w:t>
      </w:r>
    </w:p>
    <w:p w:rsidR="001F04EE" w:rsidRPr="002B4A69" w:rsidP="001F04EE" w14:paraId="1BED70F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F139CC7"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77766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E727176" w14:textId="77777777">
            <w:pPr>
              <w:keepNext/>
            </w:pPr>
          </w:p>
        </w:tc>
      </w:tr>
      <w:tr w14:paraId="160C9B6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D05887C" w14:textId="77777777">
            <w:pPr>
              <w:pStyle w:val="ColumnHeading"/>
              <w:keepNext/>
              <w:rPr>
                <w:lang w:val="en-GB"/>
              </w:rPr>
            </w:pPr>
            <w:r w:rsidRPr="002B4A69">
              <w:rPr>
                <w:lang w:val="en-GB"/>
              </w:rPr>
              <w:t>Text proposed by the Commission</w:t>
            </w:r>
          </w:p>
        </w:tc>
        <w:tc>
          <w:tcPr>
            <w:tcW w:w="4876" w:type="dxa"/>
          </w:tcPr>
          <w:p w:rsidR="001F04EE" w:rsidRPr="002B4A69" w:rsidP="00723F81" w14:paraId="1851D2B1" w14:textId="77777777">
            <w:pPr>
              <w:pStyle w:val="ColumnHeading"/>
              <w:keepNext/>
              <w:rPr>
                <w:lang w:val="en-GB"/>
              </w:rPr>
            </w:pPr>
            <w:r w:rsidRPr="002B4A69">
              <w:rPr>
                <w:lang w:val="en-GB"/>
              </w:rPr>
              <w:t>Amendment</w:t>
            </w:r>
          </w:p>
        </w:tc>
      </w:tr>
      <w:tr w14:paraId="0B4AF65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CB1B239" w14:textId="77777777">
            <w:pPr>
              <w:pStyle w:val="Normal6"/>
              <w:rPr>
                <w:lang w:val="en-GB"/>
              </w:rPr>
            </w:pPr>
            <w:r w:rsidRPr="002B4A69">
              <w:rPr>
                <w:b/>
                <w:i/>
                <w:lang w:val="en-GB"/>
              </w:rPr>
              <w:t>(76)</w:t>
            </w:r>
            <w:r w:rsidRPr="002B4A69">
              <w:rPr>
                <w:b/>
                <w:i/>
                <w:lang w:val="en-GB"/>
              </w:rPr>
              <w:tab/>
              <w:t xml:space="preserve">Taking into account the special characteristics and permanent constraints of the outermost regions of the Union as recognised in Article 349 of the Treaty on the Functioning of the European Union (TFEU), and given their constraints in deploying a comprehensive waste-management ecosystem at scale and distance from recycling markets, an option is provided for Member States to temporarily exempt installations located in the outermost regions from the surrender obligation for waste </w:t>
            </w:r>
            <w:r w:rsidRPr="002B4A69">
              <w:rPr>
                <w:b/>
                <w:i/>
                <w:lang w:val="en-GB"/>
              </w:rPr>
              <w:t>incineration and co-incineration pursuant to Directive 2003/87/EC.</w:t>
            </w:r>
          </w:p>
        </w:tc>
        <w:tc>
          <w:tcPr>
            <w:tcW w:w="4876" w:type="dxa"/>
          </w:tcPr>
          <w:p w:rsidR="001F04EE" w:rsidRPr="002B4A69" w:rsidP="00723F81" w14:paraId="480F3AAE" w14:textId="77777777">
            <w:pPr>
              <w:pStyle w:val="Normal6"/>
              <w:rPr>
                <w:szCs w:val="24"/>
                <w:lang w:val="en-GB"/>
              </w:rPr>
            </w:pPr>
            <w:r w:rsidRPr="002B4A69">
              <w:rPr>
                <w:b/>
                <w:i/>
                <w:lang w:val="en-GB"/>
              </w:rPr>
              <w:t>deleted</w:t>
            </w:r>
          </w:p>
        </w:tc>
      </w:tr>
    </w:tbl>
    <w:p w:rsidR="001F04EE" w:rsidRPr="002B4A69" w:rsidP="001F04EE" w14:paraId="55D9F66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5CE6BC4" w14:textId="77777777">
      <w:r w:rsidRPr="002B4A69">
        <w:rPr>
          <w:rStyle w:val="HideTWBExt"/>
        </w:rPr>
        <w:t>&lt;/Amend&gt;</w:t>
      </w:r>
    </w:p>
    <w:p w:rsidR="001F04EE" w:rsidRPr="002B4A69" w:rsidP="001F04EE" w14:paraId="1C73F7B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584</w:t>
      </w:r>
      <w:r w:rsidRPr="002B4A69">
        <w:rPr>
          <w:rStyle w:val="HideTWBExt"/>
          <w:b w:val="0"/>
          <w:lang w:val="en-GB"/>
        </w:rPr>
        <w:t>&lt;/NumAm&gt;</w:t>
      </w:r>
    </w:p>
    <w:p w:rsidR="001F04EE" w:rsidRPr="002B4A69" w:rsidP="001F04EE" w14:paraId="27F24879" w14:textId="77777777">
      <w:pPr>
        <w:pStyle w:val="NormalBold"/>
      </w:pPr>
      <w:r w:rsidRPr="002B4A69">
        <w:rPr>
          <w:rStyle w:val="HideTWBExt"/>
          <w:b w:val="0"/>
        </w:rPr>
        <w:t>&lt;RepeatBlock-By&gt;&lt;Members&gt;</w:t>
      </w:r>
      <w:r w:rsidRPr="002B4A69">
        <w:t>Grégory Allione</w:t>
      </w:r>
      <w:r w:rsidRPr="002B4A69">
        <w:rPr>
          <w:rStyle w:val="HideTWBExt"/>
          <w:b w:val="0"/>
        </w:rPr>
        <w:t>&lt;/Members&gt;</w:t>
      </w:r>
    </w:p>
    <w:p w:rsidR="001F04EE" w:rsidRPr="002B4A69" w:rsidP="001F04EE" w14:paraId="14D31783" w14:textId="77777777">
      <w:r w:rsidRPr="002B4A69">
        <w:rPr>
          <w:rStyle w:val="HideTWBExt"/>
        </w:rPr>
        <w:t>&lt;/RepeatBlock-By&gt;</w:t>
      </w:r>
    </w:p>
    <w:p w:rsidR="001F04EE" w:rsidRPr="002B4A69" w:rsidP="001F04EE" w14:paraId="0139AFF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D216DFB"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91AF3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684ED55" w14:textId="77777777">
            <w:pPr>
              <w:keepNext/>
            </w:pPr>
          </w:p>
        </w:tc>
      </w:tr>
      <w:tr w14:paraId="6D83F11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3FC485A" w14:textId="77777777">
            <w:pPr>
              <w:pStyle w:val="ColumnHeading"/>
              <w:keepNext/>
              <w:rPr>
                <w:lang w:val="en-GB"/>
              </w:rPr>
            </w:pPr>
            <w:r w:rsidRPr="002B4A69">
              <w:rPr>
                <w:lang w:val="en-GB"/>
              </w:rPr>
              <w:t>Text proposed by the Commission</w:t>
            </w:r>
          </w:p>
        </w:tc>
        <w:tc>
          <w:tcPr>
            <w:tcW w:w="4876" w:type="dxa"/>
          </w:tcPr>
          <w:p w:rsidR="001F04EE" w:rsidRPr="002B4A69" w:rsidP="00723F81" w14:paraId="3070AC04" w14:textId="77777777">
            <w:pPr>
              <w:pStyle w:val="ColumnHeading"/>
              <w:keepNext/>
              <w:rPr>
                <w:lang w:val="en-GB"/>
              </w:rPr>
            </w:pPr>
            <w:r w:rsidRPr="002B4A69">
              <w:rPr>
                <w:lang w:val="en-GB"/>
              </w:rPr>
              <w:t>Amendment</w:t>
            </w:r>
          </w:p>
        </w:tc>
      </w:tr>
      <w:tr w14:paraId="1AB1C4C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9C4DED0" w14:textId="77777777">
            <w:pPr>
              <w:pStyle w:val="Normal6"/>
              <w:rPr>
                <w:lang w:val="en-GB"/>
              </w:rPr>
            </w:pPr>
            <w:r w:rsidRPr="002B4A69">
              <w:rPr>
                <w:b/>
                <w:i/>
                <w:lang w:val="en-GB"/>
              </w:rPr>
              <w:t>(76)</w:t>
            </w:r>
            <w:r w:rsidRPr="002B4A69">
              <w:rPr>
                <w:b/>
                <w:i/>
                <w:lang w:val="en-GB"/>
              </w:rPr>
              <w:tab/>
              <w:t>Taking into account the special characteristics and permanent constraints of the outermost regions of the Union as recognised in Article 349 of the Treaty on the Functioning of the European Union (TFEU), and given their constraints in deploying a comprehensive waste-management ecosystem at scale and distance from recycling markets, an option is provided for Member States to temporarily exempt installations located in the outermost regions from the surrender obligation for waste incineration and co-incineration pursuant to Directive 2003/87/EC.</w:t>
            </w:r>
          </w:p>
        </w:tc>
        <w:tc>
          <w:tcPr>
            <w:tcW w:w="4876" w:type="dxa"/>
          </w:tcPr>
          <w:p w:rsidR="001F04EE" w:rsidRPr="002B4A69" w:rsidP="00723F81" w14:paraId="10A4BB4A" w14:textId="77777777">
            <w:pPr>
              <w:pStyle w:val="Normal6"/>
              <w:rPr>
                <w:szCs w:val="24"/>
                <w:lang w:val="en-GB"/>
              </w:rPr>
            </w:pPr>
            <w:r w:rsidRPr="002B4A69">
              <w:rPr>
                <w:b/>
                <w:i/>
                <w:lang w:val="en-GB"/>
              </w:rPr>
              <w:t>deleted</w:t>
            </w:r>
          </w:p>
        </w:tc>
      </w:tr>
    </w:tbl>
    <w:p w:rsidR="001F04EE" w:rsidRPr="002B4A69" w:rsidP="001F04EE" w14:paraId="30D5BC7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2AAE17E" w14:textId="77777777">
      <w:r w:rsidRPr="002B4A69">
        <w:rPr>
          <w:rStyle w:val="HideTWBExt"/>
        </w:rPr>
        <w:t>&lt;/Amend&gt;</w:t>
      </w:r>
    </w:p>
    <w:p w:rsidR="001F04EE" w:rsidRPr="002B4A69" w:rsidP="001F04EE" w14:paraId="33BC611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585</w:t>
      </w:r>
      <w:r w:rsidRPr="002B4A69">
        <w:rPr>
          <w:rStyle w:val="HideTWBExt"/>
          <w:b w:val="0"/>
          <w:lang w:val="en-GB"/>
        </w:rPr>
        <w:t>&lt;/NumAm&gt;</w:t>
      </w:r>
    </w:p>
    <w:p w:rsidR="001F04EE" w:rsidRPr="002B4A69" w:rsidP="001F04EE" w14:paraId="5CE4972D"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4888768F"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3639244A"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49320AA4" w14:textId="77777777">
      <w:r w:rsidRPr="002B4A69">
        <w:rPr>
          <w:rStyle w:val="HideTWBExt"/>
        </w:rPr>
        <w:t>&lt;/RepeatBlock-By&gt;</w:t>
      </w:r>
    </w:p>
    <w:p w:rsidR="001F04EE" w:rsidRPr="002B4A69" w:rsidP="001F04EE" w14:paraId="1FCF14A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658847D"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530EE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CDF9B3B" w14:textId="77777777">
            <w:pPr>
              <w:keepNext/>
            </w:pPr>
          </w:p>
        </w:tc>
      </w:tr>
      <w:tr w14:paraId="4E62D84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26ED608" w14:textId="77777777">
            <w:pPr>
              <w:pStyle w:val="ColumnHeading"/>
              <w:keepNext/>
              <w:rPr>
                <w:lang w:val="en-GB"/>
              </w:rPr>
            </w:pPr>
            <w:r w:rsidRPr="002B4A69">
              <w:rPr>
                <w:lang w:val="en-GB"/>
              </w:rPr>
              <w:t>Text proposed by the Commission</w:t>
            </w:r>
          </w:p>
        </w:tc>
        <w:tc>
          <w:tcPr>
            <w:tcW w:w="4876" w:type="dxa"/>
          </w:tcPr>
          <w:p w:rsidR="001F04EE" w:rsidRPr="002B4A69" w:rsidP="00723F81" w14:paraId="5115DA41" w14:textId="77777777">
            <w:pPr>
              <w:pStyle w:val="ColumnHeading"/>
              <w:keepNext/>
              <w:rPr>
                <w:lang w:val="en-GB"/>
              </w:rPr>
            </w:pPr>
            <w:r w:rsidRPr="002B4A69">
              <w:rPr>
                <w:lang w:val="en-GB"/>
              </w:rPr>
              <w:t>Amendment</w:t>
            </w:r>
          </w:p>
        </w:tc>
      </w:tr>
      <w:tr w14:paraId="131FD30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1105F35" w14:textId="77777777">
            <w:pPr>
              <w:pStyle w:val="Normal6"/>
              <w:rPr>
                <w:lang w:val="en-GB"/>
              </w:rPr>
            </w:pPr>
            <w:r w:rsidRPr="002B4A69">
              <w:rPr>
                <w:b/>
                <w:i/>
                <w:lang w:val="en-GB"/>
              </w:rPr>
              <w:t>(76)</w:t>
            </w:r>
            <w:r w:rsidRPr="002B4A69">
              <w:rPr>
                <w:b/>
                <w:i/>
                <w:lang w:val="en-GB"/>
              </w:rPr>
              <w:tab/>
              <w:t xml:space="preserve">Taking into account the special characteristics and permanent constraints of the outermost regions of the Union as </w:t>
            </w:r>
            <w:r w:rsidRPr="002B4A69">
              <w:rPr>
                <w:b/>
                <w:i/>
                <w:lang w:val="en-GB"/>
              </w:rPr>
              <w:t>recognised in Article 349 of the Treaty on the Functioning of the European Union (TFEU), and given their constraints in deploying a comprehensive waste-management ecosystem at scale and distance from recycling markets, an option is provided for Member States to temporarily exempt installations located in the outermost regions from the surrender obligation for waste incineration and co-incineration pursuant to Directive 2003/87/EC.</w:t>
            </w:r>
          </w:p>
        </w:tc>
        <w:tc>
          <w:tcPr>
            <w:tcW w:w="4876" w:type="dxa"/>
          </w:tcPr>
          <w:p w:rsidR="001F04EE" w:rsidRPr="002B4A69" w:rsidP="00723F81" w14:paraId="2C21434E" w14:textId="77777777">
            <w:pPr>
              <w:pStyle w:val="Normal6"/>
              <w:rPr>
                <w:szCs w:val="24"/>
                <w:lang w:val="en-GB"/>
              </w:rPr>
            </w:pPr>
            <w:r w:rsidRPr="002B4A69">
              <w:rPr>
                <w:b/>
                <w:i/>
                <w:lang w:val="en-GB"/>
              </w:rPr>
              <w:t>deleted</w:t>
            </w:r>
          </w:p>
        </w:tc>
      </w:tr>
    </w:tbl>
    <w:p w:rsidR="001F04EE" w:rsidRPr="002B4A69" w:rsidP="001F04EE" w14:paraId="46EF057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AB164DF"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2779328" w14:textId="77777777">
      <w:pPr>
        <w:pStyle w:val="Normal12Italic"/>
        <w:rPr>
          <w:noProof w:val="0"/>
          <w:lang w:val="en-GB"/>
        </w:rPr>
      </w:pPr>
      <w:r w:rsidRPr="002B4A69">
        <w:rPr>
          <w:noProof w:val="0"/>
          <w:lang w:val="en-GB"/>
        </w:rPr>
        <w:t>The recital justifies a temporary exemption from the surrender obligation for installations in outermost regions. If waste incineration and co-incineration are not brought under that obligation, a region-specific exemption is unnecessary. The recital should therefore be deleted.</w:t>
      </w:r>
    </w:p>
    <w:p w:rsidR="001F04EE" w:rsidRPr="002B4A69" w:rsidP="001F04EE" w14:paraId="20553EB3" w14:textId="77777777">
      <w:r w:rsidRPr="002B4A69">
        <w:rPr>
          <w:rStyle w:val="HideTWBExt"/>
        </w:rPr>
        <w:t>&lt;/Amend&gt;</w:t>
      </w:r>
    </w:p>
    <w:p w:rsidR="001F04EE" w:rsidRPr="002B4A69" w:rsidP="001F04EE" w14:paraId="69CFEF4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586</w:t>
      </w:r>
      <w:r w:rsidRPr="002B4A69">
        <w:rPr>
          <w:rStyle w:val="HideTWBExt"/>
          <w:b w:val="0"/>
          <w:lang w:val="en-GB"/>
        </w:rPr>
        <w:t>&lt;/NumAm&gt;</w:t>
      </w:r>
    </w:p>
    <w:p w:rsidR="001F04EE" w:rsidRPr="002B4A69" w:rsidP="001F04EE" w14:paraId="691B44DE" w14:textId="77777777">
      <w:pPr>
        <w:pStyle w:val="NormalBold"/>
      </w:pPr>
      <w:r w:rsidRPr="002B4A69">
        <w:rPr>
          <w:rStyle w:val="HideTWBExt"/>
          <w:b w:val="0"/>
        </w:rPr>
        <w:t>&lt;RepeatBlock-By&gt;&lt;Members&gt;</w:t>
      </w:r>
      <w:r w:rsidRPr="002B4A69">
        <w:t>Sérgio Humberto, Paulo do Nascimento Cabral, Paulo Cunha, Lídia Pereira</w:t>
      </w:r>
      <w:r w:rsidRPr="002B4A69">
        <w:rPr>
          <w:rStyle w:val="HideTWBExt"/>
          <w:b w:val="0"/>
        </w:rPr>
        <w:t>&lt;/Members&gt;</w:t>
      </w:r>
    </w:p>
    <w:p w:rsidR="001F04EE" w:rsidRPr="002B4A69" w:rsidP="001F04EE" w14:paraId="562DDCD4" w14:textId="77777777">
      <w:r w:rsidRPr="002B4A69">
        <w:rPr>
          <w:rStyle w:val="HideTWBExt"/>
        </w:rPr>
        <w:t>&lt;/RepeatBlock-By&gt;</w:t>
      </w:r>
    </w:p>
    <w:p w:rsidR="001F04EE" w:rsidRPr="002B4A69" w:rsidP="001F04EE" w14:paraId="387D853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26D2EEE"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418AA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1AE3C05" w14:textId="77777777">
            <w:pPr>
              <w:keepNext/>
            </w:pPr>
          </w:p>
        </w:tc>
      </w:tr>
      <w:tr w14:paraId="37E0A5F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171AFE5" w14:textId="77777777">
            <w:pPr>
              <w:pStyle w:val="ColumnHeading"/>
              <w:keepNext/>
              <w:rPr>
                <w:lang w:val="en-GB"/>
              </w:rPr>
            </w:pPr>
            <w:r w:rsidRPr="002B4A69">
              <w:rPr>
                <w:lang w:val="en-GB"/>
              </w:rPr>
              <w:t>Text proposed by the Commission</w:t>
            </w:r>
          </w:p>
        </w:tc>
        <w:tc>
          <w:tcPr>
            <w:tcW w:w="4876" w:type="dxa"/>
          </w:tcPr>
          <w:p w:rsidR="001F04EE" w:rsidRPr="002B4A69" w:rsidP="00723F81" w14:paraId="21759BA4" w14:textId="77777777">
            <w:pPr>
              <w:pStyle w:val="ColumnHeading"/>
              <w:keepNext/>
              <w:rPr>
                <w:lang w:val="en-GB"/>
              </w:rPr>
            </w:pPr>
            <w:r w:rsidRPr="002B4A69">
              <w:rPr>
                <w:lang w:val="en-GB"/>
              </w:rPr>
              <w:t>Amendment</w:t>
            </w:r>
          </w:p>
        </w:tc>
      </w:tr>
      <w:tr w14:paraId="738784D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04ACD57" w14:textId="77777777">
            <w:pPr>
              <w:pStyle w:val="Normal6"/>
              <w:rPr>
                <w:lang w:val="en-GB"/>
              </w:rPr>
            </w:pPr>
            <w:r w:rsidRPr="002B4A69">
              <w:rPr>
                <w:lang w:val="en-GB"/>
              </w:rPr>
              <w:t>(76)</w:t>
            </w:r>
            <w:r w:rsidRPr="002B4A69">
              <w:rPr>
                <w:lang w:val="en-GB"/>
              </w:rPr>
              <w:tab/>
              <w:t xml:space="preserve">Taking into account the special characteristics and permanent constraints of the outermost regions of the Union as recognised in Article 349 of the Treaty on the Functioning of the European Union (TFEU), and </w:t>
            </w:r>
            <w:r w:rsidRPr="002B4A69">
              <w:rPr>
                <w:b/>
                <w:bCs/>
                <w:i/>
                <w:iCs/>
                <w:lang w:val="en-GB"/>
              </w:rPr>
              <w:t>given</w:t>
            </w:r>
            <w:r w:rsidRPr="002B4A69">
              <w:rPr>
                <w:lang w:val="en-GB"/>
              </w:rPr>
              <w:t xml:space="preserve"> their constraints in deploying a comprehensive waste-management ecosystem at scale and distance from recycling markets, </w:t>
            </w:r>
            <w:r w:rsidRPr="002B4A69">
              <w:rPr>
                <w:b/>
                <w:bCs/>
                <w:i/>
                <w:iCs/>
                <w:lang w:val="en-GB"/>
              </w:rPr>
              <w:t>an option is provided for Member States to temporarily exempt</w:t>
            </w:r>
            <w:r w:rsidRPr="002B4A69">
              <w:rPr>
                <w:lang w:val="en-GB"/>
              </w:rPr>
              <w:t xml:space="preserve"> </w:t>
            </w:r>
            <w:r w:rsidRPr="002B4A69">
              <w:rPr>
                <w:b/>
                <w:bCs/>
                <w:i/>
                <w:iCs/>
                <w:lang w:val="en-GB"/>
              </w:rPr>
              <w:t>installations</w:t>
            </w:r>
            <w:r w:rsidRPr="002B4A69">
              <w:rPr>
                <w:lang w:val="en-GB"/>
              </w:rPr>
              <w:t xml:space="preserve"> </w:t>
            </w:r>
            <w:r w:rsidRPr="002B4A69">
              <w:rPr>
                <w:b/>
                <w:bCs/>
                <w:i/>
                <w:iCs/>
                <w:lang w:val="en-GB"/>
              </w:rPr>
              <w:t xml:space="preserve">located in the outermost regions from the surrender obligation for </w:t>
            </w:r>
            <w:r w:rsidRPr="002B4A69">
              <w:rPr>
                <w:lang w:val="en-GB"/>
              </w:rPr>
              <w:t>waste incineration and co-incineration pursuant to Directive 2003/87/EC.</w:t>
            </w:r>
          </w:p>
        </w:tc>
        <w:tc>
          <w:tcPr>
            <w:tcW w:w="4876" w:type="dxa"/>
          </w:tcPr>
          <w:p w:rsidR="001F04EE" w:rsidRPr="002B4A69" w:rsidP="00723F81" w14:paraId="10B464B1" w14:textId="77777777">
            <w:pPr>
              <w:pStyle w:val="Normal6"/>
              <w:rPr>
                <w:szCs w:val="24"/>
                <w:lang w:val="en-GB"/>
              </w:rPr>
            </w:pPr>
            <w:r w:rsidRPr="002B4A69">
              <w:rPr>
                <w:lang w:val="en-GB"/>
              </w:rPr>
              <w:t>(76)</w:t>
            </w:r>
            <w:r w:rsidRPr="002B4A69">
              <w:rPr>
                <w:lang w:val="en-GB"/>
              </w:rPr>
              <w:tab/>
              <w:t xml:space="preserve">Taking into account the special characteristics and permanent constraints of the outermost regions of the Union as recognised in Article 349 of the Treaty on the Functioning of the European Union (TFEU), and </w:t>
            </w:r>
            <w:r w:rsidRPr="002B4A69">
              <w:rPr>
                <w:b/>
                <w:bCs/>
                <w:i/>
                <w:iCs/>
                <w:lang w:val="en-GB"/>
              </w:rPr>
              <w:t>having regard to</w:t>
            </w:r>
            <w:r w:rsidRPr="002B4A69">
              <w:rPr>
                <w:lang w:val="en-GB"/>
              </w:rPr>
              <w:t xml:space="preserve"> their </w:t>
            </w:r>
            <w:r w:rsidRPr="002B4A69">
              <w:rPr>
                <w:b/>
                <w:bCs/>
                <w:i/>
                <w:iCs/>
                <w:lang w:val="en-GB"/>
              </w:rPr>
              <w:t xml:space="preserve">structural </w:t>
            </w:r>
            <w:r w:rsidRPr="002B4A69">
              <w:rPr>
                <w:lang w:val="en-GB"/>
              </w:rPr>
              <w:t xml:space="preserve">constraints in deploying a comprehensive waste-management ecosystem at </w:t>
            </w:r>
            <w:r w:rsidRPr="002B4A69">
              <w:rPr>
                <w:b/>
                <w:bCs/>
                <w:i/>
                <w:iCs/>
                <w:lang w:val="en-GB"/>
              </w:rPr>
              <w:t xml:space="preserve">a suitable </w:t>
            </w:r>
            <w:r w:rsidRPr="002B4A69">
              <w:rPr>
                <w:lang w:val="en-GB"/>
              </w:rPr>
              <w:t xml:space="preserve">scale and distance from recycling markets, waste incineration and co-incineration </w:t>
            </w:r>
            <w:r w:rsidRPr="002B4A69">
              <w:rPr>
                <w:b/>
                <w:bCs/>
                <w:i/>
                <w:iCs/>
                <w:lang w:val="en-GB"/>
              </w:rPr>
              <w:t xml:space="preserve">installations located in the outermost regions shall be permanently exempt from the surrender obligation for allowances </w:t>
            </w:r>
            <w:r w:rsidRPr="002B4A69">
              <w:rPr>
                <w:lang w:val="en-GB"/>
              </w:rPr>
              <w:t>pursuant to Directive 2003/87/EC</w:t>
            </w:r>
            <w:r w:rsidRPr="002B4A69">
              <w:rPr>
                <w:b/>
                <w:bCs/>
                <w:i/>
                <w:iCs/>
                <w:lang w:val="en-GB"/>
              </w:rPr>
              <w:t>, provided that the structural conditions continue to justify such an exemption</w:t>
            </w:r>
            <w:r w:rsidRPr="002B4A69">
              <w:rPr>
                <w:lang w:val="en-GB"/>
              </w:rPr>
              <w:t>.</w:t>
            </w:r>
          </w:p>
        </w:tc>
      </w:tr>
    </w:tbl>
    <w:p w:rsidR="001F04EE" w:rsidRPr="002B4A69" w:rsidP="001F04EE" w14:paraId="3100CC5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{PT}</w:t>
      </w:r>
      <w:r w:rsidRPr="002B4A69">
        <w:rPr>
          <w:noProof w:val="0"/>
          <w:lang w:val="en-GB"/>
        </w:rPr>
        <w:t>pt</w:t>
      </w:r>
      <w:r w:rsidRPr="002B4A69">
        <w:rPr>
          <w:rStyle w:val="HideTWBExt"/>
          <w:lang w:val="en-GB"/>
        </w:rPr>
        <w:t>&lt;/Original&gt;</w:t>
      </w:r>
    </w:p>
    <w:p w:rsidR="001F04EE" w:rsidRPr="002B4A69" w:rsidP="001F04EE" w14:paraId="3120FBBC" w14:textId="418FCBB2">
      <w:r w:rsidRPr="002B4A69">
        <w:rPr>
          <w:rStyle w:val="HideTWBExt"/>
        </w:rPr>
        <w:t>&lt;/Amend&gt;</w:t>
      </w:r>
    </w:p>
    <w:p w:rsidR="001F04EE" w:rsidRPr="002B4A69" w:rsidP="001F04EE" w14:paraId="147B271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587</w:t>
      </w:r>
      <w:r w:rsidRPr="002B4A69">
        <w:rPr>
          <w:rStyle w:val="HideTWBExt"/>
          <w:b w:val="0"/>
          <w:lang w:val="en-GB"/>
        </w:rPr>
        <w:t>&lt;/NumAm&gt;</w:t>
      </w:r>
    </w:p>
    <w:p w:rsidR="001F04EE" w:rsidRPr="002B4A69" w:rsidP="001F04EE" w14:paraId="53988DA1" w14:textId="77777777">
      <w:pPr>
        <w:pStyle w:val="NormalBold"/>
      </w:pPr>
      <w:r w:rsidRPr="002B4A69">
        <w:rPr>
          <w:rStyle w:val="HideTWBExt"/>
          <w:b w:val="0"/>
        </w:rPr>
        <w:t>&lt;RepeatBlock-By&gt;&lt;Members&gt;</w:t>
      </w:r>
      <w:r w:rsidRPr="002B4A69">
        <w:t>Marie-Luce Brasier-Clain, Anne-Sophie Frigout, Mathilde Androuët, Valérie Deloge, Ondřej Knotek, Jana Nagyová, Barbara Bonte</w:t>
      </w:r>
      <w:r w:rsidRPr="002B4A69">
        <w:rPr>
          <w:rStyle w:val="HideTWBExt"/>
          <w:b w:val="0"/>
        </w:rPr>
        <w:t>&lt;/Members&gt;</w:t>
      </w:r>
    </w:p>
    <w:p w:rsidR="001F04EE" w:rsidRPr="002B4A69" w:rsidP="001F04EE" w14:paraId="1E7E2A43" w14:textId="77777777">
      <w:r w:rsidRPr="002B4A69">
        <w:rPr>
          <w:rStyle w:val="HideTWBExt"/>
        </w:rPr>
        <w:t>&lt;/RepeatBlock-By&gt;</w:t>
      </w:r>
    </w:p>
    <w:p w:rsidR="001F04EE" w:rsidRPr="002B4A69" w:rsidP="001F04EE" w14:paraId="69281ED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333D10F" w14:textId="77777777">
      <w:pPr>
        <w:pStyle w:val="NormalBold"/>
      </w:pPr>
      <w:r w:rsidRPr="002B4A69">
        <w:rPr>
          <w:rStyle w:val="HideTWBExt"/>
          <w:b w:val="0"/>
        </w:rPr>
        <w:t>&lt;Article&gt;</w:t>
      </w:r>
      <w:r w:rsidRPr="002B4A69">
        <w:t>Recital 76</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7D36A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5E7F3B5" w14:textId="77777777">
            <w:pPr>
              <w:keepNext/>
            </w:pPr>
          </w:p>
        </w:tc>
      </w:tr>
      <w:tr w14:paraId="6FB8939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4A58A17" w14:textId="77777777">
            <w:pPr>
              <w:pStyle w:val="ColumnHeading"/>
              <w:keepNext/>
              <w:rPr>
                <w:lang w:val="en-GB"/>
              </w:rPr>
            </w:pPr>
            <w:r w:rsidRPr="002B4A69">
              <w:rPr>
                <w:lang w:val="en-GB"/>
              </w:rPr>
              <w:t>Text proposed by the Commission</w:t>
            </w:r>
          </w:p>
        </w:tc>
        <w:tc>
          <w:tcPr>
            <w:tcW w:w="4876" w:type="dxa"/>
          </w:tcPr>
          <w:p w:rsidR="001F04EE" w:rsidRPr="002B4A69" w:rsidP="00723F81" w14:paraId="1DAF78C3" w14:textId="77777777">
            <w:pPr>
              <w:pStyle w:val="ColumnHeading"/>
              <w:keepNext/>
              <w:rPr>
                <w:lang w:val="en-GB"/>
              </w:rPr>
            </w:pPr>
            <w:r w:rsidRPr="002B4A69">
              <w:rPr>
                <w:lang w:val="en-GB"/>
              </w:rPr>
              <w:t>Amendment</w:t>
            </w:r>
          </w:p>
        </w:tc>
      </w:tr>
      <w:tr w14:paraId="27BFC24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7034EB8" w14:textId="77777777">
            <w:pPr>
              <w:pStyle w:val="Normal6"/>
              <w:rPr>
                <w:lang w:val="en-GB"/>
              </w:rPr>
            </w:pPr>
            <w:r w:rsidRPr="002B4A69">
              <w:rPr>
                <w:lang w:val="en-GB"/>
              </w:rPr>
              <w:t>(76)</w:t>
            </w:r>
            <w:r w:rsidRPr="002B4A69">
              <w:rPr>
                <w:lang w:val="en-GB"/>
              </w:rPr>
              <w:tab/>
              <w:t xml:space="preserve">Taking into account the special characteristics and permanent constraints of the outermost regions of the Union as recognised in Article 349 of the Treaty on the Functioning of the European Union (TFEU), and given their constraints in deploying a comprehensive waste-management ecosystem at scale and distance from recycling markets, an option is provided for Member States to </w:t>
            </w:r>
            <w:r w:rsidRPr="002B4A69">
              <w:rPr>
                <w:b/>
                <w:bCs/>
                <w:i/>
                <w:iCs/>
                <w:lang w:val="en-GB"/>
              </w:rPr>
              <w:t xml:space="preserve">temporarily </w:t>
            </w:r>
            <w:r w:rsidRPr="002B4A69">
              <w:rPr>
                <w:lang w:val="en-GB"/>
              </w:rPr>
              <w:t>exempt installations located in the outermost regions from the surrender obligation for waste incineration and co-incineration pursuant to Directive 2003/87/EC.</w:t>
            </w:r>
          </w:p>
        </w:tc>
        <w:tc>
          <w:tcPr>
            <w:tcW w:w="4876" w:type="dxa"/>
          </w:tcPr>
          <w:p w:rsidR="001F04EE" w:rsidRPr="002B4A69" w:rsidP="00723F81" w14:paraId="74EF9F50" w14:textId="77777777">
            <w:pPr>
              <w:pStyle w:val="Normal6"/>
              <w:rPr>
                <w:szCs w:val="24"/>
                <w:lang w:val="en-GB"/>
              </w:rPr>
            </w:pPr>
            <w:r w:rsidRPr="002B4A69">
              <w:rPr>
                <w:lang w:val="en-GB"/>
              </w:rPr>
              <w:t>(76)</w:t>
            </w:r>
            <w:r w:rsidRPr="002B4A69">
              <w:rPr>
                <w:lang w:val="en-GB"/>
              </w:rPr>
              <w:tab/>
              <w:t>Taking into account the special characteristics and permanent constraints of the outermost regions of the Union as recognised in Article 349 of the Treaty on the Functioning of the European Union (TFEU), and given their constraints in deploying a comprehensive waste-management ecosystem at scale and distance from recycling markets, an option is provided for Member States to exempt installations located in the outermost regions from the surrender obligation for waste incineration and co-incineration pursuant to Directive 2003/87/EC.</w:t>
            </w:r>
          </w:p>
        </w:tc>
      </w:tr>
    </w:tbl>
    <w:p w:rsidR="001F04EE" w:rsidRPr="002B4A69" w:rsidP="001F04EE" w14:paraId="028D5F0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0483A10F" w14:textId="77777777">
      <w:r w:rsidRPr="002B4A69">
        <w:rPr>
          <w:rStyle w:val="HideTWBExt"/>
        </w:rPr>
        <w:t>&lt;/Amend&gt;</w:t>
      </w:r>
    </w:p>
    <w:p w:rsidR="001F04EE" w:rsidRPr="002B4A69" w:rsidP="001F04EE" w14:paraId="3473B62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588</w:t>
      </w:r>
      <w:r w:rsidRPr="002B4A69">
        <w:rPr>
          <w:rStyle w:val="HideTWBExt"/>
          <w:b w:val="0"/>
          <w:lang w:val="en-GB"/>
        </w:rPr>
        <w:t>&lt;/NumAm&gt;</w:t>
      </w:r>
    </w:p>
    <w:p w:rsidR="001F04EE" w:rsidRPr="002B4A69" w:rsidP="001F04EE" w14:paraId="561F18BB" w14:textId="77777777">
      <w:pPr>
        <w:pStyle w:val="NormalBold"/>
      </w:pPr>
      <w:r w:rsidRPr="002B4A69">
        <w:rPr>
          <w:rStyle w:val="HideTWBExt"/>
          <w:b w:val="0"/>
        </w:rPr>
        <w:t>&lt;RepeatBlock-By&gt;&lt;Members&gt;</w:t>
      </w:r>
      <w:r w:rsidRPr="002B4A69">
        <w:t>Jacek Ozdoba</w:t>
      </w:r>
      <w:r w:rsidRPr="002B4A69">
        <w:rPr>
          <w:rStyle w:val="HideTWBExt"/>
          <w:b w:val="0"/>
        </w:rPr>
        <w:t>&lt;/Members&gt;</w:t>
      </w:r>
    </w:p>
    <w:p w:rsidR="001F04EE" w:rsidRPr="002B4A69" w:rsidP="001F04EE" w14:paraId="0204AABC" w14:textId="77777777">
      <w:r w:rsidRPr="002B4A69">
        <w:rPr>
          <w:rStyle w:val="HideTWBExt"/>
        </w:rPr>
        <w:t>&lt;/RepeatBlock-By&gt;</w:t>
      </w:r>
    </w:p>
    <w:p w:rsidR="001F04EE" w:rsidRPr="002B4A69" w:rsidP="001F04EE" w14:paraId="081697E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5CD8BAC" w14:textId="77777777">
      <w:pPr>
        <w:pStyle w:val="NormalBold"/>
      </w:pPr>
      <w:r w:rsidRPr="002B4A69">
        <w:rPr>
          <w:rStyle w:val="HideTWBExt"/>
          <w:b w:val="0"/>
        </w:rPr>
        <w:t>&lt;Article&gt;</w:t>
      </w:r>
      <w:r w:rsidRPr="002B4A69">
        <w:t>Recital 77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4BD5F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9743CC3" w14:textId="77777777">
            <w:pPr>
              <w:keepNext/>
            </w:pPr>
          </w:p>
        </w:tc>
      </w:tr>
      <w:tr w14:paraId="57762D7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75D19E2" w14:textId="77777777">
            <w:pPr>
              <w:pStyle w:val="ColumnHeading"/>
              <w:keepNext/>
              <w:rPr>
                <w:lang w:val="en-GB"/>
              </w:rPr>
            </w:pPr>
            <w:r w:rsidRPr="002B4A69">
              <w:rPr>
                <w:lang w:val="en-GB"/>
              </w:rPr>
              <w:t>Text proposed by the Commission</w:t>
            </w:r>
          </w:p>
        </w:tc>
        <w:tc>
          <w:tcPr>
            <w:tcW w:w="4876" w:type="dxa"/>
          </w:tcPr>
          <w:p w:rsidR="001F04EE" w:rsidRPr="002B4A69" w:rsidP="00723F81" w14:paraId="59B6DE2C" w14:textId="77777777">
            <w:pPr>
              <w:pStyle w:val="ColumnHeading"/>
              <w:keepNext/>
              <w:rPr>
                <w:lang w:val="en-GB"/>
              </w:rPr>
            </w:pPr>
            <w:r w:rsidRPr="002B4A69">
              <w:rPr>
                <w:lang w:val="en-GB"/>
              </w:rPr>
              <w:t>Amendment</w:t>
            </w:r>
          </w:p>
        </w:tc>
      </w:tr>
      <w:tr w14:paraId="0E28157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BBB85F2" w14:textId="77777777">
            <w:pPr>
              <w:pStyle w:val="Normal6"/>
              <w:rPr>
                <w:lang w:val="en-GB"/>
              </w:rPr>
            </w:pPr>
            <w:r w:rsidRPr="002B4A69">
              <w:rPr>
                <w:lang w:val="en-GB"/>
              </w:rPr>
              <w:t>(77)</w:t>
            </w:r>
            <w:r w:rsidRPr="002B4A69">
              <w:rPr>
                <w:lang w:val="en-GB"/>
              </w:rPr>
              <w:tab/>
            </w:r>
            <w:r w:rsidRPr="002B4A69">
              <w:rPr>
                <w:b/>
                <w:i/>
                <w:lang w:val="en-GB"/>
              </w:rPr>
              <w:t xml:space="preserve">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w:t>
            </w:r>
            <w:r w:rsidRPr="002B4A69">
              <w:rPr>
                <w:b/>
                <w:i/>
                <w:lang w:val="en-GB"/>
              </w:rPr>
              <w:t>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w:t>
            </w:r>
            <w:r w:rsidRPr="002B4A69">
              <w:rPr>
                <w:lang w:val="en-GB"/>
              </w:rPr>
              <w:t xml:space="preserve">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tc>
        <w:tc>
          <w:tcPr>
            <w:tcW w:w="4876" w:type="dxa"/>
          </w:tcPr>
          <w:p w:rsidR="001F04EE" w:rsidRPr="002B4A69" w:rsidP="00723F81" w14:paraId="140E92F2" w14:textId="77777777">
            <w:pPr>
              <w:pStyle w:val="Normal6"/>
              <w:rPr>
                <w:szCs w:val="24"/>
                <w:lang w:val="en-GB"/>
              </w:rPr>
            </w:pPr>
            <w:r w:rsidRPr="002B4A69">
              <w:rPr>
                <w:lang w:val="en-GB"/>
              </w:rPr>
              <w:t>(77)</w:t>
            </w:r>
            <w:r w:rsidRPr="002B4A69">
              <w:rPr>
                <w:lang w:val="en-GB"/>
              </w:rPr>
              <w:tab/>
              <w:t xml:space="preserve">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w:t>
            </w:r>
            <w:r w:rsidRPr="002B4A69">
              <w:rPr>
                <w:lang w:val="en-GB"/>
              </w:rPr>
              <w:t>the impacts for households, and ensure a smooth transition for the waste sector, balancing environmental benefits and circularity with the cost of waste management as a public service.</w:t>
            </w:r>
          </w:p>
        </w:tc>
      </w:tr>
    </w:tbl>
    <w:p w:rsidR="001F04EE" w:rsidRPr="002B4A69" w:rsidP="001F04EE" w14:paraId="32CC885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{PL}</w:t>
      </w:r>
      <w:r w:rsidRPr="002B4A69">
        <w:rPr>
          <w:noProof w:val="0"/>
          <w:lang w:val="en-GB"/>
        </w:rPr>
        <w:t>pl</w:t>
      </w:r>
      <w:r w:rsidRPr="002B4A69">
        <w:rPr>
          <w:rStyle w:val="HideTWBExt"/>
          <w:lang w:val="en-GB"/>
        </w:rPr>
        <w:t>&lt;/Original&gt;</w:t>
      </w:r>
    </w:p>
    <w:p w:rsidR="001F04EE" w:rsidRPr="002B4A69" w:rsidP="001F04EE" w14:paraId="52CCFF8B" w14:textId="11AEE9EF">
      <w:r w:rsidRPr="002B4A69">
        <w:rPr>
          <w:rStyle w:val="HideTWBExt"/>
        </w:rPr>
        <w:t>&lt;/Amend&gt;</w:t>
      </w:r>
    </w:p>
    <w:p w:rsidR="001F04EE" w:rsidRPr="002B4A69" w:rsidP="001F04EE" w14:paraId="1592FB5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589</w:t>
      </w:r>
      <w:r w:rsidRPr="002B4A69">
        <w:rPr>
          <w:rStyle w:val="HideTWBExt"/>
          <w:b w:val="0"/>
          <w:lang w:val="en-GB"/>
        </w:rPr>
        <w:t>&lt;/NumAm&gt;</w:t>
      </w:r>
    </w:p>
    <w:p w:rsidR="001F04EE" w:rsidRPr="002B4A69" w:rsidP="001F04EE" w14:paraId="42C0497D"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65D00BF0" w14:textId="77777777">
      <w:r w:rsidRPr="002B4A69">
        <w:rPr>
          <w:rStyle w:val="HideTWBExt"/>
        </w:rPr>
        <w:t>&lt;/RepeatBlock-By&gt;</w:t>
      </w:r>
    </w:p>
    <w:p w:rsidR="001F04EE" w:rsidRPr="002B4A69" w:rsidP="001F04EE" w14:paraId="7966D39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8D16801" w14:textId="77777777">
      <w:pPr>
        <w:pStyle w:val="NormalBold"/>
      </w:pPr>
      <w:r w:rsidRPr="002B4A69">
        <w:rPr>
          <w:rStyle w:val="HideTWBExt"/>
          <w:b w:val="0"/>
        </w:rPr>
        <w:t>&lt;Article&gt;</w:t>
      </w:r>
      <w:r w:rsidRPr="002B4A69">
        <w:t>Recital 77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CE8D4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48FE846" w14:textId="77777777">
            <w:pPr>
              <w:keepNext/>
            </w:pPr>
          </w:p>
        </w:tc>
      </w:tr>
      <w:tr w14:paraId="5BFDCF0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20F0AC6" w14:textId="77777777">
            <w:pPr>
              <w:pStyle w:val="ColumnHeading"/>
              <w:keepNext/>
              <w:rPr>
                <w:lang w:val="en-GB"/>
              </w:rPr>
            </w:pPr>
            <w:r w:rsidRPr="002B4A69">
              <w:rPr>
                <w:lang w:val="en-GB"/>
              </w:rPr>
              <w:t>Text proposed by the Commission</w:t>
            </w:r>
          </w:p>
        </w:tc>
        <w:tc>
          <w:tcPr>
            <w:tcW w:w="4876" w:type="dxa"/>
          </w:tcPr>
          <w:p w:rsidR="001F04EE" w:rsidRPr="002B4A69" w:rsidP="00723F81" w14:paraId="761D4570" w14:textId="77777777">
            <w:pPr>
              <w:pStyle w:val="ColumnHeading"/>
              <w:keepNext/>
              <w:rPr>
                <w:lang w:val="en-GB"/>
              </w:rPr>
            </w:pPr>
            <w:r w:rsidRPr="002B4A69">
              <w:rPr>
                <w:lang w:val="en-GB"/>
              </w:rPr>
              <w:t>Amendment</w:t>
            </w:r>
          </w:p>
        </w:tc>
      </w:tr>
      <w:tr w14:paraId="399C036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2FC0467" w14:textId="77777777">
            <w:pPr>
              <w:pStyle w:val="Normal6"/>
              <w:rPr>
                <w:lang w:val="en-GB"/>
              </w:rPr>
            </w:pPr>
            <w:r w:rsidRPr="002B4A69">
              <w:rPr>
                <w:lang w:val="en-GB"/>
              </w:rPr>
              <w:t>(77)</w:t>
            </w:r>
            <w:r w:rsidRPr="002B4A69">
              <w:rPr>
                <w:lang w:val="en-GB"/>
              </w:rPr>
              <w:tab/>
              <w:t xml:space="preserve">To drive meaningful behavioural change at all stages of the waste value chain and ensure the effectiveness of the carbon price in fostering circularity and decarbonisation, it is important that the </w:t>
            </w:r>
            <w:r w:rsidRPr="002B4A69">
              <w:rPr>
                <w:lang w:val="en-GB"/>
              </w:rPr>
              <w:t>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tc>
        <w:tc>
          <w:tcPr>
            <w:tcW w:w="4876" w:type="dxa"/>
          </w:tcPr>
          <w:p w:rsidR="001F04EE" w:rsidRPr="002B4A69" w:rsidP="00723F81" w14:paraId="0941BA7D" w14:textId="77777777">
            <w:pPr>
              <w:pStyle w:val="Normal6"/>
              <w:rPr>
                <w:szCs w:val="24"/>
                <w:lang w:val="en-GB"/>
              </w:rPr>
            </w:pPr>
            <w:r w:rsidRPr="002B4A69">
              <w:rPr>
                <w:lang w:val="en-GB"/>
              </w:rPr>
              <w:t>(77)</w:t>
            </w:r>
            <w:r w:rsidRPr="002B4A69">
              <w:rPr>
                <w:lang w:val="en-GB"/>
              </w:rPr>
              <w:tab/>
              <w:t xml:space="preserve">To drive meaningful behavioural change at all stages of the waste value chain and ensure the effectiveness of the carbon price in fostering circularity and decarbonisation, it is important that the </w:t>
            </w:r>
            <w:r w:rsidRPr="002B4A69">
              <w:rPr>
                <w:lang w:val="en-GB"/>
              </w:rPr>
              <w:t xml:space="preserve">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w:t>
            </w:r>
            <w:r w:rsidRPr="002B4A69">
              <w:rPr>
                <w:b/>
                <w:i/>
                <w:lang w:val="en-GB"/>
              </w:rPr>
              <w:t xml:space="preserve">A fair share of the costs arising from the inclusion of municipal waste incineration in the EU ETS should be covered by commercial producers through extended producer responsibility schemes, and should not be passed on, directly or indirectly, to citizens and municipalities through general waste charges or </w:t>
            </w:r>
            <w:r w:rsidRPr="002B4A69">
              <w:rPr>
                <w:b/>
                <w:i/>
                <w:lang w:val="en-GB"/>
              </w:rPr>
              <w:t>taxation, but</w:t>
            </w:r>
            <w:r w:rsidRPr="002B4A69">
              <w:rPr>
                <w:b/>
                <w:i/>
                <w:lang w:val="en-GB"/>
              </w:rPr>
              <w:t xml:space="preserve"> should be allocated in accordance with the polluter-pays principle throughout the entire value chain. The financial contributions of producers should be modulated according to the fossil carbon content and recyclability of the products concerned. Those contributions should be reimbursed annually to operators in proportion to their verified emissions of fossil origin, and operators should reflect the amounts received in the charges they levy on local authorities and other waste holders, so that those costs are not recovered twice. Moreover,</w:t>
            </w:r>
            <w:r w:rsidRPr="002B4A69">
              <w:rPr>
                <w:lang w:val="en-GB"/>
              </w:rPr>
              <w:t xml:space="preserve"> Member States should use revenues from emissions trading to support competent authorities, in particular local authorities, involved in the collection and disposal of municipal waste in the implementation of those circular economy measures, in order to steer waste disposal </w:t>
            </w:r>
            <w:r w:rsidRPr="002B4A69">
              <w:rPr>
                <w:lang w:val="en-GB"/>
              </w:rPr>
              <w:t>in line with the waste hierarchy, manage the impacts for households, and ensure a smooth transition for the waste sector, balancing environmental benefits and circularity with the cost of waste management as a public service.</w:t>
            </w:r>
          </w:p>
        </w:tc>
      </w:tr>
    </w:tbl>
    <w:p w:rsidR="001F04EE" w:rsidRPr="002B4A69" w:rsidP="001F04EE" w14:paraId="313C91B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BAFE662" w14:textId="77777777">
      <w:r w:rsidRPr="002B4A69">
        <w:rPr>
          <w:rStyle w:val="HideTWBExt"/>
        </w:rPr>
        <w:t>&lt;/Amend&gt;</w:t>
      </w:r>
    </w:p>
    <w:p w:rsidR="001F04EE" w:rsidRPr="002B4A69" w:rsidP="001F04EE" w14:paraId="08DF9B2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590</w:t>
      </w:r>
      <w:r w:rsidRPr="002B4A69">
        <w:rPr>
          <w:rStyle w:val="HideTWBExt"/>
          <w:b w:val="0"/>
          <w:lang w:val="en-GB"/>
        </w:rPr>
        <w:t>&lt;/NumAm&gt;</w:t>
      </w:r>
    </w:p>
    <w:p w:rsidR="001F04EE" w:rsidRPr="002B4A69" w:rsidP="001F04EE" w14:paraId="054FE297" w14:textId="77777777">
      <w:pPr>
        <w:pStyle w:val="NormalBold"/>
      </w:pPr>
      <w:r w:rsidRPr="002B4A69">
        <w:rPr>
          <w:rStyle w:val="HideTWBExt"/>
          <w:b w:val="0"/>
        </w:rPr>
        <w:t>&lt;RepeatBlock-By&gt;&lt;Members&gt;</w:t>
      </w:r>
      <w:r w:rsidRPr="002B4A69">
        <w:t>Sophie Wilmès, Olivier Chastel, Benoit Cassart</w:t>
      </w:r>
      <w:r w:rsidRPr="002B4A69">
        <w:rPr>
          <w:rStyle w:val="HideTWBExt"/>
          <w:b w:val="0"/>
        </w:rPr>
        <w:t>&lt;/Members&gt;</w:t>
      </w:r>
    </w:p>
    <w:p w:rsidR="001F04EE" w:rsidRPr="002B4A69" w:rsidP="001F04EE" w14:paraId="64B46FE7" w14:textId="77777777">
      <w:r w:rsidRPr="002B4A69">
        <w:rPr>
          <w:rStyle w:val="HideTWBExt"/>
        </w:rPr>
        <w:t>&lt;/RepeatBlock-By&gt;</w:t>
      </w:r>
    </w:p>
    <w:p w:rsidR="001F04EE" w:rsidRPr="002B4A69" w:rsidP="001F04EE" w14:paraId="7935E1D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3259E51" w14:textId="77777777">
      <w:pPr>
        <w:pStyle w:val="NormalBold"/>
      </w:pPr>
      <w:r w:rsidRPr="002B4A69">
        <w:rPr>
          <w:rStyle w:val="HideTWBExt"/>
          <w:b w:val="0"/>
        </w:rPr>
        <w:t>&lt;Article&gt;</w:t>
      </w:r>
      <w:r w:rsidRPr="002B4A69">
        <w:t>Recital 77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5DFF95"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5375FAA" w14:textId="77777777">
            <w:pPr>
              <w:keepNext/>
            </w:pPr>
          </w:p>
        </w:tc>
      </w:tr>
      <w:tr w14:paraId="2461276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922D6A9" w14:textId="77777777">
            <w:pPr>
              <w:pStyle w:val="ColumnHeading"/>
              <w:keepNext/>
              <w:rPr>
                <w:lang w:val="en-GB"/>
              </w:rPr>
            </w:pPr>
            <w:r w:rsidRPr="002B4A69">
              <w:rPr>
                <w:lang w:val="en-GB"/>
              </w:rPr>
              <w:t>Text proposed by the Commission</w:t>
            </w:r>
          </w:p>
        </w:tc>
        <w:tc>
          <w:tcPr>
            <w:tcW w:w="4876" w:type="dxa"/>
          </w:tcPr>
          <w:p w:rsidR="001F04EE" w:rsidRPr="002B4A69" w:rsidP="00723F81" w14:paraId="489201F0" w14:textId="77777777">
            <w:pPr>
              <w:pStyle w:val="ColumnHeading"/>
              <w:keepNext/>
              <w:rPr>
                <w:lang w:val="en-GB"/>
              </w:rPr>
            </w:pPr>
            <w:r w:rsidRPr="002B4A69">
              <w:rPr>
                <w:lang w:val="en-GB"/>
              </w:rPr>
              <w:t>Amendment</w:t>
            </w:r>
          </w:p>
        </w:tc>
      </w:tr>
      <w:tr w14:paraId="199207E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E329F99" w14:textId="77777777">
            <w:pPr>
              <w:pStyle w:val="Normal6"/>
              <w:rPr>
                <w:lang w:val="en-GB"/>
              </w:rPr>
            </w:pPr>
            <w:r w:rsidRPr="002B4A69">
              <w:rPr>
                <w:lang w:val="en-GB"/>
              </w:rPr>
              <w:t>(77)</w:t>
            </w:r>
            <w:r w:rsidRPr="002B4A69">
              <w:rPr>
                <w:lang w:val="en-GB"/>
              </w:rPr>
              <w:tab/>
              <w:t xml:space="preserve">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Member States should use revenues from emissions trading to support competent authorities, in particular local authorities, involved in the collection and disposal of municipal waste </w:t>
            </w:r>
            <w:r w:rsidRPr="002B4A69">
              <w:rPr>
                <w:lang w:val="en-GB"/>
              </w:rPr>
              <w:t>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tc>
        <w:tc>
          <w:tcPr>
            <w:tcW w:w="4876" w:type="dxa"/>
          </w:tcPr>
          <w:p w:rsidR="001F04EE" w:rsidRPr="002B4A69" w:rsidP="00723F81" w14:paraId="372174FE" w14:textId="77777777">
            <w:pPr>
              <w:pStyle w:val="Normal6"/>
              <w:rPr>
                <w:szCs w:val="24"/>
                <w:lang w:val="en-GB"/>
              </w:rPr>
            </w:pPr>
            <w:r w:rsidRPr="002B4A69">
              <w:rPr>
                <w:lang w:val="en-GB"/>
              </w:rPr>
              <w:t>(77)</w:t>
            </w:r>
            <w:r w:rsidRPr="002B4A69">
              <w:rPr>
                <w:lang w:val="en-GB"/>
              </w:rPr>
              <w:tab/>
              <w:t xml:space="preserve">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w:t>
            </w:r>
            <w:r w:rsidRPr="002B4A69">
              <w:rPr>
                <w:b/>
                <w:i/>
                <w:lang w:val="en-GB"/>
              </w:rPr>
              <w:t xml:space="preserve">In particular, the additional costs resulting from the surrender of allowances for waste incineration, insofar as they are attributable to fossil carbon contained in </w:t>
            </w:r>
            <w:r w:rsidRPr="002B4A69">
              <w:rPr>
                <w:b/>
                <w:i/>
                <w:lang w:val="en-GB"/>
              </w:rPr>
              <w:t>products placed on the Union market, should be borne by the producers of those products and should not be passed on to local and regional authorities responsible for municipal waste management. Producer contributions should appropriately reflect the fossil carbon content, recyclability and end-of-life treatment of the products concerned.</w:t>
            </w:r>
            <w:r w:rsidRPr="002B4A69">
              <w:rPr>
                <w:lang w:val="en-GB"/>
              </w:rPr>
              <w:t xml:space="preserve">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tc>
      </w:tr>
    </w:tbl>
    <w:p w:rsidR="001F04EE" w:rsidRPr="002B4A69" w:rsidP="001F04EE" w14:paraId="1245AAF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5BBB5B9" w14:textId="77777777">
      <w:r w:rsidRPr="002B4A69">
        <w:rPr>
          <w:rStyle w:val="HideTWBExt"/>
        </w:rPr>
        <w:t>&lt;/Amend&gt;</w:t>
      </w:r>
    </w:p>
    <w:p w:rsidR="001F04EE" w:rsidRPr="002B4A69" w:rsidP="001F04EE" w14:paraId="2064E40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591</w:t>
      </w:r>
      <w:r w:rsidRPr="002B4A69">
        <w:rPr>
          <w:rStyle w:val="HideTWBExt"/>
          <w:b w:val="0"/>
          <w:lang w:val="en-GB"/>
        </w:rPr>
        <w:t>&lt;/NumAm&gt;</w:t>
      </w:r>
    </w:p>
    <w:p w:rsidR="001F04EE" w:rsidRPr="002B4A69" w:rsidP="001F04EE" w14:paraId="598C2E6A"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71DD84DA" w14:textId="77777777">
      <w:r w:rsidRPr="002B4A69">
        <w:rPr>
          <w:rStyle w:val="HideTWBExt"/>
        </w:rPr>
        <w:t>&lt;/RepeatBlock-By&gt;</w:t>
      </w:r>
    </w:p>
    <w:p w:rsidR="001F04EE" w:rsidRPr="002B4A69" w:rsidP="001F04EE" w14:paraId="5A3E920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D7634D3" w14:textId="77777777">
      <w:pPr>
        <w:pStyle w:val="NormalBold"/>
      </w:pPr>
      <w:r w:rsidRPr="002B4A69">
        <w:rPr>
          <w:rStyle w:val="HideTWBExt"/>
          <w:b w:val="0"/>
        </w:rPr>
        <w:t>&lt;Article&gt;</w:t>
      </w:r>
      <w:r w:rsidRPr="002B4A69">
        <w:t>Recital 77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36AE6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AD5414B" w14:textId="77777777">
            <w:pPr>
              <w:keepNext/>
            </w:pPr>
          </w:p>
        </w:tc>
      </w:tr>
      <w:tr w14:paraId="296A209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6CD0B7F" w14:textId="77777777">
            <w:pPr>
              <w:pStyle w:val="ColumnHeading"/>
              <w:keepNext/>
              <w:rPr>
                <w:lang w:val="en-GB"/>
              </w:rPr>
            </w:pPr>
            <w:r w:rsidRPr="002B4A69">
              <w:rPr>
                <w:lang w:val="en-GB"/>
              </w:rPr>
              <w:t>Text proposed by the Commission</w:t>
            </w:r>
          </w:p>
        </w:tc>
        <w:tc>
          <w:tcPr>
            <w:tcW w:w="4876" w:type="dxa"/>
          </w:tcPr>
          <w:p w:rsidR="001F04EE" w:rsidRPr="002B4A69" w:rsidP="00723F81" w14:paraId="533EC075" w14:textId="77777777">
            <w:pPr>
              <w:pStyle w:val="ColumnHeading"/>
              <w:keepNext/>
              <w:rPr>
                <w:lang w:val="en-GB"/>
              </w:rPr>
            </w:pPr>
            <w:r w:rsidRPr="002B4A69">
              <w:rPr>
                <w:lang w:val="en-GB"/>
              </w:rPr>
              <w:t>Amendment</w:t>
            </w:r>
          </w:p>
        </w:tc>
      </w:tr>
      <w:tr w14:paraId="32C172A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7723E9D" w14:textId="77777777">
            <w:pPr>
              <w:pStyle w:val="Normal6"/>
              <w:rPr>
                <w:lang w:val="en-GB"/>
              </w:rPr>
            </w:pPr>
            <w:r w:rsidRPr="002B4A69">
              <w:rPr>
                <w:lang w:val="en-GB"/>
              </w:rPr>
              <w:t>(77)</w:t>
            </w:r>
            <w:r w:rsidRPr="002B4A69">
              <w:rPr>
                <w:lang w:val="en-GB"/>
              </w:rPr>
              <w:tab/>
              <w:t xml:space="preserve">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w:t>
            </w:r>
            <w:r w:rsidRPr="002B4A69">
              <w:rPr>
                <w:lang w:val="en-GB"/>
              </w:rPr>
              <w:t>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tc>
        <w:tc>
          <w:tcPr>
            <w:tcW w:w="4876" w:type="dxa"/>
          </w:tcPr>
          <w:p w:rsidR="001F04EE" w:rsidRPr="002B4A69" w:rsidP="00723F81" w14:paraId="24D8F87C" w14:textId="77777777">
            <w:pPr>
              <w:pStyle w:val="Normal6"/>
              <w:rPr>
                <w:szCs w:val="24"/>
                <w:lang w:val="en-GB"/>
              </w:rPr>
            </w:pPr>
            <w:r w:rsidRPr="002B4A69">
              <w:rPr>
                <w:lang w:val="en-GB"/>
              </w:rPr>
              <w:t>(77)</w:t>
            </w:r>
            <w:r w:rsidRPr="002B4A69">
              <w:rPr>
                <w:lang w:val="en-GB"/>
              </w:rPr>
              <w:tab/>
              <w:t xml:space="preserve">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w:t>
            </w:r>
            <w:r w:rsidRPr="002B4A69">
              <w:rPr>
                <w:lang w:val="en-GB"/>
              </w:rPr>
              <w:t xml:space="preserve">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w:t>
            </w:r>
            <w:r w:rsidRPr="002B4A69">
              <w:rPr>
                <w:b/>
                <w:i/>
                <w:lang w:val="en-GB"/>
              </w:rPr>
              <w:t>Carbon costs arising under this Directive at the waste treatment stage should be regarded as necessary waste treatment costs within the meaning of Article 8</w:t>
            </w:r>
            <w:r w:rsidRPr="002B4A69">
              <w:rPr>
                <w:b/>
                <w:i/>
                <w:lang w:val="en-GB"/>
              </w:rPr>
              <w:t>a(</w:t>
            </w:r>
            <w:r w:rsidRPr="002B4A69">
              <w:rPr>
                <w:b/>
                <w:i/>
                <w:lang w:val="en-GB"/>
              </w:rPr>
              <w:t>4), point (a), of Directive 2008/98/EC. They should therefore be covered by producers’ financial contributions under extended producer responsibility schemes, ensuring that the polluter pays principle also applies to the actors whose choices determine the fossil carbon content of products placed on the market.</w:t>
            </w:r>
            <w:r w:rsidRPr="002B4A69">
              <w:rPr>
                <w:lang w:val="en-GB"/>
              </w:rPr>
              <w:t xml:space="preserve">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tc>
      </w:tr>
    </w:tbl>
    <w:p w:rsidR="001F04EE" w:rsidRPr="002B4A69" w:rsidP="001F04EE" w14:paraId="4258670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4765DA0" w14:textId="77777777">
      <w:r w:rsidRPr="002B4A69">
        <w:rPr>
          <w:rStyle w:val="HideTWBExt"/>
        </w:rPr>
        <w:t>&lt;/Amend&gt;</w:t>
      </w:r>
    </w:p>
    <w:p w:rsidR="001F04EE" w:rsidRPr="002B4A69" w:rsidP="001F04EE" w14:paraId="249F547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592</w:t>
      </w:r>
      <w:r w:rsidRPr="002B4A69">
        <w:rPr>
          <w:rStyle w:val="HideTWBExt"/>
          <w:b w:val="0"/>
          <w:lang w:val="en-GB"/>
        </w:rPr>
        <w:t>&lt;/NumAm&gt;</w:t>
      </w:r>
    </w:p>
    <w:p w:rsidR="001F04EE" w:rsidRPr="002B4A69" w:rsidP="001F04EE" w14:paraId="0F775519" w14:textId="77777777">
      <w:pPr>
        <w:pStyle w:val="NormalBold"/>
      </w:pPr>
      <w:r w:rsidRPr="002B4A69">
        <w:rPr>
          <w:rStyle w:val="HideTWBExt"/>
          <w:b w:val="0"/>
        </w:rPr>
        <w:t>&lt;RepeatBlock-By&gt;&lt;Members&gt;</w:t>
      </w:r>
      <w:r w:rsidRPr="002B4A69">
        <w:t>Wouter Beke, Liesbet Sommen, Pascal Arimont</w:t>
      </w:r>
      <w:r w:rsidRPr="002B4A69">
        <w:rPr>
          <w:rStyle w:val="HideTWBExt"/>
          <w:b w:val="0"/>
        </w:rPr>
        <w:t>&lt;/Members&gt;</w:t>
      </w:r>
    </w:p>
    <w:p w:rsidR="001F04EE" w:rsidRPr="002B4A69" w:rsidP="001F04EE" w14:paraId="70085A56" w14:textId="77777777">
      <w:r w:rsidRPr="002B4A69">
        <w:rPr>
          <w:rStyle w:val="HideTWBExt"/>
        </w:rPr>
        <w:t>&lt;/RepeatBlock-By&gt;</w:t>
      </w:r>
    </w:p>
    <w:p w:rsidR="001F04EE" w:rsidRPr="002B4A69" w:rsidP="001F04EE" w14:paraId="0B7E8AE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0A42A5F" w14:textId="77777777">
      <w:pPr>
        <w:pStyle w:val="NormalBold"/>
      </w:pPr>
      <w:r w:rsidRPr="002B4A69">
        <w:rPr>
          <w:rStyle w:val="HideTWBExt"/>
          <w:b w:val="0"/>
        </w:rPr>
        <w:t>&lt;Article&gt;</w:t>
      </w:r>
      <w:r w:rsidRPr="002B4A69">
        <w:t>Recital 77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64D12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4FA3F8E" w14:textId="77777777">
            <w:pPr>
              <w:keepNext/>
            </w:pPr>
          </w:p>
        </w:tc>
      </w:tr>
      <w:tr w14:paraId="008C2F0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9B973BB" w14:textId="77777777">
            <w:pPr>
              <w:pStyle w:val="ColumnHeading"/>
              <w:keepNext/>
              <w:rPr>
                <w:lang w:val="en-GB"/>
              </w:rPr>
            </w:pPr>
            <w:r w:rsidRPr="002B4A69">
              <w:rPr>
                <w:lang w:val="en-GB"/>
              </w:rPr>
              <w:t>Text proposed by the Commission</w:t>
            </w:r>
          </w:p>
        </w:tc>
        <w:tc>
          <w:tcPr>
            <w:tcW w:w="4876" w:type="dxa"/>
          </w:tcPr>
          <w:p w:rsidR="001F04EE" w:rsidRPr="002B4A69" w:rsidP="00723F81" w14:paraId="4A99923E" w14:textId="77777777">
            <w:pPr>
              <w:pStyle w:val="ColumnHeading"/>
              <w:keepNext/>
              <w:rPr>
                <w:lang w:val="en-GB"/>
              </w:rPr>
            </w:pPr>
            <w:r w:rsidRPr="002B4A69">
              <w:rPr>
                <w:lang w:val="en-GB"/>
              </w:rPr>
              <w:t>Amendment</w:t>
            </w:r>
          </w:p>
        </w:tc>
      </w:tr>
      <w:tr w14:paraId="0D78A8B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CF5564C" w14:textId="77777777">
            <w:pPr>
              <w:pStyle w:val="Normal6"/>
              <w:rPr>
                <w:lang w:val="en-GB"/>
              </w:rPr>
            </w:pPr>
            <w:r w:rsidRPr="002B4A69">
              <w:rPr>
                <w:lang w:val="en-GB"/>
              </w:rPr>
              <w:t>(77)</w:t>
            </w:r>
            <w:r w:rsidRPr="002B4A69">
              <w:rPr>
                <w:lang w:val="en-GB"/>
              </w:rPr>
              <w:tab/>
              <w:t>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tc>
        <w:tc>
          <w:tcPr>
            <w:tcW w:w="4876" w:type="dxa"/>
          </w:tcPr>
          <w:p w:rsidR="001F04EE" w:rsidRPr="002B4A69" w:rsidP="00723F81" w14:paraId="0AFC55EA" w14:textId="77777777">
            <w:pPr>
              <w:pStyle w:val="Normal6"/>
              <w:rPr>
                <w:szCs w:val="24"/>
                <w:lang w:val="en-GB"/>
              </w:rPr>
            </w:pPr>
            <w:r w:rsidRPr="002B4A69">
              <w:rPr>
                <w:lang w:val="en-GB"/>
              </w:rPr>
              <w:t>(77)</w:t>
            </w:r>
            <w:r w:rsidRPr="002B4A69">
              <w:rPr>
                <w:lang w:val="en-GB"/>
              </w:rPr>
              <w:tab/>
              <w:t xml:space="preserve">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 measures should be complemented by reinforced upstream application of the polluter pays principle through measures such as strengthened harmonised Extended Producer Responsibility schemes and eco-design requirements.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 </w:t>
            </w:r>
            <w:r w:rsidRPr="002B4A69">
              <w:rPr>
                <w:b/>
                <w:i/>
                <w:lang w:val="en-GB"/>
              </w:rPr>
              <w:t>Member States should also use the revenues from emissions trading to support investments in decarbonisation projects within the waste sector itself, including the deployment of low-carbon technologies and carbon capture.</w:t>
            </w:r>
          </w:p>
        </w:tc>
      </w:tr>
    </w:tbl>
    <w:p w:rsidR="001F04EE" w:rsidRPr="002B4A69" w:rsidP="001F04EE" w14:paraId="68EE621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C36057B" w14:textId="77777777">
      <w:r w:rsidRPr="002B4A69">
        <w:rPr>
          <w:rStyle w:val="HideTWBExt"/>
        </w:rPr>
        <w:t>&lt;/Amend&gt;</w:t>
      </w:r>
    </w:p>
    <w:p w:rsidR="001F04EE" w:rsidRPr="002B4A69" w:rsidP="001F04EE" w14:paraId="092CBBE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593</w:t>
      </w:r>
      <w:r w:rsidRPr="002B4A69">
        <w:rPr>
          <w:rStyle w:val="HideTWBExt"/>
          <w:b w:val="0"/>
          <w:lang w:val="en-GB"/>
        </w:rPr>
        <w:t>&lt;/NumAm&gt;</w:t>
      </w:r>
    </w:p>
    <w:p w:rsidR="001F04EE" w:rsidRPr="002B4A69" w:rsidP="001F04EE" w14:paraId="1430297A"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16B3E5C8" w14:textId="77777777">
      <w:r w:rsidRPr="002B4A69">
        <w:rPr>
          <w:rStyle w:val="HideTWBExt"/>
        </w:rPr>
        <w:t>&lt;/RepeatBlock-By&gt;</w:t>
      </w:r>
    </w:p>
    <w:p w:rsidR="001F04EE" w:rsidRPr="002B4A69" w:rsidP="001F04EE" w14:paraId="0E82EB2F"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F852AC6"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E8DB5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2C6D512" w14:textId="77777777">
            <w:pPr>
              <w:keepNext/>
            </w:pPr>
          </w:p>
        </w:tc>
      </w:tr>
      <w:tr w14:paraId="4C4925A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032B313" w14:textId="77777777">
            <w:pPr>
              <w:pStyle w:val="ColumnHeading"/>
              <w:keepNext/>
              <w:rPr>
                <w:lang w:val="en-GB"/>
              </w:rPr>
            </w:pPr>
            <w:r w:rsidRPr="002B4A69">
              <w:rPr>
                <w:lang w:val="en-GB"/>
              </w:rPr>
              <w:t>Text proposed by the Commission</w:t>
            </w:r>
          </w:p>
        </w:tc>
        <w:tc>
          <w:tcPr>
            <w:tcW w:w="4876" w:type="dxa"/>
          </w:tcPr>
          <w:p w:rsidR="001F04EE" w:rsidRPr="002B4A69" w:rsidP="00723F81" w14:paraId="140CDB63" w14:textId="77777777">
            <w:pPr>
              <w:pStyle w:val="ColumnHeading"/>
              <w:keepNext/>
              <w:rPr>
                <w:lang w:val="en-GB"/>
              </w:rPr>
            </w:pPr>
            <w:r w:rsidRPr="002B4A69">
              <w:rPr>
                <w:lang w:val="en-GB"/>
              </w:rPr>
              <w:t>Amendment</w:t>
            </w:r>
          </w:p>
        </w:tc>
      </w:tr>
      <w:tr w14:paraId="244D217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D3561F6" w14:textId="77777777">
            <w:pPr>
              <w:pStyle w:val="Normal6"/>
              <w:rPr>
                <w:lang w:val="en-GB"/>
              </w:rPr>
            </w:pPr>
            <w:r w:rsidRPr="002B4A69">
              <w:rPr>
                <w:b/>
                <w:i/>
                <w:lang w:val="en-GB"/>
              </w:rPr>
              <w:t>(78)</w:t>
            </w:r>
            <w:r w:rsidRPr="002B4A69">
              <w:rPr>
                <w:b/>
                <w:i/>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w:t>
            </w:r>
            <w:r w:rsidRPr="002B4A69">
              <w:rPr>
                <w:b/>
                <w:i/>
                <w:lang w:val="en-GB"/>
              </w:rPr>
              <w:t xml:space="preserve">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b/>
                <w:i/>
                <w:lang w:val="en-GB"/>
              </w:rPr>
              <w:t>in light of</w:t>
            </w:r>
            <w:r w:rsidRPr="002B4A69">
              <w:rPr>
                <w:b/>
                <w:i/>
                <w:lang w:val="en-GB"/>
              </w:rPr>
              <w:t xml:space="preserve"> these developments and any unintended consequences.</w:t>
            </w:r>
          </w:p>
        </w:tc>
        <w:tc>
          <w:tcPr>
            <w:tcW w:w="4876" w:type="dxa"/>
          </w:tcPr>
          <w:p w:rsidR="001F04EE" w:rsidRPr="002B4A69" w:rsidP="00723F81" w14:paraId="73FBF75A" w14:textId="77777777">
            <w:pPr>
              <w:pStyle w:val="Normal6"/>
              <w:rPr>
                <w:szCs w:val="24"/>
                <w:lang w:val="en-GB"/>
              </w:rPr>
            </w:pPr>
            <w:r w:rsidRPr="002B4A69">
              <w:rPr>
                <w:b/>
                <w:i/>
                <w:lang w:val="en-GB"/>
              </w:rPr>
              <w:t>deleted</w:t>
            </w:r>
          </w:p>
        </w:tc>
      </w:tr>
    </w:tbl>
    <w:p w:rsidR="001F04EE" w:rsidRPr="002B4A69" w:rsidP="001F04EE" w14:paraId="3E0ACAE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F169127" w14:textId="77777777">
      <w:r w:rsidRPr="002B4A69">
        <w:rPr>
          <w:rStyle w:val="HideTWBExt"/>
        </w:rPr>
        <w:t>&lt;/Amend&gt;</w:t>
      </w:r>
    </w:p>
    <w:p w:rsidR="001F04EE" w:rsidRPr="002B4A69" w:rsidP="001F04EE" w14:paraId="762DFD8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594</w:t>
      </w:r>
      <w:r w:rsidRPr="002B4A69">
        <w:rPr>
          <w:rStyle w:val="HideTWBExt"/>
          <w:b w:val="0"/>
          <w:lang w:val="en-GB"/>
        </w:rPr>
        <w:t>&lt;/NumAm&gt;</w:t>
      </w:r>
    </w:p>
    <w:p w:rsidR="001F04EE" w:rsidRPr="002B4A69" w:rsidP="001F04EE" w14:paraId="5D63EA8D"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5D29FA37" w14:textId="77777777">
      <w:r w:rsidRPr="002B4A69">
        <w:rPr>
          <w:rStyle w:val="HideTWBExt"/>
        </w:rPr>
        <w:t>&lt;/RepeatBlock-By&gt;</w:t>
      </w:r>
    </w:p>
    <w:p w:rsidR="001F04EE" w:rsidRPr="002B4A69" w:rsidP="001F04EE" w14:paraId="2E70E56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C1D5697"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8D60B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C8FC535" w14:textId="77777777">
            <w:pPr>
              <w:keepNext/>
            </w:pPr>
          </w:p>
        </w:tc>
      </w:tr>
      <w:tr w14:paraId="672634A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4C50E5F" w14:textId="77777777">
            <w:pPr>
              <w:pStyle w:val="ColumnHeading"/>
              <w:keepNext/>
              <w:rPr>
                <w:lang w:val="en-GB"/>
              </w:rPr>
            </w:pPr>
            <w:r w:rsidRPr="002B4A69">
              <w:rPr>
                <w:lang w:val="en-GB"/>
              </w:rPr>
              <w:t>Text proposed by the Commission</w:t>
            </w:r>
          </w:p>
        </w:tc>
        <w:tc>
          <w:tcPr>
            <w:tcW w:w="4876" w:type="dxa"/>
          </w:tcPr>
          <w:p w:rsidR="001F04EE" w:rsidRPr="002B4A69" w:rsidP="00723F81" w14:paraId="56C538F0" w14:textId="77777777">
            <w:pPr>
              <w:pStyle w:val="ColumnHeading"/>
              <w:keepNext/>
              <w:rPr>
                <w:lang w:val="en-GB"/>
              </w:rPr>
            </w:pPr>
            <w:r w:rsidRPr="002B4A69">
              <w:rPr>
                <w:lang w:val="en-GB"/>
              </w:rPr>
              <w:t>Amendment</w:t>
            </w:r>
          </w:p>
        </w:tc>
      </w:tr>
      <w:tr w14:paraId="4DF3102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FBE4F2B" w14:textId="77777777">
            <w:pPr>
              <w:pStyle w:val="Normal6"/>
              <w:rPr>
                <w:lang w:val="en-GB"/>
              </w:rPr>
            </w:pPr>
            <w:r w:rsidRPr="002B4A69">
              <w:rPr>
                <w:b/>
                <w:i/>
                <w:lang w:val="en-GB"/>
              </w:rPr>
              <w:t>(78)</w:t>
            </w:r>
            <w:r w:rsidRPr="002B4A69">
              <w:rPr>
                <w:b/>
                <w:i/>
                <w:lang w:val="en-GB"/>
              </w:rPr>
              <w:tab/>
              <w:t xml:space="preserve">The extension of the carbon price to municipal waste incineration should be accompanied by effective measures to continue reducing landfilling and avoid unintended consequences in terms of waste diversion contrary to the waste </w:t>
            </w:r>
            <w:r w:rsidRPr="002B4A69">
              <w:rPr>
                <w:b/>
                <w:i/>
                <w:lang w:val="en-GB"/>
              </w:rPr>
              <w:t xml:space="preserve">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w:t>
            </w:r>
            <w:r w:rsidRPr="002B4A69">
              <w:rPr>
                <w:b/>
                <w:i/>
                <w:lang w:val="en-GB"/>
              </w:rPr>
              <w:t xml:space="preserve">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b/>
                <w:i/>
                <w:lang w:val="en-GB"/>
              </w:rPr>
              <w:t>in light of</w:t>
            </w:r>
            <w:r w:rsidRPr="002B4A69">
              <w:rPr>
                <w:b/>
                <w:i/>
                <w:lang w:val="en-GB"/>
              </w:rPr>
              <w:t xml:space="preserve"> these developments and any unintended consequences.</w:t>
            </w:r>
          </w:p>
        </w:tc>
        <w:tc>
          <w:tcPr>
            <w:tcW w:w="4876" w:type="dxa"/>
          </w:tcPr>
          <w:p w:rsidR="001F04EE" w:rsidRPr="002B4A69" w:rsidP="00723F81" w14:paraId="02F00B6D" w14:textId="77777777">
            <w:pPr>
              <w:pStyle w:val="Normal6"/>
              <w:rPr>
                <w:szCs w:val="24"/>
                <w:lang w:val="en-GB"/>
              </w:rPr>
            </w:pPr>
            <w:r w:rsidRPr="002B4A69">
              <w:rPr>
                <w:b/>
                <w:i/>
                <w:lang w:val="en-GB"/>
              </w:rPr>
              <w:t>deleted</w:t>
            </w:r>
          </w:p>
        </w:tc>
      </w:tr>
    </w:tbl>
    <w:p w:rsidR="001F04EE" w:rsidRPr="002B4A69" w:rsidP="001F04EE" w14:paraId="00C0049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17DADFC" w14:textId="77777777">
      <w:r w:rsidRPr="002B4A69">
        <w:rPr>
          <w:rStyle w:val="HideTWBExt"/>
        </w:rPr>
        <w:t>&lt;/Amend&gt;</w:t>
      </w:r>
    </w:p>
    <w:p w:rsidR="001F04EE" w:rsidRPr="002B4A69" w:rsidP="001F04EE" w14:paraId="3FB2C61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595</w:t>
      </w:r>
      <w:r w:rsidRPr="002B4A69">
        <w:rPr>
          <w:rStyle w:val="HideTWBExt"/>
          <w:b w:val="0"/>
          <w:lang w:val="en-GB"/>
        </w:rPr>
        <w:t>&lt;/NumAm&gt;</w:t>
      </w:r>
    </w:p>
    <w:p w:rsidR="001F04EE" w:rsidRPr="002B4A69" w:rsidP="001F04EE" w14:paraId="48657C67" w14:textId="77777777">
      <w:pPr>
        <w:pStyle w:val="NormalBold"/>
      </w:pPr>
      <w:r w:rsidRPr="002B4A69">
        <w:rPr>
          <w:rStyle w:val="HideTWBExt"/>
          <w:b w:val="0"/>
        </w:rPr>
        <w:t>&lt;RepeatBlock-By&gt;&lt;Members&gt;</w:t>
      </w:r>
      <w:r w:rsidRPr="002B4A69">
        <w:t>Günther Sidl</w:t>
      </w:r>
      <w:r w:rsidRPr="002B4A69">
        <w:rPr>
          <w:rStyle w:val="HideTWBExt"/>
          <w:b w:val="0"/>
        </w:rPr>
        <w:t>&lt;/Members&gt;</w:t>
      </w:r>
    </w:p>
    <w:p w:rsidR="001F04EE" w:rsidRPr="002B4A69" w:rsidP="001F04EE" w14:paraId="7862496A" w14:textId="77777777">
      <w:r w:rsidRPr="002B4A69">
        <w:rPr>
          <w:rStyle w:val="HideTWBExt"/>
        </w:rPr>
        <w:t>&lt;/RepeatBlock-By&gt;</w:t>
      </w:r>
    </w:p>
    <w:p w:rsidR="001F04EE" w:rsidRPr="002B4A69" w:rsidP="001F04EE" w14:paraId="6DA76B14"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AC3DCF8"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E76B2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700F5ED" w14:textId="77777777">
            <w:pPr>
              <w:keepNext/>
            </w:pPr>
          </w:p>
        </w:tc>
      </w:tr>
      <w:tr w14:paraId="7844A75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B0679C7" w14:textId="77777777">
            <w:pPr>
              <w:pStyle w:val="ColumnHeading"/>
              <w:keepNext/>
              <w:rPr>
                <w:lang w:val="en-GB"/>
              </w:rPr>
            </w:pPr>
            <w:r w:rsidRPr="002B4A69">
              <w:rPr>
                <w:lang w:val="en-GB"/>
              </w:rPr>
              <w:t>Text proposed by the Commission</w:t>
            </w:r>
          </w:p>
        </w:tc>
        <w:tc>
          <w:tcPr>
            <w:tcW w:w="4876" w:type="dxa"/>
          </w:tcPr>
          <w:p w:rsidR="001F04EE" w:rsidRPr="002B4A69" w:rsidP="00723F81" w14:paraId="427AB37D" w14:textId="77777777">
            <w:pPr>
              <w:pStyle w:val="ColumnHeading"/>
              <w:keepNext/>
              <w:rPr>
                <w:lang w:val="en-GB"/>
              </w:rPr>
            </w:pPr>
            <w:r w:rsidRPr="002B4A69">
              <w:rPr>
                <w:lang w:val="en-GB"/>
              </w:rPr>
              <w:t>Amendment</w:t>
            </w:r>
          </w:p>
        </w:tc>
      </w:tr>
      <w:tr w14:paraId="7A7A66A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CD481C7" w14:textId="77777777">
            <w:pPr>
              <w:pStyle w:val="Normal6"/>
              <w:rPr>
                <w:lang w:val="en-GB"/>
              </w:rPr>
            </w:pPr>
            <w:r w:rsidRPr="002B4A69">
              <w:rPr>
                <w:b/>
                <w:i/>
                <w:lang w:val="en-GB"/>
              </w:rPr>
              <w:t>(78)</w:t>
            </w:r>
            <w:r w:rsidRPr="002B4A69">
              <w:rPr>
                <w:b/>
                <w:i/>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w:t>
            </w:r>
            <w:r w:rsidRPr="002B4A69">
              <w:rPr>
                <w:b/>
                <w:i/>
                <w:lang w:val="en-GB"/>
              </w:rPr>
              <w:t xml:space="preserve">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b/>
                <w:i/>
                <w:lang w:val="en-GB"/>
              </w:rPr>
              <w:t>in light of</w:t>
            </w:r>
            <w:r w:rsidRPr="002B4A69">
              <w:rPr>
                <w:b/>
                <w:i/>
                <w:lang w:val="en-GB"/>
              </w:rPr>
              <w:t xml:space="preserve"> these developments and any unintended consequences.</w:t>
            </w:r>
          </w:p>
        </w:tc>
        <w:tc>
          <w:tcPr>
            <w:tcW w:w="4876" w:type="dxa"/>
          </w:tcPr>
          <w:p w:rsidR="001F04EE" w:rsidRPr="002B4A69" w:rsidP="00723F81" w14:paraId="7F83B317" w14:textId="77777777">
            <w:pPr>
              <w:pStyle w:val="Normal6"/>
              <w:rPr>
                <w:szCs w:val="24"/>
                <w:lang w:val="en-GB"/>
              </w:rPr>
            </w:pPr>
            <w:r w:rsidRPr="002B4A69">
              <w:rPr>
                <w:b/>
                <w:i/>
                <w:lang w:val="en-GB"/>
              </w:rPr>
              <w:t>deleted</w:t>
            </w:r>
          </w:p>
        </w:tc>
      </w:tr>
    </w:tbl>
    <w:p w:rsidR="001F04EE" w:rsidRPr="002B4A69" w:rsidP="001F04EE" w14:paraId="44C1D54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B2034A6" w14:textId="77777777">
      <w:r w:rsidRPr="002B4A69">
        <w:rPr>
          <w:rStyle w:val="HideTWBExt"/>
        </w:rPr>
        <w:t>&lt;/Amend&gt;</w:t>
      </w:r>
    </w:p>
    <w:p w:rsidR="001F04EE" w:rsidRPr="002B4A69" w:rsidP="001F04EE" w14:paraId="1C1A05C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596</w:t>
      </w:r>
      <w:r w:rsidRPr="002B4A69">
        <w:rPr>
          <w:rStyle w:val="HideTWBExt"/>
          <w:b w:val="0"/>
          <w:lang w:val="en-GB"/>
        </w:rPr>
        <w:t>&lt;/NumAm&gt;</w:t>
      </w:r>
    </w:p>
    <w:p w:rsidR="001F04EE" w:rsidRPr="002B4A69" w:rsidP="001F04EE" w14:paraId="2D5C0B05" w14:textId="77777777">
      <w:pPr>
        <w:pStyle w:val="NormalBold"/>
      </w:pPr>
      <w:r w:rsidRPr="002B4A69">
        <w:rPr>
          <w:rStyle w:val="HideTWBExt"/>
          <w:b w:val="0"/>
        </w:rPr>
        <w:t>&lt;RepeatBlock-By&gt;&lt;Members&gt;</w:t>
      </w:r>
      <w:r w:rsidRPr="002B4A69">
        <w:t>Grégory Allione</w:t>
      </w:r>
      <w:r w:rsidRPr="002B4A69">
        <w:rPr>
          <w:rStyle w:val="HideTWBExt"/>
          <w:b w:val="0"/>
        </w:rPr>
        <w:t>&lt;/Members&gt;</w:t>
      </w:r>
    </w:p>
    <w:p w:rsidR="001F04EE" w:rsidRPr="002B4A69" w:rsidP="001F04EE" w14:paraId="3F1F77FD" w14:textId="77777777">
      <w:r w:rsidRPr="002B4A69">
        <w:rPr>
          <w:rStyle w:val="HideTWBExt"/>
        </w:rPr>
        <w:t>&lt;/RepeatBlock-By&gt;</w:t>
      </w:r>
    </w:p>
    <w:p w:rsidR="001F04EE" w:rsidRPr="002B4A69" w:rsidP="001F04EE" w14:paraId="354AEF1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6C31874"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9CBAF9"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58DDE79" w14:textId="77777777">
            <w:pPr>
              <w:keepNext/>
            </w:pPr>
          </w:p>
        </w:tc>
      </w:tr>
      <w:tr w14:paraId="2CF108B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BDB555" w14:textId="77777777">
            <w:pPr>
              <w:pStyle w:val="ColumnHeading"/>
              <w:keepNext/>
              <w:rPr>
                <w:lang w:val="en-GB"/>
              </w:rPr>
            </w:pPr>
            <w:r w:rsidRPr="002B4A69">
              <w:rPr>
                <w:lang w:val="en-GB"/>
              </w:rPr>
              <w:t>Text proposed by the Commission</w:t>
            </w:r>
          </w:p>
        </w:tc>
        <w:tc>
          <w:tcPr>
            <w:tcW w:w="4876" w:type="dxa"/>
          </w:tcPr>
          <w:p w:rsidR="001F04EE" w:rsidRPr="002B4A69" w:rsidP="00723F81" w14:paraId="11E22D50" w14:textId="77777777">
            <w:pPr>
              <w:pStyle w:val="ColumnHeading"/>
              <w:keepNext/>
              <w:rPr>
                <w:lang w:val="en-GB"/>
              </w:rPr>
            </w:pPr>
            <w:r w:rsidRPr="002B4A69">
              <w:rPr>
                <w:lang w:val="en-GB"/>
              </w:rPr>
              <w:t>Amendment</w:t>
            </w:r>
          </w:p>
        </w:tc>
      </w:tr>
      <w:tr w14:paraId="36CCC91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5E8263A" w14:textId="77777777">
            <w:pPr>
              <w:pStyle w:val="Normal6"/>
              <w:rPr>
                <w:lang w:val="en-GB"/>
              </w:rPr>
            </w:pPr>
            <w:r w:rsidRPr="002B4A69">
              <w:rPr>
                <w:b/>
                <w:i/>
                <w:lang w:val="en-GB"/>
              </w:rPr>
              <w:t>(78)</w:t>
            </w:r>
            <w:r w:rsidRPr="002B4A69">
              <w:rPr>
                <w:b/>
                <w:i/>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w:t>
            </w:r>
            <w:r w:rsidRPr="002B4A69">
              <w:rPr>
                <w:b/>
                <w:i/>
                <w:lang w:val="en-GB"/>
              </w:rPr>
              <w:t xml:space="preserve">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b/>
                <w:i/>
                <w:lang w:val="en-GB"/>
              </w:rPr>
              <w:t>in light of</w:t>
            </w:r>
            <w:r w:rsidRPr="002B4A69">
              <w:rPr>
                <w:b/>
                <w:i/>
                <w:lang w:val="en-GB"/>
              </w:rPr>
              <w:t xml:space="preserve"> these developments and any unintended consequences.</w:t>
            </w:r>
          </w:p>
        </w:tc>
        <w:tc>
          <w:tcPr>
            <w:tcW w:w="4876" w:type="dxa"/>
          </w:tcPr>
          <w:p w:rsidR="001F04EE" w:rsidRPr="002B4A69" w:rsidP="00723F81" w14:paraId="260F5F6E" w14:textId="77777777">
            <w:pPr>
              <w:pStyle w:val="Normal6"/>
              <w:rPr>
                <w:szCs w:val="24"/>
                <w:lang w:val="en-GB"/>
              </w:rPr>
            </w:pPr>
            <w:r w:rsidRPr="002B4A69">
              <w:rPr>
                <w:b/>
                <w:i/>
                <w:lang w:val="en-GB"/>
              </w:rPr>
              <w:t>deleted</w:t>
            </w:r>
          </w:p>
        </w:tc>
      </w:tr>
    </w:tbl>
    <w:p w:rsidR="001F04EE" w:rsidRPr="002B4A69" w:rsidP="001F04EE" w14:paraId="694A5D4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4EA41CA" w14:textId="77777777">
      <w:r w:rsidRPr="002B4A69">
        <w:rPr>
          <w:rStyle w:val="HideTWBExt"/>
        </w:rPr>
        <w:t>&lt;/Amend&gt;</w:t>
      </w:r>
    </w:p>
    <w:p w:rsidR="001F04EE" w:rsidRPr="002B4A69" w:rsidP="001F04EE" w14:paraId="43AADE0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597</w:t>
      </w:r>
      <w:r w:rsidRPr="002B4A69">
        <w:rPr>
          <w:rStyle w:val="HideTWBExt"/>
          <w:b w:val="0"/>
          <w:lang w:val="en-GB"/>
        </w:rPr>
        <w:t>&lt;/NumAm&gt;</w:t>
      </w:r>
    </w:p>
    <w:p w:rsidR="001F04EE" w:rsidRPr="002B4A69" w:rsidP="001F04EE" w14:paraId="0D14AEA1" w14:textId="77777777">
      <w:pPr>
        <w:pStyle w:val="NormalBold"/>
      </w:pPr>
      <w:r w:rsidRPr="002B4A69">
        <w:rPr>
          <w:rStyle w:val="HideTWBExt"/>
          <w:b w:val="0"/>
        </w:rPr>
        <w:t>&lt;RepeatBlock-By&gt;&lt;Members&gt;</w:t>
      </w:r>
      <w:r w:rsidRPr="002B4A69">
        <w:t>Jorge Buxadé Villalba, Roman Haider, Antonín Staněk, Silvia Sardone, Marie-Luce Brasier-Clain, Mathilde Androuët, Anne-Sophie Frigout</w:t>
      </w:r>
      <w:r w:rsidRPr="002B4A69">
        <w:rPr>
          <w:rStyle w:val="HideTWBExt"/>
          <w:b w:val="0"/>
        </w:rPr>
        <w:t>&lt;/Members&gt;</w:t>
      </w:r>
    </w:p>
    <w:p w:rsidR="001F04EE" w:rsidRPr="002B4A69" w:rsidP="001F04EE" w14:paraId="6D7C022B" w14:textId="77777777">
      <w:r w:rsidRPr="002B4A69">
        <w:rPr>
          <w:rStyle w:val="HideTWBExt"/>
        </w:rPr>
        <w:t>&lt;/RepeatBlock-By&gt;</w:t>
      </w:r>
    </w:p>
    <w:p w:rsidR="001F04EE" w:rsidRPr="002B4A69" w:rsidP="001F04EE" w14:paraId="496C27D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541B654"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3027C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4FC9014" w14:textId="77777777">
            <w:pPr>
              <w:keepNext/>
            </w:pPr>
          </w:p>
        </w:tc>
      </w:tr>
      <w:tr w14:paraId="391E7D7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A7204CE" w14:textId="77777777">
            <w:pPr>
              <w:pStyle w:val="ColumnHeading"/>
              <w:keepNext/>
              <w:rPr>
                <w:lang w:val="en-GB"/>
              </w:rPr>
            </w:pPr>
            <w:r w:rsidRPr="002B4A69">
              <w:rPr>
                <w:lang w:val="en-GB"/>
              </w:rPr>
              <w:t>Text proposed by the Commission</w:t>
            </w:r>
          </w:p>
        </w:tc>
        <w:tc>
          <w:tcPr>
            <w:tcW w:w="4876" w:type="dxa"/>
          </w:tcPr>
          <w:p w:rsidR="001F04EE" w:rsidRPr="002B4A69" w:rsidP="00723F81" w14:paraId="332F500B" w14:textId="77777777">
            <w:pPr>
              <w:pStyle w:val="ColumnHeading"/>
              <w:keepNext/>
              <w:rPr>
                <w:lang w:val="en-GB"/>
              </w:rPr>
            </w:pPr>
            <w:r w:rsidRPr="002B4A69">
              <w:rPr>
                <w:lang w:val="en-GB"/>
              </w:rPr>
              <w:t>Amendment</w:t>
            </w:r>
          </w:p>
        </w:tc>
      </w:tr>
      <w:tr w14:paraId="417E791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1C09619" w14:textId="77777777">
            <w:pPr>
              <w:pStyle w:val="Normal6"/>
              <w:rPr>
                <w:lang w:val="en-GB"/>
              </w:rPr>
            </w:pPr>
            <w:r w:rsidRPr="002B4A69">
              <w:rPr>
                <w:b/>
                <w:i/>
                <w:lang w:val="en-GB"/>
              </w:rPr>
              <w:t>(78)</w:t>
            </w:r>
            <w:r w:rsidRPr="002B4A69">
              <w:rPr>
                <w:b/>
                <w:i/>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w:t>
            </w:r>
            <w:r w:rsidRPr="002B4A69">
              <w:rPr>
                <w:b/>
                <w:i/>
                <w:lang w:val="en-GB"/>
              </w:rPr>
              <w:t xml:space="preserve">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b/>
                <w:i/>
                <w:lang w:val="en-GB"/>
              </w:rPr>
              <w:t>in light of</w:t>
            </w:r>
            <w:r w:rsidRPr="002B4A69">
              <w:rPr>
                <w:b/>
                <w:i/>
                <w:lang w:val="en-GB"/>
              </w:rPr>
              <w:t xml:space="preserve"> these developments and any unintended consequences.</w:t>
            </w:r>
          </w:p>
        </w:tc>
        <w:tc>
          <w:tcPr>
            <w:tcW w:w="4876" w:type="dxa"/>
          </w:tcPr>
          <w:p w:rsidR="001F04EE" w:rsidRPr="002B4A69" w:rsidP="00723F81" w14:paraId="344B22B0" w14:textId="77777777">
            <w:pPr>
              <w:pStyle w:val="Normal6"/>
              <w:rPr>
                <w:szCs w:val="24"/>
                <w:lang w:val="en-GB"/>
              </w:rPr>
            </w:pPr>
            <w:r w:rsidRPr="002B4A69">
              <w:rPr>
                <w:b/>
                <w:i/>
                <w:lang w:val="en-GB"/>
              </w:rPr>
              <w:t>deleted</w:t>
            </w:r>
          </w:p>
        </w:tc>
      </w:tr>
    </w:tbl>
    <w:p w:rsidR="001F04EE" w:rsidRPr="002B4A69" w:rsidP="001F04EE" w14:paraId="2BF8B90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FDE3E0A" w14:textId="77777777">
      <w:r w:rsidRPr="002B4A69">
        <w:rPr>
          <w:rStyle w:val="HideTWBExt"/>
        </w:rPr>
        <w:t>&lt;/Amend&gt;</w:t>
      </w:r>
    </w:p>
    <w:p w:rsidR="001F04EE" w:rsidRPr="002B4A69" w:rsidP="001F04EE" w14:paraId="55FC3B3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598</w:t>
      </w:r>
      <w:r w:rsidRPr="002B4A69">
        <w:rPr>
          <w:rStyle w:val="HideTWBExt"/>
          <w:b w:val="0"/>
          <w:lang w:val="en-GB"/>
        </w:rPr>
        <w:t>&lt;/NumAm&gt;</w:t>
      </w:r>
    </w:p>
    <w:p w:rsidR="001F04EE" w:rsidRPr="002B4A69" w:rsidP="001F04EE" w14:paraId="487774A8" w14:textId="77777777">
      <w:pPr>
        <w:pStyle w:val="NormalBold"/>
      </w:pPr>
      <w:r w:rsidRPr="002B4A69">
        <w:rPr>
          <w:rStyle w:val="HideTWBExt"/>
          <w:b w:val="0"/>
        </w:rPr>
        <w:t>&lt;RepeatBlock-By&gt;&lt;Members&gt;</w:t>
      </w:r>
      <w:r w:rsidRPr="002B4A69">
        <w:t>Marie-Luce Brasier-Clain, Anne-Sophie Frigout, Mathilde Androuët, Valérie Deloge, Ondřej Knotek, Jana Nagyová, Barbara Bonte</w:t>
      </w:r>
      <w:r w:rsidRPr="002B4A69">
        <w:rPr>
          <w:rStyle w:val="HideTWBExt"/>
          <w:b w:val="0"/>
        </w:rPr>
        <w:t>&lt;/Members&gt;</w:t>
      </w:r>
    </w:p>
    <w:p w:rsidR="001F04EE" w:rsidRPr="002B4A69" w:rsidP="001F04EE" w14:paraId="29C3312A" w14:textId="77777777">
      <w:r w:rsidRPr="002B4A69">
        <w:rPr>
          <w:rStyle w:val="HideTWBExt"/>
        </w:rPr>
        <w:t>&lt;/RepeatBlock-By&gt;</w:t>
      </w:r>
    </w:p>
    <w:p w:rsidR="001F04EE" w:rsidRPr="002B4A69" w:rsidP="001F04EE" w14:paraId="4041F3D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D3397C8"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10B2C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F529AFC" w14:textId="77777777">
            <w:pPr>
              <w:keepNext/>
            </w:pPr>
          </w:p>
        </w:tc>
      </w:tr>
      <w:tr w14:paraId="3718AA2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EA65DAB" w14:textId="77777777">
            <w:pPr>
              <w:pStyle w:val="ColumnHeading"/>
              <w:keepNext/>
              <w:rPr>
                <w:lang w:val="en-GB"/>
              </w:rPr>
            </w:pPr>
            <w:r w:rsidRPr="002B4A69">
              <w:rPr>
                <w:lang w:val="en-GB"/>
              </w:rPr>
              <w:t>Text proposed by the Commission</w:t>
            </w:r>
          </w:p>
        </w:tc>
        <w:tc>
          <w:tcPr>
            <w:tcW w:w="4876" w:type="dxa"/>
          </w:tcPr>
          <w:p w:rsidR="001F04EE" w:rsidRPr="002B4A69" w:rsidP="00723F81" w14:paraId="2F6454DF" w14:textId="77777777">
            <w:pPr>
              <w:pStyle w:val="ColumnHeading"/>
              <w:keepNext/>
              <w:rPr>
                <w:lang w:val="en-GB"/>
              </w:rPr>
            </w:pPr>
            <w:r w:rsidRPr="002B4A69">
              <w:rPr>
                <w:lang w:val="en-GB"/>
              </w:rPr>
              <w:t>Amendment</w:t>
            </w:r>
          </w:p>
        </w:tc>
      </w:tr>
      <w:tr w14:paraId="420904B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84399E4" w14:textId="77777777">
            <w:pPr>
              <w:pStyle w:val="Normal6"/>
              <w:rPr>
                <w:lang w:val="en-GB"/>
              </w:rPr>
            </w:pPr>
            <w:r w:rsidRPr="002B4A69">
              <w:rPr>
                <w:b/>
                <w:i/>
                <w:lang w:val="en-GB"/>
              </w:rPr>
              <w:t>[...]</w:t>
            </w:r>
          </w:p>
        </w:tc>
        <w:tc>
          <w:tcPr>
            <w:tcW w:w="4876" w:type="dxa"/>
          </w:tcPr>
          <w:p w:rsidR="001F04EE" w:rsidRPr="002B4A69" w:rsidP="00723F81" w14:paraId="64739ADD" w14:textId="77777777">
            <w:pPr>
              <w:pStyle w:val="Normal6"/>
              <w:rPr>
                <w:szCs w:val="24"/>
                <w:lang w:val="en-GB"/>
              </w:rPr>
            </w:pPr>
            <w:r w:rsidRPr="002B4A69">
              <w:rPr>
                <w:b/>
                <w:i/>
                <w:lang w:val="en-GB"/>
              </w:rPr>
              <w:t>deleted</w:t>
            </w:r>
          </w:p>
        </w:tc>
      </w:tr>
    </w:tbl>
    <w:p w:rsidR="001F04EE" w:rsidRPr="002B4A69" w:rsidP="001F04EE" w14:paraId="6F07116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7D32D72E" w14:textId="77777777">
      <w:r w:rsidRPr="002B4A69">
        <w:rPr>
          <w:rStyle w:val="HideTWBExt"/>
        </w:rPr>
        <w:t>&lt;/Amend&gt;</w:t>
      </w:r>
    </w:p>
    <w:p w:rsidR="001F04EE" w:rsidRPr="002B4A69" w:rsidP="001F04EE" w14:paraId="53B4BBF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599</w:t>
      </w:r>
      <w:r w:rsidRPr="002B4A69">
        <w:rPr>
          <w:rStyle w:val="HideTWBExt"/>
          <w:b w:val="0"/>
          <w:lang w:val="en-GB"/>
        </w:rPr>
        <w:t>&lt;/NumAm&gt;</w:t>
      </w:r>
    </w:p>
    <w:p w:rsidR="001F04EE" w:rsidRPr="002B4A69" w:rsidP="001F04EE" w14:paraId="579AC127" w14:textId="77777777">
      <w:pPr>
        <w:pStyle w:val="NormalBold"/>
      </w:pPr>
      <w:r w:rsidRPr="002B4A69">
        <w:rPr>
          <w:rStyle w:val="HideTWBExt"/>
          <w:b w:val="0"/>
        </w:rPr>
        <w:t>&lt;RepeatBlock-By&gt;&lt;Members&gt;</w:t>
      </w:r>
      <w:r w:rsidRPr="002B4A69">
        <w:t>Emma Wiesner, Yvan Verougstraete, Karin Karlsbro, Jeannette Baljeu</w:t>
      </w:r>
      <w:r w:rsidRPr="002B4A69">
        <w:rPr>
          <w:rStyle w:val="HideTWBExt"/>
          <w:b w:val="0"/>
        </w:rPr>
        <w:t>&lt;/Members&gt;</w:t>
      </w:r>
    </w:p>
    <w:p w:rsidR="001F04EE" w:rsidRPr="002B4A69" w:rsidP="001F04EE" w14:paraId="66F0D347" w14:textId="77777777">
      <w:r w:rsidRPr="002B4A69">
        <w:rPr>
          <w:rStyle w:val="HideTWBExt"/>
        </w:rPr>
        <w:t>&lt;/RepeatBlock-By&gt;</w:t>
      </w:r>
    </w:p>
    <w:p w:rsidR="001F04EE" w:rsidRPr="002B4A69" w:rsidP="001F04EE" w14:paraId="3FE62A0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BE72335"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47117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D3EB232" w14:textId="77777777">
            <w:pPr>
              <w:keepNext/>
            </w:pPr>
          </w:p>
        </w:tc>
      </w:tr>
      <w:tr w14:paraId="16A3014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674D778" w14:textId="77777777">
            <w:pPr>
              <w:pStyle w:val="ColumnHeading"/>
              <w:keepNext/>
              <w:rPr>
                <w:lang w:val="en-GB"/>
              </w:rPr>
            </w:pPr>
            <w:r w:rsidRPr="002B4A69">
              <w:rPr>
                <w:lang w:val="en-GB"/>
              </w:rPr>
              <w:t>Text proposed by the Commission</w:t>
            </w:r>
          </w:p>
        </w:tc>
        <w:tc>
          <w:tcPr>
            <w:tcW w:w="4876" w:type="dxa"/>
          </w:tcPr>
          <w:p w:rsidR="001F04EE" w:rsidRPr="002B4A69" w:rsidP="00723F81" w14:paraId="5B7AF201" w14:textId="77777777">
            <w:pPr>
              <w:pStyle w:val="ColumnHeading"/>
              <w:keepNext/>
              <w:rPr>
                <w:lang w:val="en-GB"/>
              </w:rPr>
            </w:pPr>
            <w:r w:rsidRPr="002B4A69">
              <w:rPr>
                <w:lang w:val="en-GB"/>
              </w:rPr>
              <w:t>Amendment</w:t>
            </w:r>
          </w:p>
        </w:tc>
      </w:tr>
      <w:tr w14:paraId="7F00ED1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674F6BC" w14:textId="77777777">
            <w:pPr>
              <w:pStyle w:val="Normal6"/>
              <w:rPr>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w:t>
            </w:r>
            <w:r w:rsidRPr="002B4A69">
              <w:rPr>
                <w:b/>
                <w:i/>
                <w:lang w:val="en-GB"/>
              </w:rPr>
              <w:t xml:space="preserve">Furthermore, monitoring and </w:t>
            </w:r>
            <w:r w:rsidRPr="002B4A69">
              <w:rPr>
                <w:b/>
                <w:i/>
                <w:lang w:val="en-GB"/>
              </w:rPr>
              <w:t>reporting, as well as verification and accreditation of emissions from landfilling of municipal waste should be developed in the future to monitor the development of methane emissions following the full extension of the EU ETS to emissions from municipal waste incineration.</w:t>
            </w:r>
            <w:r w:rsidRPr="002B4A69">
              <w:rPr>
                <w:lang w:val="en-GB"/>
              </w:rPr>
              <w:t xml:space="preserve">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w:t>
            </w:r>
            <w:r w:rsidRPr="002B4A69">
              <w:rPr>
                <w:b/>
                <w:i/>
                <w:lang w:val="en-GB"/>
              </w:rPr>
              <w:t>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w:t>
            </w:r>
            <w:r w:rsidRPr="002B4A69">
              <w:rPr>
                <w:lang w:val="en-GB"/>
              </w:rPr>
              <w:t xml:space="preserve"> Directive 2003/87/EC </w:t>
            </w:r>
            <w:r w:rsidRPr="002B4A69">
              <w:rPr>
                <w:b/>
                <w:i/>
                <w:lang w:val="en-GB"/>
              </w:rPr>
              <w:t xml:space="preserve">by 31 December 2034 </w:t>
            </w:r>
            <w:r w:rsidRPr="002B4A69">
              <w:rPr>
                <w:b/>
                <w:i/>
                <w:lang w:val="en-GB"/>
              </w:rPr>
              <w:t>in light of</w:t>
            </w:r>
            <w:r w:rsidRPr="002B4A69">
              <w:rPr>
                <w:b/>
                <w:i/>
                <w:lang w:val="en-GB"/>
              </w:rPr>
              <w:t xml:space="preserve"> these developments and any unintended consequences</w:t>
            </w:r>
            <w:r w:rsidRPr="002B4A69">
              <w:rPr>
                <w:lang w:val="en-GB"/>
              </w:rPr>
              <w:t>.</w:t>
            </w:r>
          </w:p>
        </w:tc>
        <w:tc>
          <w:tcPr>
            <w:tcW w:w="4876" w:type="dxa"/>
          </w:tcPr>
          <w:p w:rsidR="001F04EE" w:rsidRPr="002B4A69" w:rsidP="00723F81" w14:paraId="502A3A07" w14:textId="77777777">
            <w:pPr>
              <w:pStyle w:val="Normal6"/>
              <w:rPr>
                <w:szCs w:val="24"/>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Uncertainty in the quantification </w:t>
            </w:r>
            <w:r w:rsidRPr="002B4A69">
              <w:rPr>
                <w:lang w:val="en-GB"/>
              </w:rPr>
              <w:t>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w:t>
            </w:r>
            <w:r w:rsidRPr="002B4A69">
              <w:rPr>
                <w:b/>
                <w:i/>
                <w:lang w:val="en-GB"/>
              </w:rPr>
              <w:t>, following which monitoring and verifiation obligations in line with Articles 14 and 15 of</w:t>
            </w:r>
            <w:r w:rsidRPr="002B4A69">
              <w:rPr>
                <w:lang w:val="en-GB"/>
              </w:rPr>
              <w:t xml:space="preserve"> Directive 2003/87/EC </w:t>
            </w:r>
            <w:r w:rsidRPr="002B4A69">
              <w:rPr>
                <w:b/>
                <w:i/>
                <w:lang w:val="en-GB"/>
              </w:rPr>
              <w:t>should apply for CO</w:t>
            </w:r>
            <w:r w:rsidRPr="002B4A69">
              <w:rPr>
                <w:b/>
                <w:i/>
                <w:vertAlign w:val="subscript"/>
                <w:lang w:val="en-GB"/>
              </w:rPr>
              <w:t>2</w:t>
            </w:r>
            <w:r w:rsidRPr="002B4A69">
              <w:rPr>
                <w:lang w:val="en-GB"/>
              </w:rPr>
              <w:t xml:space="preserve"> </w:t>
            </w:r>
            <w:r w:rsidRPr="002B4A69">
              <w:rPr>
                <w:b/>
                <w:i/>
                <w:lang w:val="en-GB"/>
              </w:rPr>
              <w:t>and methane emissions from landfills</w:t>
            </w:r>
            <w:r w:rsidRPr="002B4A69">
              <w:rPr>
                <w:lang w:val="en-GB"/>
              </w:rPr>
              <w:t>.</w:t>
            </w:r>
          </w:p>
        </w:tc>
      </w:tr>
    </w:tbl>
    <w:p w:rsidR="001F04EE" w:rsidRPr="002B4A69" w:rsidP="001F04EE" w14:paraId="61938CC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48D7667"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720436C4" w14:textId="77777777">
      <w:pPr>
        <w:pStyle w:val="Normal12Italic"/>
        <w:rPr>
          <w:noProof w:val="0"/>
          <w:lang w:val="en-GB"/>
        </w:rPr>
      </w:pPr>
      <w:r w:rsidRPr="002B4A69">
        <w:rPr>
          <w:noProof w:val="0"/>
          <w:lang w:val="en-GB"/>
        </w:rPr>
        <w:t xml:space="preserve">Municipal waste incineration is a mature, well-characterised sector with MRV data already collected. We address the risk of waste diversion towards landfilling in response to rising carbon costs by extending the ETS scope to landfilling as well, and by deleting the possible </w:t>
      </w:r>
      <w:r w:rsidRPr="002B4A69">
        <w:rPr>
          <w:noProof w:val="0"/>
          <w:lang w:val="en-GB"/>
        </w:rPr>
        <w:t>opt-out.</w:t>
      </w:r>
    </w:p>
    <w:p w:rsidR="001F04EE" w:rsidRPr="002B4A69" w:rsidP="001F04EE" w14:paraId="26B5E608" w14:textId="77777777">
      <w:r w:rsidRPr="002B4A69">
        <w:rPr>
          <w:rStyle w:val="HideTWBExt"/>
        </w:rPr>
        <w:t>&lt;/Amend&gt;</w:t>
      </w:r>
    </w:p>
    <w:p w:rsidR="001F04EE" w:rsidRPr="002B4A69" w:rsidP="001F04EE" w14:paraId="1BBB9B2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600</w:t>
      </w:r>
      <w:r w:rsidRPr="002B4A69">
        <w:rPr>
          <w:rStyle w:val="HideTWBExt"/>
          <w:b w:val="0"/>
          <w:lang w:val="en-GB"/>
        </w:rPr>
        <w:t>&lt;/NumAm&gt;</w:t>
      </w:r>
    </w:p>
    <w:p w:rsidR="001F04EE" w:rsidRPr="002B4A69" w:rsidP="001F04EE" w14:paraId="073B1A4E" w14:textId="77777777">
      <w:pPr>
        <w:pStyle w:val="NormalBold"/>
      </w:pPr>
      <w:r w:rsidRPr="002B4A69">
        <w:rPr>
          <w:rStyle w:val="HideTWBExt"/>
          <w:b w:val="0"/>
        </w:rPr>
        <w:t>&lt;RepeatBlock-By&gt;&lt;Members&gt;</w:t>
      </w:r>
      <w:r w:rsidRPr="002B4A69">
        <w:t>Annalisa Corrado, Matteo Ricci, Alessandra Moretti, Giorgio Gori, Irene Tinagli</w:t>
      </w:r>
      <w:r w:rsidRPr="002B4A69">
        <w:rPr>
          <w:rStyle w:val="HideTWBExt"/>
          <w:b w:val="0"/>
        </w:rPr>
        <w:t>&lt;/Members&gt;</w:t>
      </w:r>
    </w:p>
    <w:p w:rsidR="001F04EE" w:rsidRPr="002B4A69" w:rsidP="001F04EE" w14:paraId="016CE999" w14:textId="77777777">
      <w:r w:rsidRPr="002B4A69">
        <w:rPr>
          <w:rStyle w:val="HideTWBExt"/>
        </w:rPr>
        <w:t>&lt;/RepeatBlock-By&gt;</w:t>
      </w:r>
    </w:p>
    <w:p w:rsidR="001F04EE" w:rsidRPr="002B4A69" w:rsidP="001F04EE" w14:paraId="4A4A3C1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CF03053"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CB732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57AA9A8" w14:textId="77777777">
            <w:pPr>
              <w:keepNext/>
            </w:pPr>
          </w:p>
        </w:tc>
      </w:tr>
      <w:tr w14:paraId="2423F2A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10CEF23" w14:textId="77777777">
            <w:pPr>
              <w:pStyle w:val="ColumnHeading"/>
              <w:keepNext/>
              <w:rPr>
                <w:lang w:val="en-GB"/>
              </w:rPr>
            </w:pPr>
            <w:r w:rsidRPr="002B4A69">
              <w:rPr>
                <w:lang w:val="en-GB"/>
              </w:rPr>
              <w:t>Text proposed by the Commission</w:t>
            </w:r>
          </w:p>
        </w:tc>
        <w:tc>
          <w:tcPr>
            <w:tcW w:w="4876" w:type="dxa"/>
          </w:tcPr>
          <w:p w:rsidR="001F04EE" w:rsidRPr="002B4A69" w:rsidP="00723F81" w14:paraId="783F015B" w14:textId="77777777">
            <w:pPr>
              <w:pStyle w:val="ColumnHeading"/>
              <w:keepNext/>
              <w:rPr>
                <w:lang w:val="en-GB"/>
              </w:rPr>
            </w:pPr>
            <w:r w:rsidRPr="002B4A69">
              <w:rPr>
                <w:lang w:val="en-GB"/>
              </w:rPr>
              <w:t>Amendment</w:t>
            </w:r>
          </w:p>
        </w:tc>
      </w:tr>
      <w:tr w14:paraId="1C53F9E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21FB3A1" w14:textId="77777777">
            <w:pPr>
              <w:pStyle w:val="Normal6"/>
              <w:rPr>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w:t>
            </w:r>
            <w:r w:rsidRPr="002B4A69">
              <w:rPr>
                <w:lang w:val="en-GB"/>
              </w:rPr>
              <w:t xml:space="preserve">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w:t>
            </w:r>
            <w:r w:rsidRPr="002B4A69">
              <w:rPr>
                <w:b/>
                <w:i/>
                <w:lang w:val="en-GB"/>
              </w:rPr>
              <w:t>full</w:t>
            </w:r>
            <w:r w:rsidRPr="002B4A69">
              <w:rPr>
                <w:lang w:val="en-GB"/>
              </w:rPr>
              <w:t xml:space="preserve"> integration of municipal waste incineration,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c>
          <w:tcPr>
            <w:tcW w:w="4876" w:type="dxa"/>
          </w:tcPr>
          <w:p w:rsidR="001F04EE" w:rsidRPr="002B4A69" w:rsidP="00723F81" w14:paraId="653AD03F" w14:textId="77777777">
            <w:pPr>
              <w:pStyle w:val="Normal6"/>
              <w:rPr>
                <w:szCs w:val="24"/>
                <w:lang w:val="en-GB"/>
              </w:rPr>
            </w:pPr>
            <w:r w:rsidRPr="002B4A69">
              <w:rPr>
                <w:lang w:val="en-GB"/>
              </w:rPr>
              <w:t>(78)</w:t>
            </w:r>
            <w:r w:rsidRPr="002B4A69">
              <w:rPr>
                <w:lang w:val="en-GB"/>
              </w:rPr>
              <w:tab/>
              <w:t>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w:t>
            </w:r>
            <w:r w:rsidRPr="002B4A69">
              <w:rPr>
                <w:b/>
                <w:i/>
                <w:lang w:val="en-GB"/>
              </w:rPr>
              <w:t xml:space="preserve">. In this context, landfills should not gain a competitive advantage </w:t>
            </w:r>
            <w:r w:rsidRPr="002B4A69">
              <w:rPr>
                <w:b/>
                <w:i/>
                <w:lang w:val="en-GB"/>
              </w:rPr>
              <w:t>as a result of</w:t>
            </w:r>
            <w:r w:rsidRPr="002B4A69">
              <w:rPr>
                <w:b/>
                <w:i/>
                <w:lang w:val="en-GB"/>
              </w:rPr>
              <w:t xml:space="preserve"> the inclusion of waste incineration and co-incineration in the EU ETS, </w:t>
            </w:r>
            <w:r w:rsidRPr="002B4A69">
              <w:rPr>
                <w:b/>
                <w:i/>
                <w:lang w:val="en-GB"/>
              </w:rPr>
              <w:t>taking into account</w:t>
            </w:r>
            <w:r w:rsidRPr="002B4A69">
              <w:rPr>
                <w:b/>
                <w:i/>
                <w:lang w:val="en-GB"/>
              </w:rPr>
              <w:t xml:space="preserve"> the opt-out option</w:t>
            </w:r>
            <w:r w:rsidRPr="002B4A69">
              <w:rPr>
                <w:lang w:val="en-GB"/>
              </w:rPr>
              <w:t xml:space="preserve">.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w:t>
            </w:r>
            <w:r w:rsidRPr="002B4A69">
              <w:rPr>
                <w:lang w:val="en-GB"/>
              </w:rPr>
              <w:t xml:space="preserve">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integration of municipal waste incineration,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 </w:t>
            </w:r>
            <w:r w:rsidRPr="002B4A69">
              <w:rPr>
                <w:b/>
                <w:i/>
                <w:lang w:val="en-GB"/>
              </w:rPr>
              <w:t>Given the significant climate impact of methane emissions, that review should include emissions from landfills in the EU ETS.</w:t>
            </w:r>
          </w:p>
        </w:tc>
      </w:tr>
    </w:tbl>
    <w:p w:rsidR="001F04EE" w:rsidRPr="002B4A69" w:rsidP="001F04EE" w14:paraId="5CA6AD7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158AD6F" w14:textId="77777777">
      <w:r w:rsidRPr="002B4A69">
        <w:rPr>
          <w:rStyle w:val="HideTWBExt"/>
        </w:rPr>
        <w:t>&lt;/Amend&gt;</w:t>
      </w:r>
    </w:p>
    <w:p w:rsidR="001F04EE" w:rsidRPr="002B4A69" w:rsidP="001F04EE" w14:paraId="2F8FDB8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601</w:t>
      </w:r>
      <w:r w:rsidRPr="002B4A69">
        <w:rPr>
          <w:rStyle w:val="HideTWBExt"/>
          <w:b w:val="0"/>
          <w:lang w:val="en-GB"/>
        </w:rPr>
        <w:t>&lt;/NumAm&gt;</w:t>
      </w:r>
    </w:p>
    <w:p w:rsidR="001F04EE" w:rsidRPr="002B4A69" w:rsidP="001F04EE" w14:paraId="3CE4A55A" w14:textId="77777777">
      <w:pPr>
        <w:pStyle w:val="NormalBold"/>
      </w:pPr>
      <w:r w:rsidRPr="002B4A69">
        <w:rPr>
          <w:rStyle w:val="HideTWBExt"/>
          <w:b w:val="0"/>
        </w:rPr>
        <w:t>&lt;RepeatBlock-By&gt;&lt;Members&gt;</w:t>
      </w:r>
      <w:r w:rsidRPr="002B4A69">
        <w:t>Li Andersson, Jonas Sjöstedt, Per Clausen</w:t>
      </w:r>
      <w:r w:rsidRPr="002B4A69">
        <w:rPr>
          <w:rStyle w:val="HideTWBExt"/>
          <w:b w:val="0"/>
        </w:rPr>
        <w:t>&lt;/Members&gt;</w:t>
      </w:r>
    </w:p>
    <w:p w:rsidR="001F04EE" w:rsidRPr="002B4A69" w:rsidP="001F04EE" w14:paraId="2AA83E18" w14:textId="77777777">
      <w:r w:rsidRPr="002B4A69">
        <w:rPr>
          <w:rStyle w:val="HideTWBExt"/>
        </w:rPr>
        <w:t>&lt;/RepeatBlock-By&gt;</w:t>
      </w:r>
    </w:p>
    <w:p w:rsidR="001F04EE" w:rsidRPr="002B4A69" w:rsidP="001F04EE" w14:paraId="1362F4B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653BE37"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F4D40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5B52FBA" w14:textId="77777777">
            <w:pPr>
              <w:keepNext/>
            </w:pPr>
          </w:p>
        </w:tc>
      </w:tr>
      <w:tr w14:paraId="0B9A365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577DCA0" w14:textId="77777777">
            <w:pPr>
              <w:pStyle w:val="ColumnHeading"/>
              <w:keepNext/>
              <w:rPr>
                <w:lang w:val="en-GB"/>
              </w:rPr>
            </w:pPr>
            <w:r w:rsidRPr="002B4A69">
              <w:rPr>
                <w:lang w:val="en-GB"/>
              </w:rPr>
              <w:t>Text proposed by the Commission</w:t>
            </w:r>
          </w:p>
        </w:tc>
        <w:tc>
          <w:tcPr>
            <w:tcW w:w="4876" w:type="dxa"/>
          </w:tcPr>
          <w:p w:rsidR="001F04EE" w:rsidRPr="002B4A69" w:rsidP="00723F81" w14:paraId="5257C129" w14:textId="77777777">
            <w:pPr>
              <w:pStyle w:val="ColumnHeading"/>
              <w:keepNext/>
              <w:rPr>
                <w:lang w:val="en-GB"/>
              </w:rPr>
            </w:pPr>
            <w:r w:rsidRPr="002B4A69">
              <w:rPr>
                <w:lang w:val="en-GB"/>
              </w:rPr>
              <w:t>Amendment</w:t>
            </w:r>
          </w:p>
        </w:tc>
      </w:tr>
      <w:tr w14:paraId="34A1DE4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6233F0F" w14:textId="77777777">
            <w:pPr>
              <w:pStyle w:val="Normal6"/>
              <w:rPr>
                <w:lang w:val="en-GB"/>
              </w:rPr>
            </w:pPr>
            <w:r w:rsidRPr="002B4A69">
              <w:rPr>
                <w:lang w:val="en-GB"/>
              </w:rPr>
              <w:t>(78)</w:t>
            </w:r>
            <w:r w:rsidRPr="002B4A69">
              <w:rPr>
                <w:lang w:val="en-GB"/>
              </w:rPr>
              <w:tab/>
              <w:t xml:space="preserve">The extension of the carbon price to municipal waste incineration should be accompanied by effective measures to </w:t>
            </w:r>
            <w:r w:rsidRPr="002B4A69">
              <w:rPr>
                <w:lang w:val="en-GB"/>
              </w:rPr>
              <w:t xml:space="preserve">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w:t>
            </w:r>
            <w:r w:rsidRPr="002B4A69">
              <w:rPr>
                <w:lang w:val="en-GB"/>
              </w:rPr>
              <w:t xml:space="preserve">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c>
          <w:tcPr>
            <w:tcW w:w="4876" w:type="dxa"/>
          </w:tcPr>
          <w:p w:rsidR="001F04EE" w:rsidRPr="002B4A69" w:rsidP="00723F81" w14:paraId="0136F6AC" w14:textId="77777777">
            <w:pPr>
              <w:pStyle w:val="Normal6"/>
              <w:rPr>
                <w:szCs w:val="24"/>
                <w:lang w:val="en-GB"/>
              </w:rPr>
            </w:pPr>
            <w:r w:rsidRPr="002B4A69">
              <w:rPr>
                <w:lang w:val="en-GB"/>
              </w:rPr>
              <w:t>(78)</w:t>
            </w:r>
            <w:r w:rsidRPr="002B4A69">
              <w:rPr>
                <w:lang w:val="en-GB"/>
              </w:rPr>
              <w:tab/>
              <w:t xml:space="preserve">The extension of the carbon price to municipal waste incineration should be accompanied by effective measures to </w:t>
            </w:r>
            <w:r w:rsidRPr="002B4A69">
              <w:rPr>
                <w:lang w:val="en-GB"/>
              </w:rPr>
              <w:t>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w:t>
            </w:r>
            <w:r w:rsidRPr="002B4A69">
              <w:rPr>
                <w:b/>
                <w:i/>
                <w:lang w:val="en-GB"/>
              </w:rPr>
              <w:t>, including through the comparability and transparency of gate fees to be improved under the Circular Economy Act, so that disposal does not become artificially cheaper in some Member States</w:t>
            </w:r>
            <w:r w:rsidRPr="002B4A69">
              <w:rPr>
                <w:lang w:val="en-GB"/>
              </w:rPr>
              <w:t xml:space="preserve">.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w:t>
            </w:r>
            <w:r w:rsidRPr="002B4A69">
              <w:rPr>
                <w:lang w:val="en-GB"/>
              </w:rPr>
              <w:t xml:space="preserve">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r>
    </w:tbl>
    <w:p w:rsidR="001F04EE" w:rsidRPr="002B4A69" w:rsidP="001F04EE" w14:paraId="40D83F2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2FC8557"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C94309F" w14:textId="77777777">
      <w:pPr>
        <w:pStyle w:val="Normal12Italic"/>
        <w:rPr>
          <w:noProof w:val="0"/>
          <w:lang w:val="en-GB"/>
        </w:rPr>
      </w:pPr>
      <w:r w:rsidRPr="002B4A69">
        <w:rPr>
          <w:noProof w:val="0"/>
          <w:lang w:val="en-GB"/>
        </w:rPr>
        <w:t>Recital (78) already flags the landfill-diversion risk and the role of "effective regulatory or fiscal landfill policies</w:t>
      </w:r>
      <w:r w:rsidRPr="002B4A69">
        <w:rPr>
          <w:noProof w:val="0"/>
          <w:lang w:val="en-GB"/>
        </w:rPr>
        <w:t>", but</w:t>
      </w:r>
      <w:r w:rsidRPr="002B4A69">
        <w:rPr>
          <w:noProof w:val="0"/>
          <w:lang w:val="en-GB"/>
        </w:rPr>
        <w:t xml:space="preserve"> does not name gate fees or the Circular Economy Act specifically. This amendment aligns the recital with the operative Article 30(9) amendment above, so the review's rationale and the review clause itself point to the same regulatory tools.</w:t>
      </w:r>
    </w:p>
    <w:p w:rsidR="001F04EE" w:rsidRPr="002B4A69" w:rsidP="001F04EE" w14:paraId="0C1A31AF" w14:textId="77777777">
      <w:r w:rsidRPr="002B4A69">
        <w:rPr>
          <w:rStyle w:val="HideTWBExt"/>
        </w:rPr>
        <w:t>&lt;/Amend&gt;</w:t>
      </w:r>
    </w:p>
    <w:p w:rsidR="001F04EE" w:rsidRPr="002B4A69" w:rsidP="001F04EE" w14:paraId="35898D6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602</w:t>
      </w:r>
      <w:r w:rsidRPr="002B4A69">
        <w:rPr>
          <w:rStyle w:val="HideTWBExt"/>
          <w:b w:val="0"/>
          <w:lang w:val="en-GB"/>
        </w:rPr>
        <w:t>&lt;/NumAm&gt;</w:t>
      </w:r>
    </w:p>
    <w:p w:rsidR="001F04EE" w:rsidRPr="002B4A69" w:rsidP="001F04EE" w14:paraId="79022F88"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63E67E6C" w14:textId="77777777">
      <w:r w:rsidRPr="002B4A69">
        <w:rPr>
          <w:rStyle w:val="HideTWBExt"/>
        </w:rPr>
        <w:t>&lt;/RepeatBlock-By&gt;</w:t>
      </w:r>
    </w:p>
    <w:p w:rsidR="001F04EE" w:rsidRPr="002B4A69" w:rsidP="001F04EE" w14:paraId="1C8CE58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44F36C6"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B1BC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DF540FD" w14:textId="77777777">
            <w:pPr>
              <w:keepNext/>
            </w:pPr>
          </w:p>
        </w:tc>
      </w:tr>
      <w:tr w14:paraId="5302DF7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EF664E9" w14:textId="77777777">
            <w:pPr>
              <w:pStyle w:val="ColumnHeading"/>
              <w:keepNext/>
              <w:rPr>
                <w:lang w:val="en-GB"/>
              </w:rPr>
            </w:pPr>
            <w:r w:rsidRPr="002B4A69">
              <w:rPr>
                <w:lang w:val="en-GB"/>
              </w:rPr>
              <w:t>Text proposed by the Commission</w:t>
            </w:r>
          </w:p>
        </w:tc>
        <w:tc>
          <w:tcPr>
            <w:tcW w:w="4876" w:type="dxa"/>
          </w:tcPr>
          <w:p w:rsidR="001F04EE" w:rsidRPr="002B4A69" w:rsidP="00723F81" w14:paraId="1D8A0587" w14:textId="77777777">
            <w:pPr>
              <w:pStyle w:val="ColumnHeading"/>
              <w:keepNext/>
              <w:rPr>
                <w:lang w:val="en-GB"/>
              </w:rPr>
            </w:pPr>
            <w:r w:rsidRPr="002B4A69">
              <w:rPr>
                <w:lang w:val="en-GB"/>
              </w:rPr>
              <w:t>Amendment</w:t>
            </w:r>
          </w:p>
        </w:tc>
      </w:tr>
      <w:tr w14:paraId="2E77579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042ABE6" w14:textId="77777777">
            <w:pPr>
              <w:pStyle w:val="Normal6"/>
              <w:rPr>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w:t>
            </w:r>
            <w:r w:rsidRPr="002B4A69">
              <w:rPr>
                <w:lang w:val="en-GB"/>
              </w:rPr>
              <w:t>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w:t>
            </w:r>
            <w:r w:rsidRPr="002B4A69">
              <w:rPr>
                <w:b/>
                <w:i/>
                <w:lang w:val="en-GB"/>
              </w:rPr>
              <w:t>, at the point of full integration of municipal waste incineration,</w:t>
            </w:r>
            <w:r w:rsidRPr="002B4A69">
              <w:rPr>
                <w:lang w:val="en-GB"/>
              </w:rPr>
              <w:t xml:space="preserve">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c>
          <w:tcPr>
            <w:tcW w:w="4876" w:type="dxa"/>
          </w:tcPr>
          <w:p w:rsidR="001F04EE" w:rsidRPr="002B4A69" w:rsidP="00723F81" w14:paraId="08C952BA" w14:textId="77777777">
            <w:pPr>
              <w:pStyle w:val="Normal6"/>
              <w:rPr>
                <w:szCs w:val="24"/>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w:t>
            </w:r>
            <w:r w:rsidRPr="002B4A69">
              <w:rPr>
                <w:lang w:val="en-GB"/>
              </w:rPr>
              <w:t xml:space="preserve">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r>
    </w:tbl>
    <w:p w:rsidR="001F04EE" w:rsidRPr="002B4A69" w:rsidP="001F04EE" w14:paraId="3367907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71E4547" w14:textId="77777777">
      <w:r w:rsidRPr="002B4A69">
        <w:rPr>
          <w:rStyle w:val="HideTWBExt"/>
        </w:rPr>
        <w:t>&lt;/Amend&gt;</w:t>
      </w:r>
    </w:p>
    <w:p w:rsidR="001F04EE" w:rsidRPr="002B4A69" w:rsidP="001F04EE" w14:paraId="20B79F46"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603</w:t>
      </w:r>
      <w:r w:rsidRPr="002B4A69">
        <w:rPr>
          <w:rStyle w:val="HideTWBExt"/>
          <w:b w:val="0"/>
          <w:lang w:val="en-GB"/>
        </w:rPr>
        <w:t>&lt;/NumAm&gt;</w:t>
      </w:r>
    </w:p>
    <w:p w:rsidR="001F04EE" w:rsidRPr="002B4A69" w:rsidP="001F04EE" w14:paraId="3F66000B"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471C8801"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2C9A5852"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383AFFFB" w14:textId="77777777">
      <w:r w:rsidRPr="002B4A69">
        <w:rPr>
          <w:rStyle w:val="HideTWBExt"/>
        </w:rPr>
        <w:t>&lt;/RepeatBlock-By&gt;</w:t>
      </w:r>
    </w:p>
    <w:p w:rsidR="001F04EE" w:rsidRPr="002B4A69" w:rsidP="001F04EE" w14:paraId="4A7B10E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E4379A0"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7D350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D9DF2ED" w14:textId="77777777">
            <w:pPr>
              <w:keepNext/>
            </w:pPr>
          </w:p>
        </w:tc>
      </w:tr>
      <w:tr w14:paraId="1F84303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1693474" w14:textId="77777777">
            <w:pPr>
              <w:pStyle w:val="ColumnHeading"/>
              <w:keepNext/>
              <w:rPr>
                <w:lang w:val="en-GB"/>
              </w:rPr>
            </w:pPr>
            <w:r w:rsidRPr="002B4A69">
              <w:rPr>
                <w:lang w:val="en-GB"/>
              </w:rPr>
              <w:t>Text proposed by the Commission</w:t>
            </w:r>
          </w:p>
        </w:tc>
        <w:tc>
          <w:tcPr>
            <w:tcW w:w="4876" w:type="dxa"/>
          </w:tcPr>
          <w:p w:rsidR="001F04EE" w:rsidRPr="002B4A69" w:rsidP="00723F81" w14:paraId="5C0DFBDD" w14:textId="77777777">
            <w:pPr>
              <w:pStyle w:val="ColumnHeading"/>
              <w:keepNext/>
              <w:rPr>
                <w:lang w:val="en-GB"/>
              </w:rPr>
            </w:pPr>
            <w:r w:rsidRPr="002B4A69">
              <w:rPr>
                <w:lang w:val="en-GB"/>
              </w:rPr>
              <w:t>Amendment</w:t>
            </w:r>
          </w:p>
        </w:tc>
      </w:tr>
      <w:tr w14:paraId="00C4E7C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D3998A6" w14:textId="77777777">
            <w:pPr>
              <w:pStyle w:val="Normal6"/>
              <w:rPr>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w:t>
            </w:r>
            <w:r w:rsidRPr="002B4A69">
              <w:rPr>
                <w:lang w:val="en-GB"/>
              </w:rPr>
              <w:t xml:space="preserve">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c>
          <w:tcPr>
            <w:tcW w:w="4876" w:type="dxa"/>
          </w:tcPr>
          <w:p w:rsidR="001F04EE" w:rsidRPr="002B4A69" w:rsidP="00723F81" w14:paraId="15A1F1C6" w14:textId="77777777">
            <w:pPr>
              <w:pStyle w:val="Normal6"/>
              <w:rPr>
                <w:szCs w:val="24"/>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w:t>
            </w:r>
            <w:r w:rsidRPr="002B4A69">
              <w:rPr>
                <w:lang w:val="en-GB"/>
              </w:rPr>
              <w:t xml:space="preserve">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purpose, the Commission should report by 31 July 2029 whether these enabling conditions have been fulfilled for the MRV to be developed by 2031 at the point of the start of the phase-in of municipal waste incineration. In case one of these conditions have not been fulfilled, the extension of the EU ETS to landfills for MRV should be postponed from 2031 to 2034, at the point of full integration of municipal waste incineration,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r>
    </w:tbl>
    <w:p w:rsidR="001F04EE" w:rsidRPr="002B4A69" w:rsidP="001F04EE" w14:paraId="1CFBEB7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7854D50"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1FF3B890" w14:textId="77777777">
      <w:pPr>
        <w:pStyle w:val="Normal12Italic"/>
        <w:rPr>
          <w:noProof w:val="0"/>
          <w:lang w:val="en-GB"/>
        </w:rPr>
      </w:pPr>
      <w:r w:rsidRPr="002B4A69">
        <w:rPr>
          <w:noProof w:val="0"/>
          <w:lang w:val="en-GB"/>
        </w:rPr>
        <w:t>This recital is framed around the proposed carbon price for municipal waste incineration and the measures intended to limit the resulting risk of diversion to landfill. Removing that carbon price also removes the premise for those safeguards as drafted. The recital’s provisions on landfill monitoring are linked to the proposed new Annex I entry, which is deleted by the corresponding amendment. The recital should therefore be deleted in its current form.</w:t>
      </w:r>
    </w:p>
    <w:p w:rsidR="001F04EE" w:rsidRPr="002B4A69" w:rsidP="001F04EE" w14:paraId="63FC3ADF" w14:textId="77777777">
      <w:r w:rsidRPr="002B4A69">
        <w:rPr>
          <w:rStyle w:val="HideTWBExt"/>
        </w:rPr>
        <w:t>&lt;/Amend&gt;</w:t>
      </w:r>
    </w:p>
    <w:p w:rsidR="001F04EE" w:rsidRPr="002B4A69" w:rsidP="001F04EE" w14:paraId="2C8819D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604</w:t>
      </w:r>
      <w:r w:rsidRPr="002B4A69">
        <w:rPr>
          <w:rStyle w:val="HideTWBExt"/>
          <w:b w:val="0"/>
          <w:lang w:val="en-GB"/>
        </w:rPr>
        <w:t>&lt;/NumAm&gt;</w:t>
      </w:r>
    </w:p>
    <w:p w:rsidR="001F04EE" w:rsidRPr="002B4A69" w:rsidP="001F04EE" w14:paraId="7C534316" w14:textId="77777777">
      <w:pPr>
        <w:pStyle w:val="NormalBold"/>
      </w:pPr>
      <w:r w:rsidRPr="002B4A69">
        <w:rPr>
          <w:rStyle w:val="HideTWBExt"/>
          <w:b w:val="0"/>
        </w:rPr>
        <w:t>&lt;RepeatBlock-By&gt;&lt;Members&gt;</w:t>
      </w:r>
      <w:r w:rsidRPr="002B4A69">
        <w:t>Heléne Fritzon</w:t>
      </w:r>
      <w:r w:rsidRPr="002B4A69">
        <w:rPr>
          <w:rStyle w:val="HideTWBExt"/>
          <w:b w:val="0"/>
        </w:rPr>
        <w:t>&lt;/Members&gt;</w:t>
      </w:r>
    </w:p>
    <w:p w:rsidR="001F04EE" w:rsidRPr="002B4A69" w:rsidP="001F04EE" w14:paraId="21418CDE" w14:textId="77777777">
      <w:r w:rsidRPr="002B4A69">
        <w:rPr>
          <w:rStyle w:val="HideTWBExt"/>
        </w:rPr>
        <w:t>&lt;/RepeatBlock-By&gt;</w:t>
      </w:r>
    </w:p>
    <w:p w:rsidR="001F04EE" w:rsidRPr="002B4A69" w:rsidP="001F04EE" w14:paraId="6AC5ED7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6333596" w14:textId="77777777">
      <w:pPr>
        <w:pStyle w:val="NormalBold"/>
      </w:pPr>
      <w:r w:rsidRPr="002B4A69">
        <w:rPr>
          <w:rStyle w:val="HideTWBExt"/>
          <w:b w:val="0"/>
        </w:rPr>
        <w:t>&lt;Article&gt;</w:t>
      </w:r>
      <w:r w:rsidRPr="002B4A69">
        <w:t>Recital 78</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E544C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59B890B" w14:textId="77777777">
            <w:pPr>
              <w:keepNext/>
            </w:pPr>
          </w:p>
        </w:tc>
      </w:tr>
      <w:tr w14:paraId="0B84739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88BB78B" w14:textId="77777777">
            <w:pPr>
              <w:pStyle w:val="ColumnHeading"/>
              <w:keepNext/>
              <w:rPr>
                <w:lang w:val="en-GB"/>
              </w:rPr>
            </w:pPr>
            <w:r w:rsidRPr="002B4A69">
              <w:rPr>
                <w:lang w:val="en-GB"/>
              </w:rPr>
              <w:t>Text proposed by the Commission</w:t>
            </w:r>
          </w:p>
        </w:tc>
        <w:tc>
          <w:tcPr>
            <w:tcW w:w="4876" w:type="dxa"/>
          </w:tcPr>
          <w:p w:rsidR="001F04EE" w:rsidRPr="002B4A69" w:rsidP="00723F81" w14:paraId="630D2D01" w14:textId="77777777">
            <w:pPr>
              <w:pStyle w:val="ColumnHeading"/>
              <w:keepNext/>
              <w:rPr>
                <w:lang w:val="en-GB"/>
              </w:rPr>
            </w:pPr>
            <w:r w:rsidRPr="002B4A69">
              <w:rPr>
                <w:lang w:val="en-GB"/>
              </w:rPr>
              <w:t>Amendment</w:t>
            </w:r>
          </w:p>
        </w:tc>
      </w:tr>
      <w:tr w14:paraId="743DE11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352C409" w14:textId="77777777">
            <w:pPr>
              <w:pStyle w:val="Normal6"/>
              <w:rPr>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w:t>
            </w:r>
            <w:r w:rsidRPr="002B4A69">
              <w:rPr>
                <w:lang w:val="en-GB"/>
              </w:rPr>
              <w:t xml:space="preserve">purpose, the Commission should report by 31 July 2029 whether these enabling conditions have been fulfilled for the MRV to be developed by 2031 </w:t>
            </w:r>
            <w:r w:rsidRPr="002B4A69">
              <w:rPr>
                <w:b/>
                <w:i/>
                <w:lang w:val="en-GB"/>
              </w:rPr>
              <w:t>at the point of the start of the phase-in of municipal waste incineration</w:t>
            </w:r>
            <w:r w:rsidRPr="002B4A69">
              <w:rPr>
                <w:lang w:val="en-GB"/>
              </w:rPr>
              <w:t xml:space="preserve">. In case one of these conditions have not been fulfilled, the extension of the EU ETS to landfills for MRV </w:t>
            </w:r>
            <w:r w:rsidRPr="002B4A69">
              <w:rPr>
                <w:b/>
                <w:i/>
                <w:lang w:val="en-GB"/>
              </w:rPr>
              <w:t>should be postponed</w:t>
            </w:r>
            <w:r w:rsidRPr="002B4A69">
              <w:rPr>
                <w:lang w:val="en-GB"/>
              </w:rPr>
              <w:t xml:space="preserve"> from 2031 to 2034</w:t>
            </w:r>
            <w:r w:rsidRPr="002B4A69">
              <w:rPr>
                <w:b/>
                <w:i/>
                <w:lang w:val="en-GB"/>
              </w:rPr>
              <w:t>, at the point of full integration of municipal waste incineration,</w:t>
            </w:r>
            <w:r w:rsidRPr="002B4A69">
              <w:rPr>
                <w:lang w:val="en-GB"/>
              </w:rPr>
              <w:t xml:space="preserve"> to allow additional time for these conditions to be fulfilled. The Commission should review Directive 2003/87/EC by 31 December 2034 </w:t>
            </w:r>
            <w:r w:rsidRPr="002B4A69">
              <w:rPr>
                <w:lang w:val="en-GB"/>
              </w:rPr>
              <w:t>in light of</w:t>
            </w:r>
            <w:r w:rsidRPr="002B4A69">
              <w:rPr>
                <w:lang w:val="en-GB"/>
              </w:rPr>
              <w:t xml:space="preserve"> these developments and any unintended consequences.</w:t>
            </w:r>
          </w:p>
        </w:tc>
        <w:tc>
          <w:tcPr>
            <w:tcW w:w="4876" w:type="dxa"/>
          </w:tcPr>
          <w:p w:rsidR="001F04EE" w:rsidRPr="002B4A69" w:rsidP="00723F81" w14:paraId="49379437" w14:textId="77777777">
            <w:pPr>
              <w:pStyle w:val="Normal6"/>
              <w:rPr>
                <w:szCs w:val="24"/>
                <w:lang w:val="en-GB"/>
              </w:rPr>
            </w:pPr>
            <w:r w:rsidRPr="002B4A69">
              <w:rPr>
                <w:lang w:val="en-GB"/>
              </w:rPr>
              <w:t>(78)</w:t>
            </w:r>
            <w:r w:rsidRPr="002B4A69">
              <w:rPr>
                <w:lang w:val="en-GB"/>
              </w:rPr>
              <w:tab/>
              <w:t xml:space="preserve">The extension of the carbon price to municipal waste incineration should be accompanied by effective measures to continue reducing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having to pay the carbon price. However, a risk of diversion of fossil-based material remains where no effective regulatory or fiscal landfill policies are in place. Therefore, effective and reinforced implementation and enforcement of policies and measures to limit the share of municipal waste landfilled to 10% or less by 2035 as established in Directive 1999/31/EC is essential. Furthermore, monitoring and reporting, as well as verification and accreditation of emissions from 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is conditional on the development, first, of the future Best Available Techniques for Landfills to ensure environmental integrity, regulatory consistency and the use of advanced monitoring tools, including measurement and modelling methods, and second, of a comprehensive landfill register or registers to avoid circumvention and ensure its effectiveness. For this </w:t>
            </w:r>
            <w:r w:rsidRPr="002B4A69">
              <w:rPr>
                <w:lang w:val="en-GB"/>
              </w:rPr>
              <w:t xml:space="preserve">purpose, the Commission should report by 31 July 2029 whether these enabling conditions have been fulfilled for the MRV to be developed by 2031. In case one of these conditions have not been fulfilled, the </w:t>
            </w:r>
            <w:r w:rsidRPr="002B4A69">
              <w:rPr>
                <w:b/>
                <w:i/>
                <w:lang w:val="en-GB"/>
              </w:rPr>
              <w:t>Commission should consider postponing the</w:t>
            </w:r>
            <w:r w:rsidRPr="002B4A69">
              <w:rPr>
                <w:lang w:val="en-GB"/>
              </w:rPr>
              <w:t xml:space="preserve"> extension of the EU ETS to landfills for MRV from 2031 to 2034 to allow additional time for these conditions to be fulfilled</w:t>
            </w:r>
            <w:r w:rsidRPr="002B4A69">
              <w:rPr>
                <w:b/>
                <w:i/>
                <w:lang w:val="en-GB"/>
              </w:rPr>
              <w:t>, or, as an alternative measure, to present further proposals to restrict and prohibit the use of landfills</w:t>
            </w:r>
            <w:r w:rsidRPr="002B4A69">
              <w:rPr>
                <w:lang w:val="en-GB"/>
              </w:rPr>
              <w:t xml:space="preserve">. The Commission should review Directive 2003/87/EC by 31 December 2034 </w:t>
            </w:r>
            <w:r w:rsidRPr="002B4A69">
              <w:rPr>
                <w:lang w:val="en-GB"/>
              </w:rPr>
              <w:t>in light of</w:t>
            </w:r>
            <w:r w:rsidRPr="002B4A69">
              <w:rPr>
                <w:lang w:val="en-GB"/>
              </w:rPr>
              <w:t xml:space="preserve"> these developments and any unintended consequences.</w:t>
            </w:r>
          </w:p>
        </w:tc>
      </w:tr>
    </w:tbl>
    <w:p w:rsidR="001F04EE" w:rsidRPr="002B4A69" w:rsidP="001F04EE" w14:paraId="04F00FE9"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89F231B" w14:textId="77777777">
      <w:r w:rsidRPr="002B4A69">
        <w:rPr>
          <w:rStyle w:val="HideTWBExt"/>
        </w:rPr>
        <w:t>&lt;/Amend&gt;</w:t>
      </w:r>
    </w:p>
    <w:p w:rsidR="001F04EE" w:rsidRPr="002B4A69" w:rsidP="001F04EE" w14:paraId="651C013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605</w:t>
      </w:r>
      <w:r w:rsidRPr="002B4A69">
        <w:rPr>
          <w:rStyle w:val="HideTWBExt"/>
          <w:b w:val="0"/>
          <w:lang w:val="en-GB"/>
        </w:rPr>
        <w:t>&lt;/NumAm&gt;</w:t>
      </w:r>
    </w:p>
    <w:p w:rsidR="001F04EE" w:rsidRPr="002B4A69" w:rsidP="001F04EE" w14:paraId="7E68B0B7"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11504CBA" w14:textId="77777777">
      <w:r w:rsidRPr="002B4A69">
        <w:rPr>
          <w:rStyle w:val="HideTWBExt"/>
        </w:rPr>
        <w:t>&lt;/RepeatBlock-By&gt;</w:t>
      </w:r>
    </w:p>
    <w:p w:rsidR="001F04EE" w:rsidRPr="002B4A69" w:rsidP="001F04EE" w14:paraId="509C32F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35B2A4F" w14:textId="77777777">
      <w:pPr>
        <w:pStyle w:val="NormalBold"/>
      </w:pPr>
      <w:r w:rsidRPr="002B4A69">
        <w:rPr>
          <w:rStyle w:val="HideTWBExt"/>
          <w:b w:val="0"/>
        </w:rPr>
        <w:t>&lt;Article&gt;</w:t>
      </w:r>
      <w:r w:rsidRPr="002B4A69">
        <w:t>Recital 79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5FD16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B72DB9D" w14:textId="77777777">
            <w:pPr>
              <w:keepNext/>
            </w:pPr>
          </w:p>
        </w:tc>
      </w:tr>
      <w:tr w14:paraId="72C3485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6F04AAF" w14:textId="77777777">
            <w:pPr>
              <w:pStyle w:val="ColumnHeading"/>
              <w:keepNext/>
              <w:rPr>
                <w:lang w:val="en-GB"/>
              </w:rPr>
            </w:pPr>
            <w:r w:rsidRPr="002B4A69">
              <w:rPr>
                <w:lang w:val="en-GB"/>
              </w:rPr>
              <w:t>Text proposed by the Commission</w:t>
            </w:r>
          </w:p>
        </w:tc>
        <w:tc>
          <w:tcPr>
            <w:tcW w:w="4876" w:type="dxa"/>
          </w:tcPr>
          <w:p w:rsidR="001F04EE" w:rsidRPr="002B4A69" w:rsidP="00723F81" w14:paraId="6B6DEA52" w14:textId="77777777">
            <w:pPr>
              <w:pStyle w:val="ColumnHeading"/>
              <w:keepNext/>
              <w:rPr>
                <w:lang w:val="en-GB"/>
              </w:rPr>
            </w:pPr>
            <w:r w:rsidRPr="002B4A69">
              <w:rPr>
                <w:lang w:val="en-GB"/>
              </w:rPr>
              <w:t>Amendment</w:t>
            </w:r>
          </w:p>
        </w:tc>
      </w:tr>
      <w:tr w14:paraId="6CAA814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8BA476F" w14:textId="77777777">
            <w:pPr>
              <w:pStyle w:val="Normal6"/>
              <w:rPr>
                <w:lang w:val="en-GB"/>
              </w:rPr>
            </w:pPr>
            <w:r w:rsidRPr="002B4A69">
              <w:rPr>
                <w:b/>
                <w:i/>
                <w:lang w:val="en-GB"/>
              </w:rPr>
              <w:t>(79)</w:t>
            </w:r>
            <w:r w:rsidRPr="002B4A69">
              <w:rPr>
                <w:b/>
                <w:i/>
                <w:lang w:val="en-GB"/>
              </w:rPr>
              <w:tab/>
              <w:t>Carbon can be captured for storage and utilisation in installations that have emissions resulting from a mix of fossil and zero-rated sources, such as from the combustion of sustainable biomass, which is zero-rated in the EU ETS. As CO</w:t>
            </w:r>
            <w:r w:rsidRPr="002B4A69">
              <w:rPr>
                <w:b/>
                <w:i/>
                <w:vertAlign w:val="subscript"/>
                <w:lang w:val="en-GB"/>
              </w:rPr>
              <w:t>2</w:t>
            </w:r>
            <w:r w:rsidRPr="002B4A69">
              <w:rPr>
                <w:lang w:val="en-GB"/>
              </w:rPr>
              <w:t xml:space="preserve"> </w:t>
            </w:r>
            <w:r w:rsidRPr="002B4A69">
              <w:rPr>
                <w:b/>
                <w:i/>
                <w:lang w:val="en-GB"/>
              </w:rPr>
              <w:t>from zero-rated sources and from fossil sources are treated different for the purposes of determining the compliance obligations of EU ETS, generating removals or in the production of synthetic fuels, it is necessary to establish detailed rules regarding the order of which the different types of CO</w:t>
            </w:r>
            <w:r w:rsidRPr="002B4A69">
              <w:rPr>
                <w:b/>
                <w:i/>
                <w:vertAlign w:val="subscript"/>
                <w:lang w:val="en-GB"/>
              </w:rPr>
              <w:t>2</w:t>
            </w:r>
            <w:r w:rsidRPr="002B4A69">
              <w:rPr>
                <w:lang w:val="en-GB"/>
              </w:rPr>
              <w:t xml:space="preserve"> </w:t>
            </w:r>
            <w:r w:rsidRPr="002B4A69">
              <w:rPr>
                <w:b/>
                <w:i/>
                <w:lang w:val="en-GB"/>
              </w:rPr>
              <w:t>are considered to be captured and how to account for their emissions across the carbon capture, transport, utilisation or storage chain.</w:t>
            </w:r>
          </w:p>
        </w:tc>
        <w:tc>
          <w:tcPr>
            <w:tcW w:w="4876" w:type="dxa"/>
          </w:tcPr>
          <w:p w:rsidR="001F04EE" w:rsidRPr="002B4A69" w:rsidP="00723F81" w14:paraId="2D53387B" w14:textId="77777777">
            <w:pPr>
              <w:pStyle w:val="Normal6"/>
              <w:rPr>
                <w:szCs w:val="24"/>
                <w:lang w:val="en-GB"/>
              </w:rPr>
            </w:pPr>
            <w:r w:rsidRPr="002B4A69">
              <w:rPr>
                <w:b/>
                <w:i/>
                <w:lang w:val="en-GB"/>
              </w:rPr>
              <w:t>deleted</w:t>
            </w:r>
          </w:p>
        </w:tc>
      </w:tr>
    </w:tbl>
    <w:p w:rsidR="001F04EE" w:rsidRPr="002B4A69" w:rsidP="001F04EE" w14:paraId="642E5C47"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19707C0" w14:textId="77777777">
      <w:r w:rsidRPr="002B4A69">
        <w:rPr>
          <w:rStyle w:val="HideTWBExt"/>
        </w:rPr>
        <w:t>&lt;/Amend&gt;</w:t>
      </w:r>
    </w:p>
    <w:p w:rsidR="001F04EE" w:rsidRPr="002B4A69" w:rsidP="001F04EE" w14:paraId="589CD11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606</w:t>
      </w:r>
      <w:r w:rsidRPr="002B4A69">
        <w:rPr>
          <w:rStyle w:val="HideTWBExt"/>
          <w:b w:val="0"/>
          <w:lang w:val="en-GB"/>
        </w:rPr>
        <w:t>&lt;/NumAm&gt;</w:t>
      </w:r>
    </w:p>
    <w:p w:rsidR="001F04EE" w:rsidRPr="002B4A69" w:rsidP="001F04EE" w14:paraId="130E6482" w14:textId="77777777">
      <w:pPr>
        <w:pStyle w:val="NormalBold"/>
      </w:pPr>
      <w:r w:rsidRPr="002B4A69">
        <w:rPr>
          <w:rStyle w:val="HideTWBExt"/>
          <w:b w:val="0"/>
        </w:rPr>
        <w:t>&lt;RepeatBlock-By&gt;&lt;Members&gt;</w:t>
      </w:r>
      <w:r w:rsidRPr="002B4A69">
        <w:t>Alexandr Vondra</w:t>
      </w:r>
      <w:r w:rsidRPr="002B4A69">
        <w:rPr>
          <w:rStyle w:val="HideTWBExt"/>
          <w:b w:val="0"/>
        </w:rPr>
        <w:t>&lt;/Members&gt;</w:t>
      </w:r>
    </w:p>
    <w:p w:rsidR="001F04EE" w:rsidRPr="002B4A69" w:rsidP="001F04EE" w14:paraId="2A327A16" w14:textId="77777777">
      <w:r w:rsidRPr="002B4A69">
        <w:rPr>
          <w:rStyle w:val="HideTWBExt"/>
        </w:rPr>
        <w:t>&lt;AuNomDe&gt;</w:t>
      </w:r>
      <w:r w:rsidRPr="002B4A69">
        <w:rPr>
          <w:rStyle w:val="HideTWBInt"/>
        </w:rPr>
        <w:t>{ECR}</w:t>
      </w:r>
      <w:r w:rsidRPr="002B4A69">
        <w:t>on behalf of the ECR Group</w:t>
      </w:r>
      <w:r w:rsidRPr="002B4A69">
        <w:rPr>
          <w:rStyle w:val="HideTWBExt"/>
        </w:rPr>
        <w:t>&lt;/AuNomDe&gt;</w:t>
      </w:r>
    </w:p>
    <w:p w:rsidR="001F04EE" w:rsidRPr="002B4A69" w:rsidP="001F04EE" w14:paraId="6D8273EF" w14:textId="77777777">
      <w:pPr>
        <w:pStyle w:val="NormalBold"/>
      </w:pPr>
      <w:r w:rsidRPr="002B4A69">
        <w:rPr>
          <w:rStyle w:val="HideTWBExt"/>
          <w:b w:val="0"/>
        </w:rPr>
        <w:t>&lt;Members&gt;</w:t>
      </w:r>
      <w:r w:rsidRPr="002B4A69">
        <w:t>Ondřej Krutílek, Anna Zalewska, Aurelijus Veryga, Laurence Trochu, Adrian-George Axinia</w:t>
      </w:r>
      <w:r w:rsidRPr="002B4A69">
        <w:rPr>
          <w:rStyle w:val="HideTWBExt"/>
          <w:b w:val="0"/>
        </w:rPr>
        <w:t>&lt;/Members&gt;</w:t>
      </w:r>
    </w:p>
    <w:p w:rsidR="001F04EE" w:rsidRPr="002B4A69" w:rsidP="001F04EE" w14:paraId="40A67EC7" w14:textId="77777777">
      <w:r w:rsidRPr="002B4A69">
        <w:rPr>
          <w:rStyle w:val="HideTWBExt"/>
        </w:rPr>
        <w:t>&lt;/RepeatBlock-By&gt;</w:t>
      </w:r>
    </w:p>
    <w:p w:rsidR="001F04EE" w:rsidRPr="002B4A69" w:rsidP="001F04EE" w14:paraId="4E5A61F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C6C6FF4" w14:textId="77777777">
      <w:pPr>
        <w:pStyle w:val="NormalBold"/>
      </w:pPr>
      <w:r w:rsidRPr="002B4A69">
        <w:rPr>
          <w:rStyle w:val="HideTWBExt"/>
          <w:b w:val="0"/>
        </w:rPr>
        <w:t>&lt;Article&gt;</w:t>
      </w:r>
      <w:r w:rsidRPr="002B4A69">
        <w:t>Recital 79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BE5A8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70FEB2F" w14:textId="77777777">
            <w:pPr>
              <w:keepNext/>
            </w:pPr>
          </w:p>
        </w:tc>
      </w:tr>
      <w:tr w14:paraId="5CD7FC6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9A4529F" w14:textId="77777777">
            <w:pPr>
              <w:pStyle w:val="ColumnHeading"/>
              <w:keepNext/>
              <w:rPr>
                <w:lang w:val="en-GB"/>
              </w:rPr>
            </w:pPr>
            <w:r w:rsidRPr="002B4A69">
              <w:rPr>
                <w:lang w:val="en-GB"/>
              </w:rPr>
              <w:t>Text proposed by the Commission</w:t>
            </w:r>
          </w:p>
        </w:tc>
        <w:tc>
          <w:tcPr>
            <w:tcW w:w="4876" w:type="dxa"/>
          </w:tcPr>
          <w:p w:rsidR="001F04EE" w:rsidRPr="002B4A69" w:rsidP="00723F81" w14:paraId="60028C94" w14:textId="77777777">
            <w:pPr>
              <w:pStyle w:val="ColumnHeading"/>
              <w:keepNext/>
              <w:rPr>
                <w:lang w:val="en-GB"/>
              </w:rPr>
            </w:pPr>
            <w:r w:rsidRPr="002B4A69">
              <w:rPr>
                <w:lang w:val="en-GB"/>
              </w:rPr>
              <w:t>Amendment</w:t>
            </w:r>
          </w:p>
        </w:tc>
      </w:tr>
      <w:tr w14:paraId="70A278B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4FAF82C" w14:textId="77777777">
            <w:pPr>
              <w:pStyle w:val="Normal6"/>
              <w:rPr>
                <w:lang w:val="en-GB"/>
              </w:rPr>
            </w:pPr>
            <w:r w:rsidRPr="002B4A69">
              <w:rPr>
                <w:lang w:val="en-GB"/>
              </w:rPr>
              <w:t>(79)</w:t>
            </w:r>
            <w:r w:rsidRPr="002B4A69">
              <w:rPr>
                <w:lang w:val="en-GB"/>
              </w:rPr>
              <w:tab/>
              <w:t>Carbon can be captured for storage and utilisation in installations that have emissions resulting from a mix of fossil and zero-rated sources, such as from the combustion of sustainable biomass, which is zero-rated in the EU ETS. As CO</w:t>
            </w:r>
            <w:r w:rsidRPr="002B4A69">
              <w:rPr>
                <w:vertAlign w:val="subscript"/>
                <w:lang w:val="en-GB"/>
              </w:rPr>
              <w:t>2</w:t>
            </w:r>
            <w:r w:rsidRPr="002B4A69">
              <w:rPr>
                <w:lang w:val="en-GB"/>
              </w:rPr>
              <w:t xml:space="preserve"> from zero-rated sources and from fossil sources are treated different for the purposes of determining the compliance obligations of EU ETS, generating removals or in the production of synthetic fuels, it is necessary to establish detailed rules regarding the order of which the different types of CO</w:t>
            </w:r>
            <w:r w:rsidRPr="002B4A69">
              <w:rPr>
                <w:vertAlign w:val="subscript"/>
                <w:lang w:val="en-GB"/>
              </w:rPr>
              <w:t>2</w:t>
            </w:r>
            <w:r w:rsidRPr="002B4A69">
              <w:rPr>
                <w:lang w:val="en-GB"/>
              </w:rPr>
              <w:t xml:space="preserve"> are considered to be captured and how to account for their emissions across the carbon capture, transport, utilisation or storage chain.</w:t>
            </w:r>
          </w:p>
        </w:tc>
        <w:tc>
          <w:tcPr>
            <w:tcW w:w="4876" w:type="dxa"/>
          </w:tcPr>
          <w:p w:rsidR="001F04EE" w:rsidRPr="002B4A69" w:rsidP="00723F81" w14:paraId="0B0F9A63" w14:textId="77777777">
            <w:pPr>
              <w:pStyle w:val="Normal6"/>
              <w:rPr>
                <w:szCs w:val="24"/>
                <w:lang w:val="en-GB"/>
              </w:rPr>
            </w:pPr>
            <w:r w:rsidRPr="002B4A69">
              <w:rPr>
                <w:lang w:val="en-GB"/>
              </w:rPr>
              <w:t>(79)</w:t>
            </w:r>
            <w:r w:rsidRPr="002B4A69">
              <w:rPr>
                <w:lang w:val="en-GB"/>
              </w:rPr>
              <w:tab/>
              <w:t>Carbon can be captured for storage and utilisation in installations that have emissions resulting from a mix of fossil and zero-rated sources, such as from the combustion of sustainable biomass, which is zero-rated in the EU ETS. As CO</w:t>
            </w:r>
            <w:r w:rsidRPr="002B4A69">
              <w:rPr>
                <w:vertAlign w:val="subscript"/>
                <w:lang w:val="en-GB"/>
              </w:rPr>
              <w:t>2</w:t>
            </w:r>
            <w:r w:rsidRPr="002B4A69">
              <w:rPr>
                <w:lang w:val="en-GB"/>
              </w:rPr>
              <w:t xml:space="preserve"> from zero-rated sources and from fossil sources are treated different for the purposes of determining the compliance obligations of EU ETS, generating removals or in the production of synthetic fuels, it is necessary to establish detailed rules regarding the order of which the different types of CO</w:t>
            </w:r>
            <w:r w:rsidRPr="002B4A69">
              <w:rPr>
                <w:vertAlign w:val="subscript"/>
                <w:lang w:val="en-GB"/>
              </w:rPr>
              <w:t>2</w:t>
            </w:r>
            <w:r w:rsidRPr="002B4A69">
              <w:rPr>
                <w:lang w:val="en-GB"/>
              </w:rPr>
              <w:t xml:space="preserve"> are considered to be captured and how to account for their emissions across the carbon capture, transport, utilisation or storage chain. </w:t>
            </w:r>
            <w:r w:rsidRPr="002B4A69">
              <w:rPr>
                <w:b/>
                <w:i/>
                <w:lang w:val="en-GB"/>
              </w:rPr>
              <w:t>Those rules should ensure that CO</w:t>
            </w:r>
            <w:r w:rsidRPr="002B4A69">
              <w:rPr>
                <w:b/>
                <w:i/>
                <w:vertAlign w:val="subscript"/>
                <w:lang w:val="en-GB"/>
              </w:rPr>
              <w:t>2</w:t>
            </w:r>
            <w:r w:rsidRPr="002B4A69">
              <w:rPr>
                <w:lang w:val="en-GB"/>
              </w:rPr>
              <w:t xml:space="preserve"> </w:t>
            </w:r>
            <w:r w:rsidRPr="002B4A69">
              <w:rPr>
                <w:b/>
                <w:i/>
                <w:lang w:val="en-GB"/>
              </w:rPr>
              <w:t>utilised in a product within a chemical value chain, does not become subject to a further surrender obligation solely because the extension of the EU ETS to municipal waste incineration brings the product's eventual disposal within its scope, so as not to undermine the incentive for utilisation over immediate release. Those rules should also ensure that the accounting treatment of captured and utilised CO</w:t>
            </w:r>
            <w:r w:rsidRPr="002B4A69">
              <w:rPr>
                <w:b/>
                <w:i/>
                <w:vertAlign w:val="subscript"/>
                <w:lang w:val="en-GB"/>
              </w:rPr>
              <w:t>2</w:t>
            </w:r>
            <w:r w:rsidRPr="002B4A69">
              <w:rPr>
                <w:lang w:val="en-GB"/>
              </w:rPr>
              <w:t xml:space="preserve"> </w:t>
            </w:r>
            <w:r w:rsidRPr="002B4A69">
              <w:rPr>
                <w:b/>
                <w:i/>
                <w:lang w:val="en-GB"/>
              </w:rPr>
              <w:t xml:space="preserve">remains neutral </w:t>
            </w:r>
            <w:r w:rsidRPr="002B4A69">
              <w:rPr>
                <w:b/>
                <w:i/>
                <w:lang w:val="en-GB"/>
              </w:rPr>
              <w:t>with regard to</w:t>
            </w:r>
            <w:r w:rsidRPr="002B4A69">
              <w:rPr>
                <w:b/>
                <w:i/>
                <w:lang w:val="en-GB"/>
              </w:rPr>
              <w:t xml:space="preserve"> the determination and application of EU ETS product </w:t>
            </w:r>
            <w:r w:rsidRPr="002B4A69">
              <w:rPr>
                <w:b/>
                <w:i/>
                <w:lang w:val="en-GB"/>
              </w:rPr>
              <w:t>benchmarks, and</w:t>
            </w:r>
            <w:r w:rsidRPr="002B4A69">
              <w:rPr>
                <w:b/>
                <w:i/>
                <w:lang w:val="en-GB"/>
              </w:rPr>
              <w:t xml:space="preserve"> does not result in any reduction of benchmark-based free allocation for critical chemicals production installations.</w:t>
            </w:r>
          </w:p>
        </w:tc>
      </w:tr>
    </w:tbl>
    <w:p w:rsidR="001F04EE" w:rsidRPr="002B4A69" w:rsidP="001F04EE" w14:paraId="23FEF46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6F201B0" w14:textId="77777777">
      <w:r w:rsidRPr="002B4A69">
        <w:rPr>
          <w:rStyle w:val="HideTWBExt"/>
        </w:rPr>
        <w:t>&lt;/Amend&gt;</w:t>
      </w:r>
    </w:p>
    <w:p w:rsidR="001F04EE" w:rsidRPr="002B4A69" w:rsidP="001F04EE" w14:paraId="4915DF0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607</w:t>
      </w:r>
      <w:r w:rsidRPr="002B4A69">
        <w:rPr>
          <w:rStyle w:val="HideTWBExt"/>
          <w:b w:val="0"/>
          <w:lang w:val="en-GB"/>
        </w:rPr>
        <w:t>&lt;/NumAm&gt;</w:t>
      </w:r>
    </w:p>
    <w:p w:rsidR="001F04EE" w:rsidRPr="002B4A69" w:rsidP="001F04EE" w14:paraId="6719717F" w14:textId="77777777">
      <w:pPr>
        <w:pStyle w:val="NormalBold"/>
      </w:pPr>
      <w:r w:rsidRPr="002B4A69">
        <w:rPr>
          <w:rStyle w:val="HideTWBExt"/>
          <w:b w:val="0"/>
        </w:rPr>
        <w:t>&lt;RepeatBlock-By&gt;&lt;Members&gt;</w:t>
      </w:r>
      <w:r w:rsidRPr="002B4A69">
        <w:t>Ondřej Knotek, Jana Nagyová, Antonín Staněk, Viktória Ferenc</w:t>
      </w:r>
      <w:r w:rsidRPr="002B4A69">
        <w:rPr>
          <w:rStyle w:val="HideTWBExt"/>
          <w:b w:val="0"/>
        </w:rPr>
        <w:t>&lt;/Members&gt;</w:t>
      </w:r>
    </w:p>
    <w:p w:rsidR="001F04EE" w:rsidRPr="002B4A69" w:rsidP="001F04EE" w14:paraId="5623F532" w14:textId="77777777">
      <w:r w:rsidRPr="002B4A69">
        <w:rPr>
          <w:rStyle w:val="HideTWBExt"/>
        </w:rPr>
        <w:t>&lt;/RepeatBlock-By&gt;</w:t>
      </w:r>
    </w:p>
    <w:p w:rsidR="001F04EE" w:rsidRPr="002B4A69" w:rsidP="001F04EE" w14:paraId="3C8253C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ED41616" w14:textId="77777777">
      <w:pPr>
        <w:pStyle w:val="NormalBold"/>
      </w:pPr>
      <w:r w:rsidRPr="002B4A69">
        <w:rPr>
          <w:rStyle w:val="HideTWBExt"/>
          <w:b w:val="0"/>
        </w:rPr>
        <w:t>&lt;Article&gt;</w:t>
      </w:r>
      <w:r w:rsidRPr="002B4A69">
        <w:t>Recital 79</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36D28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9603750" w14:textId="77777777">
            <w:pPr>
              <w:keepNext/>
            </w:pPr>
          </w:p>
        </w:tc>
      </w:tr>
      <w:tr w14:paraId="62034EB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1365B8E" w14:textId="77777777">
            <w:pPr>
              <w:pStyle w:val="ColumnHeading"/>
              <w:keepNext/>
              <w:rPr>
                <w:lang w:val="en-GB"/>
              </w:rPr>
            </w:pPr>
            <w:r w:rsidRPr="002B4A69">
              <w:rPr>
                <w:lang w:val="en-GB"/>
              </w:rPr>
              <w:t>Text proposed by the Commission</w:t>
            </w:r>
          </w:p>
        </w:tc>
        <w:tc>
          <w:tcPr>
            <w:tcW w:w="4876" w:type="dxa"/>
          </w:tcPr>
          <w:p w:rsidR="001F04EE" w:rsidRPr="002B4A69" w:rsidP="00723F81" w14:paraId="7D63355E" w14:textId="77777777">
            <w:pPr>
              <w:pStyle w:val="ColumnHeading"/>
              <w:keepNext/>
              <w:rPr>
                <w:lang w:val="en-GB"/>
              </w:rPr>
            </w:pPr>
            <w:r w:rsidRPr="002B4A69">
              <w:rPr>
                <w:lang w:val="en-GB"/>
              </w:rPr>
              <w:t>Amendment</w:t>
            </w:r>
          </w:p>
        </w:tc>
      </w:tr>
      <w:tr w14:paraId="1862390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3F0583E" w14:textId="77777777">
            <w:pPr>
              <w:pStyle w:val="Normal6"/>
              <w:rPr>
                <w:lang w:val="en-GB"/>
              </w:rPr>
            </w:pPr>
            <w:r w:rsidRPr="002B4A69">
              <w:rPr>
                <w:lang w:val="en-GB"/>
              </w:rPr>
              <w:t>(79)</w:t>
            </w:r>
            <w:r w:rsidRPr="002B4A69">
              <w:rPr>
                <w:lang w:val="en-GB"/>
              </w:rPr>
              <w:tab/>
              <w:t>Carbon can be captured for storage and utilisation in installations that have emissions resulting from a mix of fossil and zero-rated sources, such as from the combustion of sustainable biomass, which is zero-rated in the EU ETS. As CO</w:t>
            </w:r>
            <w:r w:rsidRPr="002B4A69">
              <w:rPr>
                <w:vertAlign w:val="subscript"/>
                <w:lang w:val="en-GB"/>
              </w:rPr>
              <w:t>2</w:t>
            </w:r>
            <w:r w:rsidRPr="002B4A69">
              <w:rPr>
                <w:lang w:val="en-GB"/>
              </w:rPr>
              <w:t xml:space="preserve"> from zero-rated sources and from fossil sources are treated different for the purposes of determining the compliance obligations of EU ETS, generating removals or in the production of synthetic fuels, it is necessary to establish detailed rules regarding the order of which the different types of CO</w:t>
            </w:r>
            <w:r w:rsidRPr="002B4A69">
              <w:rPr>
                <w:vertAlign w:val="subscript"/>
                <w:lang w:val="en-GB"/>
              </w:rPr>
              <w:t>2</w:t>
            </w:r>
            <w:r w:rsidRPr="002B4A69">
              <w:rPr>
                <w:lang w:val="en-GB"/>
              </w:rPr>
              <w:t xml:space="preserve"> are considered to be captured and how to account for their emissions across the carbon capture, transport, utilisation or storage chain.</w:t>
            </w:r>
          </w:p>
        </w:tc>
        <w:tc>
          <w:tcPr>
            <w:tcW w:w="4876" w:type="dxa"/>
          </w:tcPr>
          <w:p w:rsidR="001F04EE" w:rsidRPr="002B4A69" w:rsidP="00723F81" w14:paraId="2676031D" w14:textId="77777777">
            <w:pPr>
              <w:pStyle w:val="Normal6"/>
              <w:rPr>
                <w:szCs w:val="24"/>
                <w:lang w:val="en-GB"/>
              </w:rPr>
            </w:pPr>
            <w:r w:rsidRPr="002B4A69">
              <w:rPr>
                <w:lang w:val="en-GB"/>
              </w:rPr>
              <w:t>(79)</w:t>
            </w:r>
            <w:r w:rsidRPr="002B4A69">
              <w:rPr>
                <w:lang w:val="en-GB"/>
              </w:rPr>
              <w:tab/>
              <w:t>Carbon can be captured for storage and utilisation in installations that have emissions resulting from a mix of fossil and zero-rated sources, such as from the combustion of sustainable biomass, which is zero-rated in the EU ETS. As CO</w:t>
            </w:r>
            <w:r w:rsidRPr="002B4A69">
              <w:rPr>
                <w:vertAlign w:val="subscript"/>
                <w:lang w:val="en-GB"/>
              </w:rPr>
              <w:t>2</w:t>
            </w:r>
            <w:r w:rsidRPr="002B4A69">
              <w:rPr>
                <w:lang w:val="en-GB"/>
              </w:rPr>
              <w:t xml:space="preserve"> from zero-rated sources and from fossil sources are treated different for the purposes of determining the compliance obligations of EU ETS, generating removals or in the production of synthetic fuels, it is necessary to establish detailed rules regarding the order of which the different types of CO</w:t>
            </w:r>
            <w:r w:rsidRPr="002B4A69">
              <w:rPr>
                <w:vertAlign w:val="subscript"/>
                <w:lang w:val="en-GB"/>
              </w:rPr>
              <w:t>2</w:t>
            </w:r>
            <w:r w:rsidRPr="002B4A69">
              <w:rPr>
                <w:lang w:val="en-GB"/>
              </w:rPr>
              <w:t xml:space="preserve"> are considered to be captured and how to account for their emissions across the carbon capture, transport, utilisation or storage chain. </w:t>
            </w:r>
            <w:r w:rsidRPr="002B4A69">
              <w:rPr>
                <w:b/>
                <w:i/>
                <w:lang w:val="en-GB"/>
              </w:rPr>
              <w:t>Those rules should ensure that CO</w:t>
            </w:r>
            <w:r w:rsidRPr="002B4A69">
              <w:rPr>
                <w:b/>
                <w:i/>
                <w:vertAlign w:val="subscript"/>
                <w:lang w:val="en-GB"/>
              </w:rPr>
              <w:t>2</w:t>
            </w:r>
            <w:r w:rsidRPr="002B4A69">
              <w:rPr>
                <w:lang w:val="en-GB"/>
              </w:rPr>
              <w:t xml:space="preserve"> </w:t>
            </w:r>
            <w:r w:rsidRPr="002B4A69">
              <w:rPr>
                <w:b/>
                <w:i/>
                <w:lang w:val="en-GB"/>
              </w:rPr>
              <w:t>utilised in a product within a chemical value chain, does not become subject to a further surrender obligation solely because the extension of the EU ETS to municipal waste incineration brings the product's eventual disposal within its scope, so as not to undermine the incentive for utilisation over immediate release. Those rules should also ensure that the accounting treatment of captured and utilised CO</w:t>
            </w:r>
            <w:r w:rsidRPr="002B4A69">
              <w:rPr>
                <w:b/>
                <w:i/>
                <w:vertAlign w:val="subscript"/>
                <w:lang w:val="en-GB"/>
              </w:rPr>
              <w:t>2</w:t>
            </w:r>
            <w:r w:rsidRPr="002B4A69">
              <w:rPr>
                <w:lang w:val="en-GB"/>
              </w:rPr>
              <w:t xml:space="preserve"> </w:t>
            </w:r>
            <w:r w:rsidRPr="002B4A69">
              <w:rPr>
                <w:b/>
                <w:i/>
                <w:lang w:val="en-GB"/>
              </w:rPr>
              <w:t xml:space="preserve">remains neutral </w:t>
            </w:r>
            <w:r w:rsidRPr="002B4A69">
              <w:rPr>
                <w:b/>
                <w:i/>
                <w:lang w:val="en-GB"/>
              </w:rPr>
              <w:t>with regard to</w:t>
            </w:r>
            <w:r w:rsidRPr="002B4A69">
              <w:rPr>
                <w:b/>
                <w:i/>
                <w:lang w:val="en-GB"/>
              </w:rPr>
              <w:t xml:space="preserve"> the determination and application of EU ETS product </w:t>
            </w:r>
            <w:r w:rsidRPr="002B4A69">
              <w:rPr>
                <w:b/>
                <w:i/>
                <w:lang w:val="en-GB"/>
              </w:rPr>
              <w:t>benchmarks, and</w:t>
            </w:r>
            <w:r w:rsidRPr="002B4A69">
              <w:rPr>
                <w:b/>
                <w:i/>
                <w:lang w:val="en-GB"/>
              </w:rPr>
              <w:t xml:space="preserve"> does not result in any reduction of benchmark-based free allocation for critical chemicals production installations.</w:t>
            </w:r>
          </w:p>
        </w:tc>
      </w:tr>
    </w:tbl>
    <w:p w:rsidR="001F04EE" w:rsidRPr="002B4A69" w:rsidP="001F04EE" w14:paraId="0B3315B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1D5DD16"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448F5E46" w14:textId="77777777">
      <w:pPr>
        <w:pStyle w:val="Normal12Italic"/>
        <w:rPr>
          <w:noProof w:val="0"/>
          <w:lang w:val="en-GB"/>
        </w:rPr>
      </w:pPr>
      <w:r w:rsidRPr="002B4A69">
        <w:rPr>
          <w:noProof w:val="0"/>
          <w:lang w:val="en-GB"/>
        </w:rPr>
        <w:t>Recital (79) currently only flags the need for accounting rules between capture, storage and utilisation, without addressing the specific double-counting risk the waste incineration extension creates for CCU in chemical value chains. Further, the benchmark should not be affected by the downstream inclusion of waste incineration, in doing so this provide greater incentive to utilise CO2 into products where the CO2 is not released during its normal use.</w:t>
      </w:r>
    </w:p>
    <w:p w:rsidR="001F04EE" w:rsidRPr="002B4A69" w:rsidP="001F04EE" w14:paraId="4B206FA2" w14:textId="77777777">
      <w:r w:rsidRPr="002B4A69">
        <w:rPr>
          <w:rStyle w:val="HideTWBExt"/>
        </w:rPr>
        <w:t>&lt;/Amend&gt;</w:t>
      </w:r>
    </w:p>
    <w:p w:rsidR="001F04EE" w:rsidRPr="002B4A69" w:rsidP="001F04EE" w14:paraId="3FD6078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608</w:t>
      </w:r>
      <w:r w:rsidRPr="002B4A69">
        <w:rPr>
          <w:rStyle w:val="HideTWBExt"/>
          <w:b w:val="0"/>
          <w:lang w:val="en-GB"/>
        </w:rPr>
        <w:t>&lt;/NumAm&gt;</w:t>
      </w:r>
    </w:p>
    <w:p w:rsidR="001F04EE" w:rsidRPr="002B4A69" w:rsidP="001F04EE" w14:paraId="10EB4991" w14:textId="77777777">
      <w:pPr>
        <w:pStyle w:val="NormalBold"/>
      </w:pPr>
      <w:r w:rsidRPr="002B4A69">
        <w:rPr>
          <w:rStyle w:val="HideTWBExt"/>
          <w:b w:val="0"/>
        </w:rPr>
        <w:t>&lt;RepeatBlock-By&gt;&lt;Members&gt;</w:t>
      </w:r>
      <w:r w:rsidRPr="002B4A69">
        <w:t>Emma Wiesner, Yvan Verougstraete, Gerben-Jan Gerbrandy, Katri Kulmuni</w:t>
      </w:r>
      <w:r w:rsidRPr="002B4A69">
        <w:rPr>
          <w:rStyle w:val="HideTWBExt"/>
          <w:b w:val="0"/>
        </w:rPr>
        <w:t>&lt;/Members&gt;</w:t>
      </w:r>
    </w:p>
    <w:p w:rsidR="001F04EE" w:rsidRPr="002B4A69" w:rsidP="001F04EE" w14:paraId="2D7207C2" w14:textId="77777777">
      <w:r w:rsidRPr="002B4A69">
        <w:rPr>
          <w:rStyle w:val="HideTWBExt"/>
        </w:rPr>
        <w:t>&lt;/RepeatBlock-By&gt;</w:t>
      </w:r>
    </w:p>
    <w:p w:rsidR="001F04EE" w:rsidRPr="002B4A69" w:rsidP="001F04EE" w14:paraId="0AA06D4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78D016D" w14:textId="77777777">
      <w:pPr>
        <w:pStyle w:val="NormalBold"/>
      </w:pPr>
      <w:r w:rsidRPr="002B4A69">
        <w:rPr>
          <w:rStyle w:val="HideTWBExt"/>
          <w:b w:val="0"/>
        </w:rPr>
        <w:t>&lt;Article&gt;</w:t>
      </w:r>
      <w:r w:rsidRPr="002B4A69">
        <w:t>Recital 80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57DD03"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77C9B20" w14:textId="77777777">
            <w:pPr>
              <w:keepNext/>
            </w:pPr>
          </w:p>
        </w:tc>
      </w:tr>
      <w:tr w14:paraId="32A8EA7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FC69362" w14:textId="77777777">
            <w:pPr>
              <w:pStyle w:val="ColumnHeading"/>
              <w:keepNext/>
              <w:rPr>
                <w:lang w:val="en-GB"/>
              </w:rPr>
            </w:pPr>
            <w:r w:rsidRPr="002B4A69">
              <w:rPr>
                <w:lang w:val="en-GB"/>
              </w:rPr>
              <w:t>Text proposed by the Commission</w:t>
            </w:r>
          </w:p>
        </w:tc>
        <w:tc>
          <w:tcPr>
            <w:tcW w:w="4876" w:type="dxa"/>
          </w:tcPr>
          <w:p w:rsidR="001F04EE" w:rsidRPr="002B4A69" w:rsidP="00723F81" w14:paraId="5010E187" w14:textId="77777777">
            <w:pPr>
              <w:pStyle w:val="ColumnHeading"/>
              <w:keepNext/>
              <w:rPr>
                <w:lang w:val="en-GB"/>
              </w:rPr>
            </w:pPr>
            <w:r w:rsidRPr="002B4A69">
              <w:rPr>
                <w:lang w:val="en-GB"/>
              </w:rPr>
              <w:t>Amendment</w:t>
            </w:r>
          </w:p>
        </w:tc>
      </w:tr>
      <w:tr w14:paraId="067EA78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537725C" w14:textId="77777777">
            <w:pPr>
              <w:pStyle w:val="Normal6"/>
              <w:rPr>
                <w:lang w:val="en-GB"/>
              </w:rPr>
            </w:pPr>
            <w:r w:rsidRPr="002B4A69">
              <w:rPr>
                <w:lang w:val="en-GB"/>
              </w:rPr>
              <w:t>(80)</w:t>
            </w:r>
            <w:r w:rsidRPr="002B4A69">
              <w:rPr>
                <w:lang w:val="en-GB"/>
              </w:rPr>
              <w:tab/>
              <w:t xml:space="preserve">In order to ensure a proper functioning and management of the EU ETS, it is appropriate to allocate to the Commission up to 5 million allowances from the Union-wide quantity of allowances. In line with the increased number of users and the increased coverage of the EU ETS, the growing value of allowances held in the Union Registry and the increased security challenges, those revenues should </w:t>
            </w:r>
            <w:r w:rsidRPr="002B4A69">
              <w:rPr>
                <w:lang w:val="en-GB"/>
              </w:rPr>
              <w:t>in particular be</w:t>
            </w:r>
            <w:r w:rsidRPr="002B4A69">
              <w:rPr>
                <w:lang w:val="en-GB"/>
              </w:rPr>
              <w:t xml:space="preserve"> used to ensure the proper functioning, management and security of the Union Registry. In line with the increased coverage of the EU ETS and changes introduced by this Directive, it is appropriate to ensure that those revenues may be used for other aspects of ensuring the proper functioning and management of the EU ETS, including on implementing the rules on investment conditionality for free allocation</w:t>
            </w:r>
            <w:r w:rsidRPr="002B4A69">
              <w:rPr>
                <w:b/>
                <w:i/>
                <w:lang w:val="en-GB"/>
              </w:rPr>
              <w:t>, and operation of the facility for the purchase of high quality and high integrity international credits</w:t>
            </w:r>
            <w:r w:rsidRPr="002B4A69">
              <w:rPr>
                <w:lang w:val="en-GB"/>
              </w:rPr>
              <w:t>. Conditions, modalities and procedures concerning the use of those revenues should be detailed by the Commission in delegated acts.</w:t>
            </w:r>
          </w:p>
        </w:tc>
        <w:tc>
          <w:tcPr>
            <w:tcW w:w="4876" w:type="dxa"/>
          </w:tcPr>
          <w:p w:rsidR="001F04EE" w:rsidRPr="002B4A69" w:rsidP="00723F81" w14:paraId="0B2ADD76" w14:textId="77777777">
            <w:pPr>
              <w:pStyle w:val="Normal6"/>
              <w:rPr>
                <w:szCs w:val="24"/>
                <w:lang w:val="en-GB"/>
              </w:rPr>
            </w:pPr>
            <w:r w:rsidRPr="002B4A69">
              <w:rPr>
                <w:lang w:val="en-GB"/>
              </w:rPr>
              <w:t>(80)</w:t>
            </w:r>
            <w:r w:rsidRPr="002B4A69">
              <w:rPr>
                <w:lang w:val="en-GB"/>
              </w:rPr>
              <w:tab/>
              <w:t xml:space="preserve">In order to ensure a proper functioning and management of the EU ETS, it is appropriate to allocate to the Commission up to 5 million allowances from the Union-wide quantity of allowances. In line with the increased number of users and the increased coverage of the EU ETS, the growing value of allowances held in the Union Registry and the increased security challenges, those revenues should </w:t>
            </w:r>
            <w:r w:rsidRPr="002B4A69">
              <w:rPr>
                <w:lang w:val="en-GB"/>
              </w:rPr>
              <w:t>in particular be</w:t>
            </w:r>
            <w:r w:rsidRPr="002B4A69">
              <w:rPr>
                <w:lang w:val="en-GB"/>
              </w:rPr>
              <w:t xml:space="preserve"> used to ensure the proper functioning, management and security of the Union Registry. In line with the increased coverage of the EU ETS and changes introduced by this Directive, it is appropriate to ensure that those revenues may be used for other aspects of ensuring the proper functioning and management of the EU ETS, including on implementing the rules on investment conditionality for free allocation. Conditions, modalities and procedures concerning the use of those revenues should be detailed by the Commission in delegated acts.</w:t>
            </w:r>
          </w:p>
        </w:tc>
      </w:tr>
    </w:tbl>
    <w:p w:rsidR="001F04EE" w:rsidRPr="002B4A69" w:rsidP="001F04EE" w14:paraId="43ED873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A69F48C" w14:textId="77777777">
      <w:r w:rsidRPr="002B4A69">
        <w:rPr>
          <w:rStyle w:val="HideTWBExt"/>
        </w:rPr>
        <w:t>&lt;/Amend&gt;</w:t>
      </w:r>
    </w:p>
    <w:p w:rsidR="001F04EE" w:rsidRPr="002B4A69" w:rsidP="001F04EE" w14:paraId="2AFA40D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609</w:t>
      </w:r>
      <w:r w:rsidRPr="002B4A69">
        <w:rPr>
          <w:rStyle w:val="HideTWBExt"/>
          <w:b w:val="0"/>
          <w:lang w:val="en-GB"/>
        </w:rPr>
        <w:t>&lt;/NumAm&gt;</w:t>
      </w:r>
    </w:p>
    <w:p w:rsidR="001F04EE" w:rsidRPr="002B4A69" w:rsidP="001F04EE" w14:paraId="5D95FED9"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5E5EB202" w14:textId="77777777">
      <w:r w:rsidRPr="002B4A69">
        <w:rPr>
          <w:rStyle w:val="HideTWBExt"/>
        </w:rPr>
        <w:t>&lt;/RepeatBlock-By&gt;</w:t>
      </w:r>
    </w:p>
    <w:p w:rsidR="001F04EE" w:rsidRPr="002B4A69" w:rsidP="001F04EE" w14:paraId="71DFD52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3007476" w14:textId="77777777">
      <w:pPr>
        <w:pStyle w:val="NormalBold"/>
      </w:pPr>
      <w:r w:rsidRPr="002B4A69">
        <w:rPr>
          <w:rStyle w:val="HideTWBExt"/>
          <w:b w:val="0"/>
        </w:rPr>
        <w:t>&lt;Article&gt;</w:t>
      </w:r>
      <w:r w:rsidRPr="002B4A69">
        <w:t>Recital 80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3292A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3809721" w14:textId="77777777">
            <w:pPr>
              <w:keepNext/>
            </w:pPr>
          </w:p>
        </w:tc>
      </w:tr>
      <w:tr w14:paraId="660BD73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A31A77B" w14:textId="77777777">
            <w:pPr>
              <w:pStyle w:val="ColumnHeading"/>
              <w:keepNext/>
              <w:rPr>
                <w:lang w:val="en-GB"/>
              </w:rPr>
            </w:pPr>
            <w:r w:rsidRPr="002B4A69">
              <w:rPr>
                <w:lang w:val="en-GB"/>
              </w:rPr>
              <w:t>Text proposed by the Commission</w:t>
            </w:r>
          </w:p>
        </w:tc>
        <w:tc>
          <w:tcPr>
            <w:tcW w:w="4876" w:type="dxa"/>
          </w:tcPr>
          <w:p w:rsidR="001F04EE" w:rsidRPr="002B4A69" w:rsidP="00723F81" w14:paraId="7DF2C8BC" w14:textId="77777777">
            <w:pPr>
              <w:pStyle w:val="ColumnHeading"/>
              <w:keepNext/>
              <w:rPr>
                <w:lang w:val="en-GB"/>
              </w:rPr>
            </w:pPr>
            <w:r w:rsidRPr="002B4A69">
              <w:rPr>
                <w:lang w:val="en-GB"/>
              </w:rPr>
              <w:t>Amendment</w:t>
            </w:r>
          </w:p>
        </w:tc>
      </w:tr>
      <w:tr w14:paraId="1CEE137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F4B7F97" w14:textId="77777777">
            <w:pPr>
              <w:pStyle w:val="Normal6"/>
              <w:rPr>
                <w:lang w:val="en-GB"/>
              </w:rPr>
            </w:pPr>
            <w:r w:rsidRPr="002B4A69">
              <w:rPr>
                <w:lang w:val="en-GB"/>
              </w:rPr>
              <w:t>(80)</w:t>
            </w:r>
            <w:r w:rsidRPr="002B4A69">
              <w:rPr>
                <w:lang w:val="en-GB"/>
              </w:rPr>
              <w:tab/>
              <w:t xml:space="preserve">In order to ensure a proper functioning and management of the EU ETS, it is appropriate to allocate to the Commission up to 5 million allowances from the Union-wide quantity of allowances. In line with the increased number of users and the increased coverage of the EU ETS, the growing value of allowances held in the Union Registry and the increased security challenges, those revenues should </w:t>
            </w:r>
            <w:r w:rsidRPr="002B4A69">
              <w:rPr>
                <w:lang w:val="en-GB"/>
              </w:rPr>
              <w:t>in particular be</w:t>
            </w:r>
            <w:r w:rsidRPr="002B4A69">
              <w:rPr>
                <w:lang w:val="en-GB"/>
              </w:rPr>
              <w:t xml:space="preserve"> used to ensure the proper functioning, management and security of the Union Registry. In line with the increased coverage of the EU ETS and changes introduced by this Directive, it is appropriate to ensure that those revenues may be used for other aspects of ensuring the proper functioning and management of the EU ETS, including on </w:t>
            </w:r>
            <w:r w:rsidRPr="002B4A69">
              <w:rPr>
                <w:b/>
                <w:i/>
                <w:lang w:val="en-GB"/>
              </w:rPr>
              <w:t>implementing the rules on investment conditionality for free allocation, and</w:t>
            </w:r>
            <w:r w:rsidRPr="002B4A69">
              <w:rPr>
                <w:lang w:val="en-GB"/>
              </w:rPr>
              <w:t xml:space="preserve"> operation of the facility for the purchase of high quality and high integrity international credits. Conditions, modalities and procedures concerning the use of those revenues should be detailed by the Commission in delegated acts.</w:t>
            </w:r>
          </w:p>
        </w:tc>
        <w:tc>
          <w:tcPr>
            <w:tcW w:w="4876" w:type="dxa"/>
          </w:tcPr>
          <w:p w:rsidR="001F04EE" w:rsidRPr="002B4A69" w:rsidP="00723F81" w14:paraId="3E6AA94F" w14:textId="77777777">
            <w:pPr>
              <w:pStyle w:val="Normal6"/>
              <w:rPr>
                <w:szCs w:val="24"/>
                <w:lang w:val="en-GB"/>
              </w:rPr>
            </w:pPr>
            <w:r w:rsidRPr="002B4A69">
              <w:rPr>
                <w:lang w:val="en-GB"/>
              </w:rPr>
              <w:t>(80)</w:t>
            </w:r>
            <w:r w:rsidRPr="002B4A69">
              <w:rPr>
                <w:lang w:val="en-GB"/>
              </w:rPr>
              <w:tab/>
              <w:t xml:space="preserve">In order to ensure a proper functioning and management of the EU ETS, it is appropriate to allocate to the Commission up to 5 million allowances from the Union-wide quantity of allowances. In line with the increased number of users and the increased coverage of the EU ETS, the growing value of allowances held in the Union Registry and the increased security challenges, those revenues should </w:t>
            </w:r>
            <w:r w:rsidRPr="002B4A69">
              <w:rPr>
                <w:lang w:val="en-GB"/>
              </w:rPr>
              <w:t>in particular be</w:t>
            </w:r>
            <w:r w:rsidRPr="002B4A69">
              <w:rPr>
                <w:lang w:val="en-GB"/>
              </w:rPr>
              <w:t xml:space="preserve"> used to ensure the proper functioning, management and security of the Union Registry. In line with the increased coverage of the EU ETS and changes introduced by this Directive, it is appropriate to ensure that those revenues may be used for other aspects of ensuring the proper functioning and management of the EU ETS, including on operation of the facility for the purchase of high quality and high integrity international credits. Conditions, modalities and procedures concerning the use of those revenues should be detailed by the Commission in delegated acts.</w:t>
            </w:r>
          </w:p>
        </w:tc>
      </w:tr>
    </w:tbl>
    <w:p w:rsidR="001F04EE" w:rsidRPr="002B4A69" w:rsidP="001F04EE" w14:paraId="746CA46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6ECC34A" w14:textId="77777777">
      <w:r w:rsidRPr="002B4A69">
        <w:rPr>
          <w:rStyle w:val="HideTWBExt"/>
        </w:rPr>
        <w:t>&lt;/Amend&gt;</w:t>
      </w:r>
    </w:p>
    <w:p w:rsidR="001F04EE" w:rsidRPr="002B4A69" w:rsidP="001F04EE" w14:paraId="4DA81BB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610</w:t>
      </w:r>
      <w:r w:rsidRPr="002B4A69">
        <w:rPr>
          <w:rStyle w:val="HideTWBExt"/>
          <w:b w:val="0"/>
          <w:lang w:val="en-GB"/>
        </w:rPr>
        <w:t>&lt;/NumAm&gt;</w:t>
      </w:r>
    </w:p>
    <w:p w:rsidR="001F04EE" w:rsidRPr="002B4A69" w:rsidP="001F04EE" w14:paraId="453C2EA5" w14:textId="77777777">
      <w:pPr>
        <w:pStyle w:val="NormalBold"/>
      </w:pPr>
      <w:r w:rsidRPr="002B4A69">
        <w:rPr>
          <w:rStyle w:val="HideTWBExt"/>
          <w:b w:val="0"/>
        </w:rPr>
        <w:t>&lt;RepeatBlock-By&gt;&lt;Members&gt;</w:t>
      </w:r>
      <w:r w:rsidRPr="002B4A69">
        <w:t>Ondřej Knotek, Jana Nagyová, Antonín Staněk, Viktória Ferenc</w:t>
      </w:r>
      <w:r w:rsidRPr="002B4A69">
        <w:rPr>
          <w:rStyle w:val="HideTWBExt"/>
          <w:b w:val="0"/>
        </w:rPr>
        <w:t>&lt;/Members&gt;</w:t>
      </w:r>
    </w:p>
    <w:p w:rsidR="001F04EE" w:rsidRPr="002B4A69" w:rsidP="001F04EE" w14:paraId="30D650C0" w14:textId="77777777">
      <w:r w:rsidRPr="002B4A69">
        <w:rPr>
          <w:rStyle w:val="HideTWBExt"/>
        </w:rPr>
        <w:t>&lt;/RepeatBlock-By&gt;</w:t>
      </w:r>
    </w:p>
    <w:p w:rsidR="001F04EE" w:rsidRPr="002B4A69" w:rsidP="001F04EE" w14:paraId="28E4A34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6599ABC" w14:textId="77777777">
      <w:pPr>
        <w:pStyle w:val="NormalBold"/>
      </w:pPr>
      <w:r w:rsidRPr="002B4A69">
        <w:rPr>
          <w:rStyle w:val="HideTWBExt"/>
          <w:b w:val="0"/>
        </w:rPr>
        <w:t>&lt;Article&gt;</w:t>
      </w:r>
      <w:r w:rsidRPr="002B4A69">
        <w:t>Recital 80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64404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6920F5E" w14:textId="77777777">
            <w:pPr>
              <w:keepNext/>
            </w:pPr>
          </w:p>
        </w:tc>
      </w:tr>
      <w:tr w14:paraId="2CFDA48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D037176" w14:textId="77777777">
            <w:pPr>
              <w:pStyle w:val="ColumnHeading"/>
              <w:keepNext/>
              <w:rPr>
                <w:lang w:val="en-GB"/>
              </w:rPr>
            </w:pPr>
            <w:r w:rsidRPr="002B4A69">
              <w:rPr>
                <w:lang w:val="en-GB"/>
              </w:rPr>
              <w:t>Text proposed by the Commission</w:t>
            </w:r>
          </w:p>
        </w:tc>
        <w:tc>
          <w:tcPr>
            <w:tcW w:w="4876" w:type="dxa"/>
          </w:tcPr>
          <w:p w:rsidR="001F04EE" w:rsidRPr="002B4A69" w:rsidP="00723F81" w14:paraId="78248B37" w14:textId="77777777">
            <w:pPr>
              <w:pStyle w:val="ColumnHeading"/>
              <w:keepNext/>
              <w:rPr>
                <w:lang w:val="en-GB"/>
              </w:rPr>
            </w:pPr>
            <w:r w:rsidRPr="002B4A69">
              <w:rPr>
                <w:lang w:val="en-GB"/>
              </w:rPr>
              <w:t>Amendment</w:t>
            </w:r>
          </w:p>
        </w:tc>
      </w:tr>
      <w:tr w14:paraId="3425669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99DD072" w14:textId="77777777">
            <w:pPr>
              <w:pStyle w:val="Normal6"/>
              <w:rPr>
                <w:lang w:val="en-GB"/>
              </w:rPr>
            </w:pPr>
            <w:r w:rsidRPr="002B4A69">
              <w:rPr>
                <w:lang w:val="en-GB"/>
              </w:rPr>
              <w:t>(80)</w:t>
            </w:r>
            <w:r w:rsidRPr="002B4A69">
              <w:rPr>
                <w:lang w:val="en-GB"/>
              </w:rPr>
              <w:tab/>
              <w:t xml:space="preserve">In order to ensure a proper functioning and management of the EU ETS, it is appropriate to allocate to the Commission up to </w:t>
            </w:r>
            <w:r w:rsidRPr="002B4A69">
              <w:rPr>
                <w:b/>
                <w:i/>
                <w:lang w:val="en-GB"/>
              </w:rPr>
              <w:t>5</w:t>
            </w:r>
            <w:r w:rsidRPr="002B4A69">
              <w:rPr>
                <w:lang w:val="en-GB"/>
              </w:rPr>
              <w:t xml:space="preserve"> million allowances from the Union-wide quantity of allowances. In line with the increased number of users and the increased coverage of the EU ETS, the growing value of allowances held in the Union Registry and the increased security challenges, those revenues should </w:t>
            </w:r>
            <w:r w:rsidRPr="002B4A69">
              <w:rPr>
                <w:lang w:val="en-GB"/>
              </w:rPr>
              <w:t>in particular be</w:t>
            </w:r>
            <w:r w:rsidRPr="002B4A69">
              <w:rPr>
                <w:lang w:val="en-GB"/>
              </w:rPr>
              <w:t xml:space="preserve"> used to ensure the proper functioning, management and security of the Union Registry. In line with the increased coverage of the EU ETS and changes introduced by this Directive, it is appropriate to ensure that those revenues may be used for other aspects of ensuring the proper functioning and management of the EU ETS, including on implementing the rules on investment conditionality for free allocation, and operation of the facility for the purchase of high quality and high integrity international credits. Conditions, modalities and procedures concerning the use of those revenues should be detailed by the Commission in delegated acts.</w:t>
            </w:r>
          </w:p>
        </w:tc>
        <w:tc>
          <w:tcPr>
            <w:tcW w:w="4876" w:type="dxa"/>
          </w:tcPr>
          <w:p w:rsidR="001F04EE" w:rsidRPr="002B4A69" w:rsidP="00723F81" w14:paraId="5652737D" w14:textId="77777777">
            <w:pPr>
              <w:pStyle w:val="Normal6"/>
              <w:rPr>
                <w:szCs w:val="24"/>
                <w:lang w:val="en-GB"/>
              </w:rPr>
            </w:pPr>
            <w:r w:rsidRPr="002B4A69">
              <w:rPr>
                <w:lang w:val="en-GB"/>
              </w:rPr>
              <w:t>(80)</w:t>
            </w:r>
            <w:r w:rsidRPr="002B4A69">
              <w:rPr>
                <w:lang w:val="en-GB"/>
              </w:rPr>
              <w:tab/>
              <w:t xml:space="preserve">In order to ensure a proper functioning and management of the EU ETS, it is appropriate to allocate to the Commission up to </w:t>
            </w:r>
            <w:r w:rsidRPr="002B4A69">
              <w:rPr>
                <w:b/>
                <w:i/>
                <w:lang w:val="en-GB"/>
              </w:rPr>
              <w:t>1</w:t>
            </w:r>
            <w:r w:rsidRPr="002B4A69">
              <w:rPr>
                <w:lang w:val="en-GB"/>
              </w:rPr>
              <w:t xml:space="preserve"> million allowances from the Union-wide quantity of allowances. In line with the increased number of users and the increased coverage of the EU ETS, the growing value of allowances held in the Union Registry and the increased security challenges, those revenues should </w:t>
            </w:r>
            <w:r w:rsidRPr="002B4A69">
              <w:rPr>
                <w:lang w:val="en-GB"/>
              </w:rPr>
              <w:t>in particular be</w:t>
            </w:r>
            <w:r w:rsidRPr="002B4A69">
              <w:rPr>
                <w:lang w:val="en-GB"/>
              </w:rPr>
              <w:t xml:space="preserve"> used to ensure the proper functioning, management and security of the Union Registry. In line with the increased coverage of the EU ETS and changes introduced by this Directive, it is appropriate to ensure that those revenues may be used for other aspects of ensuring the proper functioning and management of the EU ETS, including on implementing the rules on investment conditionality for free allocation, and operation of the facility for the purchase of high quality and high integrity international credits. Conditions, modalities and procedures concerning the use of those revenues should be detailed by the Commission in delegated acts.</w:t>
            </w:r>
          </w:p>
        </w:tc>
      </w:tr>
    </w:tbl>
    <w:p w:rsidR="001F04EE" w:rsidRPr="002B4A69" w:rsidP="001F04EE" w14:paraId="19DD831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1FA5009" w14:textId="77777777">
      <w:r w:rsidRPr="002B4A69">
        <w:rPr>
          <w:rStyle w:val="HideTWBExt"/>
        </w:rPr>
        <w:t>&lt;/Amend&gt;</w:t>
      </w:r>
    </w:p>
    <w:p w:rsidR="001F04EE" w:rsidRPr="002B4A69" w:rsidP="001F04EE" w14:paraId="26FE5E5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611</w:t>
      </w:r>
      <w:r w:rsidRPr="002B4A69">
        <w:rPr>
          <w:rStyle w:val="HideTWBExt"/>
          <w:b w:val="0"/>
          <w:lang w:val="en-GB"/>
        </w:rPr>
        <w:t>&lt;/NumAm&gt;</w:t>
      </w:r>
    </w:p>
    <w:p w:rsidR="001F04EE" w:rsidRPr="002B4A69" w:rsidP="001F04EE" w14:paraId="0775A173"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46BF5F97" w14:textId="77777777">
      <w:r w:rsidRPr="002B4A69">
        <w:rPr>
          <w:rStyle w:val="HideTWBExt"/>
        </w:rPr>
        <w:t>&lt;/RepeatBlock-By&gt;</w:t>
      </w:r>
    </w:p>
    <w:p w:rsidR="001F04EE" w:rsidRPr="002B4A69" w:rsidP="001F04EE" w14:paraId="36C30124"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20FA162" w14:textId="77777777">
      <w:pPr>
        <w:pStyle w:val="NormalBold"/>
      </w:pPr>
      <w:r w:rsidRPr="002B4A69">
        <w:rPr>
          <w:rStyle w:val="HideTWBExt"/>
          <w:b w:val="0"/>
        </w:rPr>
        <w:t>&lt;Article&gt;</w:t>
      </w:r>
      <w:r w:rsidRPr="002B4A69">
        <w:t>Recital 81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9BA97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CAF2E9A" w14:textId="77777777">
            <w:pPr>
              <w:keepNext/>
            </w:pPr>
          </w:p>
        </w:tc>
      </w:tr>
      <w:tr w14:paraId="397F45F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9C19DDD" w14:textId="77777777">
            <w:pPr>
              <w:pStyle w:val="ColumnHeading"/>
              <w:keepNext/>
              <w:rPr>
                <w:lang w:val="en-GB"/>
              </w:rPr>
            </w:pPr>
            <w:r w:rsidRPr="002B4A69">
              <w:rPr>
                <w:lang w:val="en-GB"/>
              </w:rPr>
              <w:t>Text proposed by the Commission</w:t>
            </w:r>
          </w:p>
        </w:tc>
        <w:tc>
          <w:tcPr>
            <w:tcW w:w="4876" w:type="dxa"/>
          </w:tcPr>
          <w:p w:rsidR="001F04EE" w:rsidRPr="002B4A69" w:rsidP="00723F81" w14:paraId="53D1FA61" w14:textId="77777777">
            <w:pPr>
              <w:pStyle w:val="ColumnHeading"/>
              <w:keepNext/>
              <w:rPr>
                <w:lang w:val="en-GB"/>
              </w:rPr>
            </w:pPr>
            <w:r w:rsidRPr="002B4A69">
              <w:rPr>
                <w:lang w:val="en-GB"/>
              </w:rPr>
              <w:t>Amendment</w:t>
            </w:r>
          </w:p>
        </w:tc>
      </w:tr>
      <w:tr w14:paraId="6CAF629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2AAD4D6" w14:textId="77777777">
            <w:pPr>
              <w:pStyle w:val="Normal6"/>
              <w:rPr>
                <w:lang w:val="en-GB"/>
              </w:rPr>
            </w:pPr>
            <w:r w:rsidRPr="002B4A69">
              <w:rPr>
                <w:b/>
                <w:i/>
                <w:lang w:val="en-GB"/>
              </w:rPr>
              <w:t>(81)</w:t>
            </w:r>
            <w:r w:rsidRPr="002B4A69">
              <w:rPr>
                <w:b/>
                <w:i/>
                <w:lang w:val="en-GB"/>
              </w:rPr>
              <w:tab/>
              <w:t>For coherence with the treatment of emissions from biomass that complies with the sustainability criteria and greenhouse gas emission-saving criteria for the use of biomass established by Directive (EU) 2018/2001 of the European Parliament and of the Council</w:t>
            </w:r>
            <w:r w:rsidRPr="002B4A69">
              <w:rPr>
                <w:b/>
                <w:i/>
                <w:vertAlign w:val="superscript"/>
                <w:lang w:val="en-GB"/>
              </w:rPr>
              <w:t>30</w:t>
            </w:r>
            <w:r w:rsidRPr="002B4A69">
              <w:rPr>
                <w:lang w:val="en-GB"/>
              </w:rPr>
              <w:t xml:space="preserve"> </w:t>
            </w:r>
            <w:r w:rsidRPr="002B4A69">
              <w:rPr>
                <w:b/>
                <w:i/>
                <w:lang w:val="en-GB"/>
              </w:rPr>
              <w:t>,</w:t>
            </w:r>
            <w:r w:rsidRPr="002B4A69">
              <w:rPr>
                <w:b/>
                <w:i/>
                <w:lang w:val="en-GB"/>
              </w:rPr>
              <w:t xml:space="preserve"> and other zero-rated emissions in the EU ETS, carbon dioxide captured from the atmosphere or from sources with an emission factor of zero, should also have an emissions factor of zero when released in an activity in the EU ETS. For coherence with the treatment of emissions from biomass that that complies with the sustainability criteria and greenhouse gas emission-saving criteria for the use of biomass established by Directive (EU) 2018/2001 of the European Parliament and of the Council</w:t>
            </w:r>
            <w:r w:rsidRPr="002B4A69">
              <w:rPr>
                <w:b/>
                <w:i/>
                <w:vertAlign w:val="superscript"/>
                <w:lang w:val="en-GB"/>
              </w:rPr>
              <w:t>31</w:t>
            </w:r>
            <w:r w:rsidRPr="002B4A69">
              <w:rPr>
                <w:lang w:val="en-GB"/>
              </w:rPr>
              <w:t xml:space="preserve"> </w:t>
            </w:r>
            <w:r w:rsidRPr="002B4A69">
              <w:rPr>
                <w:b/>
                <w:i/>
                <w:lang w:val="en-GB"/>
              </w:rPr>
              <w:t>,</w:t>
            </w:r>
            <w:r w:rsidRPr="002B4A69">
              <w:rPr>
                <w:b/>
                <w:i/>
                <w:lang w:val="en-GB"/>
              </w:rPr>
              <w:t xml:space="preserve"> and other zero-rated emissions in the EU ETS, carbon dioxide captured from the atmosphere or from sources with an emission factor of zero, should also have an emissions factor of zero when released in an activity in the EU ETS. As an exception, that same CO</w:t>
            </w:r>
            <w:r w:rsidRPr="002B4A69">
              <w:rPr>
                <w:b/>
                <w:i/>
                <w:vertAlign w:val="subscript"/>
                <w:lang w:val="en-GB"/>
              </w:rPr>
              <w:t>2</w:t>
            </w:r>
            <w:r w:rsidRPr="002B4A69">
              <w:rPr>
                <w:vertAlign w:val="subscript"/>
                <w:lang w:val="en-GB"/>
              </w:rPr>
              <w:t xml:space="preserve"> </w:t>
            </w:r>
            <w:r w:rsidRPr="002B4A69">
              <w:rPr>
                <w:b/>
                <w:i/>
                <w:lang w:val="en-GB"/>
              </w:rPr>
              <w:t>should be subject to a surrender obligation when the CO</w:t>
            </w:r>
            <w:r w:rsidRPr="002B4A69">
              <w:rPr>
                <w:b/>
                <w:i/>
                <w:vertAlign w:val="subscript"/>
                <w:lang w:val="en-GB"/>
              </w:rPr>
              <w:t>2</w:t>
            </w:r>
            <w:r w:rsidRPr="002B4A69">
              <w:rPr>
                <w:lang w:val="en-GB"/>
              </w:rPr>
              <w:t xml:space="preserve"> </w:t>
            </w:r>
            <w:r w:rsidRPr="002B4A69">
              <w:rPr>
                <w:b/>
                <w:i/>
                <w:lang w:val="en-GB"/>
              </w:rPr>
              <w:t>is leaked, vented or otherwise released from a permanent geological storage site, as the CO</w:t>
            </w:r>
            <w:r w:rsidRPr="002B4A69">
              <w:rPr>
                <w:b/>
                <w:i/>
                <w:vertAlign w:val="subscript"/>
                <w:lang w:val="en-GB"/>
              </w:rPr>
              <w:t>2</w:t>
            </w:r>
            <w:r w:rsidRPr="002B4A69">
              <w:rPr>
                <w:lang w:val="en-GB"/>
              </w:rPr>
              <w:t xml:space="preserve"> </w:t>
            </w:r>
            <w:r w:rsidRPr="002B4A69">
              <w:rPr>
                <w:b/>
                <w:i/>
                <w:lang w:val="en-GB"/>
              </w:rPr>
              <w:t>will have received a reward as a negative emission under Regulation (EU) 2024/3012, which relies on the EU ETS for the liability for reversals.</w:t>
            </w:r>
          </w:p>
        </w:tc>
        <w:tc>
          <w:tcPr>
            <w:tcW w:w="4876" w:type="dxa"/>
          </w:tcPr>
          <w:p w:rsidR="001F04EE" w:rsidRPr="002B4A69" w:rsidP="00723F81" w14:paraId="4EB40EFA" w14:textId="77777777">
            <w:pPr>
              <w:pStyle w:val="Normal6"/>
              <w:rPr>
                <w:szCs w:val="24"/>
                <w:lang w:val="en-GB"/>
              </w:rPr>
            </w:pPr>
            <w:r w:rsidRPr="002B4A69">
              <w:rPr>
                <w:b/>
                <w:i/>
                <w:lang w:val="en-GB"/>
              </w:rPr>
              <w:t>deleted</w:t>
            </w:r>
          </w:p>
        </w:tc>
      </w:tr>
      <w:tr w14:paraId="550059F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F66FA0D" w14:textId="77777777">
            <w:pPr>
              <w:pStyle w:val="Normal6"/>
              <w:rPr>
                <w:lang w:val="en-GB"/>
              </w:rPr>
            </w:pPr>
            <w:r w:rsidRPr="002B4A69">
              <w:rPr>
                <w:b/>
                <w:i/>
                <w:lang w:val="en-GB"/>
              </w:rPr>
              <w:t>__________________</w:t>
            </w:r>
          </w:p>
        </w:tc>
        <w:tc>
          <w:tcPr>
            <w:tcW w:w="4876" w:type="dxa"/>
          </w:tcPr>
          <w:p w:rsidR="001F04EE" w:rsidRPr="002B4A69" w:rsidP="00723F81" w14:paraId="4C939678" w14:textId="77777777">
            <w:pPr>
              <w:pStyle w:val="Normal6"/>
              <w:rPr>
                <w:szCs w:val="24"/>
                <w:lang w:val="en-GB"/>
              </w:rPr>
            </w:pPr>
          </w:p>
        </w:tc>
      </w:tr>
      <w:tr w14:paraId="57C9D66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987AFC0" w14:textId="77777777">
            <w:pPr>
              <w:pStyle w:val="Normal6"/>
              <w:rPr>
                <w:lang w:val="en-GB"/>
              </w:rPr>
            </w:pPr>
            <w:r w:rsidRPr="002B4A69">
              <w:rPr>
                <w:b/>
                <w:i/>
                <w:vertAlign w:val="superscript"/>
                <w:lang w:val="en-GB"/>
              </w:rPr>
              <w:t>30</w:t>
            </w:r>
            <w:r w:rsidRPr="002B4A69">
              <w:rPr>
                <w:lang w:val="en-GB"/>
              </w:rPr>
              <w:t xml:space="preserve"> </w:t>
            </w:r>
            <w:r w:rsidRPr="002B4A69">
              <w:rPr>
                <w:b/>
                <w:i/>
                <w:lang w:val="en-GB"/>
              </w:rPr>
              <w:t>Directive (EU) 2018/2001 of the European Parliament and of the Council of 11 December 2018 on the promotion of the use of energy from renewable sources (OJ L 328, 21.12.2018, pp. 82–209, ELI: http://data.europa.eu/eli/dir/2018/2001/oj).</w:t>
            </w:r>
          </w:p>
        </w:tc>
        <w:tc>
          <w:tcPr>
            <w:tcW w:w="4876" w:type="dxa"/>
          </w:tcPr>
          <w:p w:rsidR="001F04EE" w:rsidRPr="002B4A69" w:rsidP="00723F81" w14:paraId="356DFE84" w14:textId="77777777">
            <w:pPr>
              <w:pStyle w:val="Normal6"/>
              <w:rPr>
                <w:szCs w:val="24"/>
                <w:lang w:val="en-GB"/>
              </w:rPr>
            </w:pPr>
          </w:p>
        </w:tc>
      </w:tr>
      <w:tr w14:paraId="5D5DAB9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33466B" w14:textId="77777777">
            <w:pPr>
              <w:pStyle w:val="Normal6"/>
              <w:rPr>
                <w:lang w:val="en-GB"/>
              </w:rPr>
            </w:pPr>
            <w:r w:rsidRPr="002B4A69">
              <w:rPr>
                <w:b/>
                <w:i/>
                <w:vertAlign w:val="superscript"/>
                <w:lang w:val="en-GB"/>
              </w:rPr>
              <w:t>31</w:t>
            </w:r>
            <w:r w:rsidRPr="002B4A69">
              <w:rPr>
                <w:lang w:val="en-GB"/>
              </w:rPr>
              <w:t xml:space="preserve"> </w:t>
            </w:r>
            <w:r w:rsidRPr="002B4A69">
              <w:rPr>
                <w:b/>
                <w:i/>
                <w:lang w:val="en-GB"/>
              </w:rPr>
              <w:t xml:space="preserve">Directive (EU) 2018/2001 of the European Parliament and of the Council of 11 December 2018 on the promotion of </w:t>
            </w:r>
            <w:r w:rsidRPr="002B4A69">
              <w:rPr>
                <w:b/>
                <w:i/>
                <w:lang w:val="en-GB"/>
              </w:rPr>
              <w:t>the use of energy from renewable sources (OJ L 328, 21.12.2018, pp. 82–209, ELI: http://data.europa.eu/eli/dir/2018/2001/oj).</w:t>
            </w:r>
          </w:p>
        </w:tc>
        <w:tc>
          <w:tcPr>
            <w:tcW w:w="4876" w:type="dxa"/>
          </w:tcPr>
          <w:p w:rsidR="001F04EE" w:rsidRPr="002B4A69" w:rsidP="00723F81" w14:paraId="4B2173A0" w14:textId="77777777">
            <w:pPr>
              <w:pStyle w:val="Normal6"/>
              <w:rPr>
                <w:szCs w:val="24"/>
                <w:lang w:val="en-GB"/>
              </w:rPr>
            </w:pPr>
          </w:p>
        </w:tc>
      </w:tr>
    </w:tbl>
    <w:p w:rsidR="001F04EE" w:rsidRPr="002B4A69" w:rsidP="001F04EE" w14:paraId="6D8CEAB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2146789" w14:textId="77777777">
      <w:r w:rsidRPr="002B4A69">
        <w:rPr>
          <w:rStyle w:val="HideTWBExt"/>
        </w:rPr>
        <w:t>&lt;/Amend&gt;</w:t>
      </w:r>
    </w:p>
    <w:p w:rsidR="001F04EE" w:rsidRPr="002B4A69" w:rsidP="001F04EE" w14:paraId="59A48D1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612</w:t>
      </w:r>
      <w:r w:rsidRPr="002B4A69">
        <w:rPr>
          <w:rStyle w:val="HideTWBExt"/>
          <w:b w:val="0"/>
          <w:lang w:val="en-GB"/>
        </w:rPr>
        <w:t>&lt;/NumAm&gt;</w:t>
      </w:r>
    </w:p>
    <w:p w:rsidR="001F04EE" w:rsidRPr="002B4A69" w:rsidP="001F04EE" w14:paraId="18C4AC94" w14:textId="77777777">
      <w:pPr>
        <w:pStyle w:val="NormalBold"/>
      </w:pPr>
      <w:r w:rsidRPr="002B4A69">
        <w:rPr>
          <w:rStyle w:val="HideTWBExt"/>
          <w:b w:val="0"/>
        </w:rPr>
        <w:t>&lt;RepeatBlock-By&gt;&lt;Members&gt;</w:t>
      </w:r>
      <w:r w:rsidRPr="002B4A69">
        <w:t>Marie-Luce Brasier-Clain, Anne-Sophie Frigout, Mathilde Androuët, Valérie Deloge, Ondřej Knotek, Jana Nagyová, Barbara Bonte</w:t>
      </w:r>
      <w:r w:rsidRPr="002B4A69">
        <w:rPr>
          <w:rStyle w:val="HideTWBExt"/>
          <w:b w:val="0"/>
        </w:rPr>
        <w:t>&lt;/Members&gt;</w:t>
      </w:r>
    </w:p>
    <w:p w:rsidR="001F04EE" w:rsidRPr="002B4A69" w:rsidP="001F04EE" w14:paraId="4C1D76B7" w14:textId="77777777">
      <w:r w:rsidRPr="002B4A69">
        <w:rPr>
          <w:rStyle w:val="HideTWBExt"/>
        </w:rPr>
        <w:t>&lt;/RepeatBlock-By&gt;</w:t>
      </w:r>
    </w:p>
    <w:p w:rsidR="001F04EE" w:rsidRPr="002B4A69" w:rsidP="001F04EE" w14:paraId="2160393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3802B62" w14:textId="77777777">
      <w:pPr>
        <w:pStyle w:val="NormalBold"/>
      </w:pPr>
      <w:r w:rsidRPr="002B4A69">
        <w:rPr>
          <w:rStyle w:val="HideTWBExt"/>
          <w:b w:val="0"/>
        </w:rPr>
        <w:t>&lt;Article&gt;</w:t>
      </w:r>
      <w:r w:rsidRPr="002B4A69">
        <w:t>Recital 82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2F69C5"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70D02C0" w14:textId="77777777">
            <w:pPr>
              <w:keepNext/>
            </w:pPr>
          </w:p>
        </w:tc>
      </w:tr>
      <w:tr w14:paraId="65F65F1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F9AB98" w14:textId="77777777">
            <w:pPr>
              <w:pStyle w:val="ColumnHeading"/>
              <w:keepNext/>
              <w:rPr>
                <w:lang w:val="en-GB"/>
              </w:rPr>
            </w:pPr>
            <w:r w:rsidRPr="002B4A69">
              <w:rPr>
                <w:lang w:val="en-GB"/>
              </w:rPr>
              <w:t>Text proposed by the Commission</w:t>
            </w:r>
          </w:p>
        </w:tc>
        <w:tc>
          <w:tcPr>
            <w:tcW w:w="4876" w:type="dxa"/>
          </w:tcPr>
          <w:p w:rsidR="001F04EE" w:rsidRPr="002B4A69" w:rsidP="00723F81" w14:paraId="4738B7F7" w14:textId="77777777">
            <w:pPr>
              <w:pStyle w:val="ColumnHeading"/>
              <w:keepNext/>
              <w:rPr>
                <w:lang w:val="en-GB"/>
              </w:rPr>
            </w:pPr>
            <w:r w:rsidRPr="002B4A69">
              <w:rPr>
                <w:lang w:val="en-GB"/>
              </w:rPr>
              <w:t>Amendment</w:t>
            </w:r>
          </w:p>
        </w:tc>
      </w:tr>
      <w:tr w14:paraId="4074481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7AABF76" w14:textId="77777777">
            <w:pPr>
              <w:pStyle w:val="Normal6"/>
              <w:rPr>
                <w:lang w:val="en-GB"/>
              </w:rPr>
            </w:pPr>
            <w:r w:rsidRPr="002B4A69">
              <w:rPr>
                <w:b/>
                <w:i/>
                <w:lang w:val="en-GB"/>
              </w:rPr>
              <w:t>(82)</w:t>
            </w:r>
            <w:r w:rsidRPr="002B4A69">
              <w:rPr>
                <w:b/>
                <w:i/>
                <w:lang w:val="en-GB"/>
              </w:rPr>
              <w:tab/>
              <w:t>In accordance with Article 28</w:t>
            </w:r>
            <w:r w:rsidRPr="002B4A69">
              <w:rPr>
                <w:b/>
                <w:i/>
                <w:lang w:val="en-GB"/>
              </w:rPr>
              <w:t>b(</w:t>
            </w:r>
            <w:r w:rsidRPr="002B4A69">
              <w:rPr>
                <w:b/>
                <w:i/>
                <w:lang w:val="en-GB"/>
              </w:rPr>
              <w:t>2) of Directive 2003/87/EC, the Commission assessedg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b/>
                <w:i/>
                <w:lang w:val="en-GB"/>
              </w:rPr>
              <w:t>a(</w:t>
            </w:r>
            <w:r w:rsidRPr="002B4A69">
              <w:rPr>
                <w:b/>
                <w:i/>
                <w:lang w:val="en-GB"/>
              </w:rPr>
              <w:t>3) of the ETS Directive represent less than 70% of international aviation emissions. Therefore, in accordance with Article 28</w:t>
            </w:r>
            <w:r w:rsidRPr="002B4A69">
              <w:rPr>
                <w:b/>
                <w:i/>
                <w:lang w:val="en-GB"/>
              </w:rPr>
              <w:t>b(</w:t>
            </w:r>
            <w:r w:rsidRPr="002B4A69">
              <w:rPr>
                <w:b/>
                <w:i/>
                <w:lang w:val="en-GB"/>
              </w:rPr>
              <w:t xml:space="preserve">3) of Directive 2003/87/EC, the scope of the EU ETS should be extended in a non-discriminatory way to cover all flights departing from an airport situated in the EEA and landing in aerodromes in third countries, no further than 5 000 kilometres from the largest aerodrome in the geographical centre of the Union. All airlines on these routes should be treated equally. Moreover, the EU ETS support for alternative fuels and for action in relation to contrails should be available to all airlines on those routes. This scope of application is around half the maximum distance of flights from the centre of Europe, taking account of analysis which indicates such routes are most susceptible to potential hub leakage. This coverage should apply from 2029 </w:t>
            </w:r>
            <w:r w:rsidRPr="002B4A69">
              <w:rPr>
                <w:b/>
                <w:i/>
                <w:lang w:val="en-GB"/>
              </w:rPr>
              <w:t>rather than 2027, for a period of four years and be dependent on the review in 2032.</w:t>
            </w:r>
          </w:p>
        </w:tc>
        <w:tc>
          <w:tcPr>
            <w:tcW w:w="4876" w:type="dxa"/>
          </w:tcPr>
          <w:p w:rsidR="001F04EE" w:rsidRPr="002B4A69" w:rsidP="00723F81" w14:paraId="2C7FDDFF" w14:textId="77777777">
            <w:pPr>
              <w:pStyle w:val="Normal6"/>
              <w:rPr>
                <w:szCs w:val="24"/>
                <w:lang w:val="en-GB"/>
              </w:rPr>
            </w:pPr>
            <w:r w:rsidRPr="002B4A69">
              <w:rPr>
                <w:b/>
                <w:i/>
                <w:lang w:val="en-GB"/>
              </w:rPr>
              <w:t>deleted</w:t>
            </w:r>
          </w:p>
        </w:tc>
      </w:tr>
    </w:tbl>
    <w:p w:rsidR="001F04EE" w:rsidRPr="002B4A69" w:rsidP="001F04EE" w14:paraId="47FE8CFF"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0B73E908" w14:textId="77777777">
      <w:r w:rsidRPr="002B4A69">
        <w:rPr>
          <w:rStyle w:val="HideTWBExt"/>
        </w:rPr>
        <w:t>&lt;/Amend&gt;</w:t>
      </w:r>
    </w:p>
    <w:p w:rsidR="001F04EE" w:rsidRPr="002B4A69" w:rsidP="001F04EE" w14:paraId="6DDDD05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613</w:t>
      </w:r>
      <w:r w:rsidRPr="002B4A69">
        <w:rPr>
          <w:rStyle w:val="HideTWBExt"/>
          <w:b w:val="0"/>
          <w:lang w:val="en-GB"/>
        </w:rPr>
        <w:t>&lt;/NumAm&gt;</w:t>
      </w:r>
    </w:p>
    <w:p w:rsidR="001F04EE" w:rsidRPr="002B4A69" w:rsidP="001F04EE" w14:paraId="718E1721" w14:textId="77777777">
      <w:pPr>
        <w:pStyle w:val="NormalBold"/>
      </w:pPr>
      <w:r w:rsidRPr="002B4A69">
        <w:rPr>
          <w:rStyle w:val="HideTWBExt"/>
          <w:b w:val="0"/>
        </w:rPr>
        <w:t>&lt;RepeatBlock-By&gt;&lt;Members&gt;</w:t>
      </w:r>
      <w:r w:rsidRPr="002B4A69">
        <w:t>Billy Kelleher</w:t>
      </w:r>
      <w:r w:rsidRPr="002B4A69">
        <w:rPr>
          <w:rStyle w:val="HideTWBExt"/>
          <w:b w:val="0"/>
        </w:rPr>
        <w:t>&lt;/Members&gt;</w:t>
      </w:r>
    </w:p>
    <w:p w:rsidR="001F04EE" w:rsidRPr="002B4A69" w:rsidP="001F04EE" w14:paraId="731A4D7D" w14:textId="77777777">
      <w:r w:rsidRPr="002B4A69">
        <w:rPr>
          <w:rStyle w:val="HideTWBExt"/>
        </w:rPr>
        <w:t>&lt;/RepeatBlock-By&gt;</w:t>
      </w:r>
    </w:p>
    <w:p w:rsidR="001F04EE" w:rsidRPr="002B4A69" w:rsidP="001F04EE" w14:paraId="531BA20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623DCDA" w14:textId="77777777">
      <w:pPr>
        <w:pStyle w:val="NormalBold"/>
      </w:pPr>
      <w:r w:rsidRPr="002B4A69">
        <w:rPr>
          <w:rStyle w:val="HideTWBExt"/>
          <w:b w:val="0"/>
        </w:rPr>
        <w:t>&lt;Article&gt;</w:t>
      </w:r>
      <w:r w:rsidRPr="002B4A69">
        <w:t>Recital 82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92224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8DC9022" w14:textId="77777777">
            <w:pPr>
              <w:keepNext/>
            </w:pPr>
          </w:p>
        </w:tc>
      </w:tr>
      <w:tr w14:paraId="4A24582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1399A91" w14:textId="77777777">
            <w:pPr>
              <w:pStyle w:val="ColumnHeading"/>
              <w:keepNext/>
              <w:rPr>
                <w:lang w:val="en-GB"/>
              </w:rPr>
            </w:pPr>
            <w:r w:rsidRPr="002B4A69">
              <w:rPr>
                <w:lang w:val="en-GB"/>
              </w:rPr>
              <w:t>Text proposed by the Commission</w:t>
            </w:r>
          </w:p>
        </w:tc>
        <w:tc>
          <w:tcPr>
            <w:tcW w:w="4876" w:type="dxa"/>
          </w:tcPr>
          <w:p w:rsidR="001F04EE" w:rsidRPr="002B4A69" w:rsidP="00723F81" w14:paraId="29EB7CED" w14:textId="77777777">
            <w:pPr>
              <w:pStyle w:val="ColumnHeading"/>
              <w:keepNext/>
              <w:rPr>
                <w:lang w:val="en-GB"/>
              </w:rPr>
            </w:pPr>
            <w:r w:rsidRPr="002B4A69">
              <w:rPr>
                <w:lang w:val="en-GB"/>
              </w:rPr>
              <w:t>Amendment</w:t>
            </w:r>
          </w:p>
        </w:tc>
      </w:tr>
      <w:tr w14:paraId="3ED08D3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F57AC82" w14:textId="77777777">
            <w:pPr>
              <w:pStyle w:val="Normal6"/>
              <w:rPr>
                <w:lang w:val="en-GB"/>
              </w:rPr>
            </w:pPr>
            <w:r w:rsidRPr="002B4A69">
              <w:rPr>
                <w:b/>
                <w:i/>
                <w:lang w:val="en-GB"/>
              </w:rPr>
              <w:t>(82)</w:t>
            </w:r>
            <w:r w:rsidRPr="002B4A69">
              <w:rPr>
                <w:b/>
                <w:i/>
                <w:lang w:val="en-GB"/>
              </w:rPr>
              <w:tab/>
              <w:t>In accordance with Article 28</w:t>
            </w:r>
            <w:r w:rsidRPr="002B4A69">
              <w:rPr>
                <w:b/>
                <w:i/>
                <w:lang w:val="en-GB"/>
              </w:rPr>
              <w:t>b(</w:t>
            </w:r>
            <w:r w:rsidRPr="002B4A69">
              <w:rPr>
                <w:b/>
                <w:i/>
                <w:lang w:val="en-GB"/>
              </w:rPr>
              <w:t>2) of Directive 2003/87/EC, the Commission assessedg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b/>
                <w:i/>
                <w:lang w:val="en-GB"/>
              </w:rPr>
              <w:t>a(</w:t>
            </w:r>
            <w:r w:rsidRPr="002B4A69">
              <w:rPr>
                <w:b/>
                <w:i/>
                <w:lang w:val="en-GB"/>
              </w:rPr>
              <w:t>3) of the ETS Directive represent less than 70% of international aviation emissions. Therefore, in accordance with Article 28</w:t>
            </w:r>
            <w:r w:rsidRPr="002B4A69">
              <w:rPr>
                <w:b/>
                <w:i/>
                <w:lang w:val="en-GB"/>
              </w:rPr>
              <w:t>b(</w:t>
            </w:r>
            <w:r w:rsidRPr="002B4A69">
              <w:rPr>
                <w:b/>
                <w:i/>
                <w:lang w:val="en-GB"/>
              </w:rPr>
              <w:t xml:space="preserve">3) of Directive 2003/87/EC, the scope of the EU ETS should be extended in a non-discriminatory way to cover all flights departing from an airport situated in the EEA and landing in aerodromes in third countries, no further than 5 000 kilometres from the largest aerodrome in the geographical centre of the Union. All airlines on these routes should be treated equally. Moreover, the EU ETS support for alternative fuels and for action in relation to contrails should be available to all airlines on those routes. This scope of application is around half the maximum distance of flights from the centre of Europe, taking account of analysis which indicates such routes are most susceptible to potential hub leakage. This coverage should apply from 2029 rather than 2027, for a period of four years and be </w:t>
            </w:r>
            <w:r w:rsidRPr="002B4A69">
              <w:rPr>
                <w:b/>
                <w:i/>
                <w:lang w:val="en-GB"/>
              </w:rPr>
              <w:t>dependent on the review in 2032.</w:t>
            </w:r>
          </w:p>
        </w:tc>
        <w:tc>
          <w:tcPr>
            <w:tcW w:w="4876" w:type="dxa"/>
          </w:tcPr>
          <w:p w:rsidR="001F04EE" w:rsidRPr="002B4A69" w:rsidP="00723F81" w14:paraId="1181E23A" w14:textId="77777777">
            <w:pPr>
              <w:pStyle w:val="Normal6"/>
              <w:rPr>
                <w:szCs w:val="24"/>
                <w:lang w:val="en-GB"/>
              </w:rPr>
            </w:pPr>
            <w:r w:rsidRPr="002B4A69">
              <w:rPr>
                <w:b/>
                <w:i/>
                <w:lang w:val="en-GB"/>
              </w:rPr>
              <w:t>deleted</w:t>
            </w:r>
          </w:p>
        </w:tc>
      </w:tr>
    </w:tbl>
    <w:p w:rsidR="001F04EE" w:rsidRPr="002B4A69" w:rsidP="001F04EE" w14:paraId="61C6F92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952575E" w14:textId="77777777">
      <w:r w:rsidRPr="002B4A69">
        <w:rPr>
          <w:rStyle w:val="HideTWBExt"/>
        </w:rPr>
        <w:t>&lt;/Amend&gt;</w:t>
      </w:r>
    </w:p>
    <w:p w:rsidR="001F04EE" w:rsidRPr="002B4A69" w:rsidP="001F04EE" w14:paraId="7537FF1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614</w:t>
      </w:r>
      <w:r w:rsidRPr="002B4A69">
        <w:rPr>
          <w:rStyle w:val="HideTWBExt"/>
          <w:b w:val="0"/>
          <w:lang w:val="en-GB"/>
        </w:rPr>
        <w:t>&lt;/NumAm&gt;</w:t>
      </w:r>
    </w:p>
    <w:p w:rsidR="001F04EE" w:rsidRPr="002B4A69" w:rsidP="001F04EE" w14:paraId="00418A58" w14:textId="77777777">
      <w:pPr>
        <w:pStyle w:val="NormalBold"/>
      </w:pPr>
      <w:r w:rsidRPr="002B4A69">
        <w:rPr>
          <w:rStyle w:val="HideTWBExt"/>
          <w:b w:val="0"/>
        </w:rPr>
        <w:t>&lt;RepeatBlock-By&gt;&lt;Members&gt;</w:t>
      </w:r>
      <w:r w:rsidRPr="002B4A69">
        <w:t>Jens Gieseke, Ralf Seekatz, Sophia Kircher, Norbert Herhammer, Gheorghe Falcă, Andrea Wechsler, Angelika Niebler</w:t>
      </w:r>
      <w:r w:rsidRPr="002B4A69">
        <w:rPr>
          <w:rStyle w:val="HideTWBExt"/>
          <w:b w:val="0"/>
        </w:rPr>
        <w:t>&lt;/Members&gt;</w:t>
      </w:r>
    </w:p>
    <w:p w:rsidR="001F04EE" w:rsidRPr="002B4A69" w:rsidP="001F04EE" w14:paraId="6D6510FB" w14:textId="77777777">
      <w:r w:rsidRPr="002B4A69">
        <w:rPr>
          <w:rStyle w:val="HideTWBExt"/>
        </w:rPr>
        <w:t>&lt;/RepeatBlock-By&gt;</w:t>
      </w:r>
    </w:p>
    <w:p w:rsidR="001F04EE" w:rsidRPr="002B4A69" w:rsidP="001F04EE" w14:paraId="5949642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F94BEED" w14:textId="77777777">
      <w:pPr>
        <w:pStyle w:val="NormalBold"/>
      </w:pPr>
      <w:r w:rsidRPr="002B4A69">
        <w:rPr>
          <w:rStyle w:val="HideTWBExt"/>
          <w:b w:val="0"/>
        </w:rPr>
        <w:t>&lt;Article&gt;</w:t>
      </w:r>
      <w:r w:rsidRPr="002B4A69">
        <w:t>Recital 82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CF98C0"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86D8D39" w14:textId="77777777">
            <w:pPr>
              <w:keepNext/>
            </w:pPr>
          </w:p>
        </w:tc>
      </w:tr>
      <w:tr w14:paraId="75A0A25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023DDD0" w14:textId="77777777">
            <w:pPr>
              <w:pStyle w:val="ColumnHeading"/>
              <w:keepNext/>
              <w:rPr>
                <w:lang w:val="en-GB"/>
              </w:rPr>
            </w:pPr>
            <w:r w:rsidRPr="002B4A69">
              <w:rPr>
                <w:lang w:val="en-GB"/>
              </w:rPr>
              <w:t>Text proposed by the Commission</w:t>
            </w:r>
          </w:p>
        </w:tc>
        <w:tc>
          <w:tcPr>
            <w:tcW w:w="4876" w:type="dxa"/>
          </w:tcPr>
          <w:p w:rsidR="001F04EE" w:rsidRPr="002B4A69" w:rsidP="00723F81" w14:paraId="7B0122CA" w14:textId="77777777">
            <w:pPr>
              <w:pStyle w:val="ColumnHeading"/>
              <w:keepNext/>
              <w:rPr>
                <w:lang w:val="en-GB"/>
              </w:rPr>
            </w:pPr>
            <w:r w:rsidRPr="002B4A69">
              <w:rPr>
                <w:lang w:val="en-GB"/>
              </w:rPr>
              <w:t>Amendment</w:t>
            </w:r>
          </w:p>
        </w:tc>
      </w:tr>
      <w:tr w14:paraId="5E796BE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E8178C4" w14:textId="77777777">
            <w:pPr>
              <w:pStyle w:val="Normal6"/>
              <w:rPr>
                <w:lang w:val="en-GB"/>
              </w:rPr>
            </w:pPr>
            <w:r w:rsidRPr="002B4A69">
              <w:rPr>
                <w:b/>
                <w:i/>
                <w:lang w:val="en-GB"/>
              </w:rPr>
              <w:t>(82)</w:t>
            </w:r>
            <w:r w:rsidRPr="002B4A69">
              <w:rPr>
                <w:b/>
                <w:i/>
                <w:lang w:val="en-GB"/>
              </w:rPr>
              <w:tab/>
              <w:t>In accordance with Article 28</w:t>
            </w:r>
            <w:r w:rsidRPr="002B4A69">
              <w:rPr>
                <w:b/>
                <w:i/>
                <w:lang w:val="en-GB"/>
              </w:rPr>
              <w:t>b(</w:t>
            </w:r>
            <w:r w:rsidRPr="002B4A69">
              <w:rPr>
                <w:b/>
                <w:i/>
                <w:lang w:val="en-GB"/>
              </w:rPr>
              <w:t>2) of Directive 2003/87/EC, the Commission assessedg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b/>
                <w:i/>
                <w:lang w:val="en-GB"/>
              </w:rPr>
              <w:t>a(</w:t>
            </w:r>
            <w:r w:rsidRPr="002B4A69">
              <w:rPr>
                <w:b/>
                <w:i/>
                <w:lang w:val="en-GB"/>
              </w:rPr>
              <w:t>3) of the ETS Directive represent less than 70% of international aviation emissions. Therefore, in accordance with Article 28</w:t>
            </w:r>
            <w:r w:rsidRPr="002B4A69">
              <w:rPr>
                <w:b/>
                <w:i/>
                <w:lang w:val="en-GB"/>
              </w:rPr>
              <w:t>b(</w:t>
            </w:r>
            <w:r w:rsidRPr="002B4A69">
              <w:rPr>
                <w:b/>
                <w:i/>
                <w:lang w:val="en-GB"/>
              </w:rPr>
              <w:t>3) of Directive 2003/87/EC, the scope of the EU ETS should be extended in a non-discriminatory way to cover all flights departing from an airport situated in the EEA and landing in aerodromes in third countries, no further than 5 000 kilometres from the largest aerodrome in the geographical centre of the Union. All airlines on these routes should be treated equally. Moreover, the EU ETS support for alternative fuels and for action in relation to contrails should be available to all airlines on those routes. This scope of application is around half the maximum distance of flights from the centre of Europe, taking account of analysis which indicates such routes are most susceptible to potential hub leakage. This coverage should apply from 2029 rather than 2027, for a period of four years and be dependent on the review in 2032.</w:t>
            </w:r>
          </w:p>
        </w:tc>
        <w:tc>
          <w:tcPr>
            <w:tcW w:w="4876" w:type="dxa"/>
          </w:tcPr>
          <w:p w:rsidR="001F04EE" w:rsidRPr="002B4A69" w:rsidP="00723F81" w14:paraId="3802CCD9" w14:textId="77777777">
            <w:pPr>
              <w:pStyle w:val="Normal6"/>
              <w:rPr>
                <w:szCs w:val="24"/>
                <w:lang w:val="en-GB"/>
              </w:rPr>
            </w:pPr>
            <w:r w:rsidRPr="002B4A69">
              <w:rPr>
                <w:b/>
                <w:i/>
                <w:lang w:val="en-GB"/>
              </w:rPr>
              <w:t>deleted</w:t>
            </w:r>
          </w:p>
        </w:tc>
      </w:tr>
    </w:tbl>
    <w:p w:rsidR="001F04EE" w:rsidRPr="002B4A69" w:rsidP="001F04EE" w14:paraId="732DA3A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8EB5D76" w14:textId="77777777">
      <w:r w:rsidRPr="002B4A69">
        <w:rPr>
          <w:rStyle w:val="HideTWBExt"/>
        </w:rPr>
        <w:t>&lt;/Amend&gt;</w:t>
      </w:r>
    </w:p>
    <w:p w:rsidR="001F04EE" w:rsidRPr="002B4A69" w:rsidP="001F04EE" w14:paraId="3EC1106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615</w:t>
      </w:r>
      <w:r w:rsidRPr="002B4A69">
        <w:rPr>
          <w:rStyle w:val="HideTWBExt"/>
          <w:b w:val="0"/>
          <w:lang w:val="en-GB"/>
        </w:rPr>
        <w:t>&lt;/NumAm&gt;</w:t>
      </w:r>
    </w:p>
    <w:p w:rsidR="001F04EE" w:rsidRPr="002B4A69" w:rsidP="001F04EE" w14:paraId="0F9E85BA" w14:textId="77777777">
      <w:pPr>
        <w:pStyle w:val="NormalBold"/>
      </w:pPr>
      <w:r w:rsidRPr="002B4A69">
        <w:rPr>
          <w:rStyle w:val="HideTWBExt"/>
          <w:b w:val="0"/>
        </w:rPr>
        <w:t>&lt;RepeatBlock-By&gt;&lt;Members&gt;</w:t>
      </w:r>
      <w:r w:rsidRPr="002B4A69">
        <w:t>Emma Wiesner, Yvan Verougstraete, Jan-Christoph Oetjen, Anna Stürgkh, Jeannette Baljeu</w:t>
      </w:r>
      <w:r w:rsidRPr="002B4A69">
        <w:rPr>
          <w:rStyle w:val="HideTWBExt"/>
          <w:b w:val="0"/>
        </w:rPr>
        <w:t>&lt;/Members&gt;</w:t>
      </w:r>
    </w:p>
    <w:p w:rsidR="001F04EE" w:rsidRPr="002B4A69" w:rsidP="001F04EE" w14:paraId="4F7CE94A" w14:textId="77777777">
      <w:r w:rsidRPr="002B4A69">
        <w:rPr>
          <w:rStyle w:val="HideTWBExt"/>
        </w:rPr>
        <w:t>&lt;/RepeatBlock-By&gt;</w:t>
      </w:r>
    </w:p>
    <w:p w:rsidR="001F04EE" w:rsidRPr="002B4A69" w:rsidP="001F04EE" w14:paraId="060EA8FB"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B756AA4" w14:textId="77777777">
      <w:pPr>
        <w:pStyle w:val="NormalBold"/>
      </w:pPr>
      <w:r w:rsidRPr="002B4A69">
        <w:rPr>
          <w:rStyle w:val="HideTWBExt"/>
          <w:b w:val="0"/>
        </w:rPr>
        <w:t>&lt;Article&gt;</w:t>
      </w:r>
      <w:r w:rsidRPr="002B4A69">
        <w:t>Recital 82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86347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288FE07" w14:textId="77777777">
            <w:pPr>
              <w:keepNext/>
            </w:pPr>
          </w:p>
        </w:tc>
      </w:tr>
      <w:tr w14:paraId="68707F6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397EF4F" w14:textId="77777777">
            <w:pPr>
              <w:pStyle w:val="ColumnHeading"/>
              <w:keepNext/>
              <w:rPr>
                <w:lang w:val="en-GB"/>
              </w:rPr>
            </w:pPr>
            <w:r w:rsidRPr="002B4A69">
              <w:rPr>
                <w:lang w:val="en-GB"/>
              </w:rPr>
              <w:t>Text proposed by the Commission</w:t>
            </w:r>
          </w:p>
        </w:tc>
        <w:tc>
          <w:tcPr>
            <w:tcW w:w="4876" w:type="dxa"/>
          </w:tcPr>
          <w:p w:rsidR="001F04EE" w:rsidRPr="002B4A69" w:rsidP="00723F81" w14:paraId="76C46C02" w14:textId="77777777">
            <w:pPr>
              <w:pStyle w:val="ColumnHeading"/>
              <w:keepNext/>
              <w:rPr>
                <w:lang w:val="en-GB"/>
              </w:rPr>
            </w:pPr>
            <w:r w:rsidRPr="002B4A69">
              <w:rPr>
                <w:lang w:val="en-GB"/>
              </w:rPr>
              <w:t>Amendment</w:t>
            </w:r>
          </w:p>
        </w:tc>
      </w:tr>
      <w:tr w14:paraId="2CA80E8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ED4D48F" w14:textId="77777777">
            <w:pPr>
              <w:pStyle w:val="Normal6"/>
              <w:rPr>
                <w:lang w:val="en-GB"/>
              </w:rPr>
            </w:pPr>
            <w:r w:rsidRPr="002B4A69">
              <w:rPr>
                <w:lang w:val="en-GB"/>
              </w:rPr>
              <w:t>(82)</w:t>
            </w:r>
            <w:r w:rsidRPr="002B4A69">
              <w:rPr>
                <w:lang w:val="en-GB"/>
              </w:rPr>
              <w:tab/>
              <w:t>In accordance with Article 28</w:t>
            </w:r>
            <w:r w:rsidRPr="002B4A69">
              <w:rPr>
                <w:lang w:val="en-GB"/>
              </w:rPr>
              <w:t>b(</w:t>
            </w:r>
            <w:r w:rsidRPr="002B4A69">
              <w:rPr>
                <w:lang w:val="en-GB"/>
              </w:rPr>
              <w:t xml:space="preserve">2) of Directive 2003/87/EC, the Commission </w:t>
            </w:r>
            <w:r w:rsidRPr="002B4A69">
              <w:rPr>
                <w:b/>
                <w:i/>
                <w:lang w:val="en-GB"/>
              </w:rPr>
              <w:t>assessedg</w:t>
            </w:r>
            <w:r w:rsidRPr="002B4A69">
              <w:rPr>
                <w:lang w:val="en-GB"/>
              </w:rPr>
              <w:t xml:space="preserve">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lang w:val="en-GB"/>
              </w:rPr>
              <w:t>a(</w:t>
            </w:r>
            <w:r w:rsidRPr="002B4A69">
              <w:rPr>
                <w:lang w:val="en-GB"/>
              </w:rPr>
              <w:t>3) of the ETS Directive represent less than 70% of international aviation emissions. Therefore, in accordance with Article 28</w:t>
            </w:r>
            <w:r w:rsidRPr="002B4A69">
              <w:rPr>
                <w:lang w:val="en-GB"/>
              </w:rPr>
              <w:t>b(</w:t>
            </w:r>
            <w:r w:rsidRPr="002B4A69">
              <w:rPr>
                <w:lang w:val="en-GB"/>
              </w:rPr>
              <w:t xml:space="preserve">3) of Directive 2003/87/EC, the scope of the EU ETS should be extended in a non-discriminatory way to cover all flights departing from an airport situated in the EEA and landing in aerodromes in third countries, no further than 5 000 kilometres from the largest aerodrome in the geographical centre of the Union. All airlines on these routes should be treated equally. Moreover, the EU ETS support for alternative fuels and for action in relation to contrails should be available to all airlines </w:t>
            </w:r>
            <w:r w:rsidRPr="002B4A69">
              <w:rPr>
                <w:b/>
                <w:i/>
                <w:lang w:val="en-GB"/>
              </w:rPr>
              <w:t>on those routes</w:t>
            </w:r>
            <w:r w:rsidRPr="002B4A69">
              <w:rPr>
                <w:lang w:val="en-GB"/>
              </w:rPr>
              <w:t>. This scope of application is around half the maximum distance of flights from the centre of Europe, taking account of analysis which indicates such routes are most susceptible to potential hub leakage. This coverage should apply from 2029 rather than 2027, for a period of four years and be dependent on the review in 2032.</w:t>
            </w:r>
          </w:p>
        </w:tc>
        <w:tc>
          <w:tcPr>
            <w:tcW w:w="4876" w:type="dxa"/>
          </w:tcPr>
          <w:p w:rsidR="001F04EE" w:rsidRPr="002B4A69" w:rsidP="00723F81" w14:paraId="05EB3DA1" w14:textId="77777777">
            <w:pPr>
              <w:pStyle w:val="Normal6"/>
              <w:rPr>
                <w:szCs w:val="24"/>
                <w:lang w:val="en-GB"/>
              </w:rPr>
            </w:pPr>
            <w:r w:rsidRPr="002B4A69">
              <w:rPr>
                <w:lang w:val="en-GB"/>
              </w:rPr>
              <w:t>(82)</w:t>
            </w:r>
            <w:r w:rsidRPr="002B4A69">
              <w:rPr>
                <w:lang w:val="en-GB"/>
              </w:rPr>
              <w:tab/>
              <w:t>In accordance with Article 28</w:t>
            </w:r>
            <w:r w:rsidRPr="002B4A69">
              <w:rPr>
                <w:lang w:val="en-GB"/>
              </w:rPr>
              <w:t>b(</w:t>
            </w:r>
            <w:r w:rsidRPr="002B4A69">
              <w:rPr>
                <w:lang w:val="en-GB"/>
              </w:rPr>
              <w:t xml:space="preserve">2) of Directive 2003/87/EC, the Commission </w:t>
            </w:r>
            <w:r w:rsidRPr="002B4A69">
              <w:rPr>
                <w:b/>
                <w:i/>
                <w:lang w:val="en-GB"/>
              </w:rPr>
              <w:t>assessed</w:t>
            </w:r>
            <w:r w:rsidRPr="002B4A69">
              <w:rPr>
                <w:lang w:val="en-GB"/>
              </w:rPr>
              <w:t xml:space="preserve">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lang w:val="en-GB"/>
              </w:rPr>
              <w:t>a(</w:t>
            </w:r>
            <w:r w:rsidRPr="002B4A69">
              <w:rPr>
                <w:lang w:val="en-GB"/>
              </w:rPr>
              <w:t>3) of the ETS Directive represent less than 70% of international aviation emissions. Therefore, in accordance with Article 28</w:t>
            </w:r>
            <w:r w:rsidRPr="002B4A69">
              <w:rPr>
                <w:lang w:val="en-GB"/>
              </w:rPr>
              <w:t>b(</w:t>
            </w:r>
            <w:r w:rsidRPr="002B4A69">
              <w:rPr>
                <w:lang w:val="en-GB"/>
              </w:rPr>
              <w:t xml:space="preserve">3) of Directive 2003/87/EC, the scope of the EU ETS should be extended in a non-discriminatory way to cover all flights departing from an airport situated in the EEA and landing in aerodromes in third countries, no further than 5 000 kilometres from the largest aerodrome in the geographical centre of the Union. All airlines on these routes should be treated equally. Moreover, the EU ETS support for alternative fuels and for action in relation to contrails should be available to all airlines </w:t>
            </w:r>
            <w:r w:rsidRPr="002B4A69">
              <w:rPr>
                <w:b/>
                <w:i/>
                <w:lang w:val="en-GB"/>
              </w:rPr>
              <w:t xml:space="preserve">flying from airports located in the EEA, but the EU ETS support for alternative fuels should not exceed the total ETS contribution by an airline </w:t>
            </w:r>
            <w:r w:rsidRPr="002B4A69">
              <w:rPr>
                <w:b/>
                <w:i/>
                <w:lang w:val="en-GB"/>
              </w:rPr>
              <w:t>in a given year</w:t>
            </w:r>
            <w:r w:rsidRPr="002B4A69">
              <w:rPr>
                <w:lang w:val="en-GB"/>
              </w:rPr>
              <w:t xml:space="preserve">. This scope of application is around half the maximum distance of flights from the centre of Europe, taking account of analysis which indicates such routes are most susceptible to potential hub leakage. This coverage should apply from 2029 rather than 2027, for a period of four years and be dependent on the review in </w:t>
            </w:r>
            <w:r w:rsidRPr="002B4A69">
              <w:rPr>
                <w:lang w:val="en-GB"/>
              </w:rPr>
              <w:t>2032.</w:t>
            </w:r>
          </w:p>
        </w:tc>
      </w:tr>
    </w:tbl>
    <w:p w:rsidR="001F04EE" w:rsidRPr="002B4A69" w:rsidP="001F04EE" w14:paraId="46410324"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47225039" w14:textId="77777777">
      <w:r w:rsidRPr="002B4A69">
        <w:rPr>
          <w:rStyle w:val="HideTWBExt"/>
        </w:rPr>
        <w:t>&lt;/Amend&gt;</w:t>
      </w:r>
    </w:p>
    <w:p w:rsidR="001F04EE" w:rsidRPr="002B4A69" w:rsidP="001F04EE" w14:paraId="445AFBC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616</w:t>
      </w:r>
      <w:r w:rsidRPr="002B4A69">
        <w:rPr>
          <w:rStyle w:val="HideTWBExt"/>
          <w:b w:val="0"/>
          <w:lang w:val="en-GB"/>
        </w:rPr>
        <w:t>&lt;/NumAm&gt;</w:t>
      </w:r>
    </w:p>
    <w:p w:rsidR="001F04EE" w:rsidRPr="002B4A69" w:rsidP="001F04EE" w14:paraId="7179766D" w14:textId="77777777">
      <w:pPr>
        <w:pStyle w:val="NormalBold"/>
      </w:pPr>
      <w:r w:rsidRPr="002B4A69">
        <w:rPr>
          <w:rStyle w:val="HideTWBExt"/>
          <w:b w:val="0"/>
        </w:rPr>
        <w:t>&lt;RepeatBlock-By&gt;&lt;Members&gt;</w:t>
      </w:r>
      <w:r w:rsidRPr="002B4A69">
        <w:t>Katri Kulmuni</w:t>
      </w:r>
      <w:r w:rsidRPr="002B4A69">
        <w:rPr>
          <w:rStyle w:val="HideTWBExt"/>
          <w:b w:val="0"/>
        </w:rPr>
        <w:t>&lt;/Members&gt;</w:t>
      </w:r>
    </w:p>
    <w:p w:rsidR="001F04EE" w:rsidRPr="002B4A69" w:rsidP="001F04EE" w14:paraId="5BC126D6" w14:textId="77777777">
      <w:r w:rsidRPr="002B4A69">
        <w:rPr>
          <w:rStyle w:val="HideTWBExt"/>
        </w:rPr>
        <w:t>&lt;/RepeatBlock-By&gt;</w:t>
      </w:r>
    </w:p>
    <w:p w:rsidR="001F04EE" w:rsidRPr="002B4A69" w:rsidP="001F04EE" w14:paraId="1BFBC7A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527C27D" w14:textId="77777777">
      <w:pPr>
        <w:pStyle w:val="NormalBold"/>
      </w:pPr>
      <w:r w:rsidRPr="002B4A69">
        <w:rPr>
          <w:rStyle w:val="HideTWBExt"/>
          <w:b w:val="0"/>
        </w:rPr>
        <w:t>&lt;Article&gt;</w:t>
      </w:r>
      <w:r w:rsidRPr="002B4A69">
        <w:t>Recital 82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EE29A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15D0750" w14:textId="77777777">
            <w:pPr>
              <w:keepNext/>
            </w:pPr>
          </w:p>
        </w:tc>
      </w:tr>
      <w:tr w14:paraId="798F210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3BFEDB8" w14:textId="77777777">
            <w:pPr>
              <w:pStyle w:val="ColumnHeading"/>
              <w:keepNext/>
              <w:rPr>
                <w:lang w:val="en-GB"/>
              </w:rPr>
            </w:pPr>
            <w:r w:rsidRPr="002B4A69">
              <w:rPr>
                <w:lang w:val="en-GB"/>
              </w:rPr>
              <w:t>Text proposed by the Commission</w:t>
            </w:r>
          </w:p>
        </w:tc>
        <w:tc>
          <w:tcPr>
            <w:tcW w:w="4876" w:type="dxa"/>
          </w:tcPr>
          <w:p w:rsidR="001F04EE" w:rsidRPr="002B4A69" w:rsidP="00723F81" w14:paraId="450F5DD2" w14:textId="77777777">
            <w:pPr>
              <w:pStyle w:val="ColumnHeading"/>
              <w:keepNext/>
              <w:rPr>
                <w:lang w:val="en-GB"/>
              </w:rPr>
            </w:pPr>
            <w:r w:rsidRPr="002B4A69">
              <w:rPr>
                <w:lang w:val="en-GB"/>
              </w:rPr>
              <w:t>Amendment</w:t>
            </w:r>
          </w:p>
        </w:tc>
      </w:tr>
      <w:tr w14:paraId="6FED2B22"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2F3A873" w14:textId="77777777">
            <w:pPr>
              <w:pStyle w:val="Normal6"/>
              <w:rPr>
                <w:lang w:val="en-GB"/>
              </w:rPr>
            </w:pPr>
            <w:r w:rsidRPr="002B4A69">
              <w:rPr>
                <w:lang w:val="en-GB"/>
              </w:rPr>
              <w:t>(82)</w:t>
            </w:r>
            <w:r w:rsidRPr="002B4A69">
              <w:rPr>
                <w:lang w:val="en-GB"/>
              </w:rPr>
              <w:tab/>
              <w:t>In accordance with Article 28</w:t>
            </w:r>
            <w:r w:rsidRPr="002B4A69">
              <w:rPr>
                <w:lang w:val="en-GB"/>
              </w:rPr>
              <w:t>b(</w:t>
            </w:r>
            <w:r w:rsidRPr="002B4A69">
              <w:rPr>
                <w:lang w:val="en-GB"/>
              </w:rPr>
              <w:t xml:space="preserve">2) of Directive 2003/87/EC, the Commission </w:t>
            </w:r>
            <w:r w:rsidRPr="002B4A69">
              <w:rPr>
                <w:b/>
                <w:i/>
                <w:lang w:val="en-GB"/>
              </w:rPr>
              <w:t>assessedg</w:t>
            </w:r>
            <w:r w:rsidRPr="002B4A69">
              <w:rPr>
                <w:lang w:val="en-GB"/>
              </w:rPr>
              <w:t xml:space="preserve">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lang w:val="en-GB"/>
              </w:rPr>
              <w:t>a(</w:t>
            </w:r>
            <w:r w:rsidRPr="002B4A69">
              <w:rPr>
                <w:lang w:val="en-GB"/>
              </w:rPr>
              <w:t xml:space="preserve">3) of the ETS Directive represent less than 70% of international aviation emissions. Therefore, </w:t>
            </w:r>
            <w:r w:rsidRPr="002B4A69">
              <w:rPr>
                <w:b/>
                <w:i/>
                <w:lang w:val="en-GB"/>
              </w:rPr>
              <w:t>in accordance with Article 28</w:t>
            </w:r>
            <w:r w:rsidRPr="002B4A69">
              <w:rPr>
                <w:b/>
                <w:i/>
                <w:lang w:val="en-GB"/>
              </w:rPr>
              <w:t>b(</w:t>
            </w:r>
            <w:r w:rsidRPr="002B4A69">
              <w:rPr>
                <w:b/>
                <w:i/>
                <w:lang w:val="en-GB"/>
              </w:rPr>
              <w:t>3) of Directive 2003/87/EC, the scope of the EU ETS should be extended in a non-discriminatory way to cover all flights departing from an airport situated in the EEA and landing in aerodromes in third countries, no further than 5 000 kilometres from the largest aerodrome in</w:t>
            </w:r>
            <w:r w:rsidRPr="002B4A69">
              <w:rPr>
                <w:lang w:val="en-GB"/>
              </w:rPr>
              <w:t xml:space="preserve"> the geographical </w:t>
            </w:r>
            <w:r w:rsidRPr="002B4A69">
              <w:rPr>
                <w:b/>
                <w:i/>
                <w:lang w:val="en-GB"/>
              </w:rPr>
              <w:t>centre of the Union. All airlines on these routes should be treated equally. Moreover, the EU ETS support for alternative fuels and for action in relation to contrails should be available to all airlines on those routes. This</w:t>
            </w:r>
            <w:r w:rsidRPr="002B4A69">
              <w:rPr>
                <w:lang w:val="en-GB"/>
              </w:rPr>
              <w:t xml:space="preserve"> scope of </w:t>
            </w:r>
            <w:r w:rsidRPr="002B4A69">
              <w:rPr>
                <w:b/>
                <w:i/>
                <w:lang w:val="en-GB"/>
              </w:rPr>
              <w:t>application is around half the maximum distance of</w:t>
            </w:r>
            <w:r w:rsidRPr="002B4A69">
              <w:rPr>
                <w:lang w:val="en-GB"/>
              </w:rPr>
              <w:t xml:space="preserve"> flights from </w:t>
            </w:r>
            <w:r w:rsidRPr="002B4A69">
              <w:rPr>
                <w:b/>
                <w:i/>
                <w:lang w:val="en-GB"/>
              </w:rPr>
              <w:t>the centre of Europe, taking account of analysis which indicates such routes are most susceptible to potential hub leakage</w:t>
            </w:r>
            <w:r w:rsidRPr="002B4A69">
              <w:rPr>
                <w:lang w:val="en-GB"/>
              </w:rPr>
              <w:t xml:space="preserve">. </w:t>
            </w:r>
            <w:r w:rsidRPr="002B4A69">
              <w:rPr>
                <w:b/>
                <w:i/>
                <w:lang w:val="en-GB"/>
              </w:rPr>
              <w:t>This coverage should apply from 2029 rather than 2027, for a period of four years and be dependent on the review in 2032.</w:t>
            </w:r>
          </w:p>
        </w:tc>
        <w:tc>
          <w:tcPr>
            <w:tcW w:w="4876" w:type="dxa"/>
          </w:tcPr>
          <w:p w:rsidR="001F04EE" w:rsidRPr="002B4A69" w:rsidP="00723F81" w14:paraId="5891E438" w14:textId="77777777">
            <w:pPr>
              <w:pStyle w:val="Normal6"/>
              <w:rPr>
                <w:szCs w:val="24"/>
                <w:lang w:val="en-GB"/>
              </w:rPr>
            </w:pPr>
            <w:r w:rsidRPr="002B4A69">
              <w:rPr>
                <w:lang w:val="en-GB"/>
              </w:rPr>
              <w:t>(82)</w:t>
            </w:r>
            <w:r w:rsidRPr="002B4A69">
              <w:rPr>
                <w:lang w:val="en-GB"/>
              </w:rPr>
              <w:tab/>
              <w:t>In accordance with Article 28</w:t>
            </w:r>
            <w:r w:rsidRPr="002B4A69">
              <w:rPr>
                <w:lang w:val="en-GB"/>
              </w:rPr>
              <w:t>b(</w:t>
            </w:r>
            <w:r w:rsidRPr="002B4A69">
              <w:rPr>
                <w:lang w:val="en-GB"/>
              </w:rPr>
              <w:t xml:space="preserve">2) of Directive 2003/87/EC, the Commission </w:t>
            </w:r>
            <w:r w:rsidRPr="002B4A69">
              <w:rPr>
                <w:b/>
                <w:i/>
                <w:lang w:val="en-GB"/>
              </w:rPr>
              <w:t>assessed</w:t>
            </w:r>
            <w:r w:rsidRPr="002B4A69">
              <w:rPr>
                <w:lang w:val="en-GB"/>
              </w:rPr>
              <w:t xml:space="preserve">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lang w:val="en-GB"/>
              </w:rPr>
              <w:t>a(</w:t>
            </w:r>
            <w:r w:rsidRPr="002B4A69">
              <w:rPr>
                <w:lang w:val="en-GB"/>
              </w:rPr>
              <w:t xml:space="preserve">3) of the ETS Directive represent less than 70% of international aviation emissions. </w:t>
            </w:r>
            <w:r w:rsidRPr="002B4A69">
              <w:rPr>
                <w:b/>
                <w:i/>
                <w:lang w:val="en-GB"/>
              </w:rPr>
              <w:t xml:space="preserve">However, as CORSIA will be mandatory in 2027, it is expected that more states will be implementing the CORSIA </w:t>
            </w:r>
            <w:r w:rsidRPr="002B4A69">
              <w:rPr>
                <w:b/>
                <w:i/>
                <w:lang w:val="en-GB"/>
              </w:rPr>
              <w:t>in the near future</w:t>
            </w:r>
            <w:r w:rsidRPr="002B4A69">
              <w:rPr>
                <w:b/>
                <w:i/>
                <w:lang w:val="en-GB"/>
              </w:rPr>
              <w:t>, which would increase the participation level of the aviation emissions in the offsetting and reduction scheme.</w:t>
            </w:r>
            <w:r w:rsidRPr="002B4A69">
              <w:rPr>
                <w:lang w:val="en-GB"/>
              </w:rPr>
              <w:t xml:space="preserve"> Therefore, </w:t>
            </w:r>
            <w:r w:rsidRPr="002B4A69">
              <w:rPr>
                <w:b/>
                <w:i/>
                <w:lang w:val="en-GB"/>
              </w:rPr>
              <w:t>while emphasising the global nature</w:t>
            </w:r>
            <w:r w:rsidRPr="002B4A69">
              <w:rPr>
                <w:lang w:val="en-GB"/>
              </w:rPr>
              <w:t xml:space="preserve"> </w:t>
            </w:r>
            <w:r w:rsidRPr="002B4A69">
              <w:rPr>
                <w:b/>
                <w:i/>
                <w:lang w:val="en-GB"/>
              </w:rPr>
              <w:t>of</w:t>
            </w:r>
            <w:r w:rsidRPr="002B4A69">
              <w:rPr>
                <w:lang w:val="en-GB"/>
              </w:rPr>
              <w:t xml:space="preserve"> </w:t>
            </w:r>
            <w:r w:rsidRPr="002B4A69">
              <w:rPr>
                <w:b/>
                <w:i/>
                <w:lang w:val="en-GB"/>
              </w:rPr>
              <w:t>aviation, it is not the right time to extend</w:t>
            </w:r>
            <w:r w:rsidRPr="002B4A69">
              <w:rPr>
                <w:lang w:val="en-GB"/>
              </w:rPr>
              <w:t xml:space="preserve"> the geographical scope of </w:t>
            </w:r>
            <w:r w:rsidRPr="002B4A69">
              <w:rPr>
                <w:b/>
                <w:i/>
                <w:lang w:val="en-GB"/>
              </w:rPr>
              <w:t>the ETS to cover departing or arriving</w:t>
            </w:r>
            <w:r w:rsidRPr="002B4A69">
              <w:rPr>
                <w:lang w:val="en-GB"/>
              </w:rPr>
              <w:t xml:space="preserve"> flights from </w:t>
            </w:r>
            <w:r w:rsidRPr="002B4A69">
              <w:rPr>
                <w:b/>
                <w:i/>
                <w:lang w:val="en-GB"/>
              </w:rPr>
              <w:t>third countries</w:t>
            </w:r>
            <w:r w:rsidRPr="002B4A69">
              <w:rPr>
                <w:lang w:val="en-GB"/>
              </w:rPr>
              <w:t>.</w:t>
            </w:r>
          </w:p>
        </w:tc>
      </w:tr>
    </w:tbl>
    <w:p w:rsidR="001F04EE" w:rsidRPr="002B4A69" w:rsidP="001F04EE" w14:paraId="789CB2A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E7FBCD1"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757B5E49" w14:textId="77777777">
      <w:pPr>
        <w:pStyle w:val="Normal12Italic"/>
        <w:rPr>
          <w:noProof w:val="0"/>
          <w:lang w:val="en-GB"/>
        </w:rPr>
      </w:pPr>
      <w:r w:rsidRPr="002B4A69">
        <w:rPr>
          <w:noProof w:val="0"/>
          <w:lang w:val="en-GB"/>
        </w:rPr>
        <w:t xml:space="preserve">The reference to the extension of the scope should be removed from the recital. This approach is justified </w:t>
      </w:r>
      <w:r w:rsidRPr="002B4A69">
        <w:rPr>
          <w:noProof w:val="0"/>
          <w:lang w:val="en-GB"/>
        </w:rPr>
        <w:t>in light of</w:t>
      </w:r>
      <w:r w:rsidRPr="002B4A69">
        <w:rPr>
          <w:noProof w:val="0"/>
          <w:lang w:val="en-GB"/>
        </w:rPr>
        <w:t xml:space="preserve"> the mandatory implementation of CORSIA from next year and the international nature of aviation.</w:t>
      </w:r>
    </w:p>
    <w:p w:rsidR="001F04EE" w:rsidRPr="002B4A69" w:rsidP="001F04EE" w14:paraId="18DD17D9" w14:textId="77777777">
      <w:r w:rsidRPr="002B4A69">
        <w:rPr>
          <w:rStyle w:val="HideTWBExt"/>
        </w:rPr>
        <w:t>&lt;/Amend&gt;</w:t>
      </w:r>
    </w:p>
    <w:p w:rsidR="001F04EE" w:rsidRPr="002B4A69" w:rsidP="001F04EE" w14:paraId="22A1BF8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617</w:t>
      </w:r>
      <w:r w:rsidRPr="002B4A69">
        <w:rPr>
          <w:rStyle w:val="HideTWBExt"/>
          <w:b w:val="0"/>
          <w:lang w:val="en-GB"/>
        </w:rPr>
        <w:t>&lt;/NumAm&gt;</w:t>
      </w:r>
    </w:p>
    <w:p w:rsidR="001F04EE" w:rsidRPr="002B4A69" w:rsidP="001F04EE" w14:paraId="323C86B0"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5707EB13" w14:textId="77777777">
      <w:r w:rsidRPr="002B4A69">
        <w:rPr>
          <w:rStyle w:val="HideTWBExt"/>
        </w:rPr>
        <w:t>&lt;/RepeatBlock-By&gt;</w:t>
      </w:r>
    </w:p>
    <w:p w:rsidR="001F04EE" w:rsidRPr="002B4A69" w:rsidP="001F04EE" w14:paraId="65D20946"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5BAA64F" w14:textId="77777777">
      <w:pPr>
        <w:pStyle w:val="NormalBold"/>
      </w:pPr>
      <w:r w:rsidRPr="002B4A69">
        <w:rPr>
          <w:rStyle w:val="HideTWBExt"/>
          <w:b w:val="0"/>
        </w:rPr>
        <w:t>&lt;Article&gt;</w:t>
      </w:r>
      <w:r w:rsidRPr="002B4A69">
        <w:t>Recital 82</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0E9D6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48B0369" w14:textId="77777777">
            <w:pPr>
              <w:keepNext/>
            </w:pPr>
          </w:p>
        </w:tc>
      </w:tr>
      <w:tr w14:paraId="174E525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FB92C1E" w14:textId="77777777">
            <w:pPr>
              <w:pStyle w:val="ColumnHeading"/>
              <w:keepNext/>
              <w:rPr>
                <w:lang w:val="en-GB"/>
              </w:rPr>
            </w:pPr>
            <w:r w:rsidRPr="002B4A69">
              <w:rPr>
                <w:lang w:val="en-GB"/>
              </w:rPr>
              <w:t>Text proposed by the Commission</w:t>
            </w:r>
          </w:p>
        </w:tc>
        <w:tc>
          <w:tcPr>
            <w:tcW w:w="4876" w:type="dxa"/>
          </w:tcPr>
          <w:p w:rsidR="001F04EE" w:rsidRPr="002B4A69" w:rsidP="00723F81" w14:paraId="3DDE617A" w14:textId="77777777">
            <w:pPr>
              <w:pStyle w:val="ColumnHeading"/>
              <w:keepNext/>
              <w:rPr>
                <w:lang w:val="en-GB"/>
              </w:rPr>
            </w:pPr>
            <w:r w:rsidRPr="002B4A69">
              <w:rPr>
                <w:lang w:val="en-GB"/>
              </w:rPr>
              <w:t>Amendment</w:t>
            </w:r>
          </w:p>
        </w:tc>
      </w:tr>
      <w:tr w14:paraId="2BDE8CB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2B9EFAF" w14:textId="77777777">
            <w:pPr>
              <w:pStyle w:val="Normal6"/>
              <w:rPr>
                <w:lang w:val="en-GB"/>
              </w:rPr>
            </w:pPr>
            <w:r w:rsidRPr="002B4A69">
              <w:rPr>
                <w:lang w:val="en-GB"/>
              </w:rPr>
              <w:t>(82)</w:t>
            </w:r>
            <w:r w:rsidRPr="002B4A69">
              <w:rPr>
                <w:lang w:val="en-GB"/>
              </w:rPr>
              <w:tab/>
              <w:t>In accordance with Article 28</w:t>
            </w:r>
            <w:r w:rsidRPr="002B4A69">
              <w:rPr>
                <w:lang w:val="en-GB"/>
              </w:rPr>
              <w:t>b(</w:t>
            </w:r>
            <w:r w:rsidRPr="002B4A69">
              <w:rPr>
                <w:lang w:val="en-GB"/>
              </w:rPr>
              <w:t>2) of Directive 2003/87/EC, the Commission assessedg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lang w:val="en-GB"/>
              </w:rPr>
              <w:t>a(</w:t>
            </w:r>
            <w:r w:rsidRPr="002B4A69">
              <w:rPr>
                <w:lang w:val="en-GB"/>
              </w:rPr>
              <w:t>3) of the ETS Directive represent less than 70% of international aviation emissions. Therefore, in accordance with Article 28</w:t>
            </w:r>
            <w:r w:rsidRPr="002B4A69">
              <w:rPr>
                <w:lang w:val="en-GB"/>
              </w:rPr>
              <w:t>b(</w:t>
            </w:r>
            <w:r w:rsidRPr="002B4A69">
              <w:rPr>
                <w:lang w:val="en-GB"/>
              </w:rPr>
              <w:t xml:space="preserve">3) of Directive 2003/87/EC, the scope of the EU ETS should be extended in a non-discriminatory way to cover all flights departing from an airport situated in the EEA </w:t>
            </w:r>
            <w:r w:rsidRPr="002B4A69">
              <w:rPr>
                <w:b/>
                <w:i/>
                <w:lang w:val="en-GB"/>
              </w:rPr>
              <w:t>and landing in aerodromes in third countries, no further than 5 000 kilometres from the largest aerodrome in the geographical centre of the Union</w:t>
            </w:r>
            <w:r w:rsidRPr="002B4A69">
              <w:rPr>
                <w:lang w:val="en-GB"/>
              </w:rPr>
              <w:t xml:space="preserve">. All airlines on these routes should be treated equally. Moreover, the EU ETS support for alternative fuels and for action in relation to contrails should be available to all airlines on those routes. This scope of application is around half the maximum distance of flights from the centre of Europe, taking account of analysis which indicates such routes are most susceptible to potential hub leakage. This coverage should apply from </w:t>
            </w:r>
            <w:r w:rsidRPr="002B4A69">
              <w:rPr>
                <w:b/>
                <w:i/>
                <w:lang w:val="en-GB"/>
              </w:rPr>
              <w:t xml:space="preserve">2029 rather than 2027, </w:t>
            </w:r>
            <w:r w:rsidRPr="002B4A69">
              <w:rPr>
                <w:b/>
                <w:i/>
                <w:lang w:val="en-GB"/>
              </w:rPr>
              <w:t>for a period of four years and be dependent on the review in 2032</w:t>
            </w:r>
            <w:r w:rsidRPr="002B4A69">
              <w:rPr>
                <w:lang w:val="en-GB"/>
              </w:rPr>
              <w:t>.</w:t>
            </w:r>
          </w:p>
        </w:tc>
        <w:tc>
          <w:tcPr>
            <w:tcW w:w="4876" w:type="dxa"/>
          </w:tcPr>
          <w:p w:rsidR="001F04EE" w:rsidRPr="002B4A69" w:rsidP="00723F81" w14:paraId="222CCDC4" w14:textId="77777777">
            <w:pPr>
              <w:pStyle w:val="Normal6"/>
              <w:rPr>
                <w:szCs w:val="24"/>
                <w:lang w:val="en-GB"/>
              </w:rPr>
            </w:pPr>
            <w:r w:rsidRPr="002B4A69">
              <w:rPr>
                <w:lang w:val="en-GB"/>
              </w:rPr>
              <w:t>(82)</w:t>
            </w:r>
            <w:r w:rsidRPr="002B4A69">
              <w:rPr>
                <w:lang w:val="en-GB"/>
              </w:rPr>
              <w:tab/>
              <w:t>In accordance with Article 28</w:t>
            </w:r>
            <w:r w:rsidRPr="002B4A69">
              <w:rPr>
                <w:lang w:val="en-GB"/>
              </w:rPr>
              <w:t>b(</w:t>
            </w:r>
            <w:r w:rsidRPr="002B4A69">
              <w:rPr>
                <w:lang w:val="en-GB"/>
              </w:rPr>
              <w:t>2) of Directive 2003/87/EC, the Commission assessedg the environmental integrity of the global market-based measure of the International Civil Aviation Organization (ICAO). That report showed that CORSIA has not been strengthened and that states listed in the implementing act adopted pursuant to article 25</w:t>
            </w:r>
            <w:r w:rsidRPr="002B4A69">
              <w:rPr>
                <w:lang w:val="en-GB"/>
              </w:rPr>
              <w:t>a(</w:t>
            </w:r>
            <w:r w:rsidRPr="002B4A69">
              <w:rPr>
                <w:lang w:val="en-GB"/>
              </w:rPr>
              <w:t>3) of the ETS Directive represent less than 70% of international aviation emissions. Therefore, in accordance with Article 28</w:t>
            </w:r>
            <w:r w:rsidRPr="002B4A69">
              <w:rPr>
                <w:lang w:val="en-GB"/>
              </w:rPr>
              <w:t>b(</w:t>
            </w:r>
            <w:r w:rsidRPr="002B4A69">
              <w:rPr>
                <w:lang w:val="en-GB"/>
              </w:rPr>
              <w:t xml:space="preserve">3) of Directive 2003/87/EC, the scope of the EU ETS should be extended in a non-discriminatory way to cover all flights departing from an airport situated in the EEA. All airlines on these routes should be treated equally. Moreover, the EU ETS support for alternative fuels and for action in relation to contrails should be available to all airlines on those routes. This scope of application is around half the maximum distance of flights from the centre of Europe, taking account of analysis which indicates such routes are most susceptible to potential hub leakage. This coverage should apply from </w:t>
            </w:r>
            <w:r w:rsidRPr="002B4A69">
              <w:rPr>
                <w:b/>
                <w:i/>
                <w:lang w:val="en-GB"/>
              </w:rPr>
              <w:t>2027</w:t>
            </w:r>
            <w:r w:rsidRPr="002B4A69">
              <w:rPr>
                <w:lang w:val="en-GB"/>
              </w:rPr>
              <w:t>.</w:t>
            </w:r>
          </w:p>
        </w:tc>
      </w:tr>
    </w:tbl>
    <w:p w:rsidR="001F04EE" w:rsidRPr="002B4A69" w:rsidP="001F04EE" w14:paraId="13C9A21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95B78F6" w14:textId="77777777">
      <w:r w:rsidRPr="002B4A69">
        <w:rPr>
          <w:rStyle w:val="HideTWBExt"/>
        </w:rPr>
        <w:t>&lt;/Amend&gt;</w:t>
      </w:r>
    </w:p>
    <w:p w:rsidR="001F04EE" w:rsidRPr="002B4A69" w:rsidP="001F04EE" w14:paraId="7426AD3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618</w:t>
      </w:r>
      <w:r w:rsidRPr="002B4A69">
        <w:rPr>
          <w:rStyle w:val="HideTWBExt"/>
          <w:b w:val="0"/>
          <w:lang w:val="en-GB"/>
        </w:rPr>
        <w:t>&lt;/NumAm&gt;</w:t>
      </w:r>
    </w:p>
    <w:p w:rsidR="001F04EE" w:rsidRPr="002B4A69" w:rsidP="001F04EE" w14:paraId="0ACF9449" w14:textId="77777777">
      <w:pPr>
        <w:pStyle w:val="NormalBold"/>
      </w:pPr>
      <w:r w:rsidRPr="002B4A69">
        <w:rPr>
          <w:rStyle w:val="HideTWBExt"/>
          <w:b w:val="0"/>
        </w:rPr>
        <w:t>&lt;RepeatBlock-By&gt;&lt;Members&gt;</w:t>
      </w:r>
      <w:r w:rsidRPr="002B4A69">
        <w:t>Mohammed Chahim</w:t>
      </w:r>
      <w:r w:rsidRPr="002B4A69">
        <w:rPr>
          <w:rStyle w:val="HideTWBExt"/>
          <w:b w:val="0"/>
        </w:rPr>
        <w:t>&lt;/Members&gt;</w:t>
      </w:r>
    </w:p>
    <w:p w:rsidR="001F04EE" w:rsidRPr="002B4A69" w:rsidP="001F04EE" w14:paraId="587879AD" w14:textId="77777777">
      <w:r w:rsidRPr="002B4A69">
        <w:rPr>
          <w:rStyle w:val="HideTWBExt"/>
        </w:rPr>
        <w:t>&lt;/RepeatBlock-By&gt;</w:t>
      </w:r>
    </w:p>
    <w:p w:rsidR="001F04EE" w:rsidRPr="002B4A69" w:rsidP="001F04EE" w14:paraId="20E0D4C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C501548" w14:textId="77777777">
      <w:pPr>
        <w:pStyle w:val="NormalBold"/>
      </w:pPr>
      <w:r w:rsidRPr="002B4A69">
        <w:rPr>
          <w:rStyle w:val="HideTWBExt"/>
          <w:b w:val="0"/>
        </w:rPr>
        <w:t>&lt;Article&gt;</w:t>
      </w:r>
      <w:r w:rsidRPr="002B4A69">
        <w:t>Recital 83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1F59F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74D6B6F" w14:textId="77777777">
            <w:pPr>
              <w:keepNext/>
            </w:pPr>
          </w:p>
        </w:tc>
      </w:tr>
      <w:tr w14:paraId="4CDBD02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DCB2DFF" w14:textId="77777777">
            <w:pPr>
              <w:pStyle w:val="ColumnHeading"/>
              <w:keepNext/>
              <w:rPr>
                <w:lang w:val="en-GB"/>
              </w:rPr>
            </w:pPr>
            <w:r w:rsidRPr="002B4A69">
              <w:rPr>
                <w:lang w:val="en-GB"/>
              </w:rPr>
              <w:t>Text proposed by the Commission</w:t>
            </w:r>
          </w:p>
        </w:tc>
        <w:tc>
          <w:tcPr>
            <w:tcW w:w="4876" w:type="dxa"/>
          </w:tcPr>
          <w:p w:rsidR="001F04EE" w:rsidRPr="002B4A69" w:rsidP="00723F81" w14:paraId="56B08499" w14:textId="77777777">
            <w:pPr>
              <w:pStyle w:val="ColumnHeading"/>
              <w:keepNext/>
              <w:rPr>
                <w:lang w:val="en-GB"/>
              </w:rPr>
            </w:pPr>
            <w:r w:rsidRPr="002B4A69">
              <w:rPr>
                <w:lang w:val="en-GB"/>
              </w:rPr>
              <w:t>Amendment</w:t>
            </w:r>
          </w:p>
        </w:tc>
      </w:tr>
      <w:tr w14:paraId="1C7B0CE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7CE2C16" w14:textId="77777777">
            <w:pPr>
              <w:pStyle w:val="Normal6"/>
              <w:rPr>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lang w:val="en-GB"/>
              </w:rPr>
              <w:t>In the event that</w:t>
            </w:r>
            <w:r w:rsidRPr="002B4A69">
              <w:rPr>
                <w:lang w:val="en-GB"/>
              </w:rPr>
              <w:t xml:space="preserve"> CORSIA is proving to be ambitious, efficient and successful, the scope of effective carbon pricing under the EU ETS should be reduced to flights within the EEA and departing to the UK, Switzerland, to and from Gibraltar and other countries taking advantage of ETS as a service.</w:t>
            </w:r>
          </w:p>
        </w:tc>
        <w:tc>
          <w:tcPr>
            <w:tcW w:w="4876" w:type="dxa"/>
          </w:tcPr>
          <w:p w:rsidR="001F04EE" w:rsidRPr="002B4A69" w:rsidP="00723F81" w14:paraId="2B7E0463" w14:textId="77777777">
            <w:pPr>
              <w:pStyle w:val="Normal6"/>
              <w:rPr>
                <w:szCs w:val="24"/>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lang w:val="en-GB"/>
              </w:rPr>
              <w:t>In the event that</w:t>
            </w:r>
            <w:r w:rsidRPr="002B4A69">
              <w:rPr>
                <w:lang w:val="en-GB"/>
              </w:rPr>
              <w:t xml:space="preserve"> CORSIA is proving to be ambitious, efficient and successful, the scope of effective carbon pricing under the EU ETS should be reduced to flights within the EEA and departing to the UK, Switzerland, to and from Gibraltar and other countries taking advantage of ETS as a service. </w:t>
            </w:r>
            <w:r w:rsidRPr="002B4A69">
              <w:rPr>
                <w:b/>
                <w:i/>
                <w:lang w:val="en-GB"/>
              </w:rPr>
              <w:t xml:space="preserve">The Union institutions and the Member States should do everything possible to work towards a global solution for international aviation, that is completely aligned with the Paris Agreement and the Union’s ambition </w:t>
            </w:r>
            <w:r w:rsidRPr="002B4A69">
              <w:rPr>
                <w:b/>
                <w:i/>
                <w:lang w:val="en-GB"/>
              </w:rPr>
              <w:t>when it comes to climate protection. They should use the fora of the International Civil Aviation Organization (ICAO), but also work bilaterally towards this aim and, as a step in the right direction, also conclude bilateral agreements, where possible.</w:t>
            </w:r>
          </w:p>
        </w:tc>
      </w:tr>
    </w:tbl>
    <w:p w:rsidR="001F04EE" w:rsidRPr="002B4A69" w:rsidP="001F04EE" w14:paraId="37A9CF1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87A2D14" w14:textId="77777777">
      <w:r w:rsidRPr="002B4A69">
        <w:rPr>
          <w:rStyle w:val="HideTWBExt"/>
        </w:rPr>
        <w:t>&lt;/Amend&gt;</w:t>
      </w:r>
    </w:p>
    <w:p w:rsidR="001F04EE" w:rsidRPr="002B4A69" w:rsidP="001F04EE" w14:paraId="2A71416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619</w:t>
      </w:r>
      <w:r w:rsidRPr="002B4A69">
        <w:rPr>
          <w:rStyle w:val="HideTWBExt"/>
          <w:b w:val="0"/>
          <w:lang w:val="en-GB"/>
        </w:rPr>
        <w:t>&lt;/NumAm&gt;</w:t>
      </w:r>
    </w:p>
    <w:p w:rsidR="001F04EE" w:rsidRPr="002B4A69" w:rsidP="001F04EE" w14:paraId="55E6089E" w14:textId="77777777">
      <w:pPr>
        <w:pStyle w:val="NormalBold"/>
      </w:pPr>
      <w:r w:rsidRPr="002B4A69">
        <w:rPr>
          <w:rStyle w:val="HideTWBExt"/>
          <w:b w:val="0"/>
        </w:rPr>
        <w:t>&lt;RepeatBlock-By&gt;&lt;Members&gt;</w:t>
      </w:r>
      <w:r w:rsidRPr="002B4A69">
        <w:t>Matteo Ricci</w:t>
      </w:r>
      <w:r w:rsidRPr="002B4A69">
        <w:rPr>
          <w:rStyle w:val="HideTWBExt"/>
          <w:b w:val="0"/>
        </w:rPr>
        <w:t>&lt;/Members&gt;</w:t>
      </w:r>
    </w:p>
    <w:p w:rsidR="001F04EE" w:rsidRPr="002B4A69" w:rsidP="001F04EE" w14:paraId="74E58231" w14:textId="77777777">
      <w:r w:rsidRPr="002B4A69">
        <w:rPr>
          <w:rStyle w:val="HideTWBExt"/>
        </w:rPr>
        <w:t>&lt;/RepeatBlock-By&gt;</w:t>
      </w:r>
    </w:p>
    <w:p w:rsidR="001F04EE" w:rsidRPr="002B4A69" w:rsidP="001F04EE" w14:paraId="23C0881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C32932F" w14:textId="77777777">
      <w:pPr>
        <w:pStyle w:val="NormalBold"/>
      </w:pPr>
      <w:r w:rsidRPr="002B4A69">
        <w:rPr>
          <w:rStyle w:val="HideTWBExt"/>
          <w:b w:val="0"/>
        </w:rPr>
        <w:t>&lt;Article&gt;</w:t>
      </w:r>
      <w:r w:rsidRPr="002B4A69">
        <w:t>Recital 83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C0ECB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B4532F7" w14:textId="77777777">
            <w:pPr>
              <w:keepNext/>
            </w:pPr>
          </w:p>
        </w:tc>
      </w:tr>
      <w:tr w14:paraId="187A48D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C472C03" w14:textId="77777777">
            <w:pPr>
              <w:pStyle w:val="ColumnHeading"/>
              <w:keepNext/>
              <w:rPr>
                <w:lang w:val="en-GB"/>
              </w:rPr>
            </w:pPr>
            <w:r w:rsidRPr="002B4A69">
              <w:rPr>
                <w:lang w:val="en-GB"/>
              </w:rPr>
              <w:t>Text proposed by the Commission</w:t>
            </w:r>
          </w:p>
        </w:tc>
        <w:tc>
          <w:tcPr>
            <w:tcW w:w="4876" w:type="dxa"/>
          </w:tcPr>
          <w:p w:rsidR="001F04EE" w:rsidRPr="002B4A69" w:rsidP="00723F81" w14:paraId="117033A7" w14:textId="77777777">
            <w:pPr>
              <w:pStyle w:val="ColumnHeading"/>
              <w:keepNext/>
              <w:rPr>
                <w:lang w:val="en-GB"/>
              </w:rPr>
            </w:pPr>
            <w:r w:rsidRPr="002B4A69">
              <w:rPr>
                <w:lang w:val="en-GB"/>
              </w:rPr>
              <w:t>Amendment</w:t>
            </w:r>
          </w:p>
        </w:tc>
      </w:tr>
      <w:tr w14:paraId="14A8AE3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64A0CCB" w14:textId="77777777">
            <w:pPr>
              <w:pStyle w:val="Normal6"/>
              <w:rPr>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lang w:val="en-GB"/>
              </w:rPr>
              <w:t>In the event that</w:t>
            </w:r>
            <w:r w:rsidRPr="002B4A69">
              <w:rPr>
                <w:lang w:val="en-GB"/>
              </w:rPr>
              <w:t xml:space="preserve"> CORSIA is proving to be ambitious, efficient and successful, the scope of effective carbon pricing under the EU ETS should be reduced to flights within the EEA and departing to the UK, Switzerland, to and from Gibraltar and other countries taking </w:t>
            </w:r>
            <w:r w:rsidRPr="002B4A69">
              <w:rPr>
                <w:lang w:val="en-GB"/>
              </w:rPr>
              <w:t>advantage of ETS as a service.</w:t>
            </w:r>
          </w:p>
        </w:tc>
        <w:tc>
          <w:tcPr>
            <w:tcW w:w="4876" w:type="dxa"/>
          </w:tcPr>
          <w:p w:rsidR="001F04EE" w:rsidRPr="002B4A69" w:rsidP="00723F81" w14:paraId="01D99EAB" w14:textId="77777777">
            <w:pPr>
              <w:pStyle w:val="Normal6"/>
              <w:rPr>
                <w:szCs w:val="24"/>
                <w:lang w:val="en-GB"/>
              </w:rPr>
            </w:pPr>
            <w:r w:rsidRPr="002B4A69">
              <w:rPr>
                <w:lang w:val="en-GB"/>
              </w:rPr>
              <w:t>(83)</w:t>
            </w:r>
            <w:r w:rsidRPr="002B4A69">
              <w:rPr>
                <w:lang w:val="en-GB"/>
              </w:rPr>
              <w:tab/>
            </w:r>
            <w:r w:rsidRPr="002B4A69">
              <w:rPr>
                <w:b/>
                <w:i/>
                <w:lang w:val="en-GB"/>
              </w:rPr>
              <w:t xml:space="preserve">Directive 2003/87/EC should be amended so that ICAO’s CORSIA scheme is implemented into EU law from 2026 until 2035, and to ensure that aviation </w:t>
            </w:r>
            <w:r w:rsidRPr="002B4A69">
              <w:rPr>
                <w:b/>
                <w:i/>
                <w:lang w:val="en-GB"/>
              </w:rPr>
              <w:t>as a whole contributes</w:t>
            </w:r>
            <w:r w:rsidRPr="002B4A69">
              <w:rPr>
                <w:b/>
                <w:i/>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b/>
                <w:i/>
                <w:lang w:val="en-GB"/>
              </w:rPr>
              <w:t>In the event that</w:t>
            </w:r>
            <w:r w:rsidRPr="002B4A69">
              <w:rPr>
                <w:b/>
                <w:i/>
                <w:lang w:val="en-GB"/>
              </w:rPr>
              <w:t xml:space="preserve"> CORSIA is proving to be ambitious, efficient and successful, the scope of effective carbon pricing under the EU ETS should be reduced to flights within the EEA and departing to the UK, Switzerland, to and from Gibraltar and other countries taking advantage of ETS </w:t>
            </w:r>
            <w:r w:rsidRPr="002B4A69">
              <w:rPr>
                <w:b/>
                <w:i/>
                <w:lang w:val="en-GB"/>
              </w:rPr>
              <w:t>as a service. The Union institutions and the Member States should do everything possible to work towards a global solution for international aviation, that is completely aligned with the Paris Agreement and the Union’s ambition when it comes to climate protection. They should use the fora of the International Civil Aviation Organization (ICAO), but also work bilaterally towards this aim and, as a step in the right direction, also conclude bilateral agreements, where possible.</w:t>
            </w:r>
          </w:p>
        </w:tc>
      </w:tr>
    </w:tbl>
    <w:p w:rsidR="001F04EE" w:rsidRPr="002B4A69" w:rsidP="001F04EE" w14:paraId="263007E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BAC72A1" w14:textId="77777777">
      <w:r w:rsidRPr="002B4A69">
        <w:rPr>
          <w:rStyle w:val="HideTWBExt"/>
        </w:rPr>
        <w:t>&lt;/Amend&gt;</w:t>
      </w:r>
    </w:p>
    <w:p w:rsidR="001F04EE" w:rsidRPr="002B4A69" w:rsidP="001F04EE" w14:paraId="51DD918D"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620</w:t>
      </w:r>
      <w:r w:rsidRPr="002B4A69">
        <w:rPr>
          <w:rStyle w:val="HideTWBExt"/>
          <w:b w:val="0"/>
          <w:lang w:val="en-GB"/>
        </w:rPr>
        <w:t>&lt;/NumAm&gt;</w:t>
      </w:r>
    </w:p>
    <w:p w:rsidR="001F04EE" w:rsidRPr="002B4A69" w:rsidP="001F04EE" w14:paraId="3C25B09B" w14:textId="77777777">
      <w:pPr>
        <w:pStyle w:val="NormalBold"/>
      </w:pPr>
      <w:r w:rsidRPr="002B4A69">
        <w:rPr>
          <w:rStyle w:val="HideTWBExt"/>
          <w:b w:val="0"/>
        </w:rPr>
        <w:t>&lt;RepeatBlock-By&gt;&lt;Members&gt;</w:t>
      </w:r>
      <w:r w:rsidRPr="002B4A69">
        <w:t>Jens Gieseke, Ralf Seekatz, Sophia Kircher, Norbert Herhammer, Gheorghe Falcă, Andrea Wechsler, Borja Giménez Larraz, Angelika Niebler</w:t>
      </w:r>
      <w:r w:rsidRPr="002B4A69">
        <w:rPr>
          <w:rStyle w:val="HideTWBExt"/>
          <w:b w:val="0"/>
        </w:rPr>
        <w:t>&lt;/Members&gt;</w:t>
      </w:r>
    </w:p>
    <w:p w:rsidR="001F04EE" w:rsidRPr="002B4A69" w:rsidP="001F04EE" w14:paraId="0CF4F0BF" w14:textId="77777777">
      <w:r w:rsidRPr="002B4A69">
        <w:rPr>
          <w:rStyle w:val="HideTWBExt"/>
        </w:rPr>
        <w:t>&lt;/RepeatBlock-By&gt;</w:t>
      </w:r>
    </w:p>
    <w:p w:rsidR="001F04EE" w:rsidRPr="002B4A69" w:rsidP="001F04EE" w14:paraId="2BC478F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B61BB08" w14:textId="77777777">
      <w:pPr>
        <w:pStyle w:val="NormalBold"/>
      </w:pPr>
      <w:r w:rsidRPr="002B4A69">
        <w:rPr>
          <w:rStyle w:val="HideTWBExt"/>
          <w:b w:val="0"/>
        </w:rPr>
        <w:t>&lt;Article&gt;</w:t>
      </w:r>
      <w:r w:rsidRPr="002B4A69">
        <w:t>Recital 83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0E172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F50DBD3" w14:textId="77777777">
            <w:pPr>
              <w:keepNext/>
            </w:pPr>
          </w:p>
        </w:tc>
      </w:tr>
      <w:tr w14:paraId="3E754B71"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39B036C" w14:textId="77777777">
            <w:pPr>
              <w:pStyle w:val="ColumnHeading"/>
              <w:keepNext/>
              <w:rPr>
                <w:lang w:val="en-GB"/>
              </w:rPr>
            </w:pPr>
            <w:r w:rsidRPr="002B4A69">
              <w:rPr>
                <w:lang w:val="en-GB"/>
              </w:rPr>
              <w:t>Text proposed by the Commission</w:t>
            </w:r>
          </w:p>
        </w:tc>
        <w:tc>
          <w:tcPr>
            <w:tcW w:w="4876" w:type="dxa"/>
          </w:tcPr>
          <w:p w:rsidR="001F04EE" w:rsidRPr="002B4A69" w:rsidP="00723F81" w14:paraId="6CDEE7F3" w14:textId="77777777">
            <w:pPr>
              <w:pStyle w:val="ColumnHeading"/>
              <w:keepNext/>
              <w:rPr>
                <w:lang w:val="en-GB"/>
              </w:rPr>
            </w:pPr>
            <w:r w:rsidRPr="002B4A69">
              <w:rPr>
                <w:lang w:val="en-GB"/>
              </w:rPr>
              <w:t>Amendment</w:t>
            </w:r>
          </w:p>
        </w:tc>
      </w:tr>
      <w:tr w14:paraId="25F56DB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4DBF2C3" w14:textId="77777777">
            <w:pPr>
              <w:pStyle w:val="Normal6"/>
              <w:rPr>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b/>
                <w:i/>
                <w:lang w:val="en-GB"/>
              </w:rPr>
              <w:t>In the event that</w:t>
            </w:r>
            <w:r w:rsidRPr="002B4A69">
              <w:rPr>
                <w:b/>
                <w:i/>
                <w:lang w:val="en-GB"/>
              </w:rPr>
              <w:t xml:space="preserve"> CORSIA is </w:t>
            </w:r>
            <w:r w:rsidRPr="002B4A69">
              <w:rPr>
                <w:b/>
                <w:i/>
                <w:lang w:val="en-GB"/>
              </w:rPr>
              <w:t>proving to be ambitious, efficient and successful, the scope of effective carbon pricing under the EU ETS should be reduced to flights within the EEA and departing to the UK, Switzerland, to and from Gibraltar and other countries taking advantage of ETS as a service.</w:t>
            </w:r>
          </w:p>
        </w:tc>
        <w:tc>
          <w:tcPr>
            <w:tcW w:w="4876" w:type="dxa"/>
          </w:tcPr>
          <w:p w:rsidR="001F04EE" w:rsidRPr="002B4A69" w:rsidP="00723F81" w14:paraId="74FCEBF8" w14:textId="77777777">
            <w:pPr>
              <w:pStyle w:val="Normal6"/>
              <w:rPr>
                <w:szCs w:val="24"/>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w:t>
            </w:r>
            <w:r w:rsidRPr="002B4A69">
              <w:rPr>
                <w:lang w:val="en-GB"/>
              </w:rPr>
              <w:t>by ICAO.</w:t>
            </w:r>
          </w:p>
        </w:tc>
      </w:tr>
    </w:tbl>
    <w:p w:rsidR="001F04EE" w:rsidRPr="002B4A69" w:rsidP="001F04EE" w14:paraId="537F29F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0791DA7" w14:textId="77777777">
      <w:r w:rsidRPr="002B4A69">
        <w:rPr>
          <w:rStyle w:val="HideTWBExt"/>
        </w:rPr>
        <w:t>&lt;/Amend&gt;</w:t>
      </w:r>
    </w:p>
    <w:p w:rsidR="001F04EE" w:rsidRPr="002B4A69" w:rsidP="001F04EE" w14:paraId="0DCB539B"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621</w:t>
      </w:r>
      <w:r w:rsidRPr="002B4A69">
        <w:rPr>
          <w:rStyle w:val="HideTWBExt"/>
          <w:b w:val="0"/>
          <w:lang w:val="en-GB"/>
        </w:rPr>
        <w:t>&lt;/NumAm&gt;</w:t>
      </w:r>
    </w:p>
    <w:p w:rsidR="001F04EE" w:rsidRPr="002B4A69" w:rsidP="001F04EE" w14:paraId="4C5313A9" w14:textId="77777777">
      <w:pPr>
        <w:pStyle w:val="NormalBold"/>
      </w:pPr>
      <w:r w:rsidRPr="002B4A69">
        <w:rPr>
          <w:rStyle w:val="HideTWBExt"/>
          <w:b w:val="0"/>
        </w:rPr>
        <w:t>&lt;RepeatBlock-By&gt;&lt;Members&gt;</w:t>
      </w:r>
      <w:r w:rsidRPr="002B4A69">
        <w:t>Katri Kulmuni</w:t>
      </w:r>
      <w:r w:rsidRPr="002B4A69">
        <w:rPr>
          <w:rStyle w:val="HideTWBExt"/>
          <w:b w:val="0"/>
        </w:rPr>
        <w:t>&lt;/Members&gt;</w:t>
      </w:r>
    </w:p>
    <w:p w:rsidR="001F04EE" w:rsidRPr="002B4A69" w:rsidP="001F04EE" w14:paraId="2A2616A2" w14:textId="77777777">
      <w:r w:rsidRPr="002B4A69">
        <w:rPr>
          <w:rStyle w:val="HideTWBExt"/>
        </w:rPr>
        <w:t>&lt;/RepeatBlock-By&gt;</w:t>
      </w:r>
    </w:p>
    <w:p w:rsidR="001F04EE" w:rsidRPr="002B4A69" w:rsidP="001F04EE" w14:paraId="123F0F5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83BF87D" w14:textId="77777777">
      <w:pPr>
        <w:pStyle w:val="NormalBold"/>
      </w:pPr>
      <w:r w:rsidRPr="002B4A69">
        <w:rPr>
          <w:rStyle w:val="HideTWBExt"/>
          <w:b w:val="0"/>
        </w:rPr>
        <w:t>&lt;Article&gt;</w:t>
      </w:r>
      <w:r w:rsidRPr="002B4A69">
        <w:t>Recital 83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29E37D"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FB88743" w14:textId="77777777">
            <w:pPr>
              <w:keepNext/>
            </w:pPr>
          </w:p>
        </w:tc>
      </w:tr>
      <w:tr w14:paraId="2B49B79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091D8E" w14:textId="77777777">
            <w:pPr>
              <w:pStyle w:val="ColumnHeading"/>
              <w:keepNext/>
              <w:rPr>
                <w:lang w:val="en-GB"/>
              </w:rPr>
            </w:pPr>
            <w:r w:rsidRPr="002B4A69">
              <w:rPr>
                <w:lang w:val="en-GB"/>
              </w:rPr>
              <w:t>Text proposed by the Commission</w:t>
            </w:r>
          </w:p>
        </w:tc>
        <w:tc>
          <w:tcPr>
            <w:tcW w:w="4876" w:type="dxa"/>
          </w:tcPr>
          <w:p w:rsidR="001F04EE" w:rsidRPr="002B4A69" w:rsidP="00723F81" w14:paraId="6FBFC732" w14:textId="77777777">
            <w:pPr>
              <w:pStyle w:val="ColumnHeading"/>
              <w:keepNext/>
              <w:rPr>
                <w:lang w:val="en-GB"/>
              </w:rPr>
            </w:pPr>
            <w:r w:rsidRPr="002B4A69">
              <w:rPr>
                <w:lang w:val="en-GB"/>
              </w:rPr>
              <w:t>Amendment</w:t>
            </w:r>
          </w:p>
        </w:tc>
      </w:tr>
      <w:tr w14:paraId="03502E2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615AB9F" w14:textId="77777777">
            <w:pPr>
              <w:pStyle w:val="Normal6"/>
              <w:rPr>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b/>
                <w:i/>
                <w:lang w:val="en-GB"/>
              </w:rPr>
              <w:t>In the event that</w:t>
            </w:r>
            <w:r w:rsidRPr="002B4A69">
              <w:rPr>
                <w:b/>
                <w:i/>
                <w:lang w:val="en-GB"/>
              </w:rPr>
              <w:t xml:space="preserve"> CORSIA is proving to be ambitious, efficient and successful, the scope of effective carbon pricing under the EU ETS should be reduced to flights within the EEA and departing to the UK, Switzerland, to and from Gibraltar and other countries taking </w:t>
            </w:r>
            <w:r w:rsidRPr="002B4A69">
              <w:rPr>
                <w:b/>
                <w:i/>
                <w:lang w:val="en-GB"/>
              </w:rPr>
              <w:t>advantage of ETS as a service.</w:t>
            </w:r>
          </w:p>
        </w:tc>
        <w:tc>
          <w:tcPr>
            <w:tcW w:w="4876" w:type="dxa"/>
          </w:tcPr>
          <w:p w:rsidR="001F04EE" w:rsidRPr="002B4A69" w:rsidP="00723F81" w14:paraId="4865C555" w14:textId="77777777">
            <w:pPr>
              <w:pStyle w:val="Normal6"/>
              <w:rPr>
                <w:szCs w:val="24"/>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w:t>
            </w:r>
          </w:p>
        </w:tc>
      </w:tr>
    </w:tbl>
    <w:p w:rsidR="001F04EE" w:rsidRPr="002B4A69" w:rsidP="001F04EE" w14:paraId="3607C46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630626F1"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7E10CAA2" w14:textId="77777777">
      <w:pPr>
        <w:pStyle w:val="Normal12Italic"/>
        <w:rPr>
          <w:noProof w:val="0"/>
          <w:lang w:val="en-GB"/>
        </w:rPr>
      </w:pPr>
      <w:r w:rsidRPr="002B4A69">
        <w:rPr>
          <w:noProof w:val="0"/>
          <w:lang w:val="en-GB"/>
        </w:rPr>
        <w:t>The last sentence is being removed. The stop-the-clock mechanism should be extended permanently to ensure market stability. The review clause should be drafted in a general way, enabling the Commission to make legislative proposals in the normal manner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w:t>
      </w:r>
    </w:p>
    <w:p w:rsidR="001F04EE" w:rsidRPr="002B4A69" w:rsidP="001F04EE" w14:paraId="653A95F2" w14:textId="77777777">
      <w:r w:rsidRPr="002B4A69">
        <w:rPr>
          <w:rStyle w:val="HideTWBExt"/>
        </w:rPr>
        <w:t>&lt;/Amend&gt;</w:t>
      </w:r>
    </w:p>
    <w:p w:rsidR="001F04EE" w:rsidRPr="002B4A69" w:rsidP="001F04EE" w14:paraId="6D55D8B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622</w:t>
      </w:r>
      <w:r w:rsidRPr="002B4A69">
        <w:rPr>
          <w:rStyle w:val="HideTWBExt"/>
          <w:b w:val="0"/>
          <w:lang w:val="en-GB"/>
        </w:rPr>
        <w:t>&lt;/NumAm&gt;</w:t>
      </w:r>
    </w:p>
    <w:p w:rsidR="001F04EE" w:rsidRPr="002B4A69" w:rsidP="001F04EE" w14:paraId="1167F8C4" w14:textId="77777777">
      <w:pPr>
        <w:pStyle w:val="NormalBold"/>
      </w:pPr>
      <w:r w:rsidRPr="002B4A69">
        <w:rPr>
          <w:rStyle w:val="HideTWBExt"/>
          <w:b w:val="0"/>
        </w:rPr>
        <w:t>&lt;RepeatBlock-By&gt;&lt;Members&gt;</w:t>
      </w:r>
      <w:r w:rsidRPr="002B4A69">
        <w:t>Marie-Luce Brasier-Clain, Anne-Sophie Frigout, Mathilde Androuët, Valérie Deloge, Ondřej Knotek, Jana Nagyová, Barbara Bonte</w:t>
      </w:r>
      <w:r w:rsidRPr="002B4A69">
        <w:rPr>
          <w:rStyle w:val="HideTWBExt"/>
          <w:b w:val="0"/>
        </w:rPr>
        <w:t>&lt;/Members&gt;</w:t>
      </w:r>
    </w:p>
    <w:p w:rsidR="001F04EE" w:rsidRPr="002B4A69" w:rsidP="001F04EE" w14:paraId="5CBF3CA9" w14:textId="77777777">
      <w:r w:rsidRPr="002B4A69">
        <w:rPr>
          <w:rStyle w:val="HideTWBExt"/>
        </w:rPr>
        <w:t>&lt;/RepeatBlock-By&gt;</w:t>
      </w:r>
    </w:p>
    <w:p w:rsidR="001F04EE" w:rsidRPr="002B4A69" w:rsidP="001F04EE" w14:paraId="2F8707D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A44CB3F" w14:textId="77777777">
      <w:pPr>
        <w:pStyle w:val="NormalBold"/>
      </w:pPr>
      <w:r w:rsidRPr="002B4A69">
        <w:rPr>
          <w:rStyle w:val="HideTWBExt"/>
          <w:b w:val="0"/>
        </w:rPr>
        <w:t>&lt;Article&gt;</w:t>
      </w:r>
      <w:r w:rsidRPr="002B4A69">
        <w:t>Recital 83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1C114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C3631A9" w14:textId="77777777">
            <w:pPr>
              <w:keepNext/>
            </w:pPr>
          </w:p>
        </w:tc>
      </w:tr>
      <w:tr w14:paraId="75C5C6F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DD0F9B6" w14:textId="77777777">
            <w:pPr>
              <w:pStyle w:val="ColumnHeading"/>
              <w:keepNext/>
              <w:rPr>
                <w:lang w:val="en-GB"/>
              </w:rPr>
            </w:pPr>
            <w:r w:rsidRPr="002B4A69">
              <w:rPr>
                <w:lang w:val="en-GB"/>
              </w:rPr>
              <w:t>Text proposed by the Commission</w:t>
            </w:r>
          </w:p>
        </w:tc>
        <w:tc>
          <w:tcPr>
            <w:tcW w:w="4876" w:type="dxa"/>
          </w:tcPr>
          <w:p w:rsidR="001F04EE" w:rsidRPr="002B4A69" w:rsidP="00723F81" w14:paraId="45089841" w14:textId="77777777">
            <w:pPr>
              <w:pStyle w:val="ColumnHeading"/>
              <w:keepNext/>
              <w:rPr>
                <w:lang w:val="en-GB"/>
              </w:rPr>
            </w:pPr>
            <w:r w:rsidRPr="002B4A69">
              <w:rPr>
                <w:lang w:val="en-GB"/>
              </w:rPr>
              <w:t>Amendment</w:t>
            </w:r>
          </w:p>
        </w:tc>
      </w:tr>
      <w:tr w14:paraId="250C61D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F6F956D" w14:textId="77777777">
            <w:pPr>
              <w:pStyle w:val="Normal6"/>
              <w:rPr>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lang w:val="en-GB"/>
              </w:rPr>
              <w:t>In the event that</w:t>
            </w:r>
            <w:r w:rsidRPr="002B4A69">
              <w:rPr>
                <w:lang w:val="en-GB"/>
              </w:rPr>
              <w:t xml:space="preserve"> CORSIA is proving to be ambitious, efficient and successful, the scope of effective carbon </w:t>
            </w:r>
            <w:r w:rsidRPr="002B4A69">
              <w:rPr>
                <w:lang w:val="en-GB"/>
              </w:rPr>
              <w:t>pricing under the EU ETS should be reduced to flights within the EEA and departing to the UK, Switzerland, to and from Gibraltar and other countries taking advantage of ETS as a service.</w:t>
            </w:r>
          </w:p>
        </w:tc>
        <w:tc>
          <w:tcPr>
            <w:tcW w:w="4876" w:type="dxa"/>
          </w:tcPr>
          <w:p w:rsidR="001F04EE" w:rsidRPr="002B4A69" w:rsidP="00723F81" w14:paraId="36C45562" w14:textId="77777777">
            <w:pPr>
              <w:pStyle w:val="Normal6"/>
              <w:rPr>
                <w:szCs w:val="24"/>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lang w:val="en-GB"/>
              </w:rPr>
              <w:t>In the event that</w:t>
            </w:r>
            <w:r w:rsidRPr="002B4A69">
              <w:rPr>
                <w:lang w:val="en-GB"/>
              </w:rPr>
              <w:t xml:space="preserve"> CORSIA is proving to be ambitious, efficient and successful, the scope of effective carbon </w:t>
            </w:r>
            <w:r w:rsidRPr="002B4A69">
              <w:rPr>
                <w:lang w:val="en-GB"/>
              </w:rPr>
              <w:t xml:space="preserve">pricing under the EU ETS should be reduced to flights within the EEA and departing to the UK, Switzerland, to and from Gibraltar and other countries taking advantage of ETS as a service. </w:t>
            </w:r>
            <w:r w:rsidRPr="002B4A69">
              <w:rPr>
                <w:b/>
                <w:i/>
                <w:lang w:val="en-GB"/>
              </w:rPr>
              <w:t>Although the institutions of the Union and the Member States should have recourse to the bodies of the International Civil Aviation Organization (ICAO), they should also work at bilateral level wherever possible.</w:t>
            </w:r>
          </w:p>
        </w:tc>
      </w:tr>
    </w:tbl>
    <w:p w:rsidR="001F04EE" w:rsidRPr="002B4A69" w:rsidP="001F04EE" w14:paraId="6711B198"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{FR}</w:t>
      </w:r>
      <w:r w:rsidRPr="002B4A69">
        <w:rPr>
          <w:noProof w:val="0"/>
          <w:lang w:val="en-GB"/>
        </w:rPr>
        <w:t>fr</w:t>
      </w:r>
      <w:r w:rsidRPr="002B4A69">
        <w:rPr>
          <w:rStyle w:val="HideTWBExt"/>
          <w:lang w:val="en-GB"/>
        </w:rPr>
        <w:t>&lt;/Original&gt;</w:t>
      </w:r>
    </w:p>
    <w:p w:rsidR="001F04EE" w:rsidRPr="002B4A69" w:rsidP="001F04EE" w14:paraId="5BB567F8" w14:textId="34658909">
      <w:r w:rsidRPr="002B4A69">
        <w:rPr>
          <w:rStyle w:val="HideTWBExt"/>
        </w:rPr>
        <w:t>&lt;/Amend&gt;</w:t>
      </w:r>
    </w:p>
    <w:p w:rsidR="001F04EE" w:rsidRPr="002B4A69" w:rsidP="001F04EE" w14:paraId="51C862E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623</w:t>
      </w:r>
      <w:r w:rsidRPr="002B4A69">
        <w:rPr>
          <w:rStyle w:val="HideTWBExt"/>
          <w:b w:val="0"/>
          <w:lang w:val="en-GB"/>
        </w:rPr>
        <w:t>&lt;/NumAm&gt;</w:t>
      </w:r>
    </w:p>
    <w:p w:rsidR="001F04EE" w:rsidRPr="002B4A69" w:rsidP="001F04EE" w14:paraId="0F885AC5"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7D0EF946" w14:textId="77777777">
      <w:r w:rsidRPr="002B4A69">
        <w:rPr>
          <w:rStyle w:val="HideTWBExt"/>
        </w:rPr>
        <w:t>&lt;/RepeatBlock-By&gt;</w:t>
      </w:r>
    </w:p>
    <w:p w:rsidR="001F04EE" w:rsidRPr="002B4A69" w:rsidP="001F04EE" w14:paraId="427DFE1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7689CEBC" w14:textId="77777777">
      <w:pPr>
        <w:pStyle w:val="NormalBold"/>
      </w:pPr>
      <w:r w:rsidRPr="002B4A69">
        <w:rPr>
          <w:rStyle w:val="HideTWBExt"/>
          <w:b w:val="0"/>
        </w:rPr>
        <w:t>&lt;Article&gt;</w:t>
      </w:r>
      <w:r w:rsidRPr="002B4A69">
        <w:t>Recital 83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5377F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FCCF158" w14:textId="77777777">
            <w:pPr>
              <w:keepNext/>
            </w:pPr>
          </w:p>
        </w:tc>
      </w:tr>
      <w:tr w14:paraId="3B6CD21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12D0A27" w14:textId="77777777">
            <w:pPr>
              <w:pStyle w:val="ColumnHeading"/>
              <w:keepNext/>
              <w:rPr>
                <w:lang w:val="en-GB"/>
              </w:rPr>
            </w:pPr>
            <w:r w:rsidRPr="002B4A69">
              <w:rPr>
                <w:lang w:val="en-GB"/>
              </w:rPr>
              <w:t>Text proposed by the Commission</w:t>
            </w:r>
          </w:p>
        </w:tc>
        <w:tc>
          <w:tcPr>
            <w:tcW w:w="4876" w:type="dxa"/>
          </w:tcPr>
          <w:p w:rsidR="001F04EE" w:rsidRPr="002B4A69" w:rsidP="00723F81" w14:paraId="17EB5D73" w14:textId="77777777">
            <w:pPr>
              <w:pStyle w:val="ColumnHeading"/>
              <w:keepNext/>
              <w:rPr>
                <w:lang w:val="en-GB"/>
              </w:rPr>
            </w:pPr>
            <w:r w:rsidRPr="002B4A69">
              <w:rPr>
                <w:lang w:val="en-GB"/>
              </w:rPr>
              <w:t>Amendment</w:t>
            </w:r>
          </w:p>
        </w:tc>
      </w:tr>
      <w:tr w14:paraId="4AAAB2D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8C51AAB" w14:textId="77777777">
            <w:pPr>
              <w:pStyle w:val="Normal6"/>
              <w:rPr>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w:t>
            </w:r>
            <w:r w:rsidRPr="002B4A69">
              <w:rPr>
                <w:lang w:val="en-GB"/>
              </w:rPr>
              <w:t>In the event that</w:t>
            </w:r>
            <w:r w:rsidRPr="002B4A69">
              <w:rPr>
                <w:lang w:val="en-GB"/>
              </w:rPr>
              <w:t xml:space="preserve"> CORSIA is proving to be ambitious, efficient and successful, the scope of effective carbon pricing under the EU ETS should be </w:t>
            </w:r>
            <w:r w:rsidRPr="002B4A69">
              <w:rPr>
                <w:lang w:val="en-GB"/>
              </w:rPr>
              <w:t>reduced to flights within the EEA and departing to the UK, Switzerland, to and from Gibraltar and other countries taking advantage of ETS as a service.</w:t>
            </w:r>
          </w:p>
        </w:tc>
        <w:tc>
          <w:tcPr>
            <w:tcW w:w="4876" w:type="dxa"/>
          </w:tcPr>
          <w:p w:rsidR="001F04EE" w:rsidRPr="002B4A69" w:rsidP="00723F81" w14:paraId="1C9CE931" w14:textId="77777777">
            <w:pPr>
              <w:pStyle w:val="Normal6"/>
              <w:rPr>
                <w:szCs w:val="24"/>
                <w:lang w:val="en-GB"/>
              </w:rPr>
            </w:pPr>
            <w:r w:rsidRPr="002B4A69">
              <w:rPr>
                <w:lang w:val="en-GB"/>
              </w:rPr>
              <w:t>(83)</w:t>
            </w:r>
            <w:r w:rsidRPr="002B4A69">
              <w:rPr>
                <w:lang w:val="en-GB"/>
              </w:rPr>
              <w:tab/>
              <w:t xml:space="preserve">Directive 2003/87/EC should be amended so that ICAO’s CORSIA scheme is implemented into EU law from 2026 until 2035, and to ensure that aviation </w:t>
            </w:r>
            <w:r w:rsidRPr="002B4A69">
              <w:rPr>
                <w:lang w:val="en-GB"/>
              </w:rPr>
              <w:t>as a whole contributes</w:t>
            </w:r>
            <w:r w:rsidRPr="002B4A69">
              <w:rPr>
                <w:lang w:val="en-GB"/>
              </w:rPr>
              <w:t xml:space="preserve">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In the event that CORSIA is proving to be ambitious </w:t>
            </w:r>
            <w:r w:rsidRPr="002B4A69">
              <w:rPr>
                <w:b/>
                <w:i/>
                <w:lang w:val="en-GB"/>
              </w:rPr>
              <w:t xml:space="preserve">at least equivalent to the level of this Directive with respect to decreasing CO2 emissions from aviation </w:t>
            </w:r>
            <w:r w:rsidRPr="002B4A69">
              <w:rPr>
                <w:b/>
                <w:i/>
                <w:lang w:val="en-GB"/>
              </w:rPr>
              <w:t>and climate impacts from contrails</w:t>
            </w:r>
            <w:r w:rsidRPr="002B4A69">
              <w:rPr>
                <w:lang w:val="en-GB"/>
              </w:rPr>
              <w:t>, efficient and successful, the scope of effective carbon pricing under the EU ETS should be reduced to flights within the EEA and departing to the UK, Switzerland, to and from Gibraltar and other countries taking advantage of ETS as a service.</w:t>
            </w:r>
          </w:p>
        </w:tc>
      </w:tr>
    </w:tbl>
    <w:p w:rsidR="001F04EE" w:rsidRPr="002B4A69" w:rsidP="001F04EE" w14:paraId="119B211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7506FE8" w14:textId="77777777">
      <w:r w:rsidRPr="002B4A69">
        <w:rPr>
          <w:rStyle w:val="HideTWBExt"/>
        </w:rPr>
        <w:t>&lt;/Amend&gt;</w:t>
      </w:r>
    </w:p>
    <w:p w:rsidR="001F04EE" w:rsidRPr="002B4A69" w:rsidP="001F04EE" w14:paraId="614C2A0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624</w:t>
      </w:r>
      <w:r w:rsidRPr="002B4A69">
        <w:rPr>
          <w:rStyle w:val="HideTWBExt"/>
          <w:b w:val="0"/>
          <w:lang w:val="en-GB"/>
        </w:rPr>
        <w:t>&lt;/NumAm&gt;</w:t>
      </w:r>
    </w:p>
    <w:p w:rsidR="001F04EE" w:rsidRPr="002B4A69" w:rsidP="001F04EE" w14:paraId="41F43038" w14:textId="77777777">
      <w:pPr>
        <w:pStyle w:val="NormalBold"/>
      </w:pPr>
      <w:r w:rsidRPr="002B4A69">
        <w:rPr>
          <w:rStyle w:val="HideTWBExt"/>
          <w:b w:val="0"/>
        </w:rPr>
        <w:t>&lt;RepeatBlock-By&gt;&lt;Members&gt;</w:t>
      </w:r>
      <w:r w:rsidRPr="002B4A69">
        <w:t>Jens Gieseke, Ralf Seekatz, Sophia Kircher, Norbert Herhammer, Gheorghe Falcă, Andrea Wechsler, Borja Giménez Larraz, Angelika Niebler</w:t>
      </w:r>
      <w:r w:rsidRPr="002B4A69">
        <w:rPr>
          <w:rStyle w:val="HideTWBExt"/>
          <w:b w:val="0"/>
        </w:rPr>
        <w:t>&lt;/Members&gt;</w:t>
      </w:r>
    </w:p>
    <w:p w:rsidR="001F04EE" w:rsidRPr="002B4A69" w:rsidP="001F04EE" w14:paraId="4FEAB59A" w14:textId="77777777">
      <w:r w:rsidRPr="002B4A69">
        <w:rPr>
          <w:rStyle w:val="HideTWBExt"/>
        </w:rPr>
        <w:t>&lt;/RepeatBlock-By&gt;</w:t>
      </w:r>
    </w:p>
    <w:p w:rsidR="001F04EE" w:rsidRPr="002B4A69" w:rsidP="001F04EE" w14:paraId="7A45A5F1"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CFBF5F3" w14:textId="77777777">
      <w:pPr>
        <w:pStyle w:val="NormalBold"/>
      </w:pPr>
      <w:r w:rsidRPr="002B4A69">
        <w:rPr>
          <w:rStyle w:val="HideTWBExt"/>
          <w:b w:val="0"/>
        </w:rPr>
        <w:t>&lt;Article&gt;</w:t>
      </w:r>
      <w:r w:rsidRPr="002B4A69">
        <w:t>Recital 84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94B59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9175E97" w14:textId="77777777">
            <w:pPr>
              <w:keepNext/>
            </w:pPr>
          </w:p>
        </w:tc>
      </w:tr>
      <w:tr w14:paraId="7980D7A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4079A42" w14:textId="77777777">
            <w:pPr>
              <w:pStyle w:val="ColumnHeading"/>
              <w:keepNext/>
              <w:rPr>
                <w:lang w:val="en-GB"/>
              </w:rPr>
            </w:pPr>
            <w:r w:rsidRPr="002B4A69">
              <w:rPr>
                <w:lang w:val="en-GB"/>
              </w:rPr>
              <w:t>Text proposed by the Commission</w:t>
            </w:r>
          </w:p>
        </w:tc>
        <w:tc>
          <w:tcPr>
            <w:tcW w:w="4876" w:type="dxa"/>
          </w:tcPr>
          <w:p w:rsidR="001F04EE" w:rsidRPr="002B4A69" w:rsidP="00723F81" w14:paraId="32B58A21" w14:textId="77777777">
            <w:pPr>
              <w:pStyle w:val="ColumnHeading"/>
              <w:keepNext/>
              <w:rPr>
                <w:lang w:val="en-GB"/>
              </w:rPr>
            </w:pPr>
            <w:r w:rsidRPr="002B4A69">
              <w:rPr>
                <w:lang w:val="en-GB"/>
              </w:rPr>
              <w:t>Amendment</w:t>
            </w:r>
          </w:p>
        </w:tc>
      </w:tr>
      <w:tr w14:paraId="1504847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EDDD5F7" w14:textId="77777777">
            <w:pPr>
              <w:pStyle w:val="Normal6"/>
              <w:rPr>
                <w:lang w:val="en-GB"/>
              </w:rPr>
            </w:pPr>
            <w:r w:rsidRPr="002B4A69">
              <w:rPr>
                <w:lang w:val="en-GB"/>
              </w:rPr>
              <w:t>(84)</w:t>
            </w:r>
            <w:r w:rsidRPr="002B4A69">
              <w:rPr>
                <w:lang w:val="en-GB"/>
              </w:rPr>
              <w:tab/>
              <w:t xml:space="preserve">In order to limit additional stringency linked to the geographic extension of the scope of the EU ETS in respect of aviation activities and taking into account the fact that emissions stemming from aviation activities have been on an increasing trajectory it is appropriate to increase the total number of allowances available in respect of aviation activities in proportion to the emissions newly included in the scope, taking into account the latest available information on emissions, and to reserve from those allowances for additional support for reducing aviation’s climate impacts through sustainable aviation fuels, electrification and cost-effective reductions from contrails. </w:t>
            </w:r>
            <w:r w:rsidRPr="002B4A69">
              <w:rPr>
                <w:b/>
                <w:i/>
                <w:lang w:val="en-GB"/>
              </w:rPr>
              <w:t>The total number of allowances available in respect</w:t>
            </w:r>
            <w:r w:rsidRPr="002B4A69">
              <w:rPr>
                <w:lang w:val="en-GB"/>
              </w:rPr>
              <w:t xml:space="preserve"> of aviation </w:t>
            </w:r>
            <w:r w:rsidRPr="002B4A69">
              <w:rPr>
                <w:b/>
                <w:i/>
                <w:lang w:val="en-GB"/>
              </w:rPr>
              <w:t>activities</w:t>
            </w:r>
            <w:r w:rsidRPr="002B4A69">
              <w:rPr>
                <w:lang w:val="en-GB"/>
              </w:rPr>
              <w:t xml:space="preserve"> should </w:t>
            </w:r>
            <w:r w:rsidRPr="002B4A69">
              <w:rPr>
                <w:b/>
                <w:i/>
                <w:lang w:val="en-GB"/>
              </w:rPr>
              <w:t>nevertheless be reduced by an amount equalling the emissions deducted by aircraft operators from the surrender obligation to</w:t>
            </w:r>
            <w:r w:rsidRPr="002B4A69">
              <w:rPr>
                <w:lang w:val="en-GB"/>
              </w:rPr>
              <w:t xml:space="preserve"> account </w:t>
            </w:r>
            <w:r w:rsidRPr="002B4A69">
              <w:rPr>
                <w:b/>
                <w:i/>
                <w:lang w:val="en-GB"/>
              </w:rPr>
              <w:t>for costs incurred by offsetting</w:t>
            </w:r>
            <w:r w:rsidRPr="002B4A69">
              <w:rPr>
                <w:lang w:val="en-GB"/>
              </w:rPr>
              <w:t xml:space="preserve"> under CORSIA</w:t>
            </w:r>
            <w:r w:rsidRPr="002B4A69">
              <w:rPr>
                <w:b/>
                <w:i/>
                <w:lang w:val="en-GB"/>
              </w:rPr>
              <w:t>, because these emissions are no longer covered by the EU ETS</w:t>
            </w:r>
            <w:r w:rsidRPr="002B4A69">
              <w:rPr>
                <w:lang w:val="en-GB"/>
              </w:rPr>
              <w:t>.</w:t>
            </w:r>
          </w:p>
        </w:tc>
        <w:tc>
          <w:tcPr>
            <w:tcW w:w="4876" w:type="dxa"/>
          </w:tcPr>
          <w:p w:rsidR="001F04EE" w:rsidRPr="002B4A69" w:rsidP="00723F81" w14:paraId="7F665CD6" w14:textId="77777777">
            <w:pPr>
              <w:pStyle w:val="Normal6"/>
              <w:rPr>
                <w:szCs w:val="24"/>
                <w:lang w:val="en-GB"/>
              </w:rPr>
            </w:pPr>
            <w:r w:rsidRPr="002B4A69">
              <w:rPr>
                <w:lang w:val="en-GB"/>
              </w:rPr>
              <w:t>(84)</w:t>
            </w:r>
            <w:r w:rsidRPr="002B4A69">
              <w:rPr>
                <w:lang w:val="en-GB"/>
              </w:rPr>
              <w:tab/>
              <w:t xml:space="preserve">In order to limit additional stringency linked to the geographic extension of the scope of the EU ETS in respect of aviation activities and taking into account the fact that emissions stemming from aviation activities have been on an increasing trajectory it is appropriate to increase the total number of allowances available in respect of aviation activities in proportion to the emissions newly included in the scope, taking into account the latest available information on emissions, and to reserve from those allowances for additional support for reducing aviation’s climate impacts through sustainable aviation fuels, electrification and cost-effective reductions from contrails. </w:t>
            </w:r>
            <w:r w:rsidRPr="002B4A69">
              <w:rPr>
                <w:b/>
                <w:i/>
                <w:lang w:val="en-GB"/>
              </w:rPr>
              <w:t>Emissions reductions achieved through compliance with CORSIA should be duly recognised and should not automatically result in a corresponding adjustment to the quantity</w:t>
            </w:r>
            <w:r w:rsidRPr="002B4A69">
              <w:rPr>
                <w:lang w:val="en-GB"/>
              </w:rPr>
              <w:t xml:space="preserve"> of aviation </w:t>
            </w:r>
            <w:r w:rsidRPr="002B4A69">
              <w:rPr>
                <w:b/>
                <w:i/>
                <w:lang w:val="en-GB"/>
              </w:rPr>
              <w:t>allowances under Directive 2003/87/EC. Any such adjustment</w:t>
            </w:r>
            <w:r w:rsidRPr="002B4A69">
              <w:rPr>
                <w:lang w:val="en-GB"/>
              </w:rPr>
              <w:t xml:space="preserve"> should </w:t>
            </w:r>
            <w:r w:rsidRPr="002B4A69">
              <w:rPr>
                <w:b/>
                <w:i/>
                <w:lang w:val="en-GB"/>
              </w:rPr>
              <w:t xml:space="preserve">be subject to the impact assessment referred to in Article 28b(4a) of Directive 2003/87/EC, </w:t>
            </w:r>
            <w:r w:rsidRPr="002B4A69">
              <w:rPr>
                <w:b/>
                <w:i/>
                <w:lang w:val="en-GB"/>
              </w:rPr>
              <w:t>taking into</w:t>
            </w:r>
            <w:r w:rsidRPr="002B4A69">
              <w:rPr>
                <w:lang w:val="en-GB"/>
              </w:rPr>
              <w:t xml:space="preserve"> account</w:t>
            </w:r>
            <w:r w:rsidRPr="002B4A69">
              <w:rPr>
                <w:lang w:val="en-GB"/>
              </w:rPr>
              <w:t xml:space="preserve"> </w:t>
            </w:r>
            <w:r w:rsidRPr="002B4A69">
              <w:rPr>
                <w:b/>
                <w:i/>
                <w:lang w:val="en-GB"/>
              </w:rPr>
              <w:t>the respective</w:t>
            </w:r>
            <w:r w:rsidRPr="002B4A69">
              <w:rPr>
                <w:lang w:val="en-GB"/>
              </w:rPr>
              <w:t xml:space="preserve"> </w:t>
            </w:r>
            <w:r w:rsidRPr="002B4A69">
              <w:rPr>
                <w:b/>
                <w:i/>
                <w:lang w:val="en-GB"/>
              </w:rPr>
              <w:t>emission</w:t>
            </w:r>
            <w:r w:rsidRPr="002B4A69">
              <w:rPr>
                <w:lang w:val="en-GB"/>
              </w:rPr>
              <w:t xml:space="preserve"> </w:t>
            </w:r>
            <w:r w:rsidRPr="002B4A69">
              <w:rPr>
                <w:b/>
                <w:i/>
                <w:lang w:val="en-GB"/>
              </w:rPr>
              <w:t>reductions delivered</w:t>
            </w:r>
            <w:r w:rsidRPr="002B4A69">
              <w:rPr>
                <w:lang w:val="en-GB"/>
              </w:rPr>
              <w:t xml:space="preserve"> </w:t>
            </w:r>
            <w:r w:rsidRPr="002B4A69">
              <w:rPr>
                <w:lang w:val="en-GB"/>
              </w:rPr>
              <w:t xml:space="preserve">under CORSIA </w:t>
            </w:r>
            <w:r w:rsidRPr="002B4A69">
              <w:rPr>
                <w:b/>
                <w:i/>
                <w:lang w:val="en-GB"/>
              </w:rPr>
              <w:t xml:space="preserve">and this Directive, and should </w:t>
            </w:r>
            <w:r w:rsidRPr="002B4A69">
              <w:rPr>
                <w:b/>
                <w:i/>
                <w:lang w:val="en-GB"/>
              </w:rPr>
              <w:t>determined</w:t>
            </w:r>
            <w:r w:rsidRPr="002B4A69">
              <w:rPr>
                <w:b/>
                <w:i/>
                <w:lang w:val="en-GB"/>
              </w:rPr>
              <w:t>, where appropriate, in the corresponding legislative amendment</w:t>
            </w:r>
            <w:r w:rsidRPr="002B4A69">
              <w:rPr>
                <w:lang w:val="en-GB"/>
              </w:rPr>
              <w:t>.</w:t>
            </w:r>
          </w:p>
        </w:tc>
      </w:tr>
    </w:tbl>
    <w:p w:rsidR="001F04EE" w:rsidRPr="002B4A69" w:rsidP="001F04EE" w14:paraId="695A937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2D8D61C" w14:textId="77777777">
      <w:r w:rsidRPr="002B4A69">
        <w:rPr>
          <w:rStyle w:val="HideTWBExt"/>
        </w:rPr>
        <w:t>&lt;/Amend&gt;</w:t>
      </w:r>
    </w:p>
    <w:p w:rsidR="001F04EE" w:rsidRPr="002B4A69" w:rsidP="001F04EE" w14:paraId="406DD0CC"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625</w:t>
      </w:r>
      <w:r w:rsidRPr="002B4A69">
        <w:rPr>
          <w:rStyle w:val="HideTWBExt"/>
          <w:b w:val="0"/>
          <w:lang w:val="en-GB"/>
        </w:rPr>
        <w:t>&lt;/NumAm&gt;</w:t>
      </w:r>
    </w:p>
    <w:p w:rsidR="001F04EE" w:rsidRPr="002B4A69" w:rsidP="001F04EE" w14:paraId="4FEFFBDF" w14:textId="77777777">
      <w:pPr>
        <w:pStyle w:val="NormalBold"/>
      </w:pPr>
      <w:r w:rsidRPr="002B4A69">
        <w:rPr>
          <w:rStyle w:val="HideTWBExt"/>
          <w:b w:val="0"/>
        </w:rPr>
        <w:t>&lt;RepeatBlock-By&gt;&lt;Members&gt;</w:t>
      </w:r>
      <w:r w:rsidRPr="002B4A69">
        <w:t>Katri Kulmuni</w:t>
      </w:r>
      <w:r w:rsidRPr="002B4A69">
        <w:rPr>
          <w:rStyle w:val="HideTWBExt"/>
          <w:b w:val="0"/>
        </w:rPr>
        <w:t>&lt;/Members&gt;</w:t>
      </w:r>
    </w:p>
    <w:p w:rsidR="001F04EE" w:rsidRPr="002B4A69" w:rsidP="001F04EE" w14:paraId="449E8B14" w14:textId="77777777">
      <w:r w:rsidRPr="002B4A69">
        <w:rPr>
          <w:rStyle w:val="HideTWBExt"/>
        </w:rPr>
        <w:t>&lt;/RepeatBlock-By&gt;</w:t>
      </w:r>
    </w:p>
    <w:p w:rsidR="001F04EE" w:rsidRPr="002B4A69" w:rsidP="001F04EE" w14:paraId="114A5BC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CAFAF24" w14:textId="77777777">
      <w:pPr>
        <w:pStyle w:val="NormalBold"/>
      </w:pPr>
      <w:r w:rsidRPr="002B4A69">
        <w:rPr>
          <w:rStyle w:val="HideTWBExt"/>
          <w:b w:val="0"/>
        </w:rPr>
        <w:t>&lt;Article&gt;</w:t>
      </w:r>
      <w:r w:rsidRPr="002B4A69">
        <w:t>Recital 84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52663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2ADEEDB8" w14:textId="77777777">
            <w:pPr>
              <w:keepNext/>
            </w:pPr>
          </w:p>
        </w:tc>
      </w:tr>
      <w:tr w14:paraId="2343FAD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5281291" w14:textId="77777777">
            <w:pPr>
              <w:pStyle w:val="ColumnHeading"/>
              <w:keepNext/>
              <w:rPr>
                <w:lang w:val="en-GB"/>
              </w:rPr>
            </w:pPr>
            <w:r w:rsidRPr="002B4A69">
              <w:rPr>
                <w:lang w:val="en-GB"/>
              </w:rPr>
              <w:t>Text proposed by the Commission</w:t>
            </w:r>
          </w:p>
        </w:tc>
        <w:tc>
          <w:tcPr>
            <w:tcW w:w="4876" w:type="dxa"/>
          </w:tcPr>
          <w:p w:rsidR="001F04EE" w:rsidRPr="002B4A69" w:rsidP="00723F81" w14:paraId="6D5CFC32" w14:textId="77777777">
            <w:pPr>
              <w:pStyle w:val="ColumnHeading"/>
              <w:keepNext/>
              <w:rPr>
                <w:lang w:val="en-GB"/>
              </w:rPr>
            </w:pPr>
            <w:r w:rsidRPr="002B4A69">
              <w:rPr>
                <w:lang w:val="en-GB"/>
              </w:rPr>
              <w:t>Amendment</w:t>
            </w:r>
          </w:p>
        </w:tc>
      </w:tr>
      <w:tr w14:paraId="77600576"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1FB8498" w14:textId="77777777">
            <w:pPr>
              <w:pStyle w:val="Normal6"/>
              <w:rPr>
                <w:lang w:val="en-GB"/>
              </w:rPr>
            </w:pPr>
            <w:r w:rsidRPr="002B4A69">
              <w:rPr>
                <w:lang w:val="en-GB"/>
              </w:rPr>
              <w:t>(84)</w:t>
            </w:r>
            <w:r w:rsidRPr="002B4A69">
              <w:rPr>
                <w:lang w:val="en-GB"/>
              </w:rPr>
              <w:tab/>
            </w:r>
            <w:r w:rsidRPr="002B4A69">
              <w:rPr>
                <w:b/>
                <w:i/>
                <w:lang w:val="en-GB"/>
              </w:rPr>
              <w:t>In order to limit additional stringency linked to the geographic extension of the scope of the EU ETS in respect of aviation activities and</w:t>
            </w:r>
            <w:r w:rsidRPr="002B4A69">
              <w:rPr>
                <w:lang w:val="en-GB"/>
              </w:rPr>
              <w:t xml:space="preserve"> taking into account the fact that emissions stemming from aviation activities have been on an increasing trajectory it is appropriate to increase the total number of allowances available in respect of aviation activities </w:t>
            </w:r>
            <w:r w:rsidRPr="002B4A69">
              <w:rPr>
                <w:b/>
                <w:i/>
                <w:lang w:val="en-GB"/>
              </w:rPr>
              <w:t>in proportion to the emissions newly included in the scope</w:t>
            </w:r>
            <w:r w:rsidRPr="002B4A69">
              <w:rPr>
                <w:lang w:val="en-GB"/>
              </w:rPr>
              <w:t>, taking into account the latest available information on emissions, and to reserve from those allowances for additional support for reducing aviation’s climate impacts through sustainable aviation fuels, electrification and cost-effective reductions from contrails. The total number of allowances available in respect of aviation activities should nevertheless be reduced by an amount equalling the emissions deducted by aircraft operators from the surrender obligation to account for costs incurred by offsetting under CORSIA, because these emissions are no longer covered by the EU ETS.</w:t>
            </w:r>
          </w:p>
        </w:tc>
        <w:tc>
          <w:tcPr>
            <w:tcW w:w="4876" w:type="dxa"/>
          </w:tcPr>
          <w:p w:rsidR="001F04EE" w:rsidRPr="002B4A69" w:rsidP="00723F81" w14:paraId="291A7750" w14:textId="77777777">
            <w:pPr>
              <w:pStyle w:val="Normal6"/>
              <w:rPr>
                <w:szCs w:val="24"/>
                <w:lang w:val="en-GB"/>
              </w:rPr>
            </w:pPr>
            <w:r w:rsidRPr="002B4A69">
              <w:rPr>
                <w:lang w:val="en-GB"/>
              </w:rPr>
              <w:t>(84)</w:t>
            </w:r>
            <w:r w:rsidRPr="002B4A69">
              <w:rPr>
                <w:lang w:val="en-GB"/>
              </w:rPr>
              <w:tab/>
              <w:t>Taking into account the fact that emissions stemming from aviation activities have been on an increasing trajectory</w:t>
            </w:r>
            <w:r w:rsidRPr="002B4A69">
              <w:rPr>
                <w:b/>
                <w:i/>
                <w:lang w:val="en-GB"/>
              </w:rPr>
              <w:t>,</w:t>
            </w:r>
            <w:r w:rsidRPr="002B4A69">
              <w:rPr>
                <w:lang w:val="en-GB"/>
              </w:rPr>
              <w:t xml:space="preserve"> it is appropriate to increase the total number of allowances available in respect of aviation activities, taking into account the latest available information on emissions, and to reserve from those allowances for additional support for reducing aviation’s climate impacts through sustainable aviation fuels, electrification and cost-effective reductions from contrails. The total number of allowances available in respect of aviation activities should nevertheless be reduced by an amount equalling the emissions deducted by aircraft operators from the surrender obligation to account for costs incurred by offsetting under CORSIA, because these emissions are no longer covered by the EU ETS.</w:t>
            </w:r>
          </w:p>
        </w:tc>
      </w:tr>
    </w:tbl>
    <w:p w:rsidR="001F04EE" w:rsidRPr="002B4A69" w:rsidP="001F04EE" w14:paraId="39BE891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D9CF4C4"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6966E7C1" w14:textId="77777777">
      <w:pPr>
        <w:pStyle w:val="Normal12Italic"/>
        <w:rPr>
          <w:noProof w:val="0"/>
          <w:lang w:val="en-GB"/>
        </w:rPr>
      </w:pPr>
      <w:r w:rsidRPr="002B4A69">
        <w:rPr>
          <w:noProof w:val="0"/>
          <w:lang w:val="en-GB"/>
        </w:rPr>
        <w:t>The reference to the extension of the scope should be removed from the recital.</w:t>
      </w:r>
    </w:p>
    <w:p w:rsidR="001F04EE" w:rsidRPr="002B4A69" w:rsidP="001F04EE" w14:paraId="2BD5CE2D" w14:textId="77777777">
      <w:r w:rsidRPr="002B4A69">
        <w:rPr>
          <w:rStyle w:val="HideTWBExt"/>
        </w:rPr>
        <w:t>&lt;/Amend&gt;</w:t>
      </w:r>
    </w:p>
    <w:p w:rsidR="001F04EE" w:rsidRPr="002B4A69" w:rsidP="001F04EE" w14:paraId="4E8208D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626</w:t>
      </w:r>
      <w:r w:rsidRPr="002B4A69">
        <w:rPr>
          <w:rStyle w:val="HideTWBExt"/>
          <w:b w:val="0"/>
          <w:lang w:val="en-GB"/>
        </w:rPr>
        <w:t>&lt;/NumAm&gt;</w:t>
      </w:r>
    </w:p>
    <w:p w:rsidR="001F04EE" w:rsidRPr="002B4A69" w:rsidP="001F04EE" w14:paraId="6D9A2567" w14:textId="77777777">
      <w:pPr>
        <w:pStyle w:val="NormalBold"/>
      </w:pPr>
      <w:r w:rsidRPr="002B4A69">
        <w:rPr>
          <w:rStyle w:val="HideTWBExt"/>
          <w:b w:val="0"/>
        </w:rPr>
        <w:t>&lt;RepeatBlock-By&gt;&lt;Members&gt;</w:t>
      </w:r>
      <w:r w:rsidRPr="002B4A69">
        <w:t>Mohammed Chahim, Peter Liese</w:t>
      </w:r>
      <w:r w:rsidRPr="002B4A69">
        <w:rPr>
          <w:rStyle w:val="HideTWBExt"/>
          <w:b w:val="0"/>
        </w:rPr>
        <w:t>&lt;/Members&gt;</w:t>
      </w:r>
    </w:p>
    <w:p w:rsidR="001F04EE" w:rsidRPr="002B4A69" w:rsidP="001F04EE" w14:paraId="4D99BF94" w14:textId="77777777">
      <w:r w:rsidRPr="002B4A69">
        <w:rPr>
          <w:rStyle w:val="HideTWBExt"/>
        </w:rPr>
        <w:t>&lt;/RepeatBlock-By&gt;</w:t>
      </w:r>
    </w:p>
    <w:p w:rsidR="001F04EE" w:rsidRPr="002B4A69" w:rsidP="001F04EE" w14:paraId="1E575E9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8D5A2AD" w14:textId="77777777">
      <w:pPr>
        <w:pStyle w:val="NormalBold"/>
      </w:pPr>
      <w:r w:rsidRPr="002B4A69">
        <w:rPr>
          <w:rStyle w:val="HideTWBExt"/>
          <w:b w:val="0"/>
        </w:rPr>
        <w:t>&lt;Article&gt;</w:t>
      </w:r>
      <w:r w:rsidRPr="002B4A69">
        <w:t>Recital 85</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3A482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6CE8111" w14:textId="77777777">
            <w:pPr>
              <w:keepNext/>
            </w:pPr>
          </w:p>
        </w:tc>
      </w:tr>
      <w:tr w14:paraId="228948A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5F01934" w14:textId="77777777">
            <w:pPr>
              <w:pStyle w:val="ColumnHeading"/>
              <w:keepNext/>
              <w:rPr>
                <w:lang w:val="en-GB"/>
              </w:rPr>
            </w:pPr>
            <w:r w:rsidRPr="002B4A69">
              <w:rPr>
                <w:lang w:val="en-GB"/>
              </w:rPr>
              <w:t>Text proposed by the Commission</w:t>
            </w:r>
          </w:p>
        </w:tc>
        <w:tc>
          <w:tcPr>
            <w:tcW w:w="4876" w:type="dxa"/>
          </w:tcPr>
          <w:p w:rsidR="001F04EE" w:rsidRPr="002B4A69" w:rsidP="00723F81" w14:paraId="3703A979" w14:textId="77777777">
            <w:pPr>
              <w:pStyle w:val="ColumnHeading"/>
              <w:keepNext/>
              <w:rPr>
                <w:lang w:val="en-GB"/>
              </w:rPr>
            </w:pPr>
            <w:r w:rsidRPr="002B4A69">
              <w:rPr>
                <w:lang w:val="en-GB"/>
              </w:rPr>
              <w:t>Amendment</w:t>
            </w:r>
          </w:p>
        </w:tc>
      </w:tr>
      <w:tr w14:paraId="08A29E4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7B5AD6E" w14:textId="77777777">
            <w:pPr>
              <w:pStyle w:val="Normal6"/>
              <w:rPr>
                <w:lang w:val="en-GB"/>
              </w:rPr>
            </w:pPr>
            <w:r w:rsidRPr="002B4A69">
              <w:rPr>
                <w:lang w:val="en-GB"/>
              </w:rPr>
              <w:t>(85)</w:t>
            </w:r>
            <w:r w:rsidRPr="002B4A69">
              <w:rPr>
                <w:lang w:val="en-GB"/>
              </w:rPr>
              <w:tab/>
              <w:t xml:space="preserve">Lowering the threshold applicable to the exclusion of aircraft operators as laid down in Annex I to Directive 2003/87/EC leads to the additional inclusion of </w:t>
            </w:r>
            <w:r w:rsidRPr="002B4A69">
              <w:rPr>
                <w:lang w:val="en-GB"/>
              </w:rPr>
              <w:t>a number of</w:t>
            </w:r>
            <w:r w:rsidRPr="002B4A69">
              <w:rPr>
                <w:lang w:val="en-GB"/>
              </w:rPr>
              <w:t xml:space="preserve"> smaller aircraft operators. To </w:t>
            </w:r>
            <w:r w:rsidRPr="002B4A69">
              <w:rPr>
                <w:lang w:val="en-GB"/>
              </w:rPr>
              <w:t>take into account</w:t>
            </w:r>
            <w:r w:rsidRPr="002B4A69">
              <w:rPr>
                <w:lang w:val="en-GB"/>
              </w:rPr>
              <w:t xml:space="preserve"> the </w:t>
            </w:r>
            <w:r w:rsidRPr="002B4A69">
              <w:rPr>
                <w:b/>
                <w:i/>
                <w:lang w:val="en-GB"/>
              </w:rPr>
              <w:t>limited</w:t>
            </w:r>
            <w:r w:rsidRPr="002B4A69">
              <w:rPr>
                <w:lang w:val="en-GB"/>
              </w:rPr>
              <w:t xml:space="preserve"> administrative capacity of </w:t>
            </w:r>
            <w:r w:rsidRPr="002B4A69">
              <w:rPr>
                <w:b/>
                <w:i/>
                <w:lang w:val="en-GB"/>
              </w:rPr>
              <w:t>such small</w:t>
            </w:r>
            <w:r w:rsidRPr="002B4A69">
              <w:rPr>
                <w:lang w:val="en-GB"/>
              </w:rPr>
              <w:t xml:space="preserve"> aircraft operators, it is appropriate to increase the threshold for enabling the use of simplified reporting tools. The reporting tool provided by Eurocontrol has reached a high level of accuracy during the several years of application and continuous improvement since its introduction, accordingly it </w:t>
            </w:r>
            <w:r w:rsidRPr="002B4A69">
              <w:rPr>
                <w:lang w:val="en-GB"/>
              </w:rPr>
              <w:t>is capable of providing</w:t>
            </w:r>
            <w:r w:rsidRPr="002B4A69">
              <w:rPr>
                <w:lang w:val="en-GB"/>
              </w:rPr>
              <w:t xml:space="preserve"> emission values for all aircraft operators concerned.</w:t>
            </w:r>
          </w:p>
        </w:tc>
        <w:tc>
          <w:tcPr>
            <w:tcW w:w="4876" w:type="dxa"/>
          </w:tcPr>
          <w:p w:rsidR="001F04EE" w:rsidRPr="002B4A69" w:rsidP="00723F81" w14:paraId="5FCAF840" w14:textId="3596C3F4">
            <w:pPr>
              <w:pStyle w:val="Normal6"/>
              <w:rPr>
                <w:szCs w:val="24"/>
                <w:lang w:val="en-GB"/>
              </w:rPr>
            </w:pPr>
            <w:r w:rsidRPr="002B4A69">
              <w:rPr>
                <w:lang w:val="en-GB"/>
              </w:rPr>
              <w:t>(85)</w:t>
            </w:r>
            <w:r w:rsidRPr="002B4A69">
              <w:rPr>
                <w:lang w:val="en-GB"/>
              </w:rPr>
              <w:tab/>
              <w:t xml:space="preserve">Lowering the threshold applicable to the exclusion of aircraft operators as laid down in Annex I to Directive 2003/87/EC leads to the additional inclusion of </w:t>
            </w:r>
            <w:r w:rsidRPr="002B4A69">
              <w:rPr>
                <w:lang w:val="en-GB"/>
              </w:rPr>
              <w:t>a number of</w:t>
            </w:r>
            <w:r w:rsidRPr="002B4A69">
              <w:rPr>
                <w:lang w:val="en-GB"/>
              </w:rPr>
              <w:t xml:space="preserve"> smaller aircraft operators. </w:t>
            </w:r>
            <w:r w:rsidRPr="002B4A69">
              <w:rPr>
                <w:b/>
                <w:i/>
                <w:lang w:val="en-GB"/>
              </w:rPr>
              <w:t>Flights performed by business aircraft generate disproportionately high greenhouse gas emissions per passenger-</w:t>
            </w:r>
            <w:r w:rsidRPr="002B4A69" w:rsidR="002B4A69">
              <w:rPr>
                <w:b/>
                <w:i/>
                <w:lang w:val="en-GB"/>
              </w:rPr>
              <w:t>kilometre</w:t>
            </w:r>
            <w:r w:rsidRPr="002B4A69">
              <w:rPr>
                <w:b/>
                <w:i/>
                <w:lang w:val="en-GB"/>
              </w:rPr>
              <w:t>, ranging from 5 to 14 times the intensity of commercial passenger flights. To give effect to the polluter pays principle, aircraft operators performing business flights should be subject to a carbon price per tonne of CO2 emitted.</w:t>
            </w:r>
            <w:r w:rsidRPr="002B4A69">
              <w:rPr>
                <w:lang w:val="en-GB"/>
              </w:rPr>
              <w:t xml:space="preserve"> To </w:t>
            </w:r>
            <w:r w:rsidRPr="002B4A69">
              <w:rPr>
                <w:lang w:val="en-GB"/>
              </w:rPr>
              <w:t>take into account</w:t>
            </w:r>
            <w:r w:rsidRPr="002B4A69">
              <w:rPr>
                <w:lang w:val="en-GB"/>
              </w:rPr>
              <w:t xml:space="preserve"> the administrative capacity of </w:t>
            </w:r>
            <w:r w:rsidRPr="002B4A69">
              <w:rPr>
                <w:b/>
                <w:i/>
                <w:lang w:val="en-GB"/>
              </w:rPr>
              <w:t>those</w:t>
            </w:r>
            <w:r w:rsidRPr="002B4A69">
              <w:rPr>
                <w:lang w:val="en-GB"/>
              </w:rPr>
              <w:t xml:space="preserve"> aircraft operators, it is appropriate to increase the threshold for enabling the use of simplified reporting tools. The reporting tool provided by Eurocontrol has reached a high level of accuracy during the several years of application and continuous improvement since its introduction, accordingly it </w:t>
            </w:r>
            <w:r w:rsidRPr="002B4A69">
              <w:rPr>
                <w:lang w:val="en-GB"/>
              </w:rPr>
              <w:t>is capable of providing</w:t>
            </w:r>
            <w:r w:rsidRPr="002B4A69">
              <w:rPr>
                <w:lang w:val="en-GB"/>
              </w:rPr>
              <w:t xml:space="preserve"> emission values for all aircraft operators concerned.</w:t>
            </w:r>
          </w:p>
        </w:tc>
      </w:tr>
    </w:tbl>
    <w:p w:rsidR="001F04EE" w:rsidRPr="002B4A69" w:rsidP="001F04EE" w14:paraId="619F846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FA839FE" w14:textId="77777777">
      <w:r w:rsidRPr="002B4A69">
        <w:rPr>
          <w:rStyle w:val="HideTWBExt"/>
        </w:rPr>
        <w:t>&lt;/Amend&gt;</w:t>
      </w:r>
    </w:p>
    <w:p w:rsidR="001F04EE" w:rsidRPr="002B4A69" w:rsidP="001F04EE" w14:paraId="32C7E56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627</w:t>
      </w:r>
      <w:r w:rsidRPr="002B4A69">
        <w:rPr>
          <w:rStyle w:val="HideTWBExt"/>
          <w:b w:val="0"/>
          <w:lang w:val="en-GB"/>
        </w:rPr>
        <w:t>&lt;/NumAm&gt;</w:t>
      </w:r>
    </w:p>
    <w:p w:rsidR="001F04EE" w:rsidRPr="002B4A69" w:rsidP="001F04EE" w14:paraId="39B7FDBA" w14:textId="77777777">
      <w:pPr>
        <w:pStyle w:val="NormalBold"/>
      </w:pPr>
      <w:r w:rsidRPr="002B4A69">
        <w:rPr>
          <w:rStyle w:val="HideTWBExt"/>
          <w:b w:val="0"/>
        </w:rPr>
        <w:t>&lt;RepeatBlock-By&gt;&lt;Members&gt;</w:t>
      </w:r>
      <w:r w:rsidRPr="002B4A69">
        <w:t>Jens Gieseke, Ralf Seekatz, Sophia Kircher, Norbert Herhammer, Gheorghe Falcă, Andrea Wechsler, Angelika Niebler</w:t>
      </w:r>
      <w:r w:rsidRPr="002B4A69">
        <w:rPr>
          <w:rStyle w:val="HideTWBExt"/>
          <w:b w:val="0"/>
        </w:rPr>
        <w:t>&lt;/Members&gt;</w:t>
      </w:r>
    </w:p>
    <w:p w:rsidR="001F04EE" w:rsidRPr="002B4A69" w:rsidP="001F04EE" w14:paraId="628D9E96" w14:textId="77777777">
      <w:r w:rsidRPr="002B4A69">
        <w:rPr>
          <w:rStyle w:val="HideTWBExt"/>
        </w:rPr>
        <w:t>&lt;/RepeatBlock-By&gt;</w:t>
      </w:r>
    </w:p>
    <w:p w:rsidR="001F04EE" w:rsidRPr="002B4A69" w:rsidP="001F04EE" w14:paraId="6E09CE6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9407DE5" w14:textId="77777777">
      <w:pPr>
        <w:pStyle w:val="NormalBold"/>
      </w:pPr>
      <w:r w:rsidRPr="002B4A69">
        <w:rPr>
          <w:rStyle w:val="HideTWBExt"/>
          <w:b w:val="0"/>
        </w:rPr>
        <w:t>&lt;Article&gt;</w:t>
      </w:r>
      <w:r w:rsidRPr="002B4A69">
        <w:t>Recital 87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E8FD5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A2A7577" w14:textId="77777777">
            <w:pPr>
              <w:keepNext/>
            </w:pPr>
          </w:p>
        </w:tc>
      </w:tr>
      <w:tr w14:paraId="434F22A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A4BEBC4" w14:textId="77777777">
            <w:pPr>
              <w:pStyle w:val="ColumnHeading"/>
              <w:keepNext/>
              <w:rPr>
                <w:lang w:val="en-GB"/>
              </w:rPr>
            </w:pPr>
            <w:r w:rsidRPr="002B4A69">
              <w:rPr>
                <w:lang w:val="en-GB"/>
              </w:rPr>
              <w:t>Text proposed by the Commission</w:t>
            </w:r>
          </w:p>
        </w:tc>
        <w:tc>
          <w:tcPr>
            <w:tcW w:w="4876" w:type="dxa"/>
          </w:tcPr>
          <w:p w:rsidR="001F04EE" w:rsidRPr="002B4A69" w:rsidP="00723F81" w14:paraId="6DA08D06" w14:textId="77777777">
            <w:pPr>
              <w:pStyle w:val="ColumnHeading"/>
              <w:keepNext/>
              <w:rPr>
                <w:lang w:val="en-GB"/>
              </w:rPr>
            </w:pPr>
            <w:r w:rsidRPr="002B4A69">
              <w:rPr>
                <w:lang w:val="en-GB"/>
              </w:rPr>
              <w:t>Amendment</w:t>
            </w:r>
          </w:p>
        </w:tc>
      </w:tr>
      <w:tr w14:paraId="6C679B5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DF23EA8" w14:textId="77777777">
            <w:pPr>
              <w:pStyle w:val="Normal6"/>
              <w:rPr>
                <w:lang w:val="en-GB"/>
              </w:rPr>
            </w:pPr>
            <w:r w:rsidRPr="002B4A69">
              <w:rPr>
                <w:b/>
                <w:i/>
                <w:lang w:val="en-GB"/>
              </w:rPr>
              <w:t>(87)</w:t>
            </w:r>
            <w:r w:rsidRPr="002B4A69">
              <w:rPr>
                <w:b/>
                <w:i/>
                <w:lang w:val="en-GB"/>
              </w:rPr>
              <w:tab/>
              <w:t>Emissions from flights operated by aircraft operators operating business aircraft have largely been exempted from the EU ETS because they generally operate fewer flights or emit less than the exclusion thresholds laid down in Annex I to Directive 2003/87/EC. Aircraft operators having yearly emissions on international flights less than 10.000t CO</w:t>
            </w:r>
            <w:r w:rsidRPr="002B4A69">
              <w:rPr>
                <w:b/>
                <w:i/>
                <w:vertAlign w:val="subscript"/>
                <w:lang w:val="en-GB"/>
              </w:rPr>
              <w:t>2</w:t>
            </w:r>
            <w:r w:rsidRPr="002B4A69">
              <w:rPr>
                <w:lang w:val="en-GB"/>
              </w:rPr>
              <w:t xml:space="preserve"> </w:t>
            </w:r>
            <w:r w:rsidRPr="002B4A69">
              <w:rPr>
                <w:b/>
                <w:i/>
                <w:lang w:val="en-GB"/>
              </w:rPr>
              <w:t xml:space="preserve">are not subject to ICAO’s CORSIA scheme and should therefore contribute through the EU ETS. </w:t>
            </w:r>
            <w:r w:rsidRPr="002B4A69">
              <w:rPr>
                <w:b/>
                <w:i/>
                <w:lang w:val="en-GB"/>
              </w:rPr>
              <w:t>In order to</w:t>
            </w:r>
            <w:r w:rsidRPr="002B4A69">
              <w:rPr>
                <w:b/>
                <w:i/>
                <w:lang w:val="en-GB"/>
              </w:rPr>
              <w:t xml:space="preserve"> ensure that all aircraft operators contribute to climate action, it is therefore appropriate that the number of flights be no longer a criterion for the exemption from the EU ETS and the emissions threshold is reduced and simplified by having one single threshold for all types of aircraft operators. Nevertheless, </w:t>
            </w:r>
            <w:r w:rsidRPr="002B4A69">
              <w:rPr>
                <w:b/>
                <w:i/>
                <w:lang w:val="en-GB"/>
              </w:rPr>
              <w:t>in order to</w:t>
            </w:r>
            <w:r w:rsidRPr="002B4A69">
              <w:rPr>
                <w:b/>
                <w:i/>
                <w:lang w:val="en-GB"/>
              </w:rPr>
              <w:t xml:space="preserve"> ensure that the additional administrative burden on competent authorities remain reasonable, it is appropriate to exempt aircraft operators with a very small level of emissions subject to the EU ETS surrender obligation, also </w:t>
            </w:r>
            <w:r w:rsidRPr="002B4A69">
              <w:rPr>
                <w:b/>
                <w:i/>
                <w:lang w:val="en-GB"/>
              </w:rPr>
              <w:t>taking into account</w:t>
            </w:r>
            <w:r w:rsidRPr="002B4A69">
              <w:rPr>
                <w:b/>
                <w:i/>
                <w:lang w:val="en-GB"/>
              </w:rPr>
              <w:t xml:space="preserve"> the limited cumulative environmental benefit that their inclusion would lead to.</w:t>
            </w:r>
          </w:p>
        </w:tc>
        <w:tc>
          <w:tcPr>
            <w:tcW w:w="4876" w:type="dxa"/>
          </w:tcPr>
          <w:p w:rsidR="001F04EE" w:rsidRPr="002B4A69" w:rsidP="00723F81" w14:paraId="615A9DE1" w14:textId="77777777">
            <w:pPr>
              <w:pStyle w:val="Normal6"/>
              <w:rPr>
                <w:szCs w:val="24"/>
                <w:lang w:val="en-GB"/>
              </w:rPr>
            </w:pPr>
            <w:r w:rsidRPr="002B4A69">
              <w:rPr>
                <w:b/>
                <w:i/>
                <w:lang w:val="en-GB"/>
              </w:rPr>
              <w:t>deleted</w:t>
            </w:r>
          </w:p>
        </w:tc>
      </w:tr>
    </w:tbl>
    <w:p w:rsidR="001F04EE" w:rsidRPr="002B4A69" w:rsidP="001F04EE" w14:paraId="5DBEB02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77851FB" w14:textId="77777777">
      <w:r w:rsidRPr="002B4A69">
        <w:rPr>
          <w:rStyle w:val="HideTWBExt"/>
        </w:rPr>
        <w:t>&lt;/Amend&gt;</w:t>
      </w:r>
    </w:p>
    <w:p w:rsidR="001F04EE" w:rsidRPr="002B4A69" w:rsidP="001F04EE" w14:paraId="626FB74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628</w:t>
      </w:r>
      <w:r w:rsidRPr="002B4A69">
        <w:rPr>
          <w:rStyle w:val="HideTWBExt"/>
          <w:b w:val="0"/>
          <w:lang w:val="en-GB"/>
        </w:rPr>
        <w:t>&lt;/NumAm&gt;</w:t>
      </w:r>
    </w:p>
    <w:p w:rsidR="001F04EE" w:rsidRPr="002B4A69" w:rsidP="001F04EE" w14:paraId="72D71CF8" w14:textId="77777777">
      <w:pPr>
        <w:pStyle w:val="NormalBold"/>
      </w:pPr>
      <w:r w:rsidRPr="002B4A69">
        <w:rPr>
          <w:rStyle w:val="HideTWBExt"/>
          <w:b w:val="0"/>
        </w:rPr>
        <w:t>&lt;RepeatBlock-By&gt;&lt;Members&gt;</w:t>
      </w:r>
      <w:r w:rsidRPr="002B4A69">
        <w:t>Mohammed Chahim, Peter Liese</w:t>
      </w:r>
      <w:r w:rsidRPr="002B4A69">
        <w:rPr>
          <w:rStyle w:val="HideTWBExt"/>
          <w:b w:val="0"/>
        </w:rPr>
        <w:t>&lt;/Members&gt;</w:t>
      </w:r>
    </w:p>
    <w:p w:rsidR="001F04EE" w:rsidRPr="002B4A69" w:rsidP="001F04EE" w14:paraId="417F51CD" w14:textId="77777777">
      <w:r w:rsidRPr="002B4A69">
        <w:rPr>
          <w:rStyle w:val="HideTWBExt"/>
        </w:rPr>
        <w:t>&lt;/RepeatBlock-By&gt;</w:t>
      </w:r>
    </w:p>
    <w:p w:rsidR="001F04EE" w:rsidRPr="002B4A69" w:rsidP="001F04EE" w14:paraId="4C71FB1E"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BBB78FA" w14:textId="77777777">
      <w:pPr>
        <w:pStyle w:val="NormalBold"/>
      </w:pPr>
      <w:r w:rsidRPr="002B4A69">
        <w:rPr>
          <w:rStyle w:val="HideTWBExt"/>
          <w:b w:val="0"/>
        </w:rPr>
        <w:t>&lt;Article&gt;</w:t>
      </w:r>
      <w:r w:rsidRPr="002B4A69">
        <w:t>Recital 87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1C2CC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21CE8CE" w14:textId="77777777">
            <w:pPr>
              <w:keepNext/>
            </w:pPr>
          </w:p>
        </w:tc>
      </w:tr>
      <w:tr w14:paraId="3A6BEE6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5EFD25A" w14:textId="77777777">
            <w:pPr>
              <w:pStyle w:val="ColumnHeading"/>
              <w:keepNext/>
              <w:rPr>
                <w:lang w:val="en-GB"/>
              </w:rPr>
            </w:pPr>
            <w:r w:rsidRPr="002B4A69">
              <w:rPr>
                <w:lang w:val="en-GB"/>
              </w:rPr>
              <w:t>Text proposed by the Commission</w:t>
            </w:r>
          </w:p>
        </w:tc>
        <w:tc>
          <w:tcPr>
            <w:tcW w:w="4876" w:type="dxa"/>
          </w:tcPr>
          <w:p w:rsidR="001F04EE" w:rsidRPr="002B4A69" w:rsidP="00723F81" w14:paraId="5C656F4E" w14:textId="77777777">
            <w:pPr>
              <w:pStyle w:val="ColumnHeading"/>
              <w:keepNext/>
              <w:rPr>
                <w:lang w:val="en-GB"/>
              </w:rPr>
            </w:pPr>
            <w:r w:rsidRPr="002B4A69">
              <w:rPr>
                <w:lang w:val="en-GB"/>
              </w:rPr>
              <w:t>Amendment</w:t>
            </w:r>
          </w:p>
        </w:tc>
      </w:tr>
      <w:tr w14:paraId="1DBAC41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9A5FB46" w14:textId="77777777">
            <w:pPr>
              <w:pStyle w:val="Normal6"/>
              <w:rPr>
                <w:lang w:val="en-GB"/>
              </w:rPr>
            </w:pPr>
            <w:r w:rsidRPr="002B4A69">
              <w:rPr>
                <w:lang w:val="en-GB"/>
              </w:rPr>
              <w:t>(87)</w:t>
            </w:r>
            <w:r w:rsidRPr="002B4A69">
              <w:rPr>
                <w:lang w:val="en-GB"/>
              </w:rPr>
              <w:tab/>
              <w:t xml:space="preserve">Emissions from flights operated by aircraft operators operating business aircraft have largely been exempted from the EU ETS because they generally operate </w:t>
            </w:r>
            <w:r w:rsidRPr="002B4A69">
              <w:rPr>
                <w:lang w:val="en-GB"/>
              </w:rPr>
              <w:t>fewer flights or emit less than the exclusion thresholds laid down in Annex I to Directive 2003/87/EC. Aircraft operators having yearly emissions on international flights less than 10.000t CO</w:t>
            </w:r>
            <w:r w:rsidRPr="002B4A69">
              <w:rPr>
                <w:vertAlign w:val="subscript"/>
                <w:lang w:val="en-GB"/>
              </w:rPr>
              <w:t>2</w:t>
            </w:r>
            <w:r w:rsidRPr="002B4A69">
              <w:rPr>
                <w:lang w:val="en-GB"/>
              </w:rPr>
              <w:t xml:space="preserve"> are not subject to ICAO’s CORSIA scheme and should therefore contribute through the EU ETS. </w:t>
            </w:r>
            <w:r w:rsidRPr="002B4A69">
              <w:rPr>
                <w:lang w:val="en-GB"/>
              </w:rPr>
              <w:t>In order to</w:t>
            </w:r>
            <w:r w:rsidRPr="002B4A69">
              <w:rPr>
                <w:lang w:val="en-GB"/>
              </w:rPr>
              <w:t xml:space="preserve"> ensure that all aircraft operators contribute to climate action, it is therefore appropriate that the number of flights be no longer a criterion for the exemption from the EU ETS and the emissions threshold is reduced and simplified by having one single threshold for all types of aircraft operators. Nevertheless, </w:t>
            </w:r>
            <w:r w:rsidRPr="002B4A69">
              <w:rPr>
                <w:lang w:val="en-GB"/>
              </w:rPr>
              <w:t>in order to</w:t>
            </w:r>
            <w:r w:rsidRPr="002B4A69">
              <w:rPr>
                <w:lang w:val="en-GB"/>
              </w:rPr>
              <w:t xml:space="preserve"> ensure that the additional administrative burden on competent authorities remain reasonable, it is appropriate to exempt aircraft operators with a very small level of emissions subject to the EU ETS surrender obligation, also </w:t>
            </w:r>
            <w:r w:rsidRPr="002B4A69">
              <w:rPr>
                <w:lang w:val="en-GB"/>
              </w:rPr>
              <w:t>taking into account</w:t>
            </w:r>
            <w:r w:rsidRPr="002B4A69">
              <w:rPr>
                <w:lang w:val="en-GB"/>
              </w:rPr>
              <w:t xml:space="preserve"> the limited cumulative environmental benefit that their inclusion would lead to.</w:t>
            </w:r>
          </w:p>
        </w:tc>
        <w:tc>
          <w:tcPr>
            <w:tcW w:w="4876" w:type="dxa"/>
          </w:tcPr>
          <w:p w:rsidR="001F04EE" w:rsidRPr="002B4A69" w:rsidP="00723F81" w14:paraId="4FA5910F" w14:textId="77777777">
            <w:pPr>
              <w:pStyle w:val="Normal6"/>
              <w:rPr>
                <w:szCs w:val="24"/>
                <w:lang w:val="en-GB"/>
              </w:rPr>
            </w:pPr>
            <w:r w:rsidRPr="002B4A69">
              <w:rPr>
                <w:lang w:val="en-GB"/>
              </w:rPr>
              <w:t>(87)</w:t>
            </w:r>
            <w:r w:rsidRPr="002B4A69">
              <w:rPr>
                <w:lang w:val="en-GB"/>
              </w:rPr>
              <w:tab/>
              <w:t>Emissions from flights operated by aircraft operators operating business aircraft</w:t>
            </w:r>
            <w:r w:rsidRPr="002B4A69">
              <w:rPr>
                <w:b/>
                <w:i/>
                <w:lang w:val="en-GB"/>
              </w:rPr>
              <w:t>, and private jet owners,</w:t>
            </w:r>
            <w:r w:rsidRPr="002B4A69">
              <w:rPr>
                <w:lang w:val="en-GB"/>
              </w:rPr>
              <w:t xml:space="preserve"> have largely been exempted from the EU ETS </w:t>
            </w:r>
            <w:r w:rsidRPr="002B4A69">
              <w:rPr>
                <w:lang w:val="en-GB"/>
              </w:rPr>
              <w:t>because they generally operate fewer flights or emit less than the exclusion thresholds laid down in Annex I to Directive 2003/87/EC. Aircraft operators having yearly emissions on international flights less than 10.000t CO</w:t>
            </w:r>
            <w:r w:rsidRPr="002B4A69">
              <w:rPr>
                <w:vertAlign w:val="subscript"/>
                <w:lang w:val="en-GB"/>
              </w:rPr>
              <w:t>2</w:t>
            </w:r>
            <w:r w:rsidRPr="002B4A69">
              <w:rPr>
                <w:lang w:val="en-GB"/>
              </w:rPr>
              <w:t xml:space="preserve"> are not subject to ICAO’s CORSIA scheme and should therefore contribute through the EU ETS. </w:t>
            </w:r>
            <w:r w:rsidRPr="002B4A69">
              <w:rPr>
                <w:lang w:val="en-GB"/>
              </w:rPr>
              <w:t>In order to</w:t>
            </w:r>
            <w:r w:rsidRPr="002B4A69">
              <w:rPr>
                <w:lang w:val="en-GB"/>
              </w:rPr>
              <w:t xml:space="preserve"> ensure that all aircraft operators contribute to climate action, it is therefore appropriate that the number of flights be no longer a criterion for the exemption from the EU ETS and the emissions threshold is reduced and simplified by having one single threshold for all types of aircraft operators. Nevertheless, </w:t>
            </w:r>
            <w:r w:rsidRPr="002B4A69">
              <w:rPr>
                <w:lang w:val="en-GB"/>
              </w:rPr>
              <w:t>in order to</w:t>
            </w:r>
            <w:r w:rsidRPr="002B4A69">
              <w:rPr>
                <w:lang w:val="en-GB"/>
              </w:rPr>
              <w:t xml:space="preserve"> ensure that the additional administrative burden on competent authorities remain reasonable, it is appropriate to exempt aircraft operators with a very small level of emissions subject to the EU ETS surrender obligation, also </w:t>
            </w:r>
            <w:r w:rsidRPr="002B4A69">
              <w:rPr>
                <w:lang w:val="en-GB"/>
              </w:rPr>
              <w:t>taking into account</w:t>
            </w:r>
            <w:r w:rsidRPr="002B4A69">
              <w:rPr>
                <w:lang w:val="en-GB"/>
              </w:rPr>
              <w:t xml:space="preserve"> the limited cumulative environmental benefit that their inclusion would lead to.</w:t>
            </w:r>
          </w:p>
        </w:tc>
      </w:tr>
    </w:tbl>
    <w:p w:rsidR="001F04EE" w:rsidRPr="002B4A69" w:rsidP="001F04EE" w14:paraId="21027A4F"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71AE025" w14:textId="77777777">
      <w:r w:rsidRPr="002B4A69">
        <w:rPr>
          <w:rStyle w:val="HideTWBExt"/>
        </w:rPr>
        <w:t>&lt;/Amend&gt;</w:t>
      </w:r>
    </w:p>
    <w:p w:rsidR="001F04EE" w:rsidRPr="002B4A69" w:rsidP="001F04EE" w14:paraId="7FC0882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629</w:t>
      </w:r>
      <w:r w:rsidRPr="002B4A69">
        <w:rPr>
          <w:rStyle w:val="HideTWBExt"/>
          <w:b w:val="0"/>
          <w:lang w:val="en-GB"/>
        </w:rPr>
        <w:t>&lt;/NumAm&gt;</w:t>
      </w:r>
    </w:p>
    <w:p w:rsidR="001F04EE" w:rsidRPr="002B4A69" w:rsidP="001F04EE" w14:paraId="18357BD2" w14:textId="77777777">
      <w:pPr>
        <w:pStyle w:val="NormalBold"/>
      </w:pPr>
      <w:r w:rsidRPr="002B4A69">
        <w:rPr>
          <w:rStyle w:val="HideTWBExt"/>
          <w:b w:val="0"/>
        </w:rPr>
        <w:t>&lt;RepeatBlock-By&gt;&lt;Members&gt;</w:t>
      </w:r>
      <w:r w:rsidRPr="002B4A69">
        <w:t>Emma Wiesner, Yvan Verougstraete, Sigrid Friis, Stine Bosse, Gerben-Jan Gerbrandy, Anna Stürgkh</w:t>
      </w:r>
      <w:r w:rsidRPr="002B4A69">
        <w:rPr>
          <w:rStyle w:val="HideTWBExt"/>
          <w:b w:val="0"/>
        </w:rPr>
        <w:t>&lt;/Members&gt;</w:t>
      </w:r>
    </w:p>
    <w:p w:rsidR="001F04EE" w:rsidRPr="002B4A69" w:rsidP="001F04EE" w14:paraId="56DBEDCC" w14:textId="77777777">
      <w:r w:rsidRPr="002B4A69">
        <w:rPr>
          <w:rStyle w:val="HideTWBExt"/>
        </w:rPr>
        <w:t>&lt;/RepeatBlock-By&gt;</w:t>
      </w:r>
    </w:p>
    <w:p w:rsidR="001F04EE" w:rsidRPr="002B4A69" w:rsidP="001F04EE" w14:paraId="4E3E820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4F0F14FE" w14:textId="77777777">
      <w:pPr>
        <w:pStyle w:val="NormalBold"/>
      </w:pPr>
      <w:r w:rsidRPr="002B4A69">
        <w:rPr>
          <w:rStyle w:val="HideTWBExt"/>
          <w:b w:val="0"/>
        </w:rPr>
        <w:t>&lt;Article&gt;</w:t>
      </w:r>
      <w:r w:rsidRPr="002B4A69">
        <w:t>Recital 90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EC7471"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0A534EF" w14:textId="77777777">
            <w:pPr>
              <w:keepNext/>
            </w:pPr>
          </w:p>
        </w:tc>
      </w:tr>
      <w:tr w14:paraId="12092DF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63BCEB3" w14:textId="77777777">
            <w:pPr>
              <w:pStyle w:val="ColumnHeading"/>
              <w:keepNext/>
              <w:rPr>
                <w:lang w:val="en-GB"/>
              </w:rPr>
            </w:pPr>
            <w:r w:rsidRPr="002B4A69">
              <w:rPr>
                <w:lang w:val="en-GB"/>
              </w:rPr>
              <w:t>Text proposed by the Commission</w:t>
            </w:r>
          </w:p>
        </w:tc>
        <w:tc>
          <w:tcPr>
            <w:tcW w:w="4876" w:type="dxa"/>
          </w:tcPr>
          <w:p w:rsidR="001F04EE" w:rsidRPr="002B4A69" w:rsidP="00723F81" w14:paraId="3F754C9E" w14:textId="77777777">
            <w:pPr>
              <w:pStyle w:val="ColumnHeading"/>
              <w:keepNext/>
              <w:rPr>
                <w:lang w:val="en-GB"/>
              </w:rPr>
            </w:pPr>
            <w:r w:rsidRPr="002B4A69">
              <w:rPr>
                <w:lang w:val="en-GB"/>
              </w:rPr>
              <w:t>Amendment</w:t>
            </w:r>
          </w:p>
        </w:tc>
      </w:tr>
      <w:tr w14:paraId="12CA60C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534BA58" w14:textId="77777777">
            <w:pPr>
              <w:pStyle w:val="Normal6"/>
              <w:rPr>
                <w:lang w:val="en-GB"/>
              </w:rPr>
            </w:pPr>
            <w:r w:rsidRPr="002B4A69">
              <w:rPr>
                <w:b/>
                <w:i/>
                <w:lang w:val="en-GB"/>
              </w:rPr>
              <w:t>(90)</w:t>
            </w:r>
            <w:r w:rsidRPr="002B4A69">
              <w:rPr>
                <w:b/>
                <w:i/>
                <w:lang w:val="en-GB"/>
              </w:rPr>
              <w:tab/>
              <w:t xml:space="preserve">The analysis carried out in the context of the Commission’s review of the reserve and the expected developments relevant to the carbon market indicate that the intake rate of 24 % has served its purpose and in view of the recent and future evolution of the market, this intake rate should return to 12%. To that end, the upper buffer threshold should be </w:t>
            </w:r>
            <w:r w:rsidRPr="002B4A69">
              <w:rPr>
                <w:b/>
                <w:i/>
                <w:lang w:val="en-GB"/>
              </w:rPr>
              <w:t>adjusted correspondingly.</w:t>
            </w:r>
          </w:p>
        </w:tc>
        <w:tc>
          <w:tcPr>
            <w:tcW w:w="4876" w:type="dxa"/>
          </w:tcPr>
          <w:p w:rsidR="001F04EE" w:rsidRPr="002B4A69" w:rsidP="00723F81" w14:paraId="52DD6722" w14:textId="77777777">
            <w:pPr>
              <w:pStyle w:val="Normal6"/>
              <w:rPr>
                <w:szCs w:val="24"/>
                <w:lang w:val="en-GB"/>
              </w:rPr>
            </w:pPr>
            <w:r w:rsidRPr="002B4A69">
              <w:rPr>
                <w:b/>
                <w:i/>
                <w:lang w:val="en-GB"/>
              </w:rPr>
              <w:t>deleted</w:t>
            </w:r>
          </w:p>
        </w:tc>
      </w:tr>
    </w:tbl>
    <w:p w:rsidR="001F04EE" w:rsidRPr="002B4A69" w:rsidP="001F04EE" w14:paraId="78EFEC4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747C01A"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06A15F5E" w14:textId="77777777">
      <w:pPr>
        <w:pStyle w:val="Normal12Italic"/>
        <w:rPr>
          <w:noProof w:val="0"/>
          <w:lang w:val="en-GB"/>
        </w:rPr>
      </w:pPr>
      <w:r w:rsidRPr="002B4A69">
        <w:rPr>
          <w:noProof w:val="0"/>
          <w:lang w:val="en-GB"/>
        </w:rPr>
        <w:t xml:space="preserve">The 24% intake rate remains essential, especially now, because the Commission's own proposal injects significant new supply into the market: 260m by international credits, if retained, 400 million Investment Booster allowances auctioned from 2028, additional free allocation under revised fallback benchmarks, and allowances added to the cap for municipal waste incineration, maritime and aviation. Halving the intake rate to 12% would slow the absorption of these surpluses, weakening the carbon price at the very moment operators must take their post-2030 investment decisions. The surplus in the MSR remains near the 833 million upper </w:t>
      </w:r>
      <w:r w:rsidRPr="002B4A69">
        <w:rPr>
          <w:noProof w:val="0"/>
          <w:lang w:val="en-GB"/>
        </w:rPr>
        <w:t>buffer</w:t>
      </w:r>
      <w:r w:rsidRPr="002B4A69">
        <w:rPr>
          <w:noProof w:val="0"/>
          <w:lang w:val="en-GB"/>
        </w:rPr>
        <w:t>, ahead of the largest combined supply-side expansion the market has faced to date.</w:t>
      </w:r>
    </w:p>
    <w:p w:rsidR="001F04EE" w:rsidRPr="002B4A69" w:rsidP="001F04EE" w14:paraId="77D45C48" w14:textId="77777777">
      <w:r w:rsidRPr="002B4A69">
        <w:rPr>
          <w:rStyle w:val="HideTWBExt"/>
        </w:rPr>
        <w:t>&lt;/Amend&gt;</w:t>
      </w:r>
    </w:p>
    <w:p w:rsidR="001F04EE" w:rsidRPr="002B4A69" w:rsidP="001F04EE" w14:paraId="52B427FF"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630</w:t>
      </w:r>
      <w:r w:rsidRPr="002B4A69">
        <w:rPr>
          <w:rStyle w:val="HideTWBExt"/>
          <w:b w:val="0"/>
          <w:lang w:val="en-GB"/>
        </w:rPr>
        <w:t>&lt;/NumAm&gt;</w:t>
      </w:r>
    </w:p>
    <w:p w:rsidR="001F04EE" w:rsidRPr="002B4A69" w:rsidP="001F04EE" w14:paraId="646F4092" w14:textId="77777777">
      <w:pPr>
        <w:pStyle w:val="NormalBold"/>
      </w:pPr>
      <w:r w:rsidRPr="002B4A69">
        <w:rPr>
          <w:rStyle w:val="HideTWBExt"/>
          <w:b w:val="0"/>
        </w:rPr>
        <w:t>&lt;RepeatBlock-By&gt;&lt;Members&gt;</w:t>
      </w:r>
      <w:r w:rsidRPr="002B4A69">
        <w:t>Mohammed Chahim</w:t>
      </w:r>
      <w:r w:rsidRPr="002B4A69">
        <w:rPr>
          <w:rStyle w:val="HideTWBExt"/>
          <w:b w:val="0"/>
        </w:rPr>
        <w:t>&lt;/Members&gt;</w:t>
      </w:r>
    </w:p>
    <w:p w:rsidR="001F04EE" w:rsidRPr="002B4A69" w:rsidP="001F04EE" w14:paraId="1B0D0033" w14:textId="77777777">
      <w:r w:rsidRPr="002B4A69">
        <w:rPr>
          <w:rStyle w:val="HideTWBExt"/>
        </w:rPr>
        <w:t>&lt;/RepeatBlock-By&gt;</w:t>
      </w:r>
    </w:p>
    <w:p w:rsidR="001F04EE" w:rsidRPr="002B4A69" w:rsidP="001F04EE" w14:paraId="5CCD723A"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0A402C5" w14:textId="77777777">
      <w:pPr>
        <w:pStyle w:val="NormalBold"/>
      </w:pPr>
      <w:r w:rsidRPr="002B4A69">
        <w:rPr>
          <w:rStyle w:val="HideTWBExt"/>
          <w:b w:val="0"/>
        </w:rPr>
        <w:t>&lt;Article&gt;</w:t>
      </w:r>
      <w:r w:rsidRPr="002B4A69">
        <w:t>Recital 90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196297"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F0B2864" w14:textId="77777777">
            <w:pPr>
              <w:keepNext/>
            </w:pPr>
          </w:p>
        </w:tc>
      </w:tr>
      <w:tr w14:paraId="5E45266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E801AA" w14:textId="77777777">
            <w:pPr>
              <w:pStyle w:val="ColumnHeading"/>
              <w:keepNext/>
              <w:rPr>
                <w:lang w:val="en-GB"/>
              </w:rPr>
            </w:pPr>
            <w:r w:rsidRPr="002B4A69">
              <w:rPr>
                <w:lang w:val="en-GB"/>
              </w:rPr>
              <w:t>Text proposed by the Commission</w:t>
            </w:r>
          </w:p>
        </w:tc>
        <w:tc>
          <w:tcPr>
            <w:tcW w:w="4876" w:type="dxa"/>
          </w:tcPr>
          <w:p w:rsidR="001F04EE" w:rsidRPr="002B4A69" w:rsidP="00723F81" w14:paraId="2194A330" w14:textId="77777777">
            <w:pPr>
              <w:pStyle w:val="ColumnHeading"/>
              <w:keepNext/>
              <w:rPr>
                <w:lang w:val="en-GB"/>
              </w:rPr>
            </w:pPr>
            <w:r w:rsidRPr="002B4A69">
              <w:rPr>
                <w:lang w:val="en-GB"/>
              </w:rPr>
              <w:t>Amendment</w:t>
            </w:r>
          </w:p>
        </w:tc>
      </w:tr>
      <w:tr w14:paraId="72EF738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DF1F94" w14:textId="77777777">
            <w:pPr>
              <w:pStyle w:val="Normal6"/>
              <w:rPr>
                <w:lang w:val="en-GB"/>
              </w:rPr>
            </w:pPr>
            <w:r w:rsidRPr="002B4A69">
              <w:rPr>
                <w:lang w:val="en-GB"/>
              </w:rPr>
              <w:t>(90)</w:t>
            </w:r>
            <w:r w:rsidRPr="002B4A69">
              <w:rPr>
                <w:lang w:val="en-GB"/>
              </w:rPr>
              <w:tab/>
              <w:t xml:space="preserve">The </w:t>
            </w:r>
            <w:r w:rsidRPr="002B4A69">
              <w:rPr>
                <w:b/>
                <w:i/>
                <w:lang w:val="en-GB"/>
              </w:rPr>
              <w:t>analysis carried out</w:t>
            </w:r>
            <w:r w:rsidRPr="002B4A69">
              <w:rPr>
                <w:lang w:val="en-GB"/>
              </w:rPr>
              <w:t xml:space="preserve"> in the </w:t>
            </w:r>
            <w:r w:rsidRPr="002B4A69">
              <w:rPr>
                <w:b/>
                <w:i/>
                <w:lang w:val="en-GB"/>
              </w:rPr>
              <w:t>context of the Commission’s review of the</w:t>
            </w:r>
            <w:r w:rsidRPr="002B4A69">
              <w:rPr>
                <w:lang w:val="en-GB"/>
              </w:rPr>
              <w:t xml:space="preserve"> reserve </w:t>
            </w:r>
            <w:r w:rsidRPr="002B4A69">
              <w:rPr>
                <w:b/>
                <w:i/>
                <w:lang w:val="en-GB"/>
              </w:rPr>
              <w:t>and the expected developments relevant to the carbon market indicate that</w:t>
            </w:r>
            <w:r w:rsidRPr="002B4A69">
              <w:rPr>
                <w:lang w:val="en-GB"/>
              </w:rPr>
              <w:t xml:space="preserve"> the intake rate </w:t>
            </w:r>
            <w:r w:rsidRPr="002B4A69">
              <w:rPr>
                <w:b/>
                <w:i/>
                <w:lang w:val="en-GB"/>
              </w:rPr>
              <w:t>of 24 % has served its purpose and in view of the recent and future evolution of the market, this intake rate should return to 12%</w:t>
            </w:r>
            <w:r w:rsidRPr="002B4A69">
              <w:rPr>
                <w:lang w:val="en-GB"/>
              </w:rPr>
              <w:t xml:space="preserve">. </w:t>
            </w:r>
            <w:r w:rsidRPr="002B4A69">
              <w:rPr>
                <w:b/>
                <w:i/>
                <w:lang w:val="en-GB"/>
              </w:rPr>
              <w:t>To that end, the upper buffer threshold should be adjusted correspondingly.</w:t>
            </w:r>
          </w:p>
        </w:tc>
        <w:tc>
          <w:tcPr>
            <w:tcW w:w="4876" w:type="dxa"/>
          </w:tcPr>
          <w:p w:rsidR="001F04EE" w:rsidRPr="002B4A69" w:rsidP="00723F81" w14:paraId="13CB224C" w14:textId="77777777">
            <w:pPr>
              <w:pStyle w:val="Normal6"/>
              <w:rPr>
                <w:szCs w:val="24"/>
                <w:lang w:val="en-GB"/>
              </w:rPr>
            </w:pPr>
            <w:r w:rsidRPr="002B4A69">
              <w:rPr>
                <w:lang w:val="en-GB"/>
              </w:rPr>
              <w:t>(90)</w:t>
            </w:r>
            <w:r w:rsidRPr="002B4A69">
              <w:rPr>
                <w:lang w:val="en-GB"/>
              </w:rPr>
              <w:tab/>
              <w:t xml:space="preserve">The </w:t>
            </w:r>
            <w:r w:rsidRPr="002B4A69">
              <w:rPr>
                <w:b/>
                <w:i/>
                <w:lang w:val="en-GB"/>
              </w:rPr>
              <w:t>increase of the invalidation threshold</w:t>
            </w:r>
            <w:r w:rsidRPr="002B4A69">
              <w:rPr>
                <w:lang w:val="en-GB"/>
              </w:rPr>
              <w:t xml:space="preserve"> in the </w:t>
            </w:r>
            <w:r w:rsidRPr="002B4A69">
              <w:rPr>
                <w:b/>
                <w:i/>
                <w:lang w:val="en-GB"/>
              </w:rPr>
              <w:t>market stability</w:t>
            </w:r>
            <w:r w:rsidRPr="002B4A69">
              <w:rPr>
                <w:lang w:val="en-GB"/>
              </w:rPr>
              <w:t xml:space="preserve"> reserve</w:t>
            </w:r>
            <w:r w:rsidRPr="002B4A69">
              <w:rPr>
                <w:b/>
                <w:i/>
                <w:lang w:val="en-GB"/>
              </w:rPr>
              <w:t>, together with the increase in the total quantity of allowances, warrants maintaining</w:t>
            </w:r>
            <w:r w:rsidRPr="002B4A69">
              <w:rPr>
                <w:lang w:val="en-GB"/>
              </w:rPr>
              <w:t xml:space="preserve"> the intake rate </w:t>
            </w:r>
            <w:r w:rsidRPr="002B4A69">
              <w:rPr>
                <w:b/>
                <w:i/>
                <w:lang w:val="en-GB"/>
              </w:rPr>
              <w:t>at 24%</w:t>
            </w:r>
            <w:r w:rsidRPr="002B4A69">
              <w:rPr>
                <w:lang w:val="en-GB"/>
              </w:rPr>
              <w:t>.</w:t>
            </w:r>
          </w:p>
        </w:tc>
      </w:tr>
    </w:tbl>
    <w:p w:rsidR="001F04EE" w:rsidRPr="002B4A69" w:rsidP="001F04EE" w14:paraId="6731066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ECF3B9D" w14:textId="77777777">
      <w:r w:rsidRPr="002B4A69">
        <w:rPr>
          <w:rStyle w:val="HideTWBExt"/>
        </w:rPr>
        <w:t>&lt;/Amend&gt;</w:t>
      </w:r>
    </w:p>
    <w:p w:rsidR="001F04EE" w:rsidRPr="002B4A69" w:rsidP="001F04EE" w14:paraId="2D6F966E"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631</w:t>
      </w:r>
      <w:r w:rsidRPr="002B4A69">
        <w:rPr>
          <w:rStyle w:val="HideTWBExt"/>
          <w:b w:val="0"/>
          <w:lang w:val="en-GB"/>
        </w:rPr>
        <w:t>&lt;/NumAm&gt;</w:t>
      </w:r>
    </w:p>
    <w:p w:rsidR="001F04EE" w:rsidRPr="002B4A69" w:rsidP="001F04EE" w14:paraId="2CEAB801"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43A1C120" w14:textId="77777777">
      <w:r w:rsidRPr="002B4A69">
        <w:rPr>
          <w:rStyle w:val="HideTWBExt"/>
        </w:rPr>
        <w:t>&lt;/RepeatBlock-By&gt;</w:t>
      </w:r>
    </w:p>
    <w:p w:rsidR="001F04EE" w:rsidRPr="002B4A69" w:rsidP="001F04EE" w14:paraId="2F7ABC6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129A4B61" w14:textId="77777777">
      <w:pPr>
        <w:pStyle w:val="NormalBold"/>
      </w:pPr>
      <w:r w:rsidRPr="002B4A69">
        <w:rPr>
          <w:rStyle w:val="HideTWBExt"/>
          <w:b w:val="0"/>
        </w:rPr>
        <w:t>&lt;Article&gt;</w:t>
      </w:r>
      <w:r w:rsidRPr="002B4A69">
        <w:t>Recital 90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6F9F7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44A962A" w14:textId="77777777">
            <w:pPr>
              <w:keepNext/>
            </w:pPr>
          </w:p>
        </w:tc>
      </w:tr>
      <w:tr w14:paraId="7718A91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146CDF6" w14:textId="77777777">
            <w:pPr>
              <w:pStyle w:val="ColumnHeading"/>
              <w:keepNext/>
              <w:rPr>
                <w:lang w:val="en-GB"/>
              </w:rPr>
            </w:pPr>
            <w:r w:rsidRPr="002B4A69">
              <w:rPr>
                <w:lang w:val="en-GB"/>
              </w:rPr>
              <w:t>Text proposed by the Commission</w:t>
            </w:r>
          </w:p>
        </w:tc>
        <w:tc>
          <w:tcPr>
            <w:tcW w:w="4876" w:type="dxa"/>
          </w:tcPr>
          <w:p w:rsidR="001F04EE" w:rsidRPr="002B4A69" w:rsidP="00723F81" w14:paraId="745835E6" w14:textId="77777777">
            <w:pPr>
              <w:pStyle w:val="ColumnHeading"/>
              <w:keepNext/>
              <w:rPr>
                <w:lang w:val="en-GB"/>
              </w:rPr>
            </w:pPr>
            <w:r w:rsidRPr="002B4A69">
              <w:rPr>
                <w:lang w:val="en-GB"/>
              </w:rPr>
              <w:t>Amendment</w:t>
            </w:r>
          </w:p>
        </w:tc>
      </w:tr>
      <w:tr w14:paraId="0528A0A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81BF755" w14:textId="77777777">
            <w:pPr>
              <w:pStyle w:val="Normal6"/>
              <w:rPr>
                <w:lang w:val="en-GB"/>
              </w:rPr>
            </w:pPr>
            <w:r w:rsidRPr="002B4A69">
              <w:rPr>
                <w:lang w:val="en-GB"/>
              </w:rPr>
              <w:t>(90)</w:t>
            </w:r>
            <w:r w:rsidRPr="002B4A69">
              <w:rPr>
                <w:lang w:val="en-GB"/>
              </w:rPr>
              <w:tab/>
              <w:t xml:space="preserve">The analysis carried out in the context of the Commission’s review of the reserve and the expected developments relevant to the carbon market indicate that the intake rate of 24 % has served its purpose and </w:t>
            </w:r>
            <w:r w:rsidRPr="002B4A69">
              <w:rPr>
                <w:b/>
                <w:i/>
                <w:lang w:val="en-GB"/>
              </w:rPr>
              <w:t>in view of the recent and future evolution of the market, this intake rate should return to 12%. To that end, the upper buffer threshold</w:t>
            </w:r>
            <w:r w:rsidRPr="002B4A69">
              <w:rPr>
                <w:lang w:val="en-GB"/>
              </w:rPr>
              <w:t xml:space="preserve"> should be </w:t>
            </w:r>
            <w:r w:rsidRPr="002B4A69">
              <w:rPr>
                <w:b/>
                <w:i/>
                <w:lang w:val="en-GB"/>
              </w:rPr>
              <w:t>adjusted correspondingly</w:t>
            </w:r>
            <w:r w:rsidRPr="002B4A69">
              <w:rPr>
                <w:lang w:val="en-GB"/>
              </w:rPr>
              <w:t>.</w:t>
            </w:r>
          </w:p>
        </w:tc>
        <w:tc>
          <w:tcPr>
            <w:tcW w:w="4876" w:type="dxa"/>
          </w:tcPr>
          <w:p w:rsidR="001F04EE" w:rsidRPr="002B4A69" w:rsidP="00723F81" w14:paraId="33EC23DD" w14:textId="77777777">
            <w:pPr>
              <w:pStyle w:val="Normal6"/>
              <w:rPr>
                <w:szCs w:val="24"/>
                <w:lang w:val="en-GB"/>
              </w:rPr>
            </w:pPr>
            <w:r w:rsidRPr="002B4A69">
              <w:rPr>
                <w:lang w:val="en-GB"/>
              </w:rPr>
              <w:t>(90)</w:t>
            </w:r>
            <w:r w:rsidRPr="002B4A69">
              <w:rPr>
                <w:lang w:val="en-GB"/>
              </w:rPr>
              <w:tab/>
              <w:t xml:space="preserve">The analysis carried out in the context of the Commission’s review of the reserve and the expected developments relevant to the carbon market indicate that the intake rate of 24 % has served its purpose and should be </w:t>
            </w:r>
            <w:r w:rsidRPr="002B4A69">
              <w:rPr>
                <w:b/>
                <w:i/>
                <w:lang w:val="en-GB"/>
              </w:rPr>
              <w:t>maintained</w:t>
            </w:r>
            <w:r w:rsidRPr="002B4A69">
              <w:rPr>
                <w:lang w:val="en-GB"/>
              </w:rPr>
              <w:t>.</w:t>
            </w:r>
          </w:p>
        </w:tc>
      </w:tr>
    </w:tbl>
    <w:p w:rsidR="001F04EE" w:rsidRPr="002B4A69" w:rsidP="001F04EE" w14:paraId="02A86943"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11DAD81B" w14:textId="77777777">
      <w:r w:rsidRPr="002B4A69">
        <w:rPr>
          <w:rStyle w:val="HideTWBExt"/>
        </w:rPr>
        <w:t>&lt;/Amend&gt;</w:t>
      </w:r>
    </w:p>
    <w:p w:rsidR="001F04EE" w:rsidRPr="002B4A69" w:rsidP="001F04EE" w14:paraId="5AA58214"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632</w:t>
      </w:r>
      <w:r w:rsidRPr="002B4A69">
        <w:rPr>
          <w:rStyle w:val="HideTWBExt"/>
          <w:b w:val="0"/>
          <w:lang w:val="en-GB"/>
        </w:rPr>
        <w:t>&lt;/NumAm&gt;</w:t>
      </w:r>
    </w:p>
    <w:p w:rsidR="001F04EE" w:rsidRPr="002B4A69" w:rsidP="001F04EE" w14:paraId="1A7C216C" w14:textId="77777777">
      <w:pPr>
        <w:pStyle w:val="NormalBold"/>
      </w:pPr>
      <w:r w:rsidRPr="002B4A69">
        <w:rPr>
          <w:rStyle w:val="HideTWBExt"/>
          <w:b w:val="0"/>
        </w:rPr>
        <w:t>&lt;RepeatBlock-By&gt;&lt;Members&gt;</w:t>
      </w:r>
      <w:r w:rsidRPr="002B4A69">
        <w:t>Jessica Polfjärd</w:t>
      </w:r>
      <w:r w:rsidRPr="002B4A69">
        <w:rPr>
          <w:rStyle w:val="HideTWBExt"/>
          <w:b w:val="0"/>
        </w:rPr>
        <w:t>&lt;/Members&gt;</w:t>
      </w:r>
    </w:p>
    <w:p w:rsidR="001F04EE" w:rsidRPr="002B4A69" w:rsidP="001F04EE" w14:paraId="271AD96B" w14:textId="77777777">
      <w:r w:rsidRPr="002B4A69">
        <w:rPr>
          <w:rStyle w:val="HideTWBExt"/>
        </w:rPr>
        <w:t>&lt;/RepeatBlock-By&gt;</w:t>
      </w:r>
    </w:p>
    <w:p w:rsidR="001F04EE" w:rsidRPr="002B4A69" w:rsidP="001F04EE" w14:paraId="4C13A5A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8C6D1F5" w14:textId="77777777">
      <w:pPr>
        <w:pStyle w:val="NormalBold"/>
      </w:pPr>
      <w:r w:rsidRPr="002B4A69">
        <w:rPr>
          <w:rStyle w:val="HideTWBExt"/>
          <w:b w:val="0"/>
        </w:rPr>
        <w:t>&lt;Article&gt;</w:t>
      </w:r>
      <w:r w:rsidRPr="002B4A69">
        <w:t>Recital 90</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40814B"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6E71791F" w14:textId="77777777">
            <w:pPr>
              <w:keepNext/>
            </w:pPr>
          </w:p>
        </w:tc>
      </w:tr>
      <w:tr w14:paraId="284F5DB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FACC46E" w14:textId="77777777">
            <w:pPr>
              <w:pStyle w:val="ColumnHeading"/>
              <w:keepNext/>
              <w:rPr>
                <w:lang w:val="en-GB"/>
              </w:rPr>
            </w:pPr>
            <w:r w:rsidRPr="002B4A69">
              <w:rPr>
                <w:lang w:val="en-GB"/>
              </w:rPr>
              <w:t>Text proposed by the Commission</w:t>
            </w:r>
          </w:p>
        </w:tc>
        <w:tc>
          <w:tcPr>
            <w:tcW w:w="4876" w:type="dxa"/>
          </w:tcPr>
          <w:p w:rsidR="001F04EE" w:rsidRPr="002B4A69" w:rsidP="00723F81" w14:paraId="31F893EB" w14:textId="77777777">
            <w:pPr>
              <w:pStyle w:val="ColumnHeading"/>
              <w:keepNext/>
              <w:rPr>
                <w:lang w:val="en-GB"/>
              </w:rPr>
            </w:pPr>
            <w:r w:rsidRPr="002B4A69">
              <w:rPr>
                <w:lang w:val="en-GB"/>
              </w:rPr>
              <w:t>Amendment</w:t>
            </w:r>
          </w:p>
        </w:tc>
      </w:tr>
      <w:tr w14:paraId="429FDCE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7C9EF13" w14:textId="77777777">
            <w:pPr>
              <w:pStyle w:val="Normal6"/>
              <w:rPr>
                <w:lang w:val="en-GB"/>
              </w:rPr>
            </w:pPr>
            <w:r w:rsidRPr="002B4A69">
              <w:rPr>
                <w:lang w:val="en-GB"/>
              </w:rPr>
              <w:t>(90)</w:t>
            </w:r>
            <w:r w:rsidRPr="002B4A69">
              <w:rPr>
                <w:lang w:val="en-GB"/>
              </w:rPr>
              <w:tab/>
              <w:t xml:space="preserve">The analysis carried out in the context of the Commission’s review of the reserve and the expected developments relevant to the carbon market indicate that the intake rate of 24 % has served its purpose </w:t>
            </w:r>
            <w:r w:rsidRPr="002B4A69">
              <w:rPr>
                <w:b/>
                <w:i/>
                <w:lang w:val="en-GB"/>
              </w:rPr>
              <w:t>and in view of the recent and future evolution of the market, this</w:t>
            </w:r>
            <w:r w:rsidRPr="002B4A69">
              <w:rPr>
                <w:lang w:val="en-GB"/>
              </w:rPr>
              <w:t xml:space="preserve"> intake rate should return to 12%. To that end, the upper buffer threshold should be adjusted correspondingly.</w:t>
            </w:r>
          </w:p>
        </w:tc>
        <w:tc>
          <w:tcPr>
            <w:tcW w:w="4876" w:type="dxa"/>
          </w:tcPr>
          <w:p w:rsidR="001F04EE" w:rsidRPr="002B4A69" w:rsidP="00723F81" w14:paraId="68E55FFA" w14:textId="77777777">
            <w:pPr>
              <w:pStyle w:val="Normal6"/>
              <w:rPr>
                <w:szCs w:val="24"/>
                <w:lang w:val="en-GB"/>
              </w:rPr>
            </w:pPr>
            <w:r w:rsidRPr="002B4A69">
              <w:rPr>
                <w:lang w:val="en-GB"/>
              </w:rPr>
              <w:t>(90)</w:t>
            </w:r>
            <w:r w:rsidRPr="002B4A69">
              <w:rPr>
                <w:lang w:val="en-GB"/>
              </w:rPr>
              <w:tab/>
              <w:t xml:space="preserve">The analysis carried out in the context of the Commission’s review of the reserve and the expected developments relevant to the carbon market indicate that the intake rate of 24 % has served its purpose </w:t>
            </w:r>
            <w:r w:rsidRPr="002B4A69">
              <w:rPr>
                <w:b/>
                <w:i/>
                <w:lang w:val="en-GB"/>
              </w:rPr>
              <w:t>well and should continue until 2030, after which the</w:t>
            </w:r>
            <w:r w:rsidRPr="002B4A69">
              <w:rPr>
                <w:lang w:val="en-GB"/>
              </w:rPr>
              <w:t xml:space="preserve"> intake rate should return to 12%. To that end, the upper buffer threshold should be adjusted correspondingly.</w:t>
            </w:r>
          </w:p>
        </w:tc>
      </w:tr>
    </w:tbl>
    <w:p w:rsidR="001F04EE" w:rsidRPr="002B4A69" w:rsidP="001F04EE" w14:paraId="09E95C2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881621E"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769DEED7" w14:textId="77777777">
      <w:pPr>
        <w:pStyle w:val="Normal12Italic"/>
        <w:rPr>
          <w:noProof w:val="0"/>
          <w:lang w:val="en-GB"/>
        </w:rPr>
      </w:pPr>
      <w:r w:rsidRPr="002B4A69">
        <w:rPr>
          <w:noProof w:val="0"/>
          <w:lang w:val="en-GB"/>
        </w:rPr>
        <w:t>The MSR has restored balance to the carbon market and should continue to provide scarcity and a predictable carbon price signal. Its current design should therefore be maintained in the near term, including a 24% intake rate until at least 2030 and the current invalidation mechanism. In the longer term, the MSR should be adapted gradually to a shrinking ETS market.</w:t>
      </w:r>
    </w:p>
    <w:p w:rsidR="001F04EE" w:rsidRPr="002B4A69" w:rsidP="001F04EE" w14:paraId="23E0950F" w14:textId="77777777">
      <w:r w:rsidRPr="002B4A69">
        <w:rPr>
          <w:rStyle w:val="HideTWBExt"/>
        </w:rPr>
        <w:t>&lt;/Amend&gt;</w:t>
      </w:r>
    </w:p>
    <w:p w:rsidR="001F04EE" w:rsidRPr="002B4A69" w:rsidP="001F04EE" w14:paraId="204A14B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633</w:t>
      </w:r>
      <w:r w:rsidRPr="002B4A69">
        <w:rPr>
          <w:rStyle w:val="HideTWBExt"/>
          <w:b w:val="0"/>
          <w:lang w:val="en-GB"/>
        </w:rPr>
        <w:t>&lt;/NumAm&gt;</w:t>
      </w:r>
    </w:p>
    <w:p w:rsidR="001F04EE" w:rsidRPr="002B4A69" w:rsidP="001F04EE" w14:paraId="5509EC2D"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78B6548F" w14:textId="77777777">
      <w:r w:rsidRPr="002B4A69">
        <w:rPr>
          <w:rStyle w:val="HideTWBExt"/>
        </w:rPr>
        <w:t>&lt;/RepeatBlock-By&gt;</w:t>
      </w:r>
    </w:p>
    <w:p w:rsidR="001F04EE" w:rsidRPr="002B4A69" w:rsidP="001F04EE" w14:paraId="05D6E67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0542818" w14:textId="77777777">
      <w:pPr>
        <w:pStyle w:val="NormalBold"/>
      </w:pPr>
      <w:r w:rsidRPr="002B4A69">
        <w:rPr>
          <w:rStyle w:val="HideTWBExt"/>
          <w:b w:val="0"/>
        </w:rPr>
        <w:t>&lt;Article&gt;</w:t>
      </w:r>
      <w:r w:rsidRPr="002B4A69">
        <w:t>Recital 91</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78F89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792D16C" w14:textId="77777777">
            <w:pPr>
              <w:keepNext/>
            </w:pPr>
          </w:p>
        </w:tc>
      </w:tr>
      <w:tr w14:paraId="0C9488D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9E6C42D" w14:textId="77777777">
            <w:pPr>
              <w:pStyle w:val="ColumnHeading"/>
              <w:keepNext/>
              <w:rPr>
                <w:lang w:val="en-GB"/>
              </w:rPr>
            </w:pPr>
            <w:r w:rsidRPr="002B4A69">
              <w:rPr>
                <w:lang w:val="en-GB"/>
              </w:rPr>
              <w:t>Text proposed by the Commission</w:t>
            </w:r>
          </w:p>
        </w:tc>
        <w:tc>
          <w:tcPr>
            <w:tcW w:w="4876" w:type="dxa"/>
          </w:tcPr>
          <w:p w:rsidR="001F04EE" w:rsidRPr="002B4A69" w:rsidP="00723F81" w14:paraId="0500D914" w14:textId="77777777">
            <w:pPr>
              <w:pStyle w:val="ColumnHeading"/>
              <w:keepNext/>
              <w:rPr>
                <w:lang w:val="en-GB"/>
              </w:rPr>
            </w:pPr>
            <w:r w:rsidRPr="002B4A69">
              <w:rPr>
                <w:lang w:val="en-GB"/>
              </w:rPr>
              <w:t>Amendment</w:t>
            </w:r>
          </w:p>
        </w:tc>
      </w:tr>
      <w:tr w14:paraId="1A33055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95373C2" w14:textId="77777777">
            <w:pPr>
              <w:pStyle w:val="Normal6"/>
              <w:rPr>
                <w:lang w:val="en-GB"/>
              </w:rPr>
            </w:pPr>
            <w:r w:rsidRPr="002B4A69">
              <w:rPr>
                <w:lang w:val="en-GB"/>
              </w:rPr>
              <w:t>(91)</w:t>
            </w:r>
            <w:r w:rsidRPr="002B4A69">
              <w:rPr>
                <w:lang w:val="en-GB"/>
              </w:rPr>
              <w:tab/>
              <w:t>The calculation of the total number of allowances in circulation only considers data related to stationary installations until 31 December 2023. To take account of historic demand for allowances by aviation in the period between 1 January 2012 and 31 December 2023, the annual calculation of the total amount of allowances should be adjusted to reflect the cumulative demand from the aviation sector over this period.</w:t>
            </w:r>
          </w:p>
        </w:tc>
        <w:tc>
          <w:tcPr>
            <w:tcW w:w="4876" w:type="dxa"/>
          </w:tcPr>
          <w:p w:rsidR="001F04EE" w:rsidRPr="002B4A69" w:rsidP="00723F81" w14:paraId="518C9B6A" w14:textId="77777777">
            <w:pPr>
              <w:pStyle w:val="Normal6"/>
              <w:rPr>
                <w:szCs w:val="24"/>
                <w:lang w:val="en-GB"/>
              </w:rPr>
            </w:pPr>
            <w:r w:rsidRPr="002B4A69">
              <w:rPr>
                <w:lang w:val="en-GB"/>
              </w:rPr>
              <w:t>(91)</w:t>
            </w:r>
            <w:r w:rsidRPr="002B4A69">
              <w:rPr>
                <w:lang w:val="en-GB"/>
              </w:rPr>
              <w:tab/>
              <w:t xml:space="preserve">The calculation of the total number of allowances in circulation only considers data related to stationary installations until 31 December 2023. To take account of historic demand for allowances by aviation in the period between 1 January 2012 and 31 December 2023, the annual calculation of the total amount of allowances should be adjusted to reflect the cumulative demand from the aviation sector over this period. </w:t>
            </w:r>
            <w:r w:rsidRPr="002B4A69">
              <w:rPr>
                <w:b/>
                <w:i/>
                <w:lang w:val="en-GB"/>
              </w:rPr>
              <w:t>Consequently, the upper threshold of the upper buffer should be reduced from 1096 million to 947 million allowances, and the lower threshold of the upper buffer should be reduced from 833 million to 650 million allowances.</w:t>
            </w:r>
          </w:p>
        </w:tc>
      </w:tr>
    </w:tbl>
    <w:p w:rsidR="001F04EE" w:rsidRPr="002B4A69" w:rsidP="001F04EE" w14:paraId="3261315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5AF1380" w14:textId="77777777">
      <w:r w:rsidRPr="002B4A69">
        <w:rPr>
          <w:rStyle w:val="HideTWBExt"/>
        </w:rPr>
        <w:t>&lt;/Amend&gt;</w:t>
      </w:r>
    </w:p>
    <w:p w:rsidR="001F04EE" w:rsidRPr="002B4A69" w:rsidP="001F04EE" w14:paraId="4810BAB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634</w:t>
      </w:r>
      <w:r w:rsidRPr="002B4A69">
        <w:rPr>
          <w:rStyle w:val="HideTWBExt"/>
          <w:b w:val="0"/>
          <w:lang w:val="en-GB"/>
        </w:rPr>
        <w:t>&lt;/NumAm&gt;</w:t>
      </w:r>
    </w:p>
    <w:p w:rsidR="001F04EE" w:rsidRPr="002B4A69" w:rsidP="001F04EE" w14:paraId="44D854A0" w14:textId="77777777">
      <w:pPr>
        <w:pStyle w:val="NormalBold"/>
      </w:pPr>
      <w:r w:rsidRPr="002B4A69">
        <w:rPr>
          <w:rStyle w:val="HideTWBExt"/>
          <w:b w:val="0"/>
        </w:rPr>
        <w:t>&lt;RepeatBlock-By&gt;&lt;Members&gt;</w:t>
      </w:r>
      <w:r w:rsidRPr="002B4A69">
        <w:t>Peter Liese, Seán Kelly, Lídia Pereira, Danuše Nerudová</w:t>
      </w:r>
      <w:r w:rsidRPr="002B4A69">
        <w:rPr>
          <w:rStyle w:val="HideTWBExt"/>
          <w:b w:val="0"/>
        </w:rPr>
        <w:t>&lt;/Members&gt;</w:t>
      </w:r>
    </w:p>
    <w:p w:rsidR="001F04EE" w:rsidRPr="002B4A69" w:rsidP="001F04EE" w14:paraId="3A335CE9" w14:textId="77777777">
      <w:r w:rsidRPr="002B4A69">
        <w:rPr>
          <w:rStyle w:val="HideTWBExt"/>
        </w:rPr>
        <w:t>&lt;/RepeatBlock-By&gt;</w:t>
      </w:r>
    </w:p>
    <w:p w:rsidR="001F04EE" w:rsidRPr="002B4A69" w:rsidP="001F04EE" w14:paraId="5F8027D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2864597" w14:textId="77777777">
      <w:pPr>
        <w:pStyle w:val="NormalBold"/>
      </w:pPr>
      <w:r w:rsidRPr="002B4A69">
        <w:rPr>
          <w:rStyle w:val="HideTWBExt"/>
          <w:b w:val="0"/>
        </w:rPr>
        <w:t>&lt;Article&gt;</w:t>
      </w:r>
      <w:r w:rsidRPr="002B4A69">
        <w:t>Recital 91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7B06B5"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42898D0" w14:textId="77777777">
            <w:pPr>
              <w:keepNext/>
            </w:pPr>
          </w:p>
        </w:tc>
      </w:tr>
      <w:tr w14:paraId="5CD6329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EBD0880" w14:textId="77777777">
            <w:pPr>
              <w:pStyle w:val="ColumnHeading"/>
              <w:keepNext/>
              <w:rPr>
                <w:lang w:val="en-GB"/>
              </w:rPr>
            </w:pPr>
            <w:r w:rsidRPr="002B4A69">
              <w:rPr>
                <w:lang w:val="en-GB"/>
              </w:rPr>
              <w:t>Text proposed by the Commission</w:t>
            </w:r>
          </w:p>
        </w:tc>
        <w:tc>
          <w:tcPr>
            <w:tcW w:w="4876" w:type="dxa"/>
          </w:tcPr>
          <w:p w:rsidR="001F04EE" w:rsidRPr="002B4A69" w:rsidP="00723F81" w14:paraId="54FBD98F" w14:textId="77777777">
            <w:pPr>
              <w:pStyle w:val="ColumnHeading"/>
              <w:keepNext/>
              <w:rPr>
                <w:lang w:val="en-GB"/>
              </w:rPr>
            </w:pPr>
            <w:r w:rsidRPr="002B4A69">
              <w:rPr>
                <w:lang w:val="en-GB"/>
              </w:rPr>
              <w:t>Amendment</w:t>
            </w:r>
          </w:p>
        </w:tc>
      </w:tr>
      <w:tr w14:paraId="5F16C68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05FBD6C" w14:textId="77777777">
            <w:pPr>
              <w:pStyle w:val="Normal6"/>
              <w:rPr>
                <w:lang w:val="en-GB"/>
              </w:rPr>
            </w:pPr>
          </w:p>
        </w:tc>
        <w:tc>
          <w:tcPr>
            <w:tcW w:w="4876" w:type="dxa"/>
          </w:tcPr>
          <w:p w:rsidR="001F04EE" w:rsidRPr="002B4A69" w:rsidP="00723F81" w14:paraId="13F2A7A9" w14:textId="77777777">
            <w:pPr>
              <w:pStyle w:val="Normal6"/>
              <w:rPr>
                <w:szCs w:val="24"/>
                <w:lang w:val="en-GB"/>
              </w:rPr>
            </w:pPr>
            <w:r w:rsidRPr="002B4A69">
              <w:rPr>
                <w:b/>
                <w:i/>
                <w:lang w:val="en-GB"/>
              </w:rPr>
              <w:t>(91a)</w:t>
            </w:r>
            <w:r w:rsidRPr="002B4A69">
              <w:rPr>
                <w:b/>
                <w:i/>
                <w:lang w:val="en-GB"/>
              </w:rPr>
              <w:tab/>
              <w:t xml:space="preserve">In order to address the intra-year volatility of the market signal more effectively, increase the predictability of the price path and stabilise expectations, Article 29a of Directive 2003/87/EC should be made more sensitive and act more swiftly on both excessive price increases and decreases, without prescribing a price level or creating a price corridor. In contrast to a price-fixing, interventionist ceiling, floor or institution, the rule-based measure should </w:t>
            </w:r>
            <w:r w:rsidRPr="002B4A69">
              <w:rPr>
                <w:b/>
                <w:i/>
                <w:lang w:val="en-GB"/>
              </w:rPr>
              <w:t>leave price discovery and levels to the market, thus reducing risk premia for market participants and making supply more reactive to demand. To that end, the observation and reference periods should be shortened, the intake trigger threshold should be reduced and made symmetrically sensible to positive and negative price changes, the release and intake quantity should be lowered, reduced with the linear reduction factor to remain aligned with the evolution of the market and adjusted proportionately to the magnitude of the price change beyond the trigger value. To react adequately to short-term disturbances to the market, the trigger should be able to apply up to two times in any period of 12 months.</w:t>
            </w:r>
          </w:p>
        </w:tc>
      </w:tr>
    </w:tbl>
    <w:p w:rsidR="001F04EE" w:rsidRPr="002B4A69" w:rsidP="001F04EE" w14:paraId="07CBE5FE"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344301CA" w14:textId="77777777">
      <w:r w:rsidRPr="002B4A69">
        <w:rPr>
          <w:rStyle w:val="HideTWBExt"/>
        </w:rPr>
        <w:t>&lt;/Amend&gt;</w:t>
      </w:r>
    </w:p>
    <w:p w:rsidR="001F04EE" w:rsidRPr="002B4A69" w:rsidP="001F04EE" w14:paraId="62A29FA0"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635</w:t>
      </w:r>
      <w:r w:rsidRPr="002B4A69">
        <w:rPr>
          <w:rStyle w:val="HideTWBExt"/>
          <w:b w:val="0"/>
          <w:lang w:val="en-GB"/>
        </w:rPr>
        <w:t>&lt;/NumAm&gt;</w:t>
      </w:r>
    </w:p>
    <w:p w:rsidR="001F04EE" w:rsidRPr="002B4A69" w:rsidP="001F04EE" w14:paraId="13D2A7AD" w14:textId="77777777">
      <w:pPr>
        <w:pStyle w:val="NormalBold"/>
      </w:pPr>
      <w:r w:rsidRPr="002B4A69">
        <w:rPr>
          <w:rStyle w:val="HideTWBExt"/>
          <w:b w:val="0"/>
        </w:rPr>
        <w:t>&lt;RepeatBlock-By&gt;&lt;Members&gt;</w:t>
      </w:r>
      <w:r w:rsidRPr="002B4A69">
        <w:t>Emma Wiesner, Yvan Verougstraete, Sigrid Friis, Stine Bosse, Anna Stürgkh</w:t>
      </w:r>
      <w:r w:rsidRPr="002B4A69">
        <w:rPr>
          <w:rStyle w:val="HideTWBExt"/>
          <w:b w:val="0"/>
        </w:rPr>
        <w:t>&lt;/Members&gt;</w:t>
      </w:r>
    </w:p>
    <w:p w:rsidR="001F04EE" w:rsidRPr="002B4A69" w:rsidP="001F04EE" w14:paraId="13775691" w14:textId="77777777">
      <w:r w:rsidRPr="002B4A69">
        <w:rPr>
          <w:rStyle w:val="HideTWBExt"/>
        </w:rPr>
        <w:t>&lt;/RepeatBlock-By&gt;</w:t>
      </w:r>
    </w:p>
    <w:p w:rsidR="001F04EE" w:rsidRPr="002B4A69" w:rsidP="001F04EE" w14:paraId="6440AD6C"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04A03A5" w14:textId="77777777">
      <w:pPr>
        <w:pStyle w:val="NormalBold"/>
      </w:pPr>
      <w:r w:rsidRPr="002B4A69">
        <w:rPr>
          <w:rStyle w:val="HideTWBExt"/>
          <w:b w:val="0"/>
        </w:rPr>
        <w:t>&lt;Article&gt;</w:t>
      </w:r>
      <w:r w:rsidRPr="002B4A69">
        <w:t>Recital 91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2563CF"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27A8AA3" w14:textId="77777777">
            <w:pPr>
              <w:keepNext/>
            </w:pPr>
          </w:p>
        </w:tc>
      </w:tr>
      <w:tr w14:paraId="32A74AA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F72D8D0" w14:textId="77777777">
            <w:pPr>
              <w:pStyle w:val="ColumnHeading"/>
              <w:keepNext/>
              <w:rPr>
                <w:lang w:val="en-GB"/>
              </w:rPr>
            </w:pPr>
            <w:r w:rsidRPr="002B4A69">
              <w:rPr>
                <w:lang w:val="en-GB"/>
              </w:rPr>
              <w:t>Text proposed by the Commission</w:t>
            </w:r>
          </w:p>
        </w:tc>
        <w:tc>
          <w:tcPr>
            <w:tcW w:w="4876" w:type="dxa"/>
          </w:tcPr>
          <w:p w:rsidR="001F04EE" w:rsidRPr="002B4A69" w:rsidP="00723F81" w14:paraId="63F46A85" w14:textId="77777777">
            <w:pPr>
              <w:pStyle w:val="ColumnHeading"/>
              <w:keepNext/>
              <w:rPr>
                <w:lang w:val="en-GB"/>
              </w:rPr>
            </w:pPr>
            <w:r w:rsidRPr="002B4A69">
              <w:rPr>
                <w:lang w:val="en-GB"/>
              </w:rPr>
              <w:t>Amendment</w:t>
            </w:r>
          </w:p>
        </w:tc>
      </w:tr>
      <w:tr w14:paraId="1B6F1FC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6E8D14C" w14:textId="77777777">
            <w:pPr>
              <w:pStyle w:val="Normal6"/>
              <w:rPr>
                <w:lang w:val="en-GB"/>
              </w:rPr>
            </w:pPr>
          </w:p>
        </w:tc>
        <w:tc>
          <w:tcPr>
            <w:tcW w:w="4876" w:type="dxa"/>
          </w:tcPr>
          <w:p w:rsidR="001F04EE" w:rsidRPr="002B4A69" w:rsidP="00723F81" w14:paraId="3CB23384" w14:textId="77777777">
            <w:pPr>
              <w:pStyle w:val="Normal6"/>
              <w:rPr>
                <w:szCs w:val="24"/>
                <w:lang w:val="en-GB"/>
              </w:rPr>
            </w:pPr>
            <w:r w:rsidRPr="002B4A69">
              <w:rPr>
                <w:b/>
                <w:i/>
                <w:lang w:val="en-GB"/>
              </w:rPr>
              <w:t>(91a)</w:t>
            </w:r>
            <w:r w:rsidRPr="002B4A69">
              <w:rPr>
                <w:b/>
                <w:i/>
                <w:lang w:val="en-GB"/>
              </w:rPr>
              <w:tab/>
              <w:t>In addition to effective carbon pricing under a well-functioning Union emissions trading system, market transparency can support cost-efficient emission reductions. In order to enable consumers and actors along the supply chain to make informed choices concerning the emissions embedded in products manufactured by installations carrying out activities listed in Annex I to Directive 2003/87/EC, the Commission should assess, as part of the review of that Directive, the feasibility, effectiveness and design of a Union carbon-footprint label. That assessment should take account of verified emissions data, life-cycle emissions, relevant Union environmental-footprint methodologies and product-</w:t>
            </w:r>
            <w:r w:rsidRPr="002B4A69">
              <w:rPr>
                <w:b/>
                <w:i/>
                <w:lang w:val="en-GB"/>
              </w:rPr>
              <w:t>information rules, independent verification, consumer visibility and administrative burden.</w:t>
            </w:r>
          </w:p>
        </w:tc>
      </w:tr>
    </w:tbl>
    <w:p w:rsidR="001F04EE" w:rsidRPr="002B4A69" w:rsidP="001F04EE" w14:paraId="1123D4F1"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6ACD062"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4EC3073C" w14:textId="77777777">
      <w:pPr>
        <w:pStyle w:val="Normal12Italic"/>
        <w:rPr>
          <w:noProof w:val="0"/>
          <w:lang w:val="en-GB"/>
        </w:rPr>
      </w:pPr>
      <w:r w:rsidRPr="002B4A69">
        <w:rPr>
          <w:noProof w:val="0"/>
          <w:lang w:val="en-GB"/>
        </w:rPr>
        <w:t>In addition to effective carbon pricing based on a well-function emission trading system, market transparency is of key importance for enabling swift and cost-efficient emissions reductions in all sectors of the economy. To allow consumers and all actors along the supply chain to make informed choices concerning the emission embedded in products, a European system for robust carbon footprint labelling of products should be developed.</w:t>
      </w:r>
    </w:p>
    <w:p w:rsidR="001F04EE" w:rsidRPr="002B4A69" w:rsidP="001F04EE" w14:paraId="2AF95527" w14:textId="77777777">
      <w:r w:rsidRPr="002B4A69">
        <w:rPr>
          <w:rStyle w:val="HideTWBExt"/>
        </w:rPr>
        <w:t>&lt;/Amend&gt;</w:t>
      </w:r>
    </w:p>
    <w:p w:rsidR="001F04EE" w:rsidRPr="002B4A69" w:rsidP="001F04EE" w14:paraId="7F53B142"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636</w:t>
      </w:r>
      <w:r w:rsidRPr="002B4A69">
        <w:rPr>
          <w:rStyle w:val="HideTWBExt"/>
          <w:b w:val="0"/>
          <w:lang w:val="en-GB"/>
        </w:rPr>
        <w:t>&lt;/NumAm&gt;</w:t>
      </w:r>
    </w:p>
    <w:p w:rsidR="001F04EE" w:rsidRPr="002B4A69" w:rsidP="001F04EE" w14:paraId="48C4403D" w14:textId="77777777">
      <w:pPr>
        <w:pStyle w:val="NormalBold"/>
      </w:pPr>
      <w:r w:rsidRPr="002B4A69">
        <w:rPr>
          <w:rStyle w:val="HideTWBExt"/>
          <w:b w:val="0"/>
        </w:rPr>
        <w:t>&lt;RepeatBlock-By&gt;&lt;Members&gt;</w:t>
      </w:r>
      <w:r w:rsidRPr="002B4A69">
        <w:t>Thomas Pellerin-Carlin, Christophe Clergeau, Nora Mebarek</w:t>
      </w:r>
      <w:r w:rsidRPr="002B4A69">
        <w:rPr>
          <w:rStyle w:val="HideTWBExt"/>
          <w:b w:val="0"/>
        </w:rPr>
        <w:t>&lt;/Members&gt;</w:t>
      </w:r>
    </w:p>
    <w:p w:rsidR="001F04EE" w:rsidRPr="002B4A69" w:rsidP="001F04EE" w14:paraId="2BE14964" w14:textId="77777777">
      <w:r w:rsidRPr="002B4A69">
        <w:rPr>
          <w:rStyle w:val="HideTWBExt"/>
        </w:rPr>
        <w:t>&lt;/RepeatBlock-By&gt;</w:t>
      </w:r>
    </w:p>
    <w:p w:rsidR="001F04EE" w:rsidRPr="002B4A69" w:rsidP="001F04EE" w14:paraId="7CC94403"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50431A41" w14:textId="77777777">
      <w:pPr>
        <w:pStyle w:val="NormalBold"/>
      </w:pPr>
      <w:r w:rsidRPr="002B4A69">
        <w:rPr>
          <w:rStyle w:val="HideTWBExt"/>
          <w:b w:val="0"/>
        </w:rPr>
        <w:t>&lt;Article&gt;</w:t>
      </w:r>
      <w:r w:rsidRPr="002B4A69">
        <w:t>Recital 91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ACACA8"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953107F" w14:textId="77777777">
            <w:pPr>
              <w:keepNext/>
            </w:pPr>
          </w:p>
        </w:tc>
      </w:tr>
      <w:tr w14:paraId="0D7BC73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5687EAC" w14:textId="77777777">
            <w:pPr>
              <w:pStyle w:val="ColumnHeading"/>
              <w:keepNext/>
              <w:rPr>
                <w:lang w:val="en-GB"/>
              </w:rPr>
            </w:pPr>
            <w:r w:rsidRPr="002B4A69">
              <w:rPr>
                <w:lang w:val="en-GB"/>
              </w:rPr>
              <w:t>Text proposed by the Commission</w:t>
            </w:r>
          </w:p>
        </w:tc>
        <w:tc>
          <w:tcPr>
            <w:tcW w:w="4876" w:type="dxa"/>
          </w:tcPr>
          <w:p w:rsidR="001F04EE" w:rsidRPr="002B4A69" w:rsidP="00723F81" w14:paraId="44D07DED" w14:textId="77777777">
            <w:pPr>
              <w:pStyle w:val="ColumnHeading"/>
              <w:keepNext/>
              <w:rPr>
                <w:lang w:val="en-GB"/>
              </w:rPr>
            </w:pPr>
            <w:r w:rsidRPr="002B4A69">
              <w:rPr>
                <w:lang w:val="en-GB"/>
              </w:rPr>
              <w:t>Amendment</w:t>
            </w:r>
          </w:p>
        </w:tc>
      </w:tr>
      <w:tr w14:paraId="1204DF1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0973657" w14:textId="77777777">
            <w:pPr>
              <w:pStyle w:val="Normal6"/>
              <w:rPr>
                <w:lang w:val="en-GB"/>
              </w:rPr>
            </w:pPr>
          </w:p>
        </w:tc>
        <w:tc>
          <w:tcPr>
            <w:tcW w:w="4876" w:type="dxa"/>
          </w:tcPr>
          <w:p w:rsidR="001F04EE" w:rsidRPr="002B4A69" w:rsidP="00723F81" w14:paraId="240C96E0" w14:textId="77777777">
            <w:pPr>
              <w:pStyle w:val="Normal6"/>
              <w:rPr>
                <w:szCs w:val="24"/>
                <w:lang w:val="en-GB"/>
              </w:rPr>
            </w:pPr>
            <w:r w:rsidRPr="002B4A69">
              <w:rPr>
                <w:b/>
                <w:i/>
                <w:lang w:val="en-GB"/>
              </w:rPr>
              <w:t>(91a)</w:t>
            </w:r>
            <w:r w:rsidRPr="002B4A69">
              <w:rPr>
                <w:b/>
                <w:i/>
                <w:lang w:val="en-GB"/>
              </w:rPr>
              <w:tab/>
              <w:t>To ensure the smooth implementation of the ETS for maritime transport and aviation in the Union’s outermost regions, Member States should be required to consider adopting measures to safeguard territorial continuity, connectivity and affordable access to the air and maritime transport services serving those regions, thereby ensuring that their specific characteristics and permanent constraints, as recognised in Article 349 TFEU, can be duly taken into account. Such measures may include the issuance of a yearly travel pass at a 90% discount, allowing students from outermost regions who study in continental Europe to visit their families at least once a year.</w:t>
            </w:r>
          </w:p>
        </w:tc>
      </w:tr>
    </w:tbl>
    <w:p w:rsidR="001F04EE" w:rsidRPr="002B4A69" w:rsidP="001F04EE" w14:paraId="5FEFA61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7C46CD2" w14:textId="77777777">
      <w:r w:rsidRPr="002B4A69">
        <w:rPr>
          <w:rStyle w:val="HideTWBExt"/>
        </w:rPr>
        <w:t>&lt;/Amend&gt;</w:t>
      </w:r>
    </w:p>
    <w:p w:rsidR="001F04EE" w:rsidRPr="002B4A69" w:rsidP="001F04EE" w14:paraId="2C8A55B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637</w:t>
      </w:r>
      <w:r w:rsidRPr="002B4A69">
        <w:rPr>
          <w:rStyle w:val="HideTWBExt"/>
          <w:b w:val="0"/>
          <w:lang w:val="en-GB"/>
        </w:rPr>
        <w:t>&lt;/NumAm&gt;</w:t>
      </w:r>
    </w:p>
    <w:p w:rsidR="001F04EE" w:rsidRPr="002B4A69" w:rsidP="001F04EE" w14:paraId="5207297E" w14:textId="77777777">
      <w:pPr>
        <w:pStyle w:val="NormalBold"/>
      </w:pPr>
      <w:r w:rsidRPr="002B4A69">
        <w:rPr>
          <w:rStyle w:val="HideTWBExt"/>
          <w:b w:val="0"/>
        </w:rPr>
        <w:t>&lt;RepeatBlock-By&gt;&lt;Members&gt;</w:t>
      </w:r>
      <w:r w:rsidRPr="002B4A69">
        <w:t xml:space="preserve">Nicola Procaccini, Pietro Fiocchi, Michele Picaro, Sergio Berlato, Stefano Cavedagna, </w:t>
      </w:r>
      <w:r w:rsidRPr="002B4A69">
        <w:t>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77CFA2B5" w14:textId="77777777">
      <w:r w:rsidRPr="002B4A69">
        <w:rPr>
          <w:rStyle w:val="HideTWBExt"/>
        </w:rPr>
        <w:t>&lt;/RepeatBlock-By&gt;</w:t>
      </w:r>
    </w:p>
    <w:p w:rsidR="001F04EE" w:rsidRPr="002B4A69" w:rsidP="001F04EE" w14:paraId="73A1F515"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744263C" w14:textId="77777777">
      <w:pPr>
        <w:pStyle w:val="NormalBold"/>
      </w:pPr>
      <w:r w:rsidRPr="002B4A69">
        <w:rPr>
          <w:rStyle w:val="HideTWBExt"/>
          <w:b w:val="0"/>
        </w:rPr>
        <w:t>&lt;Article&gt;</w:t>
      </w:r>
      <w:r w:rsidRPr="002B4A69">
        <w:t>Recital 93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BCDBDC"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7C7B8C28" w14:textId="77777777">
            <w:pPr>
              <w:keepNext/>
            </w:pPr>
          </w:p>
        </w:tc>
      </w:tr>
      <w:tr w14:paraId="5DB9E818"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A4B4E2E" w14:textId="77777777">
            <w:pPr>
              <w:pStyle w:val="ColumnHeading"/>
              <w:keepNext/>
              <w:rPr>
                <w:lang w:val="en-GB"/>
              </w:rPr>
            </w:pPr>
            <w:r w:rsidRPr="002B4A69">
              <w:rPr>
                <w:lang w:val="en-GB"/>
              </w:rPr>
              <w:t>Text proposed by the Commission</w:t>
            </w:r>
          </w:p>
        </w:tc>
        <w:tc>
          <w:tcPr>
            <w:tcW w:w="4876" w:type="dxa"/>
          </w:tcPr>
          <w:p w:rsidR="001F04EE" w:rsidRPr="002B4A69" w:rsidP="00723F81" w14:paraId="26030A96" w14:textId="77777777">
            <w:pPr>
              <w:pStyle w:val="ColumnHeading"/>
              <w:keepNext/>
              <w:rPr>
                <w:lang w:val="en-GB"/>
              </w:rPr>
            </w:pPr>
            <w:r w:rsidRPr="002B4A69">
              <w:rPr>
                <w:lang w:val="en-GB"/>
              </w:rPr>
              <w:t>Amendment</w:t>
            </w:r>
          </w:p>
        </w:tc>
      </w:tr>
      <w:tr w14:paraId="04ACECB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009C51F" w14:textId="77777777">
            <w:pPr>
              <w:pStyle w:val="Normal6"/>
              <w:rPr>
                <w:lang w:val="en-GB"/>
              </w:rPr>
            </w:pPr>
            <w:r w:rsidRPr="002B4A69">
              <w:rPr>
                <w:lang w:val="en-GB"/>
              </w:rPr>
              <w:t>(93)</w:t>
            </w:r>
            <w:r w:rsidRPr="002B4A69">
              <w:rPr>
                <w:lang w:val="en-GB"/>
              </w:rPr>
              <w:tab/>
              <w:t xml:space="preserve">In order to ensure uniform conditions for the implementation of Articles 4 to 7 of Directive 2003/87/EC concerning the granting, suspension and withdrawing of greenhouse gas emissions permits by competent authorities, </w:t>
            </w:r>
            <w:r w:rsidRPr="002B4A69">
              <w:rPr>
                <w:b/>
                <w:i/>
                <w:lang w:val="en-GB"/>
              </w:rPr>
              <w:t xml:space="preserve">Article 10a(3b) to (3d) of Directive 2003/87/EC on the decarbonisation investment in the EU conditionality rules for free allocation concerning the format and content of the Invest in EU decarbonisation </w:t>
            </w:r>
            <w:r w:rsidRPr="002B4A69">
              <w:rPr>
                <w:b/>
                <w:i/>
                <w:lang w:val="en-GB"/>
              </w:rPr>
              <w:t>plans,</w:t>
            </w:r>
            <w:r w:rsidRPr="002B4A69">
              <w:rPr>
                <w:lang w:val="en-GB"/>
              </w:rPr>
              <w:t>implementing</w:t>
            </w:r>
            <w:r w:rsidRPr="002B4A69">
              <w:rPr>
                <w:lang w:val="en-GB"/>
              </w:rPr>
              <w:t xml:space="preserve"> powers should be conferred on the Commission. In addition, to ensure uniform conditions for the implementation of the reservation and allocation mechanism pursuant to Article 3gaa of Directive 2003/87/EC as regards the non-Union ports and third countries in respect of which a derogation from the origin requirements should apply, implementing powers should be conferred on the Commission. The implementing powers conferred on the Commission pursuant to Article 14 of Directive 2003/87/EC should be extended to establish the order of capture accounting of emissions from captured CO</w:t>
            </w:r>
            <w:r w:rsidRPr="002B4A69">
              <w:rPr>
                <w:vertAlign w:val="subscript"/>
                <w:lang w:val="en-GB"/>
              </w:rPr>
              <w:t>2</w:t>
            </w:r>
            <w:r w:rsidRPr="002B4A69">
              <w:rPr>
                <w:lang w:val="en-GB"/>
              </w:rPr>
              <w:t xml:space="preserve"> from a mix of zero-rated and non-zero-rated sources, and to the accounting of emissions from synthetic fuels, to ensure that emissions are accounted for and that double counting is avoided. In addition, the implementing powers conferred on the Commission pursuant to Article 3</w:t>
            </w:r>
            <w:r w:rsidRPr="002B4A69">
              <w:rPr>
                <w:lang w:val="en-GB"/>
              </w:rPr>
              <w:t>ga(</w:t>
            </w:r>
            <w:r w:rsidRPr="002B4A69">
              <w:rPr>
                <w:lang w:val="en-GB"/>
              </w:rPr>
              <w:t xml:space="preserve">2) should be extended </w:t>
            </w:r>
            <w:r w:rsidRPr="002B4A69">
              <w:rPr>
                <w:lang w:val="en-GB"/>
              </w:rPr>
              <w:t>in order to</w:t>
            </w:r>
            <w:r w:rsidRPr="002B4A69">
              <w:rPr>
                <w:lang w:val="en-GB"/>
              </w:rPr>
              <w:t xml:space="preserve"> </w:t>
            </w:r>
            <w:r w:rsidRPr="002B4A69">
              <w:rPr>
                <w:lang w:val="en-GB"/>
              </w:rPr>
              <w:t>take into account</w:t>
            </w:r>
            <w:r w:rsidRPr="002B4A69">
              <w:rPr>
                <w:lang w:val="en-GB"/>
              </w:rPr>
              <w:t xml:space="preserve"> the changes to the measure that aims to further limit the risk of evasive port calls and relocation of container transhipment </w:t>
            </w:r>
            <w:r w:rsidRPr="002B4A69">
              <w:rPr>
                <w:lang w:val="en-GB"/>
              </w:rPr>
              <w:t>activities. Those implementing powers be exercised in accordance with Regulation (EU) No 182/2011.</w:t>
            </w:r>
          </w:p>
        </w:tc>
        <w:tc>
          <w:tcPr>
            <w:tcW w:w="4876" w:type="dxa"/>
          </w:tcPr>
          <w:p w:rsidR="001F04EE" w:rsidRPr="002B4A69" w:rsidP="00723F81" w14:paraId="51DC1F63" w14:textId="77777777">
            <w:pPr>
              <w:pStyle w:val="Normal6"/>
              <w:rPr>
                <w:szCs w:val="24"/>
                <w:lang w:val="en-GB"/>
              </w:rPr>
            </w:pPr>
            <w:r w:rsidRPr="002B4A69">
              <w:rPr>
                <w:lang w:val="en-GB"/>
              </w:rPr>
              <w:t>(93)</w:t>
            </w:r>
            <w:r w:rsidRPr="002B4A69">
              <w:rPr>
                <w:lang w:val="en-GB"/>
              </w:rPr>
              <w:tab/>
              <w:t>In order to ensure uniform conditions for the implementation of Articles 4 to 7 of Directive 2003/87/EC concerning the granting, suspension and withdrawing of greenhouse gas emissions permits by competent authorities, implementing powers should be conferred on the Commission. In addition, to ensure uniform conditions for the implementation of the reservation and allocation mechanism pursuant to Article 3gaa of Directive 2003/87/EC as regards the non-Union ports and third countries in respect of which a derogation from the origin requirements should apply, implementing powers should be conferred on the Commission. The implementing powers conferred on the Commission pursuant to Article 14 of Directive 2003/87/EC should be extended to establish the order of capture accounting of emissions from captured CO</w:t>
            </w:r>
            <w:r w:rsidRPr="002B4A69">
              <w:rPr>
                <w:vertAlign w:val="subscript"/>
                <w:lang w:val="en-GB"/>
              </w:rPr>
              <w:t>2</w:t>
            </w:r>
            <w:r w:rsidRPr="002B4A69">
              <w:rPr>
                <w:lang w:val="en-GB"/>
              </w:rPr>
              <w:t xml:space="preserve"> from a mix of zero-rated and non-zero-rated sources, and to the accounting of emissions from synthetic fuels, to ensure that emissions are accounted for and that double counting is avoided. In addition, the implementing powers conferred on the Commission pursuant to Article 3</w:t>
            </w:r>
            <w:r w:rsidRPr="002B4A69">
              <w:rPr>
                <w:lang w:val="en-GB"/>
              </w:rPr>
              <w:t>ga(</w:t>
            </w:r>
            <w:r w:rsidRPr="002B4A69">
              <w:rPr>
                <w:lang w:val="en-GB"/>
              </w:rPr>
              <w:t xml:space="preserve">2) should be extended </w:t>
            </w:r>
            <w:r w:rsidRPr="002B4A69">
              <w:rPr>
                <w:lang w:val="en-GB"/>
              </w:rPr>
              <w:t>in order to</w:t>
            </w:r>
            <w:r w:rsidRPr="002B4A69">
              <w:rPr>
                <w:lang w:val="en-GB"/>
              </w:rPr>
              <w:t xml:space="preserve"> </w:t>
            </w:r>
            <w:r w:rsidRPr="002B4A69">
              <w:rPr>
                <w:lang w:val="en-GB"/>
              </w:rPr>
              <w:t>take into account</w:t>
            </w:r>
            <w:r w:rsidRPr="002B4A69">
              <w:rPr>
                <w:lang w:val="en-GB"/>
              </w:rPr>
              <w:t xml:space="preserve"> the changes to the measure that aims to further limit the risk of evasive port calls and relocation of container transhipment activities. Those implementing powers be exercised in accordance with Regulation (EU) No 182/2011.</w:t>
            </w:r>
          </w:p>
        </w:tc>
      </w:tr>
    </w:tbl>
    <w:p w:rsidR="001F04EE" w:rsidRPr="002B4A69" w:rsidP="001F04EE" w14:paraId="7902C4F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A4BC578" w14:textId="77777777">
      <w:r w:rsidRPr="002B4A69">
        <w:rPr>
          <w:rStyle w:val="HideTWBExt"/>
        </w:rPr>
        <w:t>&lt;/Amend&gt;</w:t>
      </w:r>
    </w:p>
    <w:p w:rsidR="001F04EE" w:rsidRPr="002B4A69" w:rsidP="001F04EE" w14:paraId="57C53DD5"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638</w:t>
      </w:r>
      <w:r w:rsidRPr="002B4A69">
        <w:rPr>
          <w:rStyle w:val="HideTWBExt"/>
          <w:b w:val="0"/>
          <w:lang w:val="en-GB"/>
        </w:rPr>
        <w:t>&lt;/NumAm&gt;</w:t>
      </w:r>
    </w:p>
    <w:p w:rsidR="001F04EE" w:rsidRPr="002B4A69" w:rsidP="001F04EE" w14:paraId="44E1F32A"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2B3A637B" w14:textId="77777777">
      <w:r w:rsidRPr="002B4A69">
        <w:rPr>
          <w:rStyle w:val="HideTWBExt"/>
        </w:rPr>
        <w:t>&lt;/RepeatBlock-By&gt;</w:t>
      </w:r>
    </w:p>
    <w:p w:rsidR="001F04EE" w:rsidRPr="002B4A69" w:rsidP="001F04EE" w14:paraId="7A073BA0"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2875015" w14:textId="77777777">
      <w:pPr>
        <w:pStyle w:val="NormalBold"/>
      </w:pPr>
      <w:r w:rsidRPr="002B4A69">
        <w:rPr>
          <w:rStyle w:val="HideTWBExt"/>
          <w:b w:val="0"/>
        </w:rPr>
        <w:t>&lt;Article&gt;</w:t>
      </w:r>
      <w:r w:rsidRPr="002B4A69">
        <w:t>Recital 93</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E99E6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1C17D8EC" w14:textId="77777777">
            <w:pPr>
              <w:keepNext/>
            </w:pPr>
          </w:p>
        </w:tc>
      </w:tr>
      <w:tr w14:paraId="0E3EBF8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26F40B1" w14:textId="77777777">
            <w:pPr>
              <w:pStyle w:val="ColumnHeading"/>
              <w:keepNext/>
              <w:rPr>
                <w:lang w:val="en-GB"/>
              </w:rPr>
            </w:pPr>
            <w:r w:rsidRPr="002B4A69">
              <w:rPr>
                <w:lang w:val="en-GB"/>
              </w:rPr>
              <w:t>Text proposed by the Commission</w:t>
            </w:r>
          </w:p>
        </w:tc>
        <w:tc>
          <w:tcPr>
            <w:tcW w:w="4876" w:type="dxa"/>
          </w:tcPr>
          <w:p w:rsidR="001F04EE" w:rsidRPr="002B4A69" w:rsidP="00723F81" w14:paraId="3111ADA1" w14:textId="77777777">
            <w:pPr>
              <w:pStyle w:val="ColumnHeading"/>
              <w:keepNext/>
              <w:rPr>
                <w:lang w:val="en-GB"/>
              </w:rPr>
            </w:pPr>
            <w:r w:rsidRPr="002B4A69">
              <w:rPr>
                <w:lang w:val="en-GB"/>
              </w:rPr>
              <w:t>Amendment</w:t>
            </w:r>
          </w:p>
        </w:tc>
      </w:tr>
      <w:tr w14:paraId="6A0A46B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8473155" w14:textId="77777777">
            <w:pPr>
              <w:pStyle w:val="Normal6"/>
              <w:rPr>
                <w:lang w:val="en-GB"/>
              </w:rPr>
            </w:pPr>
            <w:r w:rsidRPr="002B4A69">
              <w:rPr>
                <w:lang w:val="en-GB"/>
              </w:rPr>
              <w:t>(93)</w:t>
            </w:r>
            <w:r w:rsidRPr="002B4A69">
              <w:rPr>
                <w:lang w:val="en-GB"/>
              </w:rPr>
              <w:tab/>
              <w:t xml:space="preserve">In order to ensure uniform conditions for the implementation of Articles 4 to 7 of Directive 2003/87/EC concerning the granting, suspension and withdrawing of greenhouse gas emissions permits by competent authorities, Article 10a(3b) to (3d) of Directive 2003/87/EC on the decarbonisation investment in the EU conditionality rules for free allocation concerning the format and content of the Invest in EU decarbonisation </w:t>
            </w:r>
            <w:r w:rsidRPr="002B4A69">
              <w:rPr>
                <w:lang w:val="en-GB"/>
              </w:rPr>
              <w:t>plans,implementing</w:t>
            </w:r>
            <w:r w:rsidRPr="002B4A69">
              <w:rPr>
                <w:lang w:val="en-GB"/>
              </w:rPr>
              <w:t xml:space="preserve"> powers should be conferred on the Commission. In addition, to ensure uniform conditions for the implementation of the reservation and allocation mechanism pursuant to Article 3gaa of Directive 2003/87/EC as regards the non-Union ports and third countries in respect of which a derogation from the origin requirements should apply, implementing powers should be conferred on the Commission. The implementing powers conferred on the Commission pursuant to Article 14 of Directive 2003/87/EC should be extended to establish the </w:t>
            </w:r>
            <w:r w:rsidRPr="002B4A69">
              <w:rPr>
                <w:b/>
                <w:i/>
                <w:lang w:val="en-GB"/>
              </w:rPr>
              <w:t>order of capture accounting of emissions from captured CO</w:t>
            </w:r>
            <w:r w:rsidRPr="002B4A69">
              <w:rPr>
                <w:b/>
                <w:i/>
                <w:vertAlign w:val="subscript"/>
                <w:lang w:val="en-GB"/>
              </w:rPr>
              <w:t>2</w:t>
            </w:r>
            <w:r w:rsidRPr="002B4A69">
              <w:rPr>
                <w:lang w:val="en-GB"/>
              </w:rPr>
              <w:t xml:space="preserve"> </w:t>
            </w:r>
            <w:r w:rsidRPr="002B4A69">
              <w:rPr>
                <w:b/>
                <w:i/>
                <w:lang w:val="en-GB"/>
              </w:rPr>
              <w:t>from a mix of zero-rated and non-zero-rated sources, and to the</w:t>
            </w:r>
            <w:r w:rsidRPr="002B4A69">
              <w:rPr>
                <w:lang w:val="en-GB"/>
              </w:rPr>
              <w:t xml:space="preserve"> accounting of emissions from synthetic fuels, to ensure that emissions are accounted for and that double counting is avoided. In addition, the implementing powers conferred on the </w:t>
            </w:r>
            <w:r w:rsidRPr="002B4A69">
              <w:rPr>
                <w:lang w:val="en-GB"/>
              </w:rPr>
              <w:t>Commission pursuant to Article 3</w:t>
            </w:r>
            <w:r w:rsidRPr="002B4A69">
              <w:rPr>
                <w:lang w:val="en-GB"/>
              </w:rPr>
              <w:t>ga(</w:t>
            </w:r>
            <w:r w:rsidRPr="002B4A69">
              <w:rPr>
                <w:lang w:val="en-GB"/>
              </w:rPr>
              <w:t xml:space="preserve">2) should be extended </w:t>
            </w:r>
            <w:r w:rsidRPr="002B4A69">
              <w:rPr>
                <w:lang w:val="en-GB"/>
              </w:rPr>
              <w:t>in order to</w:t>
            </w:r>
            <w:r w:rsidRPr="002B4A69">
              <w:rPr>
                <w:lang w:val="en-GB"/>
              </w:rPr>
              <w:t xml:space="preserve"> </w:t>
            </w:r>
            <w:r w:rsidRPr="002B4A69">
              <w:rPr>
                <w:lang w:val="en-GB"/>
              </w:rPr>
              <w:t>take into account</w:t>
            </w:r>
            <w:r w:rsidRPr="002B4A69">
              <w:rPr>
                <w:lang w:val="en-GB"/>
              </w:rPr>
              <w:t xml:space="preserve"> the changes to the measure that aims to further limit the risk of evasive port calls and relocation of container transhipment activities. Those implementing powers be exercised in accordance with Regulation (EU) No 182/2011.</w:t>
            </w:r>
          </w:p>
        </w:tc>
        <w:tc>
          <w:tcPr>
            <w:tcW w:w="4876" w:type="dxa"/>
          </w:tcPr>
          <w:p w:rsidR="001F04EE" w:rsidRPr="002B4A69" w:rsidP="00723F81" w14:paraId="7E3C4AB0" w14:textId="77777777">
            <w:pPr>
              <w:pStyle w:val="Normal6"/>
              <w:rPr>
                <w:szCs w:val="24"/>
                <w:lang w:val="en-GB"/>
              </w:rPr>
            </w:pPr>
            <w:r w:rsidRPr="002B4A69">
              <w:rPr>
                <w:lang w:val="en-GB"/>
              </w:rPr>
              <w:t>(93)</w:t>
            </w:r>
            <w:r w:rsidRPr="002B4A69">
              <w:rPr>
                <w:lang w:val="en-GB"/>
              </w:rPr>
              <w:tab/>
              <w:t xml:space="preserve">In order to ensure uniform conditions for the implementation of Articles 4 to 7 of Directive 2003/87/EC concerning the granting, suspension and withdrawing of greenhouse gas emissions permits by competent authorities, Article 10a(3b) to (3d) of Directive 2003/87/EC on the decarbonisation investment in the EU conditionality rules for free allocation concerning the format and content of the Invest in EU decarbonisation </w:t>
            </w:r>
            <w:r w:rsidRPr="002B4A69">
              <w:rPr>
                <w:lang w:val="en-GB"/>
              </w:rPr>
              <w:t>plans,implementing</w:t>
            </w:r>
            <w:r w:rsidRPr="002B4A69">
              <w:rPr>
                <w:lang w:val="en-GB"/>
              </w:rPr>
              <w:t xml:space="preserve"> powers should be conferred on the Commission. In addition, to ensure uniform conditions for the implementation of the reservation and allocation mechanism pursuant to Article 3gaa of Directive 2003/87/EC as regards the non-Union ports and third countries in respect of which a derogation from the origin requirements should apply, implementing powers should be conferred on the Commission. The implementing powers conferred on the Commission pursuant to Article 14 of Directive 2003/87/EC should be extended to establish the accounting of emissions from synthetic fuels, to ensure that emissions are accounted for and that double counting is avoided. In addition, the implementing powers conferred on the Commission pursuant to Article 3</w:t>
            </w:r>
            <w:r w:rsidRPr="002B4A69">
              <w:rPr>
                <w:lang w:val="en-GB"/>
              </w:rPr>
              <w:t>ga(</w:t>
            </w:r>
            <w:r w:rsidRPr="002B4A69">
              <w:rPr>
                <w:lang w:val="en-GB"/>
              </w:rPr>
              <w:t xml:space="preserve">2) should be extended </w:t>
            </w:r>
            <w:r w:rsidRPr="002B4A69">
              <w:rPr>
                <w:lang w:val="en-GB"/>
              </w:rPr>
              <w:t>in order to</w:t>
            </w:r>
            <w:r w:rsidRPr="002B4A69">
              <w:rPr>
                <w:lang w:val="en-GB"/>
              </w:rPr>
              <w:t xml:space="preserve"> </w:t>
            </w:r>
            <w:r w:rsidRPr="002B4A69">
              <w:rPr>
                <w:lang w:val="en-GB"/>
              </w:rPr>
              <w:t>take into account</w:t>
            </w:r>
            <w:r w:rsidRPr="002B4A69">
              <w:rPr>
                <w:lang w:val="en-GB"/>
              </w:rPr>
              <w:t xml:space="preserve"> the changes to the measure that aims to further </w:t>
            </w:r>
            <w:r w:rsidRPr="002B4A69">
              <w:rPr>
                <w:lang w:val="en-GB"/>
              </w:rPr>
              <w:t>limit the risk of evasive port calls and relocation of container transhipment activities. Those implementing powers be exercised in accordance with Regulation (EU) No 182/2011.</w:t>
            </w:r>
          </w:p>
        </w:tc>
      </w:tr>
    </w:tbl>
    <w:p w:rsidR="001F04EE" w:rsidRPr="002B4A69" w:rsidP="001F04EE" w14:paraId="274788DD"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E5A4A77" w14:textId="77777777">
      <w:r w:rsidRPr="002B4A69">
        <w:rPr>
          <w:rStyle w:val="HideTWBExt"/>
        </w:rPr>
        <w:t>&lt;/Amend&gt;</w:t>
      </w:r>
    </w:p>
    <w:p w:rsidR="001F04EE" w:rsidRPr="002B4A69" w:rsidP="001F04EE" w14:paraId="09CAB2D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639</w:t>
      </w:r>
      <w:r w:rsidRPr="002B4A69">
        <w:rPr>
          <w:rStyle w:val="HideTWBExt"/>
          <w:b w:val="0"/>
          <w:lang w:val="en-GB"/>
        </w:rPr>
        <w:t>&lt;/NumAm&gt;</w:t>
      </w:r>
    </w:p>
    <w:p w:rsidR="001F04EE" w:rsidRPr="002B4A69" w:rsidP="001F04EE" w14:paraId="403ABC24" w14:textId="77777777">
      <w:pPr>
        <w:pStyle w:val="NormalBold"/>
      </w:pPr>
      <w:r w:rsidRPr="002B4A69">
        <w:rPr>
          <w:rStyle w:val="HideTWBExt"/>
          <w:b w:val="0"/>
        </w:rPr>
        <w:t>&lt;RepeatBlock-By&gt;&lt;Members&gt;</w:t>
      </w:r>
      <w:r w:rsidRPr="002B4A6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2B4A69">
        <w:rPr>
          <w:rStyle w:val="HideTWBExt"/>
          <w:b w:val="0"/>
        </w:rPr>
        <w:t>&lt;/Members&gt;</w:t>
      </w:r>
    </w:p>
    <w:p w:rsidR="001F04EE" w:rsidRPr="002B4A69" w:rsidP="001F04EE" w14:paraId="28507E1B" w14:textId="77777777">
      <w:r w:rsidRPr="002B4A69">
        <w:rPr>
          <w:rStyle w:val="HideTWBExt"/>
        </w:rPr>
        <w:t>&lt;/RepeatBlock-By&gt;</w:t>
      </w:r>
    </w:p>
    <w:p w:rsidR="001F04EE" w:rsidRPr="002B4A69" w:rsidP="001F04EE" w14:paraId="3302A129"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6ED6316" w14:textId="77777777">
      <w:pPr>
        <w:pStyle w:val="NormalBold"/>
      </w:pPr>
      <w:r w:rsidRPr="002B4A69">
        <w:rPr>
          <w:rStyle w:val="HideTWBExt"/>
          <w:b w:val="0"/>
        </w:rPr>
        <w:t>&lt;Article&gt;</w:t>
      </w:r>
      <w:r w:rsidRPr="002B4A69">
        <w:t>Recital 94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6A697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BFEF784" w14:textId="77777777">
            <w:pPr>
              <w:keepNext/>
            </w:pPr>
          </w:p>
        </w:tc>
      </w:tr>
      <w:tr w14:paraId="787195D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05C7391" w14:textId="77777777">
            <w:pPr>
              <w:pStyle w:val="ColumnHeading"/>
              <w:keepNext/>
              <w:rPr>
                <w:lang w:val="en-GB"/>
              </w:rPr>
            </w:pPr>
            <w:r w:rsidRPr="002B4A69">
              <w:rPr>
                <w:lang w:val="en-GB"/>
              </w:rPr>
              <w:t>Text proposed by the Commission</w:t>
            </w:r>
          </w:p>
        </w:tc>
        <w:tc>
          <w:tcPr>
            <w:tcW w:w="4876" w:type="dxa"/>
          </w:tcPr>
          <w:p w:rsidR="001F04EE" w:rsidRPr="002B4A69" w:rsidP="00723F81" w14:paraId="45CA2EC8" w14:textId="77777777">
            <w:pPr>
              <w:pStyle w:val="ColumnHeading"/>
              <w:keepNext/>
              <w:rPr>
                <w:lang w:val="en-GB"/>
              </w:rPr>
            </w:pPr>
            <w:r w:rsidRPr="002B4A69">
              <w:rPr>
                <w:lang w:val="en-GB"/>
              </w:rPr>
              <w:t>Amendment</w:t>
            </w:r>
          </w:p>
        </w:tc>
      </w:tr>
      <w:tr w14:paraId="22C4E22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88DEACA" w14:textId="77777777">
            <w:pPr>
              <w:pStyle w:val="Normal6"/>
              <w:rPr>
                <w:lang w:val="en-GB"/>
              </w:rPr>
            </w:pPr>
            <w:r w:rsidRPr="002B4A69">
              <w:rPr>
                <w:lang w:val="en-GB"/>
              </w:rPr>
              <w:t>(94)</w:t>
            </w:r>
            <w:r w:rsidRPr="002B4A69">
              <w:rPr>
                <w:lang w:val="en-GB"/>
              </w:rPr>
              <w:tab/>
              <w:t>In order to adopt non-legislative acts of general application to supplement or amend certain non-essential elements of a legislative act</w:t>
            </w:r>
            <w:r w:rsidRPr="002B4A69">
              <w:rPr>
                <w:b/>
                <w:i/>
                <w:lang w:val="en-GB"/>
              </w:rPr>
              <w:t xml:space="preserve">, the power to adopt acts in accordance with Article 290 TFEU should be delegated to the Commission in respect of supplementing the decarbonisation investment in the EU conditionality rules for free allocation in Article 10a(3b) to (3d) of Directive 2003/87/EC, with regards to the detailed conditions to form a pool rules on pooling under Article 10a(3d) and the repartition of liability between operators in that case, the detailed conditions for the derogations set out in the fifth and sixth subparagraphs of Article 10a(3c), the detailed timeline for the submission of the Invest in EU decarbonisation plans, the qualification as decarbonisation investments, the qualification as significant emissions reduction, and the determination of the </w:t>
            </w:r>
            <w:r w:rsidRPr="002B4A69">
              <w:rPr>
                <w:b/>
                <w:i/>
                <w:lang w:val="en-GB"/>
              </w:rPr>
              <w:t>economic value of the quantity of free allowances. In addition</w:t>
            </w:r>
            <w:r w:rsidRPr="002B4A69">
              <w:rPr>
                <w:lang w:val="en-GB"/>
              </w:rPr>
              <w:t xml:space="preserve">, the power to adopt acts in accordance with Article 290 TFEU should be delegated to the Commission in respect of supplementing Article 9c of Directive 2003/87/EC on the modalities for the purchase of carbon removals and auctioning of the corresponding allowances, and to supplement Articles 10cb, 10cc, 10cd and 10ce of Directive 2003/87/EC on the operation of the Innovation Fund and the Industrial Decarbonisation Bank. Moreover, the power to adopt acts in accordance with Article 290 TFEU should be delegated to the Commission in respect of supplementing Article 19 of Directive 2003/87/EC with regards to the conditions, modalities and procedures under which the Central Administrator makes use of revenues from the auctioning of allowances to cover expenses linked with the functioning and management of the EU ETS. The power to adopt such acts should also be delegated on the Commission to supplement Article 12(3b) concerning the requirements for considering that greenhouse gases have become permanently chemically bound or chemically bound and determine measures to address the risk of loopholes. The power to adopt acts in accordance with Article 290 TFEU should be delegated to the Commission to supplement Article 3gaa of Directive 2003/87/EC in respect of the detailed rules necessary for the application of the reservation and allocation of allowances for the use of sustainable maritime fuels and zero-emission propulsion technologies, as well as Article 3gab. In addition, the power to adopt the power to adopt acts in accordance with Article 290 of the Treaty on the Functioning of the European Union should be delegated to the Commission to supplement Article 25b of Directive 2003/87/EC in respect of the rules on the operation of ETS as a service and to amend Article 3ga(1) of that Directive in respect </w:t>
            </w:r>
            <w:r w:rsidRPr="002B4A69">
              <w:rPr>
                <w:lang w:val="en-GB"/>
              </w:rPr>
              <w:t>of the coverage of the remaining emissions released during a voyage between a port of call under the jurisdiction of a Member State and a port of call under the jurisdiction of a third country to which ETS as a service is provided.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2B4A69">
              <w:rPr>
                <w:vertAlign w:val="superscript"/>
                <w:lang w:val="en-GB"/>
              </w:rPr>
              <w:t>32</w:t>
            </w:r>
            <w:r w:rsidRPr="002B4A69">
              <w:rPr>
                <w:lang w:val="en-GB"/>
              </w:rPr>
              <w:t xml:space="preserve"> .</w:t>
            </w:r>
            <w:r w:rsidRPr="002B4A69">
              <w:rPr>
                <w:lang w:val="en-GB"/>
              </w:rPr>
              <w:t xml:space="preserve"> </w:t>
            </w:r>
            <w:r w:rsidRPr="002B4A69">
              <w:rPr>
                <w:lang w:val="en-GB"/>
              </w:rPr>
              <w:t>In particular, to</w:t>
            </w:r>
            <w:r w:rsidRPr="002B4A69">
              <w:rPr>
                <w:lang w:val="en-GB"/>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Pr>
          <w:p w:rsidR="001F04EE" w:rsidRPr="002B4A69" w:rsidP="00723F81" w14:paraId="37751C21" w14:textId="77777777">
            <w:pPr>
              <w:pStyle w:val="Normal6"/>
              <w:rPr>
                <w:szCs w:val="24"/>
                <w:lang w:val="en-GB"/>
              </w:rPr>
            </w:pPr>
            <w:r w:rsidRPr="002B4A69">
              <w:rPr>
                <w:lang w:val="en-GB"/>
              </w:rPr>
              <w:t>(94)</w:t>
            </w:r>
            <w:r w:rsidRPr="002B4A69">
              <w:rPr>
                <w:lang w:val="en-GB"/>
              </w:rPr>
              <w:tab/>
              <w:t xml:space="preserve">In order to adopt non-legislative acts of general application to supplement or amend certain non-essential elements of a legislative act, the power to adopt acts in accordance with Article 290 TFEU should be delegated to the Commission in respect of supplementing Article 9c of Directive 2003/87/EC on the modalities for the purchase of carbon removals and auctioning of the corresponding allowances, and to supplement Articles 10cb, 10cc, 10cd and 10ce of Directive 2003/87/EC on the operation of the Innovation Fund and the Industrial Decarbonisation Bank. Moreover, the power to adopt acts in accordance with Article 290 TFEU should be delegated to the Commission in respect of supplementing Article 19 of Directive 2003/87/EC with regards to the conditions, modalities and procedures under which the Central Administrator makes use of </w:t>
            </w:r>
            <w:r w:rsidRPr="002B4A69">
              <w:rPr>
                <w:lang w:val="en-GB"/>
              </w:rPr>
              <w:t>revenues from the auctioning of allowances to cover expenses linked with the functioning and management of the EU ETS. The power to adopt such acts should also be delegated on the Commission to supplement Article 12(3b) concerning the requirements for considering that greenhouse gases have become permanently chemically bound or chemically bound and determine measures to address the risk of loopholes. The power to adopt acts in accordance with Article 290 TFEU should be delegated to the Commission to supplement Article 3gaa of Directive 2003/87/EC in respect of the detailed rules necessary for the application of the reservation and allocation of allowances for the use of sustainable maritime fuels and zero-emission propulsion technologies, as well as Article 3gab. In addition, the power to adopt the power to adopt acts in accordance with Article 290 of the Treaty on the Functioning of the European Union should be delegated to the Commission to supplement Article 25b of Directive 2003/87/EC in respect of the rules on the operation of ETS as a service and to amend Article 3ga(1) of that Directive in respect of the coverage of the remaining emissions released during a voyage between a port of call under the jurisdiction of a Member State and a port of call under the jurisdiction of a third country to which ETS as a service is provided.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2B4A69">
              <w:rPr>
                <w:vertAlign w:val="superscript"/>
                <w:lang w:val="en-GB"/>
              </w:rPr>
              <w:t>32</w:t>
            </w:r>
            <w:r w:rsidRPr="002B4A69">
              <w:rPr>
                <w:lang w:val="en-GB"/>
              </w:rPr>
              <w:t xml:space="preserve"> .</w:t>
            </w:r>
            <w:r w:rsidRPr="002B4A69">
              <w:rPr>
                <w:lang w:val="en-GB"/>
              </w:rPr>
              <w:t xml:space="preserve"> </w:t>
            </w:r>
            <w:r w:rsidRPr="002B4A69">
              <w:rPr>
                <w:lang w:val="en-GB"/>
              </w:rPr>
              <w:t>In particular, to</w:t>
            </w:r>
            <w:r w:rsidRPr="002B4A69">
              <w:rPr>
                <w:lang w:val="en-GB"/>
              </w:rPr>
              <w:t xml:space="preserve"> ensure equal participation in the preparation of delegated acts, the European Parliament and the Council receive all documents at the same time as Member States’ experts, and their experts systematically have access to meetings of </w:t>
            </w:r>
            <w:r w:rsidRPr="002B4A69">
              <w:rPr>
                <w:lang w:val="en-GB"/>
              </w:rPr>
              <w:t>Commission expert groups dealing with the preparation of delegated acts.</w:t>
            </w:r>
          </w:p>
        </w:tc>
      </w:tr>
      <w:tr w14:paraId="60392824"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625970F" w14:textId="77777777">
            <w:pPr>
              <w:pStyle w:val="Normal6"/>
              <w:rPr>
                <w:lang w:val="en-GB"/>
              </w:rPr>
            </w:pPr>
            <w:r w:rsidRPr="002B4A69">
              <w:rPr>
                <w:lang w:val="en-GB"/>
              </w:rPr>
              <w:t>__________________</w:t>
            </w:r>
          </w:p>
        </w:tc>
        <w:tc>
          <w:tcPr>
            <w:tcW w:w="4876" w:type="dxa"/>
          </w:tcPr>
          <w:p w:rsidR="001F04EE" w:rsidRPr="002B4A69" w:rsidP="00723F81" w14:paraId="1B211BEE" w14:textId="77777777">
            <w:pPr>
              <w:pStyle w:val="Normal6"/>
              <w:rPr>
                <w:szCs w:val="24"/>
                <w:lang w:val="en-GB"/>
              </w:rPr>
            </w:pPr>
            <w:r w:rsidRPr="002B4A69">
              <w:rPr>
                <w:lang w:val="en-GB"/>
              </w:rPr>
              <w:t>__________________</w:t>
            </w:r>
          </w:p>
        </w:tc>
      </w:tr>
      <w:tr w14:paraId="59228F4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BC5CD24" w14:textId="77777777">
            <w:pPr>
              <w:pStyle w:val="Normal6"/>
              <w:rPr>
                <w:lang w:val="en-GB"/>
              </w:rPr>
            </w:pPr>
            <w:r w:rsidRPr="002B4A69">
              <w:rPr>
                <w:vertAlign w:val="superscript"/>
                <w:lang w:val="en-GB"/>
              </w:rPr>
              <w:t>32</w:t>
            </w:r>
            <w:r w:rsidRPr="002B4A69">
              <w:rPr>
                <w:lang w:val="en-GB"/>
              </w:rPr>
              <w:t xml:space="preserve"> OJ L 123, 12.5.2016, p. 1, ELI: http://data.europa.eu/eli/agree_interinstit/2016/512/oj.</w:t>
            </w:r>
          </w:p>
        </w:tc>
        <w:tc>
          <w:tcPr>
            <w:tcW w:w="4876" w:type="dxa"/>
          </w:tcPr>
          <w:p w:rsidR="001F04EE" w:rsidRPr="002B4A69" w:rsidP="00723F81" w14:paraId="3E5B8C4F" w14:textId="77777777">
            <w:pPr>
              <w:pStyle w:val="Normal6"/>
              <w:rPr>
                <w:szCs w:val="24"/>
                <w:lang w:val="en-GB"/>
              </w:rPr>
            </w:pPr>
            <w:r w:rsidRPr="002B4A69">
              <w:rPr>
                <w:vertAlign w:val="superscript"/>
                <w:lang w:val="en-GB"/>
              </w:rPr>
              <w:t>32</w:t>
            </w:r>
            <w:r w:rsidRPr="002B4A69">
              <w:rPr>
                <w:lang w:val="en-GB"/>
              </w:rPr>
              <w:t xml:space="preserve"> OJ L 123, 12.5.2016, p. 1, ELI: http://data.europa.eu/eli/agree_interinstit/2016/512/oj.</w:t>
            </w:r>
          </w:p>
        </w:tc>
      </w:tr>
    </w:tbl>
    <w:p w:rsidR="001F04EE" w:rsidRPr="002B4A69" w:rsidP="001F04EE" w14:paraId="1DE0B706"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0DA152E" w14:textId="77777777">
      <w:r w:rsidRPr="002B4A69">
        <w:rPr>
          <w:rStyle w:val="HideTWBExt"/>
        </w:rPr>
        <w:t>&lt;/Amend&gt;</w:t>
      </w:r>
    </w:p>
    <w:p w:rsidR="001F04EE" w:rsidRPr="002B4A69" w:rsidP="001F04EE" w14:paraId="65FBA63A"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640</w:t>
      </w:r>
      <w:r w:rsidRPr="002B4A69">
        <w:rPr>
          <w:rStyle w:val="HideTWBExt"/>
          <w:b w:val="0"/>
          <w:lang w:val="en-GB"/>
        </w:rPr>
        <w:t>&lt;/NumAm&gt;</w:t>
      </w:r>
    </w:p>
    <w:p w:rsidR="001F04EE" w:rsidRPr="002B4A69" w:rsidP="001F04EE" w14:paraId="0224DEFC" w14:textId="77777777">
      <w:pPr>
        <w:pStyle w:val="NormalBold"/>
      </w:pPr>
      <w:r w:rsidRPr="002B4A69">
        <w:rPr>
          <w:rStyle w:val="HideTWBExt"/>
          <w:b w:val="0"/>
        </w:rPr>
        <w:t>&lt;RepeatBlock-By&gt;&lt;Members&gt;</w:t>
      </w:r>
      <w:r w:rsidRPr="002B4A69">
        <w:t>Ondřej Knotek, Jana Nagyová, Antonín Staněk, Viktória Ferenc</w:t>
      </w:r>
      <w:r w:rsidRPr="002B4A69">
        <w:rPr>
          <w:rStyle w:val="HideTWBExt"/>
          <w:b w:val="0"/>
        </w:rPr>
        <w:t>&lt;/Members&gt;</w:t>
      </w:r>
    </w:p>
    <w:p w:rsidR="001F04EE" w:rsidRPr="002B4A69" w:rsidP="001F04EE" w14:paraId="5B8B09D7" w14:textId="77777777">
      <w:r w:rsidRPr="002B4A69">
        <w:rPr>
          <w:rStyle w:val="HideTWBExt"/>
        </w:rPr>
        <w:t>&lt;/RepeatBlock-By&gt;</w:t>
      </w:r>
    </w:p>
    <w:p w:rsidR="001F04EE" w:rsidRPr="002B4A69" w:rsidP="001F04EE" w14:paraId="000561F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698BF793" w14:textId="77777777">
      <w:pPr>
        <w:pStyle w:val="NormalBold"/>
      </w:pPr>
      <w:r w:rsidRPr="002B4A69">
        <w:rPr>
          <w:rStyle w:val="HideTWBExt"/>
          <w:b w:val="0"/>
        </w:rPr>
        <w:t>&lt;Article&gt;</w:t>
      </w:r>
      <w:r w:rsidRPr="002B4A69">
        <w:t>Recital 94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EE166E"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39A5C11C" w14:textId="77777777">
            <w:pPr>
              <w:keepNext/>
            </w:pPr>
          </w:p>
        </w:tc>
      </w:tr>
      <w:tr w14:paraId="6869AE5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6DF49D6" w14:textId="77777777">
            <w:pPr>
              <w:pStyle w:val="ColumnHeading"/>
              <w:keepNext/>
              <w:rPr>
                <w:lang w:val="en-GB"/>
              </w:rPr>
            </w:pPr>
            <w:r w:rsidRPr="002B4A69">
              <w:rPr>
                <w:lang w:val="en-GB"/>
              </w:rPr>
              <w:t>Text proposed by the Commission</w:t>
            </w:r>
          </w:p>
        </w:tc>
        <w:tc>
          <w:tcPr>
            <w:tcW w:w="4876" w:type="dxa"/>
          </w:tcPr>
          <w:p w:rsidR="001F04EE" w:rsidRPr="002B4A69" w:rsidP="00723F81" w14:paraId="0F206259" w14:textId="77777777">
            <w:pPr>
              <w:pStyle w:val="ColumnHeading"/>
              <w:keepNext/>
              <w:rPr>
                <w:lang w:val="en-GB"/>
              </w:rPr>
            </w:pPr>
            <w:r w:rsidRPr="002B4A69">
              <w:rPr>
                <w:lang w:val="en-GB"/>
              </w:rPr>
              <w:t>Amendment</w:t>
            </w:r>
          </w:p>
        </w:tc>
      </w:tr>
      <w:tr w14:paraId="70DC533B"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9535BA3" w14:textId="77777777">
            <w:pPr>
              <w:pStyle w:val="Normal6"/>
              <w:rPr>
                <w:lang w:val="en-GB"/>
              </w:rPr>
            </w:pPr>
            <w:r w:rsidRPr="002B4A69">
              <w:rPr>
                <w:lang w:val="en-GB"/>
              </w:rPr>
              <w:t>(94)</w:t>
            </w:r>
            <w:r w:rsidRPr="002B4A69">
              <w:rPr>
                <w:lang w:val="en-GB"/>
              </w:rPr>
              <w:tab/>
              <w:t xml:space="preserve">In order to adopt non-legislative acts of general application to supplement or amend certain non-essential elements of a legislative act, the power to adopt acts in accordance with Article 290 TFEU should be delegated to the Commission in respect of supplementing the decarbonisation investment in the EU conditionality rules for free allocation in Article 10a(3b) to </w:t>
            </w:r>
            <w:r w:rsidRPr="002B4A69">
              <w:rPr>
                <w:lang w:val="en-GB"/>
              </w:rPr>
              <w:t xml:space="preserve">(3d) of Directive 2003/87/EC, with regards to the detailed conditions to form a pool rules on pooling under Article 10a(3d) and the repartition of liability between operators in that case, the detailed conditions for the derogations set out in the fifth and sixth subparagraphs of Article 10a(3c), the detailed timeline for the submission of the Invest in EU decarbonisation plans, the qualification as decarbonisation investments, the qualification as significant emissions reduction, and the determination of the economic value of the quantity of free allowances. In addition, the power to adopt acts in accordance with Article 290 TFEU should be delegated to the Commission in respect of supplementing Article 9c of Directive 2003/87/EC on the modalities for the purchase of carbon removals and auctioning of the corresponding allowances, and to supplement Articles 10cb, 10cc, 10cd and 10ce of Directive 2003/87/EC on the operation of the Innovation Fund and the Industrial Decarbonisation Bank. Moreover, the power to adopt acts in accordance with Article 290 TFEU should be delegated to the Commission in respect of supplementing Article 19 of Directive 2003/87/EC with regards to the conditions, modalities and procedures under which the Central Administrator makes use of revenues from the auctioning of allowances to cover expenses linked with the functioning and management of the EU ETS. The power to adopt such acts should also be delegated on the Commission to supplement Article 12(3b) concerning the requirements for considering that greenhouse gases have become permanently chemically bound or chemically bound and determine measures to address the risk of loopholes. The power to adopt acts in accordance with Article 290 TFEU should be delegated to the Commission to supplement Article 3gaa of Directive 2003/87/EC in respect of the detailed rules necessary for the application </w:t>
            </w:r>
            <w:r w:rsidRPr="002B4A69">
              <w:rPr>
                <w:lang w:val="en-GB"/>
              </w:rPr>
              <w:t xml:space="preserve">of the reservation and allocation of allowances for the use of sustainable maritime fuels and zero-emission propulsion technologies, as well as Article 3gab. </w:t>
            </w:r>
            <w:r w:rsidRPr="002B4A69">
              <w:rPr>
                <w:b/>
                <w:i/>
                <w:lang w:val="en-GB"/>
              </w:rPr>
              <w:t>In addition, the power to adopt the power to adopt acts in accordance with Article 290 of the Treaty on the Functioning of the European Union should be delegated to the Commission to supplement Article 25b of Directive 2003/87/EC in respect of the rules on the operation of ETS as a service and to amend Article 3ga(1) of that Directive in respect of the coverage of the remaining emissions released during a voyage between a port of call under the jurisdiction of a Member State and a port of call under the jurisdiction of a third country to which ETS as a service is provided.</w:t>
            </w:r>
            <w:r w:rsidRPr="002B4A69">
              <w:rPr>
                <w:lang w:val="en-GB"/>
              </w:rPr>
              <w:t xml:space="preserve">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2B4A69">
              <w:rPr>
                <w:vertAlign w:val="superscript"/>
                <w:lang w:val="en-GB"/>
              </w:rPr>
              <w:t>32</w:t>
            </w:r>
            <w:r w:rsidRPr="002B4A69">
              <w:rPr>
                <w:lang w:val="en-GB"/>
              </w:rPr>
              <w:t xml:space="preserve"> .</w:t>
            </w:r>
            <w:r w:rsidRPr="002B4A69">
              <w:rPr>
                <w:lang w:val="en-GB"/>
              </w:rPr>
              <w:t xml:space="preserve"> </w:t>
            </w:r>
            <w:r w:rsidRPr="002B4A69">
              <w:rPr>
                <w:lang w:val="en-GB"/>
              </w:rPr>
              <w:t>In particular, to</w:t>
            </w:r>
            <w:r w:rsidRPr="002B4A69">
              <w:rPr>
                <w:lang w:val="en-GB"/>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Pr>
          <w:p w:rsidR="001F04EE" w:rsidRPr="002B4A69" w:rsidP="00723F81" w14:paraId="4DEF4FFC" w14:textId="77777777">
            <w:pPr>
              <w:pStyle w:val="Normal6"/>
              <w:rPr>
                <w:szCs w:val="24"/>
                <w:lang w:val="en-GB"/>
              </w:rPr>
            </w:pPr>
            <w:r w:rsidRPr="002B4A69">
              <w:rPr>
                <w:lang w:val="en-GB"/>
              </w:rPr>
              <w:t>(94)</w:t>
            </w:r>
            <w:r w:rsidRPr="002B4A69">
              <w:rPr>
                <w:lang w:val="en-GB"/>
              </w:rPr>
              <w:tab/>
              <w:t xml:space="preserve">In order to adopt non-legislative acts of general application to supplement or amend certain non-essential elements of a legislative act, the power to adopt acts in accordance with Article 290 TFEU should be delegated to the Commission in respect of supplementing the decarbonisation investment in the EU conditionality rules for free allocation in Article 10a(3b) to </w:t>
            </w:r>
            <w:r w:rsidRPr="002B4A69">
              <w:rPr>
                <w:lang w:val="en-GB"/>
              </w:rPr>
              <w:t xml:space="preserve">(3d) of Directive 2003/87/EC, with regards to the detailed conditions to form a pool rules on pooling under Article 10a(3d) and the repartition of liability between operators in that case, the detailed conditions for the derogations set out in the fifth and sixth subparagraphs of Article 10a(3c), the detailed timeline for the submission of the Invest in EU decarbonisation plans, the qualification as decarbonisation investments, the qualification as significant emissions reduction, and the determination of the economic value of the quantity of free allowances. In addition, the power to adopt acts in accordance with Article 290 TFEU should be delegated to the Commission in respect of supplementing Article 9c of Directive 2003/87/EC on the modalities for the purchase of carbon removals and auctioning of the corresponding allowances, and to supplement Articles 10cb, 10cc, 10cd and 10ce of Directive 2003/87/EC on the operation of the Innovation Fund and the Industrial Decarbonisation Bank. Moreover, the power to adopt acts in accordance with Article 290 TFEU should be delegated to the Commission in respect of supplementing Article 19 of Directive 2003/87/EC with regards to the conditions, modalities and procedures under which the Central Administrator makes use of revenues from the auctioning of allowances to cover expenses linked with the functioning and management of the EU ETS. The power to adopt such acts should also be delegated on the Commission to supplement Article 12(3b) concerning the requirements for considering that greenhouse gases have become permanently chemically bound or chemically bound and determine measures to address the risk of loopholes. The power to adopt acts in accordance with Article 290 TFEU should be delegated to the Commission to supplement Article 3gaa of Directive 2003/87/EC in respect of the detailed rules necessary for the application </w:t>
            </w:r>
            <w:r w:rsidRPr="002B4A69">
              <w:rPr>
                <w:lang w:val="en-GB"/>
              </w:rPr>
              <w:t>of the reservation and allocation of allowances for the use of sustainable maritime fuels and zero-emission propulsion technologies, as well as Article 3gab.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2B4A69">
              <w:rPr>
                <w:vertAlign w:val="superscript"/>
                <w:lang w:val="en-GB"/>
              </w:rPr>
              <w:t>32</w:t>
            </w:r>
            <w:r w:rsidRPr="002B4A69">
              <w:rPr>
                <w:lang w:val="en-GB"/>
              </w:rPr>
              <w:t xml:space="preserve"> .</w:t>
            </w:r>
            <w:r w:rsidRPr="002B4A69">
              <w:rPr>
                <w:lang w:val="en-GB"/>
              </w:rPr>
              <w:t xml:space="preserve"> </w:t>
            </w:r>
            <w:r w:rsidRPr="002B4A69">
              <w:rPr>
                <w:lang w:val="en-GB"/>
              </w:rPr>
              <w:t>In particular, to</w:t>
            </w:r>
            <w:r w:rsidRPr="002B4A69">
              <w:rPr>
                <w:lang w:val="en-GB"/>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14:paraId="0C350D3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F71F2B9" w14:textId="77777777">
            <w:pPr>
              <w:pStyle w:val="Normal6"/>
              <w:rPr>
                <w:lang w:val="en-GB"/>
              </w:rPr>
            </w:pPr>
            <w:r w:rsidRPr="002B4A69">
              <w:rPr>
                <w:lang w:val="en-GB"/>
              </w:rPr>
              <w:t>__________________</w:t>
            </w:r>
          </w:p>
        </w:tc>
        <w:tc>
          <w:tcPr>
            <w:tcW w:w="4876" w:type="dxa"/>
          </w:tcPr>
          <w:p w:rsidR="001F04EE" w:rsidRPr="002B4A69" w:rsidP="00723F81" w14:paraId="61797973" w14:textId="77777777">
            <w:pPr>
              <w:pStyle w:val="Normal6"/>
              <w:rPr>
                <w:szCs w:val="24"/>
                <w:lang w:val="en-GB"/>
              </w:rPr>
            </w:pPr>
            <w:r w:rsidRPr="002B4A69">
              <w:rPr>
                <w:lang w:val="en-GB"/>
              </w:rPr>
              <w:t>__________________</w:t>
            </w:r>
          </w:p>
        </w:tc>
      </w:tr>
      <w:tr w14:paraId="1F2AD7C9"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A49BC8B" w14:textId="77777777">
            <w:pPr>
              <w:pStyle w:val="Normal6"/>
              <w:rPr>
                <w:lang w:val="en-GB"/>
              </w:rPr>
            </w:pPr>
            <w:r w:rsidRPr="002B4A69">
              <w:rPr>
                <w:vertAlign w:val="superscript"/>
                <w:lang w:val="en-GB"/>
              </w:rPr>
              <w:t>32</w:t>
            </w:r>
            <w:r w:rsidRPr="002B4A69">
              <w:rPr>
                <w:lang w:val="en-GB"/>
              </w:rPr>
              <w:t xml:space="preserve"> OJ L 123, 12.5.2016, p. 1, ELI: http://data.europa.eu/eli/agree_interinstit/2016/512/oj.</w:t>
            </w:r>
          </w:p>
        </w:tc>
        <w:tc>
          <w:tcPr>
            <w:tcW w:w="4876" w:type="dxa"/>
          </w:tcPr>
          <w:p w:rsidR="001F04EE" w:rsidRPr="002B4A69" w:rsidP="00723F81" w14:paraId="29D3031A" w14:textId="77777777">
            <w:pPr>
              <w:pStyle w:val="Normal6"/>
              <w:rPr>
                <w:szCs w:val="24"/>
                <w:lang w:val="en-GB"/>
              </w:rPr>
            </w:pPr>
            <w:r w:rsidRPr="002B4A69">
              <w:rPr>
                <w:vertAlign w:val="superscript"/>
                <w:lang w:val="en-GB"/>
              </w:rPr>
              <w:t>32</w:t>
            </w:r>
            <w:r w:rsidRPr="002B4A69">
              <w:rPr>
                <w:lang w:val="en-GB"/>
              </w:rPr>
              <w:t xml:space="preserve"> OJ L 123, 12.5.2016, p. 1, ELI: http://data.europa.eu/eli/agree_interinstit/2016/512/oj.</w:t>
            </w:r>
          </w:p>
        </w:tc>
      </w:tr>
    </w:tbl>
    <w:p w:rsidR="001F04EE" w:rsidRPr="002B4A69" w:rsidP="001F04EE" w14:paraId="49A4FD9B"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9A1F701" w14:textId="77777777">
      <w:r w:rsidRPr="002B4A69">
        <w:rPr>
          <w:rStyle w:val="HideTWBExt"/>
        </w:rPr>
        <w:t>&lt;/Amend&gt;</w:t>
      </w:r>
    </w:p>
    <w:p w:rsidR="001F04EE" w:rsidRPr="002B4A69" w:rsidP="001F04EE" w14:paraId="6E301C6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641</w:t>
      </w:r>
      <w:r w:rsidRPr="002B4A69">
        <w:rPr>
          <w:rStyle w:val="HideTWBExt"/>
          <w:b w:val="0"/>
          <w:lang w:val="en-GB"/>
        </w:rPr>
        <w:t>&lt;/NumAm&gt;</w:t>
      </w:r>
    </w:p>
    <w:p w:rsidR="001F04EE" w:rsidRPr="002B4A69" w:rsidP="001F04EE" w14:paraId="46BDB73D"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772B7EB1" w14:textId="77777777">
      <w:r w:rsidRPr="002B4A69">
        <w:rPr>
          <w:rStyle w:val="HideTWBExt"/>
        </w:rPr>
        <w:t>&lt;/RepeatBlock-By&gt;</w:t>
      </w:r>
    </w:p>
    <w:p w:rsidR="001F04EE" w:rsidRPr="002B4A69" w:rsidP="001F04EE" w14:paraId="5AA83CD7"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332FDB8" w14:textId="77777777">
      <w:pPr>
        <w:pStyle w:val="NormalBold"/>
      </w:pPr>
      <w:r w:rsidRPr="002B4A69">
        <w:rPr>
          <w:rStyle w:val="HideTWBExt"/>
          <w:b w:val="0"/>
        </w:rPr>
        <w:t>&lt;Article&gt;</w:t>
      </w:r>
      <w:r w:rsidRPr="002B4A69">
        <w:t>Recital 94</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CDDB86"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63C27C0" w14:textId="77777777">
            <w:pPr>
              <w:keepNext/>
            </w:pPr>
          </w:p>
        </w:tc>
      </w:tr>
      <w:tr w14:paraId="22BCF2C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06B8E4D" w14:textId="77777777">
            <w:pPr>
              <w:pStyle w:val="ColumnHeading"/>
              <w:keepNext/>
              <w:rPr>
                <w:lang w:val="en-GB"/>
              </w:rPr>
            </w:pPr>
            <w:r w:rsidRPr="002B4A69">
              <w:rPr>
                <w:lang w:val="en-GB"/>
              </w:rPr>
              <w:t>Text proposed by the Commission</w:t>
            </w:r>
          </w:p>
        </w:tc>
        <w:tc>
          <w:tcPr>
            <w:tcW w:w="4876" w:type="dxa"/>
          </w:tcPr>
          <w:p w:rsidR="001F04EE" w:rsidRPr="002B4A69" w:rsidP="00723F81" w14:paraId="193F0C06" w14:textId="77777777">
            <w:pPr>
              <w:pStyle w:val="ColumnHeading"/>
              <w:keepNext/>
              <w:rPr>
                <w:lang w:val="en-GB"/>
              </w:rPr>
            </w:pPr>
            <w:r w:rsidRPr="002B4A69">
              <w:rPr>
                <w:lang w:val="en-GB"/>
              </w:rPr>
              <w:t>Amendment</w:t>
            </w:r>
          </w:p>
        </w:tc>
      </w:tr>
      <w:tr w14:paraId="7FED602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45BBC49E" w14:textId="77777777">
            <w:pPr>
              <w:pStyle w:val="Normal6"/>
              <w:rPr>
                <w:lang w:val="en-GB"/>
              </w:rPr>
            </w:pPr>
            <w:r w:rsidRPr="002B4A69">
              <w:rPr>
                <w:lang w:val="en-GB"/>
              </w:rPr>
              <w:t>(94)</w:t>
            </w:r>
            <w:r w:rsidRPr="002B4A69">
              <w:rPr>
                <w:lang w:val="en-GB"/>
              </w:rPr>
              <w:tab/>
              <w:t xml:space="preserve">In order to adopt non-legislative acts of general application to supplement or amend certain non-essential elements of a legislative act, the power to adopt acts in accordance with Article 290 TFEU should be delegated to the Commission in respect of supplementing the decarbonisation investment in the EU conditionality rules for free allocation in Article 10a(3b) to (3d) of Directive 2003/87/EC, with regards to the detailed conditions to form a pool rules on pooling under Article 10a(3d) and the repartition of liability between operators in that case, the detailed conditions for the derogations set out in the fifth and sixth subparagraphs of Article 10a(3c), the detailed timeline for the submission of the Invest in EU decarbonisation plans, the qualification as decarbonisation investments, the qualification as significant emissions reduction, and the determination of the economic value of the quantity of free allowances. In addition, the power to adopt acts in accordance with Article 290 TFEU should be delegated to the Commission in respect of supplementing Article 9c of Directive 2003/87/EC on the modalities for the purchase of carbon removals and auctioning of the corresponding allowances, and to supplement Articles 10cb, 10cc, 10cd and 10ce of Directive 2003/87/EC on the operation of the Innovation Fund and the Industrial Decarbonisation Bank. Moreover, the power to adopt acts in accordance with Article 290 TFEU should be delegated to the Commission in respect of supplementing Article 19 of Directive 2003/87/EC with regards to the conditions, modalities and procedures under which the Central Administrator makes use of revenues from the auctioning of allowances to cover expenses linked with the </w:t>
            </w:r>
            <w:r w:rsidRPr="002B4A69">
              <w:rPr>
                <w:lang w:val="en-GB"/>
              </w:rPr>
              <w:t>functioning and management of the EU ETS. The power to adopt such acts should also be delegated on the Commission to supplement Article 12(3b) concerning the requirements for considering that greenhouse gases have become permanently chemically bound or chemically bound and determine measures to address the risk of loopholes. The power to adopt acts in accordance with Article 290 TFEU should be delegated to the Commission to supplement Article 3gaa of Directive 2003/87/EC in respect of the detailed rules necessary for the application of the reservation and allocation of allowances for the use of sustainable maritime fuels and zero-emission propulsion technologies, as well as Article 3gab. In addition, the power to adopt the power to adopt acts in accordance with Article 290 of the Treaty on the Functioning of the European Union should be delegated to the Commission to supplement Article 25b of Directive 2003/87/EC in respect of the rules on the operation of ETS as a service and to amend Article 3ga(1) of that Directive in respect of the coverage of the remaining emissions released during a voyage between a port of call under the jurisdiction of a Member State and a port of call under the jurisdiction of a third country to which ETS as a service is provided.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2B4A69">
              <w:rPr>
                <w:vertAlign w:val="superscript"/>
                <w:lang w:val="en-GB"/>
              </w:rPr>
              <w:t>32</w:t>
            </w:r>
            <w:r w:rsidRPr="002B4A69">
              <w:rPr>
                <w:lang w:val="en-GB"/>
              </w:rPr>
              <w:t xml:space="preserve"> .</w:t>
            </w:r>
            <w:r w:rsidRPr="002B4A69">
              <w:rPr>
                <w:lang w:val="en-GB"/>
              </w:rPr>
              <w:t xml:space="preserve"> </w:t>
            </w:r>
            <w:r w:rsidRPr="002B4A69">
              <w:rPr>
                <w:lang w:val="en-GB"/>
              </w:rPr>
              <w:t>In particular, to</w:t>
            </w:r>
            <w:r w:rsidRPr="002B4A69">
              <w:rPr>
                <w:lang w:val="en-GB"/>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w:t>
            </w:r>
            <w:r w:rsidRPr="002B4A69">
              <w:rPr>
                <w:lang w:val="en-GB"/>
              </w:rPr>
              <w:t>preparation of delegated acts.</w:t>
            </w:r>
          </w:p>
        </w:tc>
        <w:tc>
          <w:tcPr>
            <w:tcW w:w="4876" w:type="dxa"/>
          </w:tcPr>
          <w:p w:rsidR="001F04EE" w:rsidRPr="002B4A69" w:rsidP="00723F81" w14:paraId="4F72BDEF" w14:textId="77777777">
            <w:pPr>
              <w:pStyle w:val="Normal6"/>
              <w:rPr>
                <w:szCs w:val="24"/>
                <w:lang w:val="en-GB"/>
              </w:rPr>
            </w:pPr>
            <w:r w:rsidRPr="002B4A69">
              <w:rPr>
                <w:lang w:val="en-GB"/>
              </w:rPr>
              <w:t>(94)</w:t>
            </w:r>
            <w:r w:rsidRPr="002B4A69">
              <w:rPr>
                <w:lang w:val="en-GB"/>
              </w:rPr>
              <w:tab/>
              <w:t xml:space="preserve">In order to adopt non-legislative acts of general application to supplement or amend certain non-essential elements of a legislative act, the power to adopt acts in accordance with Article 290 TFEU should be delegated to the Commission in respect of supplementing the decarbonisation investment in the EU conditionality rules for free allocation in Article 10a(3b) to (3d) of Directive 2003/87/EC, with regards to the detailed conditions to form a pool rules on pooling under Article 10a(3d) and the repartition of liability between operators in that case, the detailed conditions for the derogations set out in the fifth and sixth subparagraphs of Article 10a(3c), the detailed timeline for the submission of the Invest in EU decarbonisation plans, the qualification as decarbonisation investments, the qualification as significant emissions reduction, and the determination of the economic value of the quantity of free allowances. In addition, the power to adopt acts in accordance with Article 290 TFEU should be delegated to the Commission in respect of supplementing Article 9c of Directive 2003/87/EC on the modalities for the purchase of carbon removals and auctioning of the corresponding allowances, and to supplement Articles 10cb, 10cc, 10cd and 10ce of Directive 2003/87/EC on the operation of the Innovation Fund and the Industrial </w:t>
            </w:r>
            <w:r w:rsidRPr="002B4A69">
              <w:rPr>
                <w:b/>
                <w:i/>
                <w:lang w:val="en-GB"/>
              </w:rPr>
              <w:t>Electrification and</w:t>
            </w:r>
            <w:r w:rsidRPr="002B4A69">
              <w:rPr>
                <w:lang w:val="en-GB"/>
              </w:rPr>
              <w:t xml:space="preserve"> Decarbonisation Bank. Moreover, the power to adopt acts in accordance with Article 290 TFEU should be delegated to the Commission in respect of supplementing Article 19 of Directive 2003/87/EC with regards to the conditions, modalities and procedures under which the Central Administrator makes use of revenues from the auctioning of allowances to cover expenses linked with the </w:t>
            </w:r>
            <w:r w:rsidRPr="002B4A69">
              <w:rPr>
                <w:lang w:val="en-GB"/>
              </w:rPr>
              <w:t>functioning and management of the EU ETS. The power to adopt such acts should also be delegated on the Commission to supplement Article 12(3b) concerning the requirements for considering that greenhouse gases have become permanently chemically bound or chemically bound and determine measures to address the risk of loopholes. The power to adopt acts in accordance with Article 290 TFEU should be delegated to the Commission to supplement Article 3gaa of Directive 2003/87/EC in respect of the detailed rules necessary for the application of the reservation and allocation of allowances for the use of sustainable maritime fuels and zero-emission propulsion technologies, as well as Article 3gab. In addition, the power to adopt the power to adopt acts in accordance with Article 290 of the Treaty on the Functioning of the European Union should be delegated to the Commission to supplement Article 25b of Directive 2003/87/EC in respect of the rules on the operation of ETS as a service and to amend Article 3ga(1) of that Directive in respect of the coverage of the remaining emissions released during a voyage between a port of call under the jurisdiction of a Member State and a port of call under the jurisdiction of a third country to which ETS as a service is provided.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2B4A69">
              <w:rPr>
                <w:vertAlign w:val="superscript"/>
                <w:lang w:val="en-GB"/>
              </w:rPr>
              <w:t>32</w:t>
            </w:r>
            <w:r w:rsidRPr="002B4A69">
              <w:rPr>
                <w:lang w:val="en-GB"/>
              </w:rPr>
              <w:t xml:space="preserve"> .</w:t>
            </w:r>
            <w:r w:rsidRPr="002B4A69">
              <w:rPr>
                <w:lang w:val="en-GB"/>
              </w:rPr>
              <w:t xml:space="preserve"> </w:t>
            </w:r>
            <w:r w:rsidRPr="002B4A69">
              <w:rPr>
                <w:lang w:val="en-GB"/>
              </w:rPr>
              <w:t>In particular, to</w:t>
            </w:r>
            <w:r w:rsidRPr="002B4A69">
              <w:rPr>
                <w:lang w:val="en-GB"/>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w:t>
            </w:r>
            <w:r w:rsidRPr="002B4A69">
              <w:rPr>
                <w:lang w:val="en-GB"/>
              </w:rPr>
              <w:t>preparation of delegated acts.</w:t>
            </w:r>
          </w:p>
        </w:tc>
      </w:tr>
      <w:tr w14:paraId="5315DFA7"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08F7CD5" w14:textId="77777777">
            <w:pPr>
              <w:pStyle w:val="Normal6"/>
              <w:rPr>
                <w:lang w:val="en-GB"/>
              </w:rPr>
            </w:pPr>
            <w:r w:rsidRPr="002B4A69">
              <w:rPr>
                <w:lang w:val="en-GB"/>
              </w:rPr>
              <w:t>__________________</w:t>
            </w:r>
          </w:p>
        </w:tc>
        <w:tc>
          <w:tcPr>
            <w:tcW w:w="4876" w:type="dxa"/>
          </w:tcPr>
          <w:p w:rsidR="001F04EE" w:rsidRPr="002B4A69" w:rsidP="00723F81" w14:paraId="2BB4D32B" w14:textId="77777777">
            <w:pPr>
              <w:pStyle w:val="Normal6"/>
              <w:rPr>
                <w:szCs w:val="24"/>
                <w:lang w:val="en-GB"/>
              </w:rPr>
            </w:pPr>
            <w:r w:rsidRPr="002B4A69">
              <w:rPr>
                <w:lang w:val="en-GB"/>
              </w:rPr>
              <w:t>__________________</w:t>
            </w:r>
          </w:p>
        </w:tc>
      </w:tr>
      <w:tr w14:paraId="3E768503"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931EB01" w14:textId="77777777">
            <w:pPr>
              <w:pStyle w:val="Normal6"/>
              <w:rPr>
                <w:lang w:val="en-GB"/>
              </w:rPr>
            </w:pPr>
            <w:r w:rsidRPr="002B4A69">
              <w:rPr>
                <w:vertAlign w:val="superscript"/>
                <w:lang w:val="en-GB"/>
              </w:rPr>
              <w:t>32</w:t>
            </w:r>
            <w:r w:rsidRPr="002B4A69">
              <w:rPr>
                <w:lang w:val="en-GB"/>
              </w:rPr>
              <w:t xml:space="preserve"> OJ L 123, 12.5.2016, p. 1, ELI: http://data.europa.eu/eli/agree_interinstit/2016/512/oj.</w:t>
            </w:r>
          </w:p>
        </w:tc>
        <w:tc>
          <w:tcPr>
            <w:tcW w:w="4876" w:type="dxa"/>
          </w:tcPr>
          <w:p w:rsidR="001F04EE" w:rsidRPr="002B4A69" w:rsidP="00723F81" w14:paraId="5B1136F7" w14:textId="77777777">
            <w:pPr>
              <w:pStyle w:val="Normal6"/>
              <w:rPr>
                <w:szCs w:val="24"/>
                <w:lang w:val="en-GB"/>
              </w:rPr>
            </w:pPr>
            <w:r w:rsidRPr="002B4A69">
              <w:rPr>
                <w:vertAlign w:val="superscript"/>
                <w:lang w:val="en-GB"/>
              </w:rPr>
              <w:t>32</w:t>
            </w:r>
            <w:r w:rsidRPr="002B4A69">
              <w:rPr>
                <w:lang w:val="en-GB"/>
              </w:rPr>
              <w:t xml:space="preserve"> OJ L 123, 12.5.2016, p. 1, ELI: http://data.europa.eu/eli/agree_interinstit/2016/512/oj.</w:t>
            </w:r>
          </w:p>
        </w:tc>
      </w:tr>
    </w:tbl>
    <w:p w:rsidR="001F04EE" w:rsidRPr="002B4A69" w:rsidP="001F04EE" w14:paraId="63D9916A"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2CAC7ABB" w14:textId="77777777">
      <w:r w:rsidRPr="002B4A69">
        <w:rPr>
          <w:rStyle w:val="HideTWBExt"/>
        </w:rPr>
        <w:t>&lt;/Amend&gt;</w:t>
      </w:r>
    </w:p>
    <w:p w:rsidR="001F04EE" w:rsidRPr="002B4A69" w:rsidP="001F04EE" w14:paraId="23144D57"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642</w:t>
      </w:r>
      <w:r w:rsidRPr="002B4A69">
        <w:rPr>
          <w:rStyle w:val="HideTWBExt"/>
          <w:b w:val="0"/>
          <w:lang w:val="en-GB"/>
        </w:rPr>
        <w:t>&lt;/NumAm&gt;</w:t>
      </w:r>
    </w:p>
    <w:p w:rsidR="001F04EE" w:rsidRPr="002B4A69" w:rsidP="001F04EE" w14:paraId="5CE7D04E" w14:textId="77777777">
      <w:pPr>
        <w:pStyle w:val="NormalBold"/>
      </w:pPr>
      <w:r w:rsidRPr="002B4A69">
        <w:rPr>
          <w:rStyle w:val="HideTWBExt"/>
          <w:b w:val="0"/>
        </w:rPr>
        <w:t>&lt;RepeatBlock-By&gt;&lt;Members&gt;</w:t>
      </w:r>
      <w:r w:rsidRPr="002B4A69">
        <w:t>Mohammed Chahim</w:t>
      </w:r>
      <w:r w:rsidRPr="002B4A69">
        <w:rPr>
          <w:rStyle w:val="HideTWBExt"/>
          <w:b w:val="0"/>
        </w:rPr>
        <w:t>&lt;/Members&gt;</w:t>
      </w:r>
    </w:p>
    <w:p w:rsidR="001F04EE" w:rsidRPr="002B4A69" w:rsidP="001F04EE" w14:paraId="442F2809" w14:textId="77777777">
      <w:r w:rsidRPr="002B4A69">
        <w:rPr>
          <w:rStyle w:val="HideTWBExt"/>
        </w:rPr>
        <w:t>&lt;/RepeatBlock-By&gt;</w:t>
      </w:r>
    </w:p>
    <w:p w:rsidR="001F04EE" w:rsidRPr="002B4A69" w:rsidP="001F04EE" w14:paraId="601FCA18"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E98D8FB" w14:textId="77777777">
      <w:pPr>
        <w:pStyle w:val="NormalBold"/>
      </w:pPr>
      <w:r w:rsidRPr="002B4A69">
        <w:rPr>
          <w:rStyle w:val="HideTWBExt"/>
          <w:b w:val="0"/>
        </w:rPr>
        <w:t>&lt;Article&gt;</w:t>
      </w:r>
      <w:r w:rsidRPr="002B4A69">
        <w:t>Recital 97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AC6BB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08C8DBFF" w14:textId="77777777">
            <w:pPr>
              <w:keepNext/>
            </w:pPr>
          </w:p>
        </w:tc>
      </w:tr>
      <w:tr w14:paraId="04B52CE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1DAC965C" w14:textId="77777777">
            <w:pPr>
              <w:pStyle w:val="ColumnHeading"/>
              <w:keepNext/>
              <w:rPr>
                <w:lang w:val="en-GB"/>
              </w:rPr>
            </w:pPr>
            <w:r w:rsidRPr="002B4A69">
              <w:rPr>
                <w:lang w:val="en-GB"/>
              </w:rPr>
              <w:t>Text proposed by the Commission</w:t>
            </w:r>
          </w:p>
        </w:tc>
        <w:tc>
          <w:tcPr>
            <w:tcW w:w="4876" w:type="dxa"/>
          </w:tcPr>
          <w:p w:rsidR="001F04EE" w:rsidRPr="002B4A69" w:rsidP="00723F81" w14:paraId="01110338" w14:textId="77777777">
            <w:pPr>
              <w:pStyle w:val="ColumnHeading"/>
              <w:keepNext/>
              <w:rPr>
                <w:lang w:val="en-GB"/>
              </w:rPr>
            </w:pPr>
            <w:r w:rsidRPr="002B4A69">
              <w:rPr>
                <w:lang w:val="en-GB"/>
              </w:rPr>
              <w:t>Amendment</w:t>
            </w:r>
          </w:p>
        </w:tc>
      </w:tr>
      <w:tr w14:paraId="155A1E9D"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35874353" w14:textId="77777777">
            <w:pPr>
              <w:pStyle w:val="Normal6"/>
              <w:rPr>
                <w:lang w:val="en-GB"/>
              </w:rPr>
            </w:pPr>
            <w:r w:rsidRPr="002B4A69">
              <w:rPr>
                <w:lang w:val="en-GB"/>
              </w:rPr>
              <w:t>(97)</w:t>
            </w:r>
            <w:r w:rsidRPr="002B4A69">
              <w:rPr>
                <w:lang w:val="en-GB"/>
              </w:rPr>
              <w:tab/>
              <w:t>To ensure timely availability of the corresponding funds, the provisions amending Articles 10a(5b), 10</w:t>
            </w:r>
            <w:r w:rsidRPr="002B4A69">
              <w:rPr>
                <w:lang w:val="en-GB"/>
              </w:rPr>
              <w:t>a(</w:t>
            </w:r>
            <w:r w:rsidRPr="002B4A69">
              <w:rPr>
                <w:lang w:val="en-GB"/>
              </w:rPr>
              <w:t xml:space="preserve">7) and inserting a new Article 19(1a) should start applying on 30 September 2027. Those provisions concern, respectively, the use of any remaining quantity of allowances from the additional amount of up to 3 % of the total quantity of allowances referred to in Article 10a(5a), the allowances that should be set aside for new entrants and the provision enabling the Commission to use allowances from the Union-wide quantity of allowances to cover expenses linked with the functioning and management of the EU ETS. </w:t>
            </w:r>
            <w:r w:rsidRPr="002B4A69">
              <w:rPr>
                <w:b/>
                <w:i/>
                <w:lang w:val="en-GB"/>
              </w:rPr>
              <w:t>To ensure timely adjustment, the provision amending Article 10a(1a) of Directive 2003/87/EC concerning the CBAM factor should also apply from 30 September 2027 onwards.</w:t>
            </w:r>
          </w:p>
        </w:tc>
        <w:tc>
          <w:tcPr>
            <w:tcW w:w="4876" w:type="dxa"/>
          </w:tcPr>
          <w:p w:rsidR="001F04EE" w:rsidRPr="002B4A69" w:rsidP="00723F81" w14:paraId="212EA419" w14:textId="77777777">
            <w:pPr>
              <w:pStyle w:val="Normal6"/>
              <w:rPr>
                <w:szCs w:val="24"/>
                <w:lang w:val="en-GB"/>
              </w:rPr>
            </w:pPr>
            <w:r w:rsidRPr="002B4A69">
              <w:rPr>
                <w:lang w:val="en-GB"/>
              </w:rPr>
              <w:t>(97)</w:t>
            </w:r>
            <w:r w:rsidRPr="002B4A69">
              <w:rPr>
                <w:lang w:val="en-GB"/>
              </w:rPr>
              <w:tab/>
              <w:t>To ensure timely availability of the corresponding funds, the provisions amending Articles 10a(5b), 10</w:t>
            </w:r>
            <w:r w:rsidRPr="002B4A69">
              <w:rPr>
                <w:lang w:val="en-GB"/>
              </w:rPr>
              <w:t>a(</w:t>
            </w:r>
            <w:r w:rsidRPr="002B4A69">
              <w:rPr>
                <w:lang w:val="en-GB"/>
              </w:rPr>
              <w:t>7) and inserting a new Article 19(1a) should start applying on 30 September 2027. Those provisions concern, respectively, the use of any remaining quantity of allowances from the additional amount of up to 3 % of the total quantity of allowances referred to in Article 10a(5a), the allowances that should be set aside for new entrants and the provision enabling the Commission to use allowances from the Union-wide quantity of allowances to cover expenses linked with the functioning and management of the EU ETS.</w:t>
            </w:r>
          </w:p>
        </w:tc>
      </w:tr>
    </w:tbl>
    <w:p w:rsidR="001F04EE" w:rsidRPr="002B4A69" w:rsidP="001F04EE" w14:paraId="3D55241C"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06570D0F" w14:textId="77777777">
      <w:r w:rsidRPr="002B4A69">
        <w:rPr>
          <w:rStyle w:val="HideTWBExt"/>
        </w:rPr>
        <w:t>&lt;/Amend&gt;</w:t>
      </w:r>
    </w:p>
    <w:p w:rsidR="001F04EE" w:rsidRPr="002B4A69" w:rsidP="001F04EE" w14:paraId="228A7873"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643</w:t>
      </w:r>
      <w:r w:rsidRPr="002B4A69">
        <w:rPr>
          <w:rStyle w:val="HideTWBExt"/>
          <w:b w:val="0"/>
          <w:lang w:val="en-GB"/>
        </w:rPr>
        <w:t>&lt;/NumAm&gt;</w:t>
      </w:r>
    </w:p>
    <w:p w:rsidR="001F04EE" w:rsidRPr="002B4A69" w:rsidP="001F04EE" w14:paraId="353B8C20" w14:textId="77777777">
      <w:pPr>
        <w:pStyle w:val="NormalBold"/>
      </w:pPr>
      <w:r w:rsidRPr="002B4A69">
        <w:rPr>
          <w:rStyle w:val="HideTWBExt"/>
          <w:b w:val="0"/>
        </w:rPr>
        <w:t>&lt;RepeatBlock-By&gt;&lt;Members&gt;</w:t>
      </w:r>
      <w:r w:rsidRPr="002B4A69">
        <w:t>Michael Bloss</w:t>
      </w:r>
      <w:r w:rsidRPr="002B4A69">
        <w:rPr>
          <w:rStyle w:val="HideTWBExt"/>
          <w:b w:val="0"/>
        </w:rPr>
        <w:t>&lt;/Members&gt;</w:t>
      </w:r>
    </w:p>
    <w:p w:rsidR="001F04EE" w:rsidRPr="002B4A69" w:rsidP="001F04EE" w14:paraId="487B71E1" w14:textId="77777777">
      <w:r w:rsidRPr="002B4A69">
        <w:rPr>
          <w:rStyle w:val="HideTWBExt"/>
        </w:rPr>
        <w:t>&lt;/RepeatBlock-By&gt;</w:t>
      </w:r>
    </w:p>
    <w:p w:rsidR="001F04EE" w:rsidRPr="002B4A69" w:rsidP="001F04EE" w14:paraId="42CC9EC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3EF5050D" w14:textId="77777777">
      <w:pPr>
        <w:pStyle w:val="NormalBold"/>
      </w:pPr>
      <w:r w:rsidRPr="002B4A69">
        <w:rPr>
          <w:rStyle w:val="HideTWBExt"/>
          <w:b w:val="0"/>
        </w:rPr>
        <w:t>&lt;Article&gt;</w:t>
      </w:r>
      <w:r w:rsidRPr="002B4A69">
        <w:t>Recital 97</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F0E51A"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8CF90BF" w14:textId="77777777">
            <w:pPr>
              <w:keepNext/>
            </w:pPr>
          </w:p>
        </w:tc>
      </w:tr>
      <w:tr w14:paraId="36C9052A"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D91D7A3" w14:textId="77777777">
            <w:pPr>
              <w:pStyle w:val="ColumnHeading"/>
              <w:keepNext/>
              <w:rPr>
                <w:lang w:val="en-GB"/>
              </w:rPr>
            </w:pPr>
            <w:r w:rsidRPr="002B4A69">
              <w:rPr>
                <w:lang w:val="en-GB"/>
              </w:rPr>
              <w:t>Text proposed by the Commission</w:t>
            </w:r>
          </w:p>
        </w:tc>
        <w:tc>
          <w:tcPr>
            <w:tcW w:w="4876" w:type="dxa"/>
          </w:tcPr>
          <w:p w:rsidR="001F04EE" w:rsidRPr="002B4A69" w:rsidP="00723F81" w14:paraId="2F0A3CBE" w14:textId="77777777">
            <w:pPr>
              <w:pStyle w:val="ColumnHeading"/>
              <w:keepNext/>
              <w:rPr>
                <w:lang w:val="en-GB"/>
              </w:rPr>
            </w:pPr>
            <w:r w:rsidRPr="002B4A69">
              <w:rPr>
                <w:lang w:val="en-GB"/>
              </w:rPr>
              <w:t>Amendment</w:t>
            </w:r>
          </w:p>
        </w:tc>
      </w:tr>
      <w:tr w14:paraId="691F085E"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58D7E251" w14:textId="77777777">
            <w:pPr>
              <w:pStyle w:val="Normal6"/>
              <w:rPr>
                <w:lang w:val="en-GB"/>
              </w:rPr>
            </w:pPr>
            <w:r w:rsidRPr="002B4A69">
              <w:rPr>
                <w:lang w:val="en-GB"/>
              </w:rPr>
              <w:t>(97)</w:t>
            </w:r>
            <w:r w:rsidRPr="002B4A69">
              <w:rPr>
                <w:lang w:val="en-GB"/>
              </w:rPr>
              <w:tab/>
              <w:t>To ensure timely availability of the corresponding funds, the provisions amending Articles 10a(5b), 10</w:t>
            </w:r>
            <w:r w:rsidRPr="002B4A69">
              <w:rPr>
                <w:lang w:val="en-GB"/>
              </w:rPr>
              <w:t>a(</w:t>
            </w:r>
            <w:r w:rsidRPr="002B4A69">
              <w:rPr>
                <w:lang w:val="en-GB"/>
              </w:rPr>
              <w:t xml:space="preserve">7) and inserting a new Article 19(1a) should start applying on 30 September 2027. Those provisions concern, respectively, the use of any remaining quantity of allowances from the additional amount of up to 3 % of the total quantity of allowances referred to in Article 10a(5a), the allowances that should be set aside for new entrants and the provision enabling the Commission to use allowances from the Union-wide quantity of allowances to cover expenses linked with the functioning and management of the EU ETS. </w:t>
            </w:r>
            <w:r w:rsidRPr="002B4A69">
              <w:rPr>
                <w:b/>
                <w:i/>
                <w:lang w:val="en-GB"/>
              </w:rPr>
              <w:t>To ensure timely adjustment, the provision amending Article 10a(1a) of Directive 2003/87/EC concerning the CBAM factor should also apply from 30 September 2027 onwards.</w:t>
            </w:r>
          </w:p>
        </w:tc>
        <w:tc>
          <w:tcPr>
            <w:tcW w:w="4876" w:type="dxa"/>
          </w:tcPr>
          <w:p w:rsidR="001F04EE" w:rsidRPr="002B4A69" w:rsidP="00723F81" w14:paraId="6D1210E5" w14:textId="77777777">
            <w:pPr>
              <w:pStyle w:val="Normal6"/>
              <w:rPr>
                <w:szCs w:val="24"/>
                <w:lang w:val="en-GB"/>
              </w:rPr>
            </w:pPr>
            <w:r w:rsidRPr="002B4A69">
              <w:rPr>
                <w:lang w:val="en-GB"/>
              </w:rPr>
              <w:t>(97)</w:t>
            </w:r>
            <w:r w:rsidRPr="002B4A69">
              <w:rPr>
                <w:lang w:val="en-GB"/>
              </w:rPr>
              <w:tab/>
              <w:t>To ensure timely availability of the corresponding funds, the provisions amending Articles 10a(5b), 10</w:t>
            </w:r>
            <w:r w:rsidRPr="002B4A69">
              <w:rPr>
                <w:lang w:val="en-GB"/>
              </w:rPr>
              <w:t>a(</w:t>
            </w:r>
            <w:r w:rsidRPr="002B4A69">
              <w:rPr>
                <w:lang w:val="en-GB"/>
              </w:rPr>
              <w:t>7) and inserting a new Article 19(1a) should start applying on 30 September 2027. Those provisions concern, respectively, the use of any remaining quantity of allowances from the additional amount of up to 3 % of the total quantity of allowances referred to in Article 10a(5a), the allowances that should be set aside for new entrants and the provision enabling the Commission to use allowances from the Union-wide quantity of allowances to cover expenses linked with the functioning and management of the EU ETS.</w:t>
            </w:r>
          </w:p>
        </w:tc>
      </w:tr>
    </w:tbl>
    <w:p w:rsidR="001F04EE" w:rsidRPr="002B4A69" w:rsidP="001F04EE" w14:paraId="6690DCA2"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E6D0E90" w14:textId="77777777">
      <w:r w:rsidRPr="002B4A69">
        <w:rPr>
          <w:rStyle w:val="HideTWBExt"/>
        </w:rPr>
        <w:t>&lt;/Amend&gt;</w:t>
      </w:r>
    </w:p>
    <w:p w:rsidR="001F04EE" w:rsidRPr="002B4A69" w:rsidP="001F04EE" w14:paraId="043CE251"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644</w:t>
      </w:r>
      <w:r w:rsidRPr="002B4A69">
        <w:rPr>
          <w:rStyle w:val="HideTWBExt"/>
          <w:b w:val="0"/>
          <w:lang w:val="en-GB"/>
        </w:rPr>
        <w:t>&lt;/NumAm&gt;</w:t>
      </w:r>
    </w:p>
    <w:p w:rsidR="001F04EE" w:rsidRPr="002B4A69" w:rsidP="001F04EE" w14:paraId="2EC2E0B8" w14:textId="77777777">
      <w:pPr>
        <w:pStyle w:val="NormalBold"/>
      </w:pPr>
      <w:r w:rsidRPr="002B4A69">
        <w:rPr>
          <w:rStyle w:val="HideTWBExt"/>
          <w:b w:val="0"/>
        </w:rPr>
        <w:t>&lt;RepeatBlock-By&gt;&lt;Members&gt;</w:t>
      </w:r>
      <w:r w:rsidRPr="002B4A69">
        <w:t>Pascal Canfin</w:t>
      </w:r>
      <w:r w:rsidRPr="002B4A69">
        <w:rPr>
          <w:rStyle w:val="HideTWBExt"/>
          <w:b w:val="0"/>
        </w:rPr>
        <w:t>&lt;/Members&gt;</w:t>
      </w:r>
    </w:p>
    <w:p w:rsidR="001F04EE" w:rsidRPr="002B4A69" w:rsidP="001F04EE" w14:paraId="0533BB87" w14:textId="77777777">
      <w:r w:rsidRPr="002B4A69">
        <w:rPr>
          <w:rStyle w:val="HideTWBExt"/>
        </w:rPr>
        <w:t>&lt;/RepeatBlock-By&gt;</w:t>
      </w:r>
    </w:p>
    <w:p w:rsidR="001F04EE" w:rsidRPr="002B4A69" w:rsidP="001F04EE" w14:paraId="2CADE4DD"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2631BC51" w14:textId="77777777">
      <w:pPr>
        <w:pStyle w:val="NormalBold"/>
      </w:pPr>
      <w:r w:rsidRPr="002B4A69">
        <w:rPr>
          <w:rStyle w:val="HideTWBExt"/>
          <w:b w:val="0"/>
        </w:rPr>
        <w:t>&lt;Article&gt;</w:t>
      </w:r>
      <w:r w:rsidRPr="002B4A69">
        <w:t>Recital 97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782B12"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5D123495" w14:textId="77777777">
            <w:pPr>
              <w:keepNext/>
            </w:pPr>
          </w:p>
        </w:tc>
      </w:tr>
      <w:tr w14:paraId="7CD4495F"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03191D72" w14:textId="77777777">
            <w:pPr>
              <w:pStyle w:val="ColumnHeading"/>
              <w:keepNext/>
              <w:rPr>
                <w:lang w:val="en-GB"/>
              </w:rPr>
            </w:pPr>
            <w:r w:rsidRPr="002B4A69">
              <w:rPr>
                <w:lang w:val="en-GB"/>
              </w:rPr>
              <w:t>Text proposed by the Commission</w:t>
            </w:r>
          </w:p>
        </w:tc>
        <w:tc>
          <w:tcPr>
            <w:tcW w:w="4876" w:type="dxa"/>
          </w:tcPr>
          <w:p w:rsidR="001F04EE" w:rsidRPr="002B4A69" w:rsidP="00723F81" w14:paraId="758B51F6" w14:textId="77777777">
            <w:pPr>
              <w:pStyle w:val="ColumnHeading"/>
              <w:keepNext/>
              <w:rPr>
                <w:lang w:val="en-GB"/>
              </w:rPr>
            </w:pPr>
            <w:r w:rsidRPr="002B4A69">
              <w:rPr>
                <w:lang w:val="en-GB"/>
              </w:rPr>
              <w:t>Amendment</w:t>
            </w:r>
          </w:p>
        </w:tc>
      </w:tr>
      <w:tr w14:paraId="78999995"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770FADC8" w14:textId="77777777">
            <w:pPr>
              <w:pStyle w:val="Normal6"/>
              <w:rPr>
                <w:lang w:val="en-GB"/>
              </w:rPr>
            </w:pPr>
          </w:p>
        </w:tc>
        <w:tc>
          <w:tcPr>
            <w:tcW w:w="4876" w:type="dxa"/>
          </w:tcPr>
          <w:p w:rsidR="001F04EE" w:rsidRPr="002B4A69" w:rsidP="00723F81" w14:paraId="2F8ABDA1" w14:textId="77777777">
            <w:pPr>
              <w:pStyle w:val="Normal6"/>
              <w:rPr>
                <w:szCs w:val="24"/>
                <w:lang w:val="en-GB"/>
              </w:rPr>
            </w:pPr>
            <w:r w:rsidRPr="002B4A69">
              <w:rPr>
                <w:b/>
                <w:i/>
                <w:lang w:val="en-GB"/>
              </w:rPr>
              <w:t>(97a)</w:t>
            </w:r>
            <w:r w:rsidRPr="002B4A69">
              <w:rPr>
                <w:b/>
                <w:i/>
                <w:lang w:val="en-GB"/>
              </w:rPr>
              <w:tab/>
              <w:t xml:space="preserve">Alongside regulatory standards, carbon pricing is one of the instruments that can contribute to accelerating the decarbonisation of buildings and road transport, while raising revenues to support the deployment of clean and affordable low-carbon alternatives, </w:t>
            </w:r>
            <w:r w:rsidRPr="002B4A69">
              <w:rPr>
                <w:b/>
                <w:i/>
                <w:lang w:val="en-GB"/>
              </w:rPr>
              <w:t>in particular for</w:t>
            </w:r>
            <w:r w:rsidRPr="002B4A69">
              <w:rPr>
                <w:b/>
                <w:i/>
                <w:lang w:val="en-GB"/>
              </w:rPr>
              <w:t xml:space="preserve"> low- and middle-income households. However, excessive allowance price levels within the emissions trading system for buildings, road transport and additional sectors (ETS2) can have disproportionate impacts </w:t>
            </w:r>
            <w:r w:rsidRPr="002B4A69">
              <w:rPr>
                <w:b/>
                <w:i/>
                <w:lang w:val="en-GB"/>
              </w:rPr>
              <w:t xml:space="preserve">on vulnerable households and undermine the purchasing power of households, </w:t>
            </w:r>
            <w:r w:rsidRPr="002B4A69">
              <w:rPr>
                <w:b/>
                <w:i/>
                <w:lang w:val="en-GB"/>
              </w:rPr>
              <w:t>in particular when</w:t>
            </w:r>
            <w:r w:rsidRPr="002B4A69">
              <w:rPr>
                <w:b/>
                <w:i/>
                <w:lang w:val="en-GB"/>
              </w:rPr>
              <w:t xml:space="preserve"> fossil fuel prices are already high and therefore already provide the right price signal. Stronger price curtailment instruments should therefore be introduced to ensure that that system delivers its climate objectives while preserving social fairness.</w:t>
            </w:r>
          </w:p>
        </w:tc>
      </w:tr>
    </w:tbl>
    <w:p w:rsidR="001F04EE" w:rsidRPr="002B4A69" w:rsidP="001F04EE" w14:paraId="37A5F000"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73F5080A" w14:textId="77777777">
      <w:pPr>
        <w:pStyle w:val="JustificationTitle"/>
        <w:rPr>
          <w:noProof w:val="0"/>
          <w:lang w:val="en-GB"/>
        </w:rPr>
      </w:pPr>
      <w:r w:rsidRPr="002B4A69">
        <w:rPr>
          <w:rStyle w:val="HideTWBExt"/>
          <w:i w:val="0"/>
          <w:lang w:val="en-GB"/>
        </w:rPr>
        <w:t>&lt;TitreJust&gt;</w:t>
      </w:r>
      <w:r w:rsidRPr="002B4A69">
        <w:rPr>
          <w:noProof w:val="0"/>
          <w:lang w:val="en-GB"/>
        </w:rPr>
        <w:t>Justification</w:t>
      </w:r>
      <w:r w:rsidRPr="002B4A69">
        <w:rPr>
          <w:rStyle w:val="HideTWBExt"/>
          <w:i w:val="0"/>
          <w:lang w:val="en-GB"/>
        </w:rPr>
        <w:t>&lt;/TitreJust&gt;</w:t>
      </w:r>
    </w:p>
    <w:p w:rsidR="001F04EE" w:rsidRPr="002B4A69" w:rsidP="001F04EE" w14:paraId="1A4251E2" w14:textId="77777777">
      <w:pPr>
        <w:pStyle w:val="Normal12Italic"/>
        <w:rPr>
          <w:noProof w:val="0"/>
          <w:lang w:val="en-GB"/>
        </w:rPr>
      </w:pPr>
      <w:r w:rsidRPr="002B4A69">
        <w:rPr>
          <w:noProof w:val="0"/>
          <w:lang w:val="en-GB"/>
        </w:rPr>
        <w:t xml:space="preserve">Introducing stronger price curtailment instruments in ETS 2 is necessary to ensure that </w:t>
      </w:r>
      <w:r w:rsidRPr="002B4A69">
        <w:rPr>
          <w:noProof w:val="0"/>
          <w:lang w:val="en-GB"/>
        </w:rPr>
        <w:t>low and middle class</w:t>
      </w:r>
      <w:r w:rsidRPr="002B4A69">
        <w:rPr>
          <w:noProof w:val="0"/>
          <w:lang w:val="en-GB"/>
        </w:rPr>
        <w:t xml:space="preserve"> households are not disproportionally affected by the carbon price.</w:t>
      </w:r>
    </w:p>
    <w:p w:rsidR="001F04EE" w:rsidRPr="002B4A69" w:rsidP="001F04EE" w14:paraId="7D4C1474" w14:textId="77777777">
      <w:r w:rsidRPr="002B4A69">
        <w:rPr>
          <w:rStyle w:val="HideTWBExt"/>
        </w:rPr>
        <w:t>&lt;/Amend&gt;</w:t>
      </w:r>
    </w:p>
    <w:p w:rsidR="001F04EE" w:rsidRPr="002B4A69" w:rsidP="001F04EE" w14:paraId="762C5778" w14:textId="77777777">
      <w:pPr>
        <w:pStyle w:val="AMNumberTabs0"/>
        <w:keepNext/>
        <w:rPr>
          <w:lang w:val="en-GB"/>
        </w:rPr>
      </w:pPr>
      <w:r w:rsidRPr="002B4A69">
        <w:rPr>
          <w:rStyle w:val="HideTWBExt"/>
          <w:b w:val="0"/>
          <w:lang w:val="en-GB"/>
        </w:rPr>
        <w:t>&lt;Amend&gt;</w:t>
      </w:r>
      <w:r w:rsidRPr="002B4A69">
        <w:rPr>
          <w:lang w:val="en-GB"/>
        </w:rPr>
        <w:t>Amendment</w:t>
      </w:r>
      <w:r w:rsidRPr="002B4A69">
        <w:rPr>
          <w:lang w:val="en-GB"/>
        </w:rPr>
        <w:tab/>
      </w:r>
      <w:r w:rsidRPr="002B4A69">
        <w:rPr>
          <w:lang w:val="en-GB"/>
        </w:rPr>
        <w:tab/>
      </w:r>
      <w:r w:rsidRPr="002B4A69">
        <w:rPr>
          <w:rStyle w:val="HideTWBExt"/>
          <w:b w:val="0"/>
          <w:lang w:val="en-GB"/>
        </w:rPr>
        <w:t>&lt;NumAm&gt;</w:t>
      </w:r>
      <w:r w:rsidRPr="002B4A69">
        <w:rPr>
          <w:lang w:val="en-GB"/>
        </w:rPr>
        <w:t>645</w:t>
      </w:r>
      <w:r w:rsidRPr="002B4A69">
        <w:rPr>
          <w:rStyle w:val="HideTWBExt"/>
          <w:b w:val="0"/>
          <w:lang w:val="en-GB"/>
        </w:rPr>
        <w:t>&lt;/NumAm&gt;</w:t>
      </w:r>
    </w:p>
    <w:p w:rsidR="001F04EE" w:rsidRPr="002B4A69" w:rsidP="001F04EE" w14:paraId="1E248C75" w14:textId="77777777">
      <w:pPr>
        <w:pStyle w:val="NormalBold"/>
      </w:pPr>
      <w:r w:rsidRPr="002B4A69">
        <w:rPr>
          <w:rStyle w:val="HideTWBExt"/>
          <w:b w:val="0"/>
        </w:rPr>
        <w:t>&lt;RepeatBlock-By&gt;&lt;Members&gt;</w:t>
      </w:r>
      <w:r w:rsidRPr="002B4A69">
        <w:t>Ondřej Knotek, Jana Nagyová, Antonín Staněk, Roman Haider, Viktória Ferenc</w:t>
      </w:r>
      <w:r w:rsidRPr="002B4A69">
        <w:rPr>
          <w:rStyle w:val="HideTWBExt"/>
          <w:b w:val="0"/>
        </w:rPr>
        <w:t>&lt;/Members&gt;</w:t>
      </w:r>
    </w:p>
    <w:p w:rsidR="001F04EE" w:rsidRPr="002B4A69" w:rsidP="001F04EE" w14:paraId="7B2D33B3" w14:textId="77777777">
      <w:r w:rsidRPr="002B4A69">
        <w:rPr>
          <w:rStyle w:val="HideTWBExt"/>
        </w:rPr>
        <w:t>&lt;/RepeatBlock-By&gt;</w:t>
      </w:r>
    </w:p>
    <w:p w:rsidR="001F04EE" w:rsidRPr="002B4A69" w:rsidP="001F04EE" w14:paraId="10255A02" w14:textId="77777777">
      <w:pPr>
        <w:pStyle w:val="NormalBold"/>
        <w:keepNext/>
      </w:pPr>
      <w:r w:rsidRPr="002B4A69">
        <w:rPr>
          <w:rStyle w:val="HideTWBExt"/>
          <w:b w:val="0"/>
        </w:rPr>
        <w:t>&lt;DocAmend&gt;</w:t>
      </w:r>
      <w:r w:rsidRPr="002B4A69">
        <w:t>Proposal for a directive</w:t>
      </w:r>
      <w:r w:rsidRPr="002B4A69">
        <w:rPr>
          <w:rStyle w:val="HideTWBExt"/>
          <w:b w:val="0"/>
        </w:rPr>
        <w:t>&lt;/DocAmend&gt;</w:t>
      </w:r>
    </w:p>
    <w:p w:rsidR="001F04EE" w:rsidRPr="002B4A69" w:rsidP="001F04EE" w14:paraId="03FABB7F" w14:textId="77777777">
      <w:pPr>
        <w:pStyle w:val="NormalBold"/>
      </w:pPr>
      <w:r w:rsidRPr="002B4A69">
        <w:rPr>
          <w:rStyle w:val="HideTWBExt"/>
          <w:b w:val="0"/>
        </w:rPr>
        <w:t>&lt;Article&gt;</w:t>
      </w:r>
      <w:r w:rsidRPr="002B4A69">
        <w:t>Recital 97 a (new)</w:t>
      </w:r>
      <w:r w:rsidRPr="002B4A6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222624" w14:textId="77777777" w:rsidTr="00723F81">
        <w:tblPrEx>
          <w:tblW w:w="0" w:type="auto"/>
          <w:jc w:val="center"/>
          <w:tblLayout w:type="fixed"/>
          <w:tblCellMar>
            <w:left w:w="340" w:type="dxa"/>
            <w:right w:w="340" w:type="dxa"/>
          </w:tblCellMar>
          <w:tblLook w:val="0000"/>
        </w:tblPrEx>
        <w:trPr>
          <w:jc w:val="center"/>
        </w:trPr>
        <w:tc>
          <w:tcPr>
            <w:tcW w:w="9752" w:type="dxa"/>
            <w:gridSpan w:val="2"/>
          </w:tcPr>
          <w:p w:rsidR="001F04EE" w:rsidRPr="002B4A69" w:rsidP="00723F81" w14:paraId="44F7B687" w14:textId="77777777">
            <w:pPr>
              <w:keepNext/>
            </w:pPr>
          </w:p>
        </w:tc>
      </w:tr>
      <w:tr w14:paraId="0C31878C"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2F1E2FC3" w14:textId="77777777">
            <w:pPr>
              <w:pStyle w:val="ColumnHeading"/>
              <w:keepNext/>
              <w:rPr>
                <w:lang w:val="en-GB"/>
              </w:rPr>
            </w:pPr>
            <w:r w:rsidRPr="002B4A69">
              <w:rPr>
                <w:lang w:val="en-GB"/>
              </w:rPr>
              <w:t>Text proposed by the Commission</w:t>
            </w:r>
          </w:p>
        </w:tc>
        <w:tc>
          <w:tcPr>
            <w:tcW w:w="4876" w:type="dxa"/>
          </w:tcPr>
          <w:p w:rsidR="001F04EE" w:rsidRPr="002B4A69" w:rsidP="00723F81" w14:paraId="341B08E8" w14:textId="77777777">
            <w:pPr>
              <w:pStyle w:val="ColumnHeading"/>
              <w:keepNext/>
              <w:rPr>
                <w:lang w:val="en-GB"/>
              </w:rPr>
            </w:pPr>
            <w:r w:rsidRPr="002B4A69">
              <w:rPr>
                <w:lang w:val="en-GB"/>
              </w:rPr>
              <w:t>Amendment</w:t>
            </w:r>
          </w:p>
        </w:tc>
      </w:tr>
      <w:tr w14:paraId="02240610" w14:textId="77777777" w:rsidTr="00723F81">
        <w:tblPrEx>
          <w:tblW w:w="0" w:type="auto"/>
          <w:jc w:val="center"/>
          <w:tblLayout w:type="fixed"/>
          <w:tblCellMar>
            <w:left w:w="340" w:type="dxa"/>
            <w:right w:w="340" w:type="dxa"/>
          </w:tblCellMar>
          <w:tblLook w:val="0000"/>
        </w:tblPrEx>
        <w:trPr>
          <w:jc w:val="center"/>
        </w:trPr>
        <w:tc>
          <w:tcPr>
            <w:tcW w:w="4876" w:type="dxa"/>
          </w:tcPr>
          <w:p w:rsidR="001F04EE" w:rsidRPr="002B4A69" w:rsidP="00723F81" w14:paraId="6329C279" w14:textId="77777777">
            <w:pPr>
              <w:pStyle w:val="Normal6"/>
              <w:rPr>
                <w:lang w:val="en-GB"/>
              </w:rPr>
            </w:pPr>
          </w:p>
        </w:tc>
        <w:tc>
          <w:tcPr>
            <w:tcW w:w="4876" w:type="dxa"/>
          </w:tcPr>
          <w:p w:rsidR="001F04EE" w:rsidRPr="002B4A69" w:rsidP="00723F81" w14:paraId="54169A23" w14:textId="77777777">
            <w:pPr>
              <w:pStyle w:val="Normal6"/>
              <w:rPr>
                <w:szCs w:val="24"/>
                <w:lang w:val="en-GB"/>
              </w:rPr>
            </w:pPr>
            <w:r w:rsidRPr="002B4A69">
              <w:rPr>
                <w:b/>
                <w:i/>
                <w:lang w:val="en-GB"/>
              </w:rPr>
              <w:t>(97a)</w:t>
            </w:r>
            <w:r w:rsidRPr="002B4A69">
              <w:rPr>
                <w:b/>
                <w:i/>
                <w:lang w:val="en-GB"/>
              </w:rPr>
              <w:tab/>
              <w:t>The introduction of an emissions trading system for buildings, road transport and additional sectors (ETS2) risks imposing disproportionate costs on the whole economy of the Union, particularly on households and small and medium-sized enterprises. Such social costs would also severely undermine the economic competitiveness of the Union and could result in deteriorating living standards. It is therefore appropriate to repeal the ETS2.</w:t>
            </w:r>
          </w:p>
        </w:tc>
      </w:tr>
    </w:tbl>
    <w:p w:rsidR="001F04EE" w:rsidRPr="002B4A69" w:rsidP="001F04EE" w14:paraId="3B094305" w14:textId="77777777">
      <w:pPr>
        <w:pStyle w:val="Olang"/>
        <w:rPr>
          <w:noProof w:val="0"/>
          <w:lang w:val="en-GB"/>
        </w:rPr>
      </w:pPr>
      <w:r w:rsidRPr="002B4A69">
        <w:rPr>
          <w:noProof w:val="0"/>
          <w:lang w:val="en-GB"/>
        </w:rPr>
        <w:t xml:space="preserve">Or. </w:t>
      </w:r>
      <w:r w:rsidRPr="002B4A69">
        <w:rPr>
          <w:rStyle w:val="HideTWBExt"/>
          <w:lang w:val="en-GB"/>
        </w:rPr>
        <w:t>&lt;Original&gt;</w:t>
      </w:r>
      <w:r w:rsidRPr="002B4A69">
        <w:rPr>
          <w:rStyle w:val="HideTWBInt"/>
          <w:lang w:val="en-GB"/>
        </w:rPr>
        <w:t>{EN}</w:t>
      </w:r>
      <w:r w:rsidRPr="002B4A69">
        <w:rPr>
          <w:noProof w:val="0"/>
          <w:lang w:val="en-GB"/>
        </w:rPr>
        <w:t>en</w:t>
      </w:r>
      <w:r w:rsidRPr="002B4A69">
        <w:rPr>
          <w:rStyle w:val="HideTWBExt"/>
          <w:lang w:val="en-GB"/>
        </w:rPr>
        <w:t>&lt;/Original&gt;</w:t>
      </w:r>
    </w:p>
    <w:p w:rsidR="001F04EE" w:rsidRPr="002B4A69" w:rsidP="001F04EE" w14:paraId="522042FC" w14:textId="3B3078C9">
      <w:r w:rsidRPr="002B4A69">
        <w:rPr>
          <w:rStyle w:val="HideTWBExt"/>
        </w:rPr>
        <w:t>&lt;/Amend&gt;&lt;/RepeatBlock-Amend&gt;</w:t>
      </w:r>
    </w:p>
    <w:p w:rsidR="008363E4" w:rsidRPr="002B4A69" w:rsidP="001F04EE" w14:paraId="373E61B0" w14:textId="0A951BD7"/>
    <w:sectPr w:rsidSect="00D075B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5B1" w:rsidRPr="00C12FCB" w:rsidP="00D075B1" w14:paraId="1E62FC12" w14:textId="0FDF1FD6">
    <w:pPr>
      <w:pStyle w:val="EPFooter"/>
    </w:pPr>
    <w:r w:rsidRPr="00C12FCB">
      <w:t>PE</w:t>
    </w:r>
    <w:r w:rsidRPr="002B4A69">
      <w:rPr>
        <w:rStyle w:val="HideTWBExt"/>
      </w:rPr>
      <w:t>&lt;NoPE&gt;</w:t>
    </w:r>
    <w:r w:rsidRPr="00C12FCB">
      <w:t>796.488</w:t>
    </w:r>
    <w:r w:rsidRPr="002B4A69">
      <w:rPr>
        <w:rStyle w:val="HideTWBExt"/>
      </w:rPr>
      <w:t>&lt;/NoPE&gt;&lt;Version&gt;</w:t>
    </w:r>
    <w:r w:rsidRPr="00C12FCB">
      <w:t>v01-00</w:t>
    </w:r>
    <w:r w:rsidRPr="002B4A69">
      <w:rPr>
        <w:rStyle w:val="HideTWBExt"/>
      </w:rPr>
      <w:t>&lt;/Version&gt;</w:t>
    </w:r>
    <w:r w:rsidRPr="00C12FCB">
      <w:tab/>
    </w:r>
    <w:r w:rsidRPr="00C12FCB">
      <w:fldChar w:fldCharType="begin"/>
    </w:r>
    <w:r w:rsidRPr="00C12FCB">
      <w:instrText xml:space="preserve"> PAGE  \* MERGEFORMAT </w:instrText>
    </w:r>
    <w:r w:rsidRPr="00C12FCB">
      <w:fldChar w:fldCharType="separate"/>
    </w:r>
    <w:r w:rsidRPr="00C12FCB">
      <w:rPr>
        <w:noProof/>
      </w:rPr>
      <w:t>10</w:t>
    </w:r>
    <w:r w:rsidRPr="00C12FCB">
      <w:fldChar w:fldCharType="end"/>
    </w:r>
    <w:r w:rsidRPr="00C12FCB">
      <w:t>/</w:t>
    </w:r>
    <w:r w:rsidRPr="00C12FCB">
      <w:fldChar w:fldCharType="begin"/>
    </w:r>
    <w:r w:rsidRPr="00C12FCB">
      <w:instrText xml:space="preserve"> NUMPAGES  \* MERGEFORMAT </w:instrText>
    </w:r>
    <w:r w:rsidRPr="00C12FCB">
      <w:fldChar w:fldCharType="separate"/>
    </w:r>
    <w:r w:rsidRPr="00C12FCB">
      <w:rPr>
        <w:noProof/>
      </w:rPr>
      <w:t>216</w:t>
    </w:r>
    <w:r w:rsidRPr="00C12FCB">
      <w:fldChar w:fldCharType="end"/>
    </w:r>
    <w:r w:rsidRPr="00C12FCB">
      <w:tab/>
    </w:r>
    <w:r w:rsidRPr="002B4A69">
      <w:rPr>
        <w:rStyle w:val="HideTWBExt"/>
      </w:rPr>
      <w:t>&lt;PathFdR&gt;</w:t>
    </w:r>
    <w:r w:rsidRPr="00C12FCB" w:rsidR="00C12FCB">
      <w:t>AM\1352603EN.docx</w:t>
    </w:r>
    <w:r w:rsidRPr="002B4A69">
      <w:rPr>
        <w:rStyle w:val="HideTWBExt"/>
      </w:rPr>
      <w:t>&lt;/PathFdR&gt;</w:t>
    </w:r>
  </w:p>
  <w:p w:rsidR="00D82FCC" w:rsidRPr="00C12FCB" w:rsidP="00D075B1" w14:paraId="114EFA8C" w14:textId="0E6C060A">
    <w:pPr>
      <w:pStyle w:val="EPFooter2"/>
    </w:pPr>
    <w:r w:rsidRPr="00C12FC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5B1" w:rsidRPr="00C12FCB" w:rsidP="00D075B1" w14:paraId="219538E8" w14:textId="731EA1B1">
    <w:pPr>
      <w:pStyle w:val="EPFooter"/>
    </w:pPr>
    <w:r w:rsidRPr="002B4A69">
      <w:rPr>
        <w:rStyle w:val="HideTWBExt"/>
      </w:rPr>
      <w:t>&lt;PathFdR&gt;</w:t>
    </w:r>
    <w:r w:rsidRPr="00C12FCB" w:rsidR="00C12FCB">
      <w:t>AM\1352603EN.docx</w:t>
    </w:r>
    <w:r w:rsidRPr="002B4A69">
      <w:rPr>
        <w:rStyle w:val="HideTWBExt"/>
      </w:rPr>
      <w:t>&lt;/PathFdR&gt;</w:t>
    </w:r>
    <w:r w:rsidRPr="00C12FCB">
      <w:tab/>
    </w:r>
    <w:r w:rsidRPr="00C12FCB">
      <w:fldChar w:fldCharType="begin"/>
    </w:r>
    <w:r w:rsidRPr="00C12FCB">
      <w:instrText xml:space="preserve"> PAGE  \* MERGEFORMAT </w:instrText>
    </w:r>
    <w:r w:rsidRPr="00C12FCB">
      <w:fldChar w:fldCharType="separate"/>
    </w:r>
    <w:r w:rsidRPr="00C12FCB">
      <w:rPr>
        <w:noProof/>
      </w:rPr>
      <w:t>9</w:t>
    </w:r>
    <w:r w:rsidRPr="00C12FCB">
      <w:fldChar w:fldCharType="end"/>
    </w:r>
    <w:r w:rsidRPr="00C12FCB">
      <w:t>/</w:t>
    </w:r>
    <w:r w:rsidRPr="00C12FCB">
      <w:fldChar w:fldCharType="begin"/>
    </w:r>
    <w:r w:rsidRPr="00C12FCB">
      <w:instrText xml:space="preserve"> NUMPAGES  \* MERGEFORMAT </w:instrText>
    </w:r>
    <w:r w:rsidRPr="00C12FCB">
      <w:fldChar w:fldCharType="separate"/>
    </w:r>
    <w:r w:rsidRPr="00C12FCB">
      <w:rPr>
        <w:noProof/>
      </w:rPr>
      <w:t>216</w:t>
    </w:r>
    <w:r w:rsidRPr="00C12FCB">
      <w:fldChar w:fldCharType="end"/>
    </w:r>
    <w:r w:rsidRPr="00C12FCB">
      <w:tab/>
      <w:t>PE</w:t>
    </w:r>
    <w:r w:rsidRPr="002B4A69">
      <w:rPr>
        <w:rStyle w:val="HideTWBExt"/>
      </w:rPr>
      <w:t>&lt;NoPE&gt;</w:t>
    </w:r>
    <w:r w:rsidRPr="00C12FCB">
      <w:t>796.488</w:t>
    </w:r>
    <w:r w:rsidRPr="002B4A69">
      <w:rPr>
        <w:rStyle w:val="HideTWBExt"/>
      </w:rPr>
      <w:t>&lt;/NoPE&gt;&lt;Version&gt;</w:t>
    </w:r>
    <w:r w:rsidRPr="00C12FCB">
      <w:t>v01-00</w:t>
    </w:r>
    <w:r w:rsidRPr="002B4A69">
      <w:rPr>
        <w:rStyle w:val="HideTWBExt"/>
      </w:rPr>
      <w:t>&lt;/Version&gt;</w:t>
    </w:r>
  </w:p>
  <w:p w:rsidR="00D82FCC" w:rsidRPr="00C12FCB" w:rsidP="00D075B1" w14:paraId="7BD86914" w14:textId="321204EA">
    <w:pPr>
      <w:pStyle w:val="EPFooter2"/>
    </w:pPr>
    <w:r w:rsidRPr="00C12FCB">
      <w:tab/>
    </w:r>
    <w:r w:rsidRPr="00C12FCB">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5B1" w:rsidRPr="00C12FCB" w:rsidP="00D075B1" w14:paraId="4E7675ED" w14:textId="7235A10B">
    <w:pPr>
      <w:pStyle w:val="EPFooter"/>
    </w:pPr>
    <w:r w:rsidRPr="002B4A69">
      <w:rPr>
        <w:rStyle w:val="HideTWBExt"/>
      </w:rPr>
      <w:t>&lt;PathFdR&gt;</w:t>
    </w:r>
    <w:r w:rsidRPr="00C12FCB" w:rsidR="00C12FCB">
      <w:t>AM\1352603EN.docx</w:t>
    </w:r>
    <w:r w:rsidRPr="002B4A69">
      <w:rPr>
        <w:rStyle w:val="HideTWBExt"/>
      </w:rPr>
      <w:t>&lt;/PathFdR&gt;</w:t>
    </w:r>
    <w:r w:rsidRPr="00C12FCB">
      <w:tab/>
    </w:r>
    <w:r w:rsidRPr="00C12FCB">
      <w:tab/>
      <w:t>PE</w:t>
    </w:r>
    <w:r w:rsidRPr="002B4A69">
      <w:rPr>
        <w:rStyle w:val="HideTWBExt"/>
      </w:rPr>
      <w:t>&lt;NoPE&gt;</w:t>
    </w:r>
    <w:r w:rsidRPr="00C12FCB">
      <w:t>796.488</w:t>
    </w:r>
    <w:r w:rsidRPr="002B4A69">
      <w:rPr>
        <w:rStyle w:val="HideTWBExt"/>
      </w:rPr>
      <w:t>&lt;/NoPE&gt;&lt;Version&gt;</w:t>
    </w:r>
    <w:r w:rsidRPr="00C12FCB">
      <w:t>v01-00</w:t>
    </w:r>
    <w:r w:rsidRPr="002B4A69">
      <w:rPr>
        <w:rStyle w:val="HideTWBExt"/>
      </w:rPr>
      <w:t>&lt;/Version&gt;</w:t>
    </w:r>
  </w:p>
  <w:p w:rsidR="00D82FCC" w:rsidRPr="00C12FCB" w:rsidP="00D075B1" w14:paraId="112EBCD4" w14:textId="78EC5DCE">
    <w:pPr>
      <w:pStyle w:val="EPFooter2"/>
    </w:pPr>
    <w:r w:rsidRPr="00C12FCB">
      <w:t>EN</w:t>
    </w:r>
    <w:r w:rsidRPr="00C12FCB">
      <w:tab/>
    </w:r>
    <w:r w:rsidRPr="00C12FCB">
      <w:rPr>
        <w:b w:val="0"/>
        <w:i/>
        <w:color w:val="C0C0C0"/>
        <w:sz w:val="22"/>
      </w:rPr>
      <w:t>United in diversity</w:t>
    </w:r>
    <w:r w:rsidRPr="00C12FCB">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A20" w14:paraId="3A9F2E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A20" w14:paraId="7E42AC6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A20" w14:paraId="78BBFC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985"/>
    <w:rsid w:val="000111BD"/>
    <w:rsid w:val="00073830"/>
    <w:rsid w:val="00075DBE"/>
    <w:rsid w:val="000B0781"/>
    <w:rsid w:val="000D446F"/>
    <w:rsid w:val="000E14E3"/>
    <w:rsid w:val="000E7234"/>
    <w:rsid w:val="000F2A80"/>
    <w:rsid w:val="000F7815"/>
    <w:rsid w:val="00112985"/>
    <w:rsid w:val="00126BC4"/>
    <w:rsid w:val="00150057"/>
    <w:rsid w:val="00166CCB"/>
    <w:rsid w:val="001809DD"/>
    <w:rsid w:val="001A4802"/>
    <w:rsid w:val="001B761C"/>
    <w:rsid w:val="001C2054"/>
    <w:rsid w:val="001C502E"/>
    <w:rsid w:val="001D13C9"/>
    <w:rsid w:val="001D5CC4"/>
    <w:rsid w:val="001D7A49"/>
    <w:rsid w:val="001F04EE"/>
    <w:rsid w:val="001F0FDD"/>
    <w:rsid w:val="0020367C"/>
    <w:rsid w:val="00222325"/>
    <w:rsid w:val="00231EA7"/>
    <w:rsid w:val="00236619"/>
    <w:rsid w:val="002574CB"/>
    <w:rsid w:val="00280EA6"/>
    <w:rsid w:val="002A1C82"/>
    <w:rsid w:val="002B4A69"/>
    <w:rsid w:val="002B6A7B"/>
    <w:rsid w:val="002C5761"/>
    <w:rsid w:val="002E2084"/>
    <w:rsid w:val="002E3F68"/>
    <w:rsid w:val="002E4311"/>
    <w:rsid w:val="003003A7"/>
    <w:rsid w:val="00315664"/>
    <w:rsid w:val="00322475"/>
    <w:rsid w:val="00363AD3"/>
    <w:rsid w:val="003743DE"/>
    <w:rsid w:val="0037660F"/>
    <w:rsid w:val="00377B3E"/>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1BE5"/>
    <w:rsid w:val="00461E32"/>
    <w:rsid w:val="00464338"/>
    <w:rsid w:val="00495E20"/>
    <w:rsid w:val="004E0AAC"/>
    <w:rsid w:val="004E1C4C"/>
    <w:rsid w:val="004F03F0"/>
    <w:rsid w:val="004F2903"/>
    <w:rsid w:val="005246D8"/>
    <w:rsid w:val="00547F73"/>
    <w:rsid w:val="00557617"/>
    <w:rsid w:val="00571479"/>
    <w:rsid w:val="0059562D"/>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3F81"/>
    <w:rsid w:val="00736FBA"/>
    <w:rsid w:val="0074160E"/>
    <w:rsid w:val="007659AC"/>
    <w:rsid w:val="0079060C"/>
    <w:rsid w:val="007A42AB"/>
    <w:rsid w:val="007C5E04"/>
    <w:rsid w:val="007C71DE"/>
    <w:rsid w:val="00822C94"/>
    <w:rsid w:val="008363E4"/>
    <w:rsid w:val="00851460"/>
    <w:rsid w:val="0087052C"/>
    <w:rsid w:val="00870CF2"/>
    <w:rsid w:val="00874862"/>
    <w:rsid w:val="00875A9C"/>
    <w:rsid w:val="00887FDC"/>
    <w:rsid w:val="008B251A"/>
    <w:rsid w:val="008C2064"/>
    <w:rsid w:val="008D6D06"/>
    <w:rsid w:val="008F0DDD"/>
    <w:rsid w:val="008F6724"/>
    <w:rsid w:val="00900CAE"/>
    <w:rsid w:val="00904AD5"/>
    <w:rsid w:val="00907CCA"/>
    <w:rsid w:val="009154FF"/>
    <w:rsid w:val="00917A85"/>
    <w:rsid w:val="00966038"/>
    <w:rsid w:val="00975E0E"/>
    <w:rsid w:val="009A65D8"/>
    <w:rsid w:val="009B0305"/>
    <w:rsid w:val="009C7242"/>
    <w:rsid w:val="009F230F"/>
    <w:rsid w:val="00A15973"/>
    <w:rsid w:val="00A233E9"/>
    <w:rsid w:val="00A46736"/>
    <w:rsid w:val="00A507FC"/>
    <w:rsid w:val="00A5426B"/>
    <w:rsid w:val="00A5440F"/>
    <w:rsid w:val="00A845EF"/>
    <w:rsid w:val="00A84E16"/>
    <w:rsid w:val="00A93389"/>
    <w:rsid w:val="00A93F8C"/>
    <w:rsid w:val="00AA0426"/>
    <w:rsid w:val="00AB74D6"/>
    <w:rsid w:val="00AC5BF1"/>
    <w:rsid w:val="00AC7149"/>
    <w:rsid w:val="00AD730A"/>
    <w:rsid w:val="00AE4459"/>
    <w:rsid w:val="00AF25FC"/>
    <w:rsid w:val="00AF2819"/>
    <w:rsid w:val="00B0638A"/>
    <w:rsid w:val="00B10564"/>
    <w:rsid w:val="00B26B6F"/>
    <w:rsid w:val="00B41B4D"/>
    <w:rsid w:val="00B77A45"/>
    <w:rsid w:val="00B8066A"/>
    <w:rsid w:val="00B85286"/>
    <w:rsid w:val="00B90B7F"/>
    <w:rsid w:val="00B9188F"/>
    <w:rsid w:val="00BA48D2"/>
    <w:rsid w:val="00BB3131"/>
    <w:rsid w:val="00BC1B1F"/>
    <w:rsid w:val="00BE0C84"/>
    <w:rsid w:val="00BE5062"/>
    <w:rsid w:val="00C10F61"/>
    <w:rsid w:val="00C12FCB"/>
    <w:rsid w:val="00C22CC4"/>
    <w:rsid w:val="00C2336C"/>
    <w:rsid w:val="00C35E35"/>
    <w:rsid w:val="00C41E32"/>
    <w:rsid w:val="00C85D0F"/>
    <w:rsid w:val="00C86D83"/>
    <w:rsid w:val="00C92798"/>
    <w:rsid w:val="00CB34F1"/>
    <w:rsid w:val="00CB7B07"/>
    <w:rsid w:val="00CC3983"/>
    <w:rsid w:val="00D00CC7"/>
    <w:rsid w:val="00D075B1"/>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058D9"/>
    <w:rsid w:val="00E13285"/>
    <w:rsid w:val="00E15A86"/>
    <w:rsid w:val="00E168A4"/>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3A20"/>
    <w:rsid w:val="00FD675F"/>
    <w:rsid w:val="00FE03B4"/>
  </w:rsids>
  <w:docVars>
    <w:docVar w:name="AMACTMNU" w:val=" 2"/>
    <w:docVar w:name="AMPLURMNU" w:val=" 1"/>
    <w:docVar w:name="CODEMNU" w:val="1"/>
    <w:docVar w:name="COMKEY" w:val="ENVI"/>
    <w:docVar w:name="DOCCODMNU" w:val=" 2"/>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599263 HideTWBExt;}{\*\cs18 \additive \v\f1\fs20\cf15 &#13;_x000a_\spriority0 \styrsid4599263 HideTWBInt;}{\s19\ql \li0\ri0\sa120\nowidctlpar\wrapdefault\aspalpha\aspnum\faauto\adjustright\rin0\lin0\itap0 \rtlch\fcs1 \af0\afs20\alang1025 \ltrch\fcs0 \fs24\lang2057\langfe2057\cgrid\langnp2057\langfenp2057 &#13;_x000a_\sbasedon0 \snext19 \spriority0 \styrsid4599263 Normal6a;}{\s20\ql \li0\ri0\nowidctlpar\wrapdefault\aspalpha\aspnum\faauto\adjustright\rin0\lin0\itap0 \rtlch\fcs1 \af0\afs20\alang1025 \ltrch\fcs0 \b\fs24\lang2057\langfe2057\cgrid\langnp2057\langfenp2057 &#13;_x000a_\sbasedon0 \snext20 \spriority0 \styrsid4599263 NormalBold;}{\s21\qr \li0\ri0\sb240\sa240\nowidctlpar\wrapdefault\aspalpha\aspnum\faauto\adjustright\rin0\lin0\itap0 \rtlch\fcs1 \af0\afs20\alang1025 \ltrch\fcs0 &#13;_x000a_\fs24\lang2057\langfe2057\cgrid\langnp2057\langfenp2057 \sbasedon0 \snext21 \spriority0 \styrsid4599263 AmOrLang;}{\s22\qc \li0\ri0\sa240\nowidctlpar\wrapdefault\aspalpha\aspnum\faauto\adjustright\rin0\lin0\itap0 \rtlch\fcs1 \af0\afs20\alang1025 &#13;_x000a_\ltrch\fcs0 \i\fs24\lang2057\langfe2057\cgrid\langnp2057\langfenp2057 \sbasedon0 \snext22 \spriority0 \styrsid4599263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599263 AmNumberTabs;}}{\*\rsidtbl \rsid24658\rsid223860\rsid735077\rsid1718133\rsid2892074\rsid3561127\rsid3565327\rsid4599263\rsid4666813&#13;_x000a_\rsid6641733\rsid7823322\rsid9636012\rsid10377208\rsid11215221\rsid11549030\rsid12154954\rsid14382809\rsid14424199\rsid15079359\rsid15204470\rsid15285974\rsid15950462\rsid16324206\rsid16662270}{\mmathPr\mmathFont34\mbrkBin0\mbrkBinSub0\msmallFrac0&#13;_x000a_\mdispDef1\mlMargin0\mrMargin0\mdefJc1\mwrapIndent1440\mintLim0\mnaryLim1}{\info{\author KOVACS-MALYI Krisztina}{\operator KOVACS-MALYI Krisztina}{\creatim\yr2026\mo10\dy13\hr15\min5}{\revtim\yr2026\mo10\dy13\hr15\min5}{\version1}{\edmins0}{\nofpages1}&#13;_x000a_{\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599263\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3561127 \chftnsep &#13;_x000a_\par }}{\*\ftnsepc \ltrpar \pard\plain \ltrpar\ql \li0\ri0\widctlpar\wrapdefault\aspalpha\aspnum\faauto\adjustright\rin0\lin0\itap0 \rtlch\fcs1 \af0\afs20\alang1025 \ltrch\fcs0 \fs24\lang2057\langfe2057\cgrid\langnp2057\langfenp2057 {\rtlch\fcs1 \af0 &#13;_x000a_\ltrch\fcs0 \insrsid3561127 \chftnsepc &#13;_x000a_\par }}{\*\aftnsep \ltrpar \pard\plain \ltrpar\ql \li0\ri0\widctlpar\wrapdefault\aspalpha\aspnum\faauto\adjustright\rin0\lin0\itap0 \rtlch\fcs1 \af0\afs20\alang1025 \ltrch\fcs0 \fs24\lang2057\langfe2057\cgrid\langnp2057\langfenp2057 {\rtlch\fcs1 \af0 &#13;_x000a_\ltrch\fcs0 \insrsid3561127 \chftnsep &#13;_x000a_\par }}{\*\aftnsepc \ltrpar \pard\plain \ltrpar\ql \li0\ri0\widctlpar\wrapdefault\aspalpha\aspnum\faauto\adjustright\rin0\lin0\itap0 \rtlch\fcs1 \af0\afs20\alang1025 \ltrch\fcs0 \fs24\lang2057\langfe2057\cgrid\langnp2057\langfenp2057 {\rtlch\fcs1 \af0 &#13;_x000a_\ltrch\fcs0 \insrsid35611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4599263\charrsid1404823 {\*\bkmkstart restartA}&lt;AmendA&gt;}{\rtlch\fcs1 \af0 \ltrch\fcs0 &#13;_x000a_\insrsid4599263\charrsid1404823 Amendment\tab \tab }{\rtlch\fcs1 \af0 \ltrch\fcs0 \cs17\b0\v\f1\fs20\cf9\insrsid4599263\charrsid1404823 &lt;NumAmA&gt;}{\rtlch\fcs1 \af0 \ltrch\fcs0 \insrsid4599263\charrsid1404823 #}{\rtlch\fcs1 \af1 \ltrch\fcs0 &#13;_x000a_\cs18\v\f1\fs20\cf15\insrsid4599263\charrsid1404823 ENMIENDA@NRAM@}{\rtlch\fcs1 \af0 \ltrch\fcs0 \insrsid4599263\charrsid1404823 #}{\rtlch\fcs1 \af0 \ltrch\fcs0 \cs17\b0\v\f1\fs20\cf9\insrsid4599263\charrsid1404823 &lt;/NumAmA&gt;}{\rtlch\fcs1 \af0 \ltrch\fcs0 &#13;_x000a_\insrsid4599263\charrsid1404823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4599263\charrsid1404823 &lt;RepeatBlock-By&gt;}{\rtlch\fcs1 \af0 \ltrch\fcs0 \insrsid4599263\charrsid1404823 #}{\rtlch\fcs1 \af1 \ltrch\fcs0 &#13;_x000a_\cs18\v\f1\fs20\cf15\insrsid4599263\charrsid1404823 (MOD@InsideLoop()}{\rtlch\fcs1 \af0 \ltrch\fcs0 \insrsid4599263\charrsid1404823 ##}{\rtlch\fcs1 \af1 \ltrch\fcs0 \cs18\v\f1\fs20\cf15\insrsid4599263\charrsid1404823 &gt;&gt;&gt;@[ZMEMBERSMSG]@}{\rtlch\fcs1 \af0 &#13;_x000a_\ltrch\fcs0 \insrsid4599263\charrsid1404823 #}{\rtlch\fcs1 \af0 \ltrch\fcs0 \cs17\b0\v\f1\fs20\cf9\lang1024\langfe1024\noproof\insrsid4599263\charrsid1404823 &lt;Members&gt;}{\rtlch\fcs1 \af0 \ltrch\fcs0 \insrsid4599263\charrsid1404823 #}{\rtlch\fcs1 \af1 &#13;_x000a_\ltrch\fcs0 \cs18\v\f1\fs20\cf15\insrsid4599263\charrsid1404823 (MOD@InsideLoop(\'a7)}{\rtlch\fcs1 \af0 \ltrch\fcs0 \insrsid4599263\charrsid1404823 #}{\rtlch\fcs1 \af0 \ltrch\fcs0 \cf10\insrsid4599263\charrsid1404823 \u9668\'3f}{\rtlch\fcs1 \af0 &#13;_x000a_\ltrch\fcs0 \insrsid4599263\charrsid1404823 #}{\rtlch\fcs1 \af1 \ltrch\fcs0 \cs18\v\f1\fs20\cf15\insrsid4599263\charrsid1404823 TVTMEMBERS\'a7@MEMBERS@}{\rtlch\fcs1 \af0 \ltrch\fcs0 \insrsid4599263\charrsid1404823 #}{\rtlch\fcs1 \af0 \ltrch\fcs0 &#13;_x000a_\cf10\insrsid4599263\charrsid1404823 \u9658\'3f}{\rtlch\fcs1 \af0 \ltrch\fcs0 \cs17\b0\v\f1\fs20\cf9\lang1024\langfe1024\noproof\insrsid4599263\charrsid1404823 &lt;/Members&gt;}{\rtlch\fcs1 \af0 \ltrch\fcs0 \insrsid4599263\charrsid1404823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4599263\charrsid1404823 &lt;AuNomDe&gt;&lt;OptDel&gt;}{\rtlch\fcs1 \af0 \ltrch\fcs0 \insrsid4599263\charrsid1404823 #}{\rtlch\fcs1 \af1 \ltrch\fcs0 \cs18\v\f1\fs20\cf15\insrsid4599263\charrsid1404823 &#13;_x000a_MNU[ONBEHALFYES][NOTAPP]@CHOICE@}{\rtlch\fcs1 \af0 \ltrch\fcs0 \insrsid4599263\charrsid1404823 #}{\rtlch\fcs1 \af0 \ltrch\fcs0 \cs17\v\f1\fs20\cf9\lang1024\langfe1024\noproof\insrsid4599263\charrsid1404823 &lt;/OptDel&gt;&lt;/AuNomDe&gt;}{\rtlch\fcs1 \af0 &#13;_x000a_\ltrch\fcs0 \insrsid4599263\charrsid1404823 &#13;_x000a_\par &lt;&lt;&lt;}{\rtlch\fcs1 \af0 \ltrch\fcs0 \cs17\v\f1\fs20\cf9\lang1024\langfe1024\noproof\insrsid4599263\charrsid1404823 &lt;/RepeatBlock-By&gt;}{\rtlch\fcs1 \af0 \ltrch\fcs0 \insrsid4599263\charrsid1404823 &#13;_x000a_\par }\pard\plain \ltrpar\s20\ql \li0\ri0\nowidctlpar\wrapdefault\aspalpha\aspnum\faauto\adjustright\rin0\lin0\itap0\pararsid5976803 \rtlch\fcs1 \af0\afs20\alang1025 \ltrch\fcs0 \b\fs24\lang2057\langfe2057\cgrid\langnp2057\langfenp2057 {\rtlch\fcs1 \af0 &#13;_x000a_\ltrch\fcs0 \cs17\b0\v\f1\fs20\cf9\insrsid4599263\charrsid1404823 &lt;DocAmend&gt;}{\rtlch\fcs1 \af0 \ltrch\fcs0 \insrsid4599263\charrsid1404823 Draft legislative resolution}{\rtlch\fcs1 \af0 \ltrch\fcs0 \cs17\b0\v\f1\fs20\cf9\insrsid4599263\charrsid1404823 &#13;_x000a_&lt;/DocAmend&gt;}{\rtlch\fcs1 \af0 \ltrch\fcs0 \insrsid4599263\charrsid1404823 &#13;_x000a_\par }\pard \ltrpar\s20\ql \li0\ri0\nowidctlpar\wrapdefault\aspalpha\aspnum\faauto\adjustright\rin0\lin0\itap0\pararsid16013815 {\rtlch\fcs1 \af0 \ltrch\fcs0 \cs17\b0\v\f1\fs20\cf9\lang1024\langfe1024\noproof\insrsid4599263\charrsid1404823 &lt;Article&gt;}{&#13;_x000a_\rtlch\fcs1 \af0 \ltrch\fcs0 \cf10\insrsid4599263\charrsid1404823 \u9668\'3f}{\rtlch\fcs1 \af0 \ltrch\fcs0 \insrsid4599263\charrsid1404823 #}{\rtlch\fcs1 \af1 \ltrch\fcs0 \cs18\v\f1\fs20\cf15\insrsid4599263\charrsid1404823 TVTRESPART@RESPART@}{&#13;_x000a_\rtlch\fcs1 \af0 \ltrch\fcs0 \insrsid4599263\charrsid1404823 #}{\rtlch\fcs1 \af0 \ltrch\fcs0 \cf10\insrsid4599263\charrsid1404823 \u9658\'3f}{\rtlch\fcs1 \af0 \ltrch\fcs0 \cs17\b0\v\f1\fs20\cf9\lang1024\langfe1024\noproof\insrsid4599263\charrsid1404823 &#13;_x000a_&lt;/Article&gt;}{\rtlch\fcs1 \af0 \ltrch\fcs0 \insrsid4599263\charrsid1404823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4599263\charrsid1404823 \cell }\pard\plain \ltrpar\ql \li0\ri0\widctlpar\intbl\wrapdefault\aspalpha\aspnum\faauto\adjustright\rin0\lin0 \rtlch\fcs1 &#13;_x000a_\af0\afs20\alang1025 \ltrch\fcs0 \fs24\lang2057\langfe2057\cgrid\langnp2057\langfenp2057 {\rtlch\fcs1 \af0 \ltrch\fcs0 \insrsid4599263\charrsid1404823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4599263\charrsid1404823 Draft legislative resolution\cell Amendment\cell }\pard\plain \ltrpar\ql \li0\ri0\widctlpar\intbl\wrapdefault\aspalpha\aspnum\faauto\adjustright\rin0\lin0 \rtlch\fcs1 \af0\afs20\alang1025 \ltrch\fcs0 &#13;_x000a_\fs24\lang2057\langfe2057\cgrid\langnp2057\langfenp2057 {\rtlch\fcs1 \af0 \ltrch\fcs0 \insrsid4599263\charrsid1404823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4599263\charrsid1404823 ##\cell ##}{\rtlch\fcs1 \af0\afs24 \ltrch\fcs0 \insrsid4599263\charrsid1404823 \cell }\pard\plain \ltrpar\ql \li0\ri0\widctlpar\intbl\wrapdefault\aspalpha\aspnum\faauto\adjustright\rin0\lin0 \rtlch\fcs1 &#13;_x000a_\af0\afs20\alang1025 \ltrch\fcs0 \fs24\lang2057\langfe2057\cgrid\langnp2057\langfenp2057 {\rtlch\fcs1 \af0 \ltrch\fcs0 \insrsid4599263\charrsid1404823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4599263\charrsid1404823 Or. }{\rtlch\fcs1 \af0 \ltrch\fcs0 \cs17\v\f1\fs20\cf9\insrsid4599263\charrsid1404823 &lt;Original&gt;}{\rtlch\fcs1 \af0 \ltrch\fcs0 \insrsid4599263\charrsid1404823 #}{\rtlch\fcs1 \af1 \ltrch\fcs0 &#13;_x000a_\cs18\v\f1\fs20\cf15\insrsid4599263\charrsid1404823 KEY(MAIN/LANGMIN)sh@ORLANGMSG@}{\rtlch\fcs1 \af0 \ltrch\fcs0 \insrsid4599263\charrsid1404823 #}{\rtlch\fcs1 \af0 \ltrch\fcs0 \cs17\v\f1\fs20\cf9\insrsid4599263\charrsid1404823 &lt;/Original&gt;}{\rtlch\fcs1 &#13;_x000a_\af0 \ltrch\fcs0 \insrsid4599263\charrsid1404823 &#13;_x000a_\par }\pard\plain \ltrpar\ql \li0\ri0\widctlpar\wrapdefault\aspalpha\aspnum\faauto\adjustright\rin0\lin0\itap0\pararsid16324206 \rtlch\fcs1 \af0\afs20\alang1025 \ltrch\fcs0 \fs24\lang2057\langfe2057\cgrid\langnp2057\langfenp2057 {\rtlch\fcs1 \af0 \ltrch\fcs0 &#13;_x000a_\cs17\v\f1\fs20\cf9\insrsid4599263\charrsid1404823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55&#13;_x000a_267713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32326 HideTWBExt;}{\*\cs18 \additive \v\f1\fs20\cf15 &#13;_x000a_\spriority0 \styrsid3232326 HideTWBInt;}{\s19\ql \li0\ri0\sa120\nowidctlpar\wrapdefault\aspalpha\aspnum\faauto\adjustright\rin0\lin0\itap0 \rtlch\fcs1 \af0\afs20\alang1025 \ltrch\fcs0 \fs24\lang2057\langfe2057\cgrid\langnp2057\langfenp2057 &#13;_x000a_\sbasedon0 \snext19 \spriority0 \styrsid3232326 Normal6a;}{\s20\ql \li0\ri0\nowidctlpar\wrapdefault\aspalpha\aspnum\faauto\adjustright\rin0\lin0\itap0 \rtlch\fcs1 \af0\afs20\alang1025 \ltrch\fcs0 \b\fs24\lang2057\langfe2057\cgrid\langnp2057\langfenp2057 &#13;_x000a_\sbasedon0 \snext20 \spriority0 \styrsid3232326 NormalBold;}{\s21\ql \li0\ri0\sa240\nowidctlpar\wrapdefault\aspalpha\aspnum\faauto\adjustright\rin0\lin0\itap0 \rtlch\fcs1 \af0\afs20\alang1025 \ltrch\fcs0 &#13;_x000a_\i\fs24\lang2057\langfe2057\cgrid\langnp2057\langfenp2057 \sbasedon0 \snext21 \spriority0 \styrsid3232326 AmJustText;}{\s22\qc \li0\ri0\sb240\sa240\nowidctlpar\wrapdefault\aspalpha\aspnum\faauto\adjustright\rin0\lin0\itap0 \rtlch\fcs1 &#13;_x000a_\af0\afs20\alang1025 \ltrch\fcs0 \i\fs24\lang2057\langfe2057\cgrid\langnp2057\langfenp2057 \sbasedon0 \snext22 \spriority0 \styrsid3232326 AmCrossRef;}{&#13;_x000a_\s23\qc \li0\ri0\sb240\sa240\keepn\nowidctlpar\wrapdefault\aspalpha\aspnum\faauto\adjustright\rin0\lin0\itap0 \rtlch\fcs1 \af0\afs20\alang1025 \ltrch\fcs0 \i\fs24\lang2057\langfe2057\cgrid\langnp2057\langfenp2057 &#13;_x000a_\sbasedon0 \snext21 \spriority0 \styrsid3232326 AmJustTitle;}{\s24\qr \li0\ri0\sb240\sa240\nowidctlpar\wrapdefault\aspalpha\aspnum\faauto\adjustright\rin0\lin0\itap0 \rtlch\fcs1 \af0\afs20\alang1025 \ltrch\fcs0 &#13;_x000a_\fs24\lang2057\langfe2057\cgrid\langnp2057\langfenp2057 \sbasedon0 \snext24 \spriority0 \styrsid3232326 AmOrLang;}{\s25\qc \li0\ri0\sa240\nowidctlpar\wrapdefault\aspalpha\aspnum\faauto\adjustright\rin0\lin0\itap0 \rtlch\fcs1 \af0\afs20\alang1025 &#13;_x000a_\ltrch\fcs0 \i\fs24\lang2057\langfe2057\cgrid\langnp2057\langfenp2057 \sbasedon0 \snext25 \spriority0 \styrsid323232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3232326 AmNumberTabs;}}{\*\rsidtbl \rsid24658\rsid223860\rsid535339\rsid735077\rsid1718133\rsid2892074\rsid3232326\rsid3565327\rsid4666813&#13;_x000a_\rsid6641733\rsid7823322\rsid9636012\rsid10377208\rsid11215221\rsid11549030\rsid12154954\rsid14382809\rsid14424199\rsid15079359\rsid15204470\rsid15285974\rsid15950462\rsid16324206\rsid16662270}{\mmathPr\mmathFont34\mbrkBin0\mbrkBinSub0\msmallFrac0&#13;_x000a_\mdispDef1\mlMargin0\mrMargin0\mdefJc1\mwrapIndent1440\mintLim0\mnaryLim1}{\info{\author KOVACS-MALYI Krisztina}{\operator KOVACS-MALYI Krisztina}{\creatim\yr2026\mo10\dy13\hr15\min5}{\revtim\yr2026\mo10\dy13\hr15\min5}{\version1}{\edmins0}{\nofpages1}&#13;_x000a_{\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32326\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535339 \chftnsep &#13;_x000a_\par }}{\*\ftnsepc \ltrpar \pard\plain \ltrpar\ql \li0\ri0\widctlpar\wrapdefault\aspalpha\aspnum\faauto\adjustright\rin0\lin0\itap0 \rtlch\fcs1 \af0\afs20\alang1025 \ltrch\fcs0 \fs24\lang2057\langfe2057\cgrid\langnp2057\langfenp2057 {\rtlch\fcs1 \af0 &#13;_x000a_\ltrch\fcs0 \insrsid535339 \chftnsepc &#13;_x000a_\par }}{\*\aftnsep \ltrpar \pard\plain \ltrpar\ql \li0\ri0\widctlpar\wrapdefault\aspalpha\aspnum\faauto\adjustright\rin0\lin0\itap0 \rtlch\fcs1 \af0\afs20\alang1025 \ltrch\fcs0 \fs24\lang2057\langfe2057\cgrid\langnp2057\langfenp2057 {\rtlch\fcs1 \af0 &#13;_x000a_\ltrch\fcs0 \insrsid535339 \chftnsep &#13;_x000a_\par }}{\*\aftnsepc \ltrpar \pard\plain \ltrpar\ql \li0\ri0\widctlpar\wrapdefault\aspalpha\aspnum\faauto\adjustright\rin0\lin0\itap0 \rtlch\fcs1 \af0\afs20\alang1025 \ltrch\fcs0 \fs24\lang2057\langfe2057\cgrid\langnp2057\langfenp2057 {\rtlch\fcs1 \af0 &#13;_x000a_\ltrch\fcs0 \insrsid53533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3232326\charrsid1404823 {\*\bkmkstart restartB}&lt;AmendB&gt;}{\rtlch\fcs1 \af0 \ltrch\fcs0 &#13;_x000a_\insrsid3232326\charrsid1404823 Amendment\tab \tab }{\rtlch\fcs1 \af0 \ltrch\fcs0 \cs17\b0\v\f1\fs20\cf9\insrsid3232326\charrsid1404823 &lt;NumAmB&gt;}{\rtlch\fcs1 \af0 \ltrch\fcs0 \insrsid3232326\charrsid1404823 #}{\rtlch\fcs1 \af1 \ltrch\fcs0 &#13;_x000a_\cs18\v\f1\fs20\cf15\insrsid3232326\charrsid1404823 ENMIENDA@NRAM@}{\rtlch\fcs1 \af0 \ltrch\fcs0 \insrsid3232326\charrsid1404823 #}{\rtlch\fcs1 \af0 \ltrch\fcs0 \cs17\b0\v\f1\fs20\cf9\insrsid3232326\charrsid1404823 &lt;/NumAmB&gt;}{\rtlch\fcs1 \af0 \ltrch\fcs0 &#13;_x000a_\insrsid3232326\charrsid1404823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3232326\charrsid1404823 &lt;RepeatBlock-By&gt;}{\rtlch\fcs1 \af0 \ltrch\fcs0 \insrsid3232326\charrsid1404823 #}{\rtlch\fcs1 \af1 \ltrch\fcs0 &#13;_x000a_\cs18\v\f1\fs20\cf15\insrsid3232326\charrsid1404823 (MOD@InsideLoop()}{\rtlch\fcs1 \af0 \ltrch\fcs0 \insrsid3232326\charrsid1404823 ##}{\rtlch\fcs1 \af1 \ltrch\fcs0 \cs18\v\f1\fs20\cf15\insrsid3232326\charrsid1404823 &gt;&gt;&gt;@[ZMEMBERSMSG]@}{\rtlch\fcs1 \af0 &#13;_x000a_\ltrch\fcs0 \insrsid3232326\charrsid1404823 #}{\rtlch\fcs1 \af0 \ltrch\fcs0 \cs17\b0\v\f1\fs20\cf9\lang1024\langfe1024\noproof\insrsid3232326\charrsid1404823 &lt;Members&gt;}{\rtlch\fcs1 \af0 \ltrch\fcs0 \insrsid3232326\charrsid1404823 #}{\rtlch\fcs1 \af1 &#13;_x000a_\ltrch\fcs0 \cs18\v\f1\fs20\cf15\insrsid3232326\charrsid1404823 (MOD@InsideLoop(\'a7)}{\rtlch\fcs1 \af0 \ltrch\fcs0 \insrsid3232326\charrsid1404823 #}{\rtlch\fcs1 \af0 \ltrch\fcs0 \cf10\insrsid3232326\charrsid1404823 \u9668\'3f}{\rtlch\fcs1 \af0 &#13;_x000a_\ltrch\fcs0 \insrsid3232326\charrsid1404823 #}{\rtlch\fcs1 \af1 \ltrch\fcs0 \cs18\v\f1\fs20\cf15\insrsid3232326\charrsid1404823 TVTMEMBERS\'a7@MEMBERS@}{\rtlch\fcs1 \af0 \ltrch\fcs0 \insrsid3232326\charrsid1404823 #}{\rtlch\fcs1 \af0 \ltrch\fcs0 &#13;_x000a_\cf10\insrsid3232326\charrsid1404823 \u9658\'3f}{\rtlch\fcs1 \af0 \ltrch\fcs0 \cs17\b0\v\f1\fs20\cf9\lang1024\langfe1024\noproof\insrsid3232326\charrsid1404823 &lt;/Members&gt;}{\rtlch\fcs1 \af0 \ltrch\fcs0 \insrsid3232326\charrsid1404823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3232326\charrsid1404823 &lt;AuNomDe&gt;&lt;OptDel&gt;}{\rtlch\fcs1 \af0 \ltrch\fcs0 \insrsid3232326\charrsid1404823 #}{\rtlch\fcs1 \af1 \ltrch\fcs0 \cs18\v\f1\fs20\cf15\insrsid3232326\charrsid1404823 &#13;_x000a_MNU[ONBEHALFYES][NOTAPP]@CHOICE@}{\rtlch\fcs1 \af0 \ltrch\fcs0 \insrsid3232326\charrsid1404823 #}{\rtlch\fcs1 \af0 \ltrch\fcs0 \cs17\v\f1\fs20\cf9\lang1024\langfe1024\noproof\insrsid3232326\charrsid1404823 &lt;/OptDel&gt;&lt;/AuNomDe&gt;}{\rtlch\fcs1 \af0 &#13;_x000a_\ltrch\fcs0 \insrsid3232326\charrsid1404823 &#13;_x000a_\par &lt;&lt;&lt;}{\rtlch\fcs1 \af0 \ltrch\fcs0 \cs17\v\f1\fs20\cf9\lang1024\langfe1024\noproof\insrsid3232326\charrsid1404823 &lt;/RepeatBlock-By&gt;}{\rtlch\fcs1 \af0 \ltrch\fcs0 \insrsid3232326\charrsid1404823 &#13;_x000a_\par }\pard\plain \ltrpar\s20\ql \li0\ri0\nowidctlpar\wrapdefault\aspalpha\aspnum\faauto\adjustright\rin0\lin0\itap0\pararsid5976803 \rtlch\fcs1 \af0\afs20\alang1025 \ltrch\fcs0 \b\fs24\lang2057\langfe2057\cgrid\langnp2057\langfenp2057 {\rtlch\fcs1 \af0 &#13;_x000a_\ltrch\fcs0 \cs17\b0\v\f1\fs20\cf9\insrsid3232326\charrsid1404823 &lt;DocAmend&gt;}{\rtlch\fcs1 \af0 \ltrch\fcs0 \insrsid3232326\charrsid1404823 #}{\rtlch\fcs1 \af1 \ltrch\fcs0 \cs18\v\f1\fs20\cf15\insrsid3232326\charrsid1404823 &#13;_x000a_MNU[OPTPROPOSALCOD][OPTPROPOSALCNS][OPTPROPOSALNLE]@CHOICE@CODEMNU}{\rtlch\fcs1 \af0 \ltrch\fcs0 \insrsid3232326\charrsid1404823 #}{\rtlch\fcs1 \af0 \ltrch\fcs0 \cs17\b0\v\f1\fs20\cf9\insrsid3232326\charrsid1404823 &lt;/DocAmend&gt;}{\rtlch\fcs1 \af0 &#13;_x000a_\ltrch\fcs0 \insrsid3232326\charrsid1404823 &#13;_x000a_\par }\pard \ltrpar\s20\ql \li0\ri0\keepn\nowidctlpar\wrapdefault\aspalpha\aspnum\faauto\adjustright\rin0\lin0\itap0\pararsid10630121 {\rtlch\fcs1 \af0 \ltrch\fcs0 \cs17\b0\v\f1\fs20\cf9\insrsid3232326\charrsid1404823 &lt;Article&gt;}{\rtlch\fcs1 \af0 \ltrch\fcs0 &#13;_x000a_\insrsid3232326\charrsid1404823 #}{\rtlch\fcs1 \af1 \ltrch\fcs0 \cs18\v\f1\fs20\cf15\insrsid3232326\charrsid1404823 MNU[AMACTPARTYES][AMACTPARTNO]@CHOICE@AMACTMNU}{\rtlch\fcs1 \af0 \ltrch\fcs0 \insrsid3232326\charrsid1404823 #}{\rtlch\fcs1 \af0 &#13;_x000a_\ltrch\fcs0 \cs17\b0\v\f1\fs20\cf9\insrsid3232326\charrsid1404823 &lt;/Article&gt;}{\rtlch\fcs1 \af0 \ltrch\fcs0 \insrsid3232326\charrsid1404823 &#13;_x000a_\par }\pard\plain \ltrpar\ql \li0\ri0\keepn\widctlpar\wrapdefault\aspalpha\aspnum\faauto\adjustright\rin0\lin0\itap0\pararsid3744759 \rtlch\fcs1 \af0\afs20\alang1025 \ltrch\fcs0 \fs24\lang2057\langfe2057\cgrid\langnp2057\langfenp2057 {\rtlch\fcs1 \af0 &#13;_x000a_\ltrch\fcs0 \cs17\v\f1\fs20\cf9\insrsid3232326\charrsid1404823 &lt;DocAmend2&gt;&lt;OptDel&gt;}{\rtlch\fcs1 \af0 \ltrch\fcs0 \insrsid3232326\charrsid1404823 #}{\rtlch\fcs1 \af1 \ltrch\fcs0 \cs18\v\f1\fs20\cf15\insrsid3232326\charrsid1404823 &#13;_x000a_MNU[OPTNRACTYES][NOTAPP]@CHOICE@AMACTMNU}{\rtlch\fcs1 \af0 \ltrch\fcs0 \insrsid3232326\charrsid1404823 #}{\rtlch\fcs1 \af0 \ltrch\fcs0 \cs17\v\f1\fs20\cf9\insrsid3232326\charrsid1404823 &lt;/OptDel&gt;&lt;/DocAmend2&gt;}{\rtlch\fcs1 \af0 \ltrch\fcs0 &#13;_x000a_\insrsid3232326\charrsid1404823 &#13;_x000a_\par }\pard \ltrpar\ql \li0\ri0\widctlpar\wrapdefault\aspalpha\aspnum\faauto\adjustright\rin0\lin0\itap0\pararsid10158853 {\rtlch\fcs1 \af0 \ltrch\fcs0 \cs17\v\f1\fs20\cf9\insrsid3232326\charrsid1404823 &lt;Article2&gt;&lt;OptDel&gt;}{\rtlch\fcs1 \af0 \ltrch\fcs0 &#13;_x000a_\insrsid3232326\charrsid1404823 #}{\rtlch\fcs1 \af1 \ltrch\fcs0 \cs18\v\f1\fs20\cf15\insrsid3232326\charrsid1404823 MNU[OPTACTPARTYES][NOTAPP]@CHOICE@AMACTMNU}{\rtlch\fcs1 \af0 \ltrch\fcs0 \insrsid3232326\charrsid1404823 #}{\rtlch\fcs1 \af0 \ltrch\fcs0 &#13;_x000a_\cs17\v\f1\fs20\cf9\insrsid3232326\charrsid1404823 &lt;/OptDel&gt;&lt;/Article2&gt;}{\rtlch\fcs1 \af0 \ltrch\fcs0 \insrsid3232326\charrsid1404823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3232326\charrsid1404823 \cell }\pard\plain \ltrpar\ql \li0\ri0\widctlpar\intbl\wrapdefault\aspalpha\aspnum\faauto\adjustright\rin0\lin0 \rtlch\fcs1 &#13;_x000a_\af0\afs20\alang1025 \ltrch\fcs0 \fs24\lang2057\langfe2057\cgrid\langnp2057\langfenp2057 {\rtlch\fcs1 \af0 \ltrch\fcs0 \insrsid3232326\charrsid1404823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3232326\charrsid1404823 #}{\rtlch\fcs1 \af1 \ltrch\fcs0 \cs18\v\f1\fs20\cf15\insrsid3232326\charrsid1404823 MNU[OPTLEFTAMACT][LEFTPROP]@CHOICE@AMACTMNU}{\rtlch\fcs1 \af0 \ltrch\fcs0 \insrsid3232326\charrsid1404823 #\cell Amendment\cell &#13;_x000a_}\pard\plain \ltrpar\ql \li0\ri0\widctlpar\intbl\wrapdefault\aspalpha\aspnum\faauto\adjustright\rin0\lin0 \rtlch\fcs1 \af0\afs20\alang1025 \ltrch\fcs0 \fs24\lang2057\langfe2057\cgrid\langnp2057\langfenp2057 {\rtlch\fcs1 \af0 \ltrch\fcs0 &#13;_x000a_\insrsid3232326\charrsid1404823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3232326\charrsid1404823 ##\cell ##}{\rtlch\fcs1 \af0\afs24 \ltrch\fcs0 \insrsid3232326\charrsid1404823 \cell }\pard\plain \ltrpar\ql \li0\ri0\widctlpar\intbl\wrapdefault\aspalpha\aspnum\faauto\adjustright\rin0\lin0 \rtlch\fcs1 &#13;_x000a_\af0\afs20\alang1025 \ltrch\fcs0 \fs24\lang2057\langfe2057\cgrid\langnp2057\langfenp2057 {\rtlch\fcs1 \af0 \ltrch\fcs0 \insrsid3232326\charrsid1404823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3232326\charrsid1404823 Or. }{\rtlch\fcs1 \af0 \ltrch\fcs0 \cs17\v\f1\fs20\cf9\insrsid3232326\charrsid1404823 &lt;Original&gt;}{\rtlch\fcs1 \af0 \ltrch\fcs0 \insrsid3232326\charrsid1404823 #}{\rtlch\fcs1 \af1 \ltrch\fcs0 &#13;_x000a_\cs18\v\f1\fs20\cf15\insrsid3232326\charrsid1404823 KEY(MAIN/LANGMIN)sh@ORLANGMSG@}{\rtlch\fcs1 \af0 \ltrch\fcs0 \insrsid3232326\charrsid1404823 #}{\rtlch\fcs1 \af0 \ltrch\fcs0 \cs17\v\f1\fs20\cf9\insrsid3232326\charrsid1404823 &lt;/Original&gt;}{\rtlch\fcs1 &#13;_x000a_\af0 \ltrch\fcs0 \insrsid3232326\charrsid1404823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3232326\charrsid1404823 &lt;OptDel&gt;}{\rtlch\fcs1 \af0 \ltrch\fcs0 \insrsid3232326\charrsid1404823 #}{\rtlch\fcs1 \af1 \ltrch\fcs0 \cs18\v\f1\fs20\cf15\insrsid3232326\charrsid1404823 &#13;_x000a_MNU[CROSSREFNO][CROSSREFYES]@CHOICE@}{\rtlch\fcs1 \af0 \ltrch\fcs0 \insrsid3232326\charrsid1404823 #}{\rtlch\fcs1 \af0 \ltrch\fcs0 \cs17\i0\v\f1\fs20\cf9\insrsid3232326\charrsid1404823 &lt;/OptDel&gt;}{\rtlch\fcs1 \af0 \ltrch\fcs0 &#13;_x000a_\insrsid3232326\charrsid1404823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3232326\charrsid1404823 &lt;TitreJust&gt;}{\rtlch\fcs1 \af0 \ltrch\fcs0 \insrsid3232326\charrsid1404823 Justification}{\rtlch\fcs1 \af0 \ltrch\fcs0 \cs17\i0\v\f1\fs20\cf9\insrsid3232326\charrsid1404823 &#13;_x000a_&lt;/TitreJust&gt;}{\rtlch\fcs1 \af0 \ltrch\fcs0 \insrsid3232326\charrsid1404823 &#13;_x000a_\par }\pard\plain \ltrpar\s21\ql \li0\ri0\sa240\nowidctlpar\wrapdefault\aspalpha\aspnum\faauto\adjustright\rin0\lin0\itap0\pararsid16390444 \rtlch\fcs1 \af0\afs20\alang1025 \ltrch\fcs0 \i\fs24\lang2057\langfe2057\cgrid\langnp2057\langfenp2057 {\rtlch\fcs1 &#13;_x000a_\af0 \ltrch\fcs0 \cs17\i0\v\f1\fs20\cf9\insrsid3232326\charrsid1404823 &lt;OptDelPrev&gt;}{\rtlch\fcs1 \af0 \ltrch\fcs0 \insrsid3232326\charrsid1404823 #}{\rtlch\fcs1 \af1 \ltrch\fcs0 \cs18\v\f1\fs20\cf15\insrsid3232326\charrsid1404823 &#13;_x000a_MNU[TEXTJUSTYES][TEXTJUSTNO]@CHOICE@}{\rtlch\fcs1 \af0 \ltrch\fcs0 \insrsid3232326\charrsid1404823 #}{\rtlch\fcs1 \af0 \ltrch\fcs0 \cs17\i0\v\f1\fs20\cf9\insrsid3232326\charrsid1404823 &lt;/OptDelPrev&gt;}{\rtlch\fcs1 \af0 \ltrch\fcs0 &#13;_x000a_\insrsid3232326\charrsid1404823 &#13;_x000a_\par }\pard\plain \ltrpar\ql \li0\ri0\widctlpar\wrapdefault\aspalpha\aspnum\faauto\adjustright\rin0\lin0\itap0\pararsid16324206 \rtlch\fcs1 \af0\afs20\alang1025 \ltrch\fcs0 \fs24\lang2057\langfe2057\cgrid\langnp2057\langfenp2057 {\rtlch\fcs1 \af0 \ltrch\fcs0 &#13;_x000a_\cs17\v\f1\fs20\cf9\insrsid3232326\charrsid1404823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7f&#13;_x000a_137913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52"/>
    <w:docVar w:name="TXTAUTHOR" w:val="Peter Liese"/>
    <w:docVar w:name="TXTLANGUE" w:val="EN"/>
    <w:docVar w:name="TXTLANGUEMIN" w:val="en"/>
    <w:docVar w:name="TXTNRC" w:val="0188/2026"/>
    <w:docVar w:name="TXTNRCOM" w:val="(2026)0616"/>
    <w:docVar w:name="TXTNRFIRSTAM" w:val="459"/>
    <w:docVar w:name="TXTNRLASTAM" w:val="645"/>
    <w:docVar w:name="TXTNRPE" w:val="796.488"/>
    <w:docVar w:name="TXTNRPE2" w:val="791.996"/>
    <w:docVar w:name="TXTNRPROC" w:val="2026/0212"/>
    <w:docVar w:name="TXTPE" w:val="796.488"/>
    <w:docVar w:name="TXTPEorAP" w:val="PE"/>
    <w:docVar w:name="TXTROUTE" w:val="AM\1352603EN.docx"/>
    <w:docVar w:name="TXTTITLE" w:val="EU Emissions Trading System and market stability reserve: competitiveness and cost-effective decarbonisat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5281A78-3026-4259-B171-16A77D13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0E14E3"/>
    <w:pPr>
      <w:jc w:val="center"/>
    </w:pPr>
    <w:rPr>
      <w:noProof w:val="0"/>
      <w:sz w:val="56"/>
    </w:rPr>
  </w:style>
  <w:style w:type="paragraph" w:customStyle="1" w:styleId="Normal12">
    <w:name w:val="Normal12"/>
    <w:basedOn w:val="Normal"/>
    <w:link w:val="Normal12Char"/>
    <w:rsid w:val="000E14E3"/>
    <w:pPr>
      <w:spacing w:after="240"/>
    </w:pPr>
    <w:rPr>
      <w:noProof/>
    </w:rPr>
  </w:style>
  <w:style w:type="paragraph" w:customStyle="1" w:styleId="CommitteeAM">
    <w:name w:val="CommitteeAM"/>
    <w:basedOn w:val="Normal"/>
    <w:rsid w:val="000E14E3"/>
    <w:pPr>
      <w:spacing w:before="240" w:after="600"/>
      <w:jc w:val="center"/>
    </w:pPr>
    <w:rPr>
      <w:i/>
    </w:rPr>
  </w:style>
  <w:style w:type="paragraph" w:customStyle="1" w:styleId="ZDateAM">
    <w:name w:val="ZDateAM"/>
    <w:basedOn w:val="Normal"/>
    <w:rsid w:val="000E14E3"/>
    <w:pPr>
      <w:tabs>
        <w:tab w:val="right" w:pos="9356"/>
      </w:tabs>
      <w:spacing w:after="480"/>
    </w:pPr>
    <w:rPr>
      <w:noProof/>
    </w:rPr>
  </w:style>
  <w:style w:type="paragraph" w:customStyle="1" w:styleId="ProjRap">
    <w:name w:val="ProjRap"/>
    <w:basedOn w:val="Normal"/>
    <w:rsid w:val="000E14E3"/>
    <w:pPr>
      <w:tabs>
        <w:tab w:val="right" w:pos="9356"/>
      </w:tabs>
    </w:pPr>
    <w:rPr>
      <w:b/>
      <w:noProof/>
    </w:rPr>
  </w:style>
  <w:style w:type="character" w:customStyle="1" w:styleId="Normal12Char">
    <w:name w:val="Normal12 Char"/>
    <w:basedOn w:val="DefaultParagraphFont"/>
    <w:link w:val="Normal12"/>
    <w:locked/>
    <w:rsid w:val="000E14E3"/>
    <w:rPr>
      <w:noProof/>
      <w:sz w:val="24"/>
    </w:rPr>
  </w:style>
  <w:style w:type="paragraph" w:customStyle="1" w:styleId="PELeft">
    <w:name w:val="PELeft"/>
    <w:basedOn w:val="Normal"/>
    <w:rsid w:val="000E14E3"/>
    <w:pPr>
      <w:spacing w:before="40" w:after="40"/>
    </w:pPr>
    <w:rPr>
      <w:rFonts w:ascii="Arial" w:hAnsi="Arial" w:cs="Arial"/>
      <w:sz w:val="22"/>
      <w:szCs w:val="22"/>
      <w:lang w:val="fr-FR"/>
    </w:rPr>
  </w:style>
  <w:style w:type="paragraph" w:customStyle="1" w:styleId="PERight">
    <w:name w:val="PERight"/>
    <w:basedOn w:val="Normal"/>
    <w:next w:val="Normal"/>
    <w:rsid w:val="000E14E3"/>
    <w:pPr>
      <w:jc w:val="right"/>
    </w:pPr>
    <w:rPr>
      <w:rFonts w:ascii="Arial" w:hAnsi="Arial" w:cs="Arial"/>
      <w:sz w:val="22"/>
      <w:szCs w:val="22"/>
      <w:lang w:val="fr-FR"/>
    </w:rPr>
  </w:style>
  <w:style w:type="paragraph" w:customStyle="1" w:styleId="Normal6">
    <w:name w:val="Normal6"/>
    <w:basedOn w:val="Normal"/>
    <w:link w:val="Normal6Char"/>
    <w:rsid w:val="000E14E3"/>
    <w:pPr>
      <w:spacing w:after="120"/>
    </w:pPr>
    <w:rPr>
      <w:lang w:val="fr-FR"/>
    </w:rPr>
  </w:style>
  <w:style w:type="paragraph" w:customStyle="1" w:styleId="Normal12Italic">
    <w:name w:val="Normal12Italic"/>
    <w:basedOn w:val="Normal12"/>
    <w:rsid w:val="000E14E3"/>
    <w:rPr>
      <w:i/>
      <w:lang w:val="fr-FR"/>
    </w:rPr>
  </w:style>
  <w:style w:type="character" w:customStyle="1" w:styleId="NormalBoldChar">
    <w:name w:val="NormalBold Char"/>
    <w:basedOn w:val="DefaultParagraphFont"/>
    <w:link w:val="NormalBold"/>
    <w:rsid w:val="000E14E3"/>
    <w:rPr>
      <w:b/>
      <w:sz w:val="24"/>
    </w:rPr>
  </w:style>
  <w:style w:type="paragraph" w:customStyle="1" w:styleId="JustificationTitle">
    <w:name w:val="JustificationTitle"/>
    <w:basedOn w:val="Normal"/>
    <w:next w:val="Normal12"/>
    <w:rsid w:val="000E14E3"/>
    <w:pPr>
      <w:keepNext/>
      <w:spacing w:before="240" w:after="240"/>
      <w:jc w:val="center"/>
    </w:pPr>
    <w:rPr>
      <w:i/>
      <w:noProof/>
      <w:lang w:val="fr-FR"/>
    </w:rPr>
  </w:style>
  <w:style w:type="paragraph" w:customStyle="1" w:styleId="Olang">
    <w:name w:val="Olang"/>
    <w:basedOn w:val="Normal"/>
    <w:rsid w:val="000E14E3"/>
    <w:pPr>
      <w:spacing w:before="240" w:after="240"/>
      <w:jc w:val="right"/>
    </w:pPr>
    <w:rPr>
      <w:noProof/>
      <w:szCs w:val="24"/>
      <w:lang w:val="fr-FR"/>
    </w:rPr>
  </w:style>
  <w:style w:type="character" w:customStyle="1" w:styleId="Normal6Char">
    <w:name w:val="Normal6 Char"/>
    <w:basedOn w:val="DefaultParagraphFont"/>
    <w:link w:val="Normal6"/>
    <w:rsid w:val="000E14E3"/>
    <w:rPr>
      <w:sz w:val="24"/>
      <w:lang w:val="fr-FR"/>
    </w:rPr>
  </w:style>
  <w:style w:type="paragraph" w:customStyle="1" w:styleId="ColumnHeading">
    <w:name w:val="ColumnHeading"/>
    <w:basedOn w:val="Normal"/>
    <w:rsid w:val="000E14E3"/>
    <w:pPr>
      <w:spacing w:after="240"/>
      <w:jc w:val="center"/>
    </w:pPr>
    <w:rPr>
      <w:i/>
      <w:lang w:val="fr-FR"/>
    </w:rPr>
  </w:style>
  <w:style w:type="paragraph" w:customStyle="1" w:styleId="AMNumberTabs0">
    <w:name w:val="AMNumberTabs"/>
    <w:basedOn w:val="Normal"/>
    <w:rsid w:val="000E14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0E14E3"/>
    <w:pPr>
      <w:spacing w:before="240"/>
    </w:pPr>
    <w:rPr>
      <w:b/>
      <w:lang w:val="fr-FR"/>
    </w:rPr>
  </w:style>
  <w:style w:type="paragraph" w:customStyle="1" w:styleId="CrossRef">
    <w:name w:val="CrossRef"/>
    <w:basedOn w:val="Normal"/>
    <w:rsid w:val="000E14E3"/>
    <w:pPr>
      <w:spacing w:before="240"/>
      <w:jc w:val="center"/>
    </w:pPr>
    <w:rPr>
      <w:i/>
      <w:lang w:val="fr-FR"/>
    </w:rPr>
  </w:style>
  <w:style w:type="paragraph" w:styleId="Footer">
    <w:name w:val="footer"/>
    <w:link w:val="FooterChar"/>
    <w:rsid w:val="000E14E3"/>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0E14E3"/>
    <w:rPr>
      <w:sz w:val="22"/>
    </w:rPr>
  </w:style>
  <w:style w:type="paragraph" w:customStyle="1" w:styleId="Footer2">
    <w:name w:val="Footer2"/>
    <w:basedOn w:val="Normal12"/>
    <w:rsid w:val="000E14E3"/>
    <w:pPr>
      <w:tabs>
        <w:tab w:val="center" w:pos="4535"/>
        <w:tab w:val="right" w:pos="9923"/>
      </w:tabs>
      <w:spacing w:line="480" w:lineRule="auto"/>
      <w:ind w:left="-851"/>
    </w:pPr>
    <w:rPr>
      <w:rFonts w:ascii="Arial" w:cs="Arial"/>
      <w:b/>
      <w:sz w:val="48"/>
    </w:rPr>
  </w:style>
  <w:style w:type="character" w:customStyle="1" w:styleId="Footer2Middle">
    <w:name w:val="Footer2Middle"/>
    <w:rsid w:val="000E14E3"/>
    <w:rPr>
      <w:rFonts w:ascii="Arial" w:cs="Arial"/>
      <w:b w:val="0"/>
      <w:i/>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216</Pages>
  <Words>74240</Words>
  <Characters>428709</Characters>
  <Application>Microsoft Office Word</Application>
  <DocSecurity>0</DocSecurity>
  <Lines>13981</Lines>
  <Paragraphs>1901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501184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2026-10-19T09:39:00Z</dcterms:created>
  <dcterms:modified xsi:type="dcterms:W3CDTF">2026-10-19T09:39:00Z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- 2026/10/19 11:39</vt:lpwstr>
  </property>
  <property fmtid="{D5CDD505-2E9C-101B-9397-08002B2CF9AE}" pid="9" name="Created with">
    <vt:lpwstr>10.3.1 Build [20260902]</vt:lpwstr>
  </property>
  <property fmtid="{D5CDD505-2E9C-101B-9397-08002B2CF9AE}" pid="10" name="FooterPath">
    <vt:lpwstr>AM\1352603EN.docx</vt:lpwstr>
  </property>
  <property fmtid="{D5CDD505-2E9C-101B-9397-08002B2CF9AE}" pid="11" name="LastEdited with">
    <vt:lpwstr>10.3.1 Build [20260902]</vt:lpwstr>
  </property>
  <property fmtid="{D5CDD505-2E9C-101B-9397-08002B2CF9AE}" pid="12" name="PE number">
    <vt:lpwstr>796.488</vt:lpwstr>
  </property>
  <property fmtid="{D5CDD505-2E9C-101B-9397-08002B2CF9AE}" pid="13" name="RegistreCheck">
    <vt:lpwstr>OK</vt:lpwstr>
  </property>
  <property fmtid="{D5CDD505-2E9C-101B-9397-08002B2CF9AE}" pid="14" name="SendToEpades">
    <vt:lpwstr>OK(PBTAG) - 2026/10/13 17:57</vt:lpwstr>
  </property>
</Properties>
</file>