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Specialusis komitetas Europos demokratijos skydo klausimais</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12.2.2026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323</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Specialiojo komiteto Europos demokratijos skydo klausimais išvados ir rekomendacijos</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Pirmininkės U. von der Leyen 2025 m. rugsėjo mėn. pranešimą apie Sąjungos padėtį, kuriame pabrėžta, kad svarbu ir neatidėliotina imtis veiksmų demokratiniam atsparumui skatinti,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atsižvelgdamas į Europos Sąjungos sutartį (ES sutartis), ypač į jos 2 straipsnį dėl pagrindinių ES vertybių, 10 straipsnį dėl demokratinio gyvenimo ir 21 straipsnį dėl išorės veiksmų,</w:t>
            </w:r>
          </w:p>
        </w:tc>
        <w:tc>
          <w:tcPr>
            <w:tcW w:w="4876" w:type="dxa"/>
            <w:tcBorders>
              <w:top w:val="nil"/>
              <w:left w:val="nil"/>
              <w:bottom w:val="nil"/>
              <w:right w:val="nil"/>
            </w:tcBorders>
          </w:tcPr>
          <w:p>
            <w:pPr>
              <w:pStyle w:val="Normal6a"/>
            </w:pPr>
            <w:r>
              <w:t>–</w:t>
            </w:r>
            <w:r>
              <w:tab/>
            </w:r>
            <w:r>
              <w:t xml:space="preserve">atsižvelgdamas į Europos Sąjungos sutartį (ES sutartis), ypač </w:t>
            </w:r>
            <w:r>
              <w:rPr>
                <w:b/>
                <w:i/>
              </w:rPr>
              <w:t>į jos 5 straipsnį, kuriame apibrėžiamos Sąjungos kompetencijos ribos ir nustatomi suteikimo, subsidiarumo ir proporcingumo principai, taip pat</w:t>
            </w:r>
            <w:r>
              <w:t xml:space="preserve"> į jos 2 straipsnį dėl pagrindinių ES vertybių, 10 straipsnį dėl demokratinio gyvenimo ir 21 straipsnį dėl išorės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Chartiją,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Visuotinę žmogaus teisių deklaraciją, ypač į jos 18 straipsnį, kuriuo užtikrinama teisė į minties, sąžinės ir religijos laisvę, ir 19 straipsnį, kuriuo užtikrinama teisė į nuomonės ir saviraiškos laisvę,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žmogaus teisių konvenciją</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https://www.echr.coe.int/documents/d/echr/convention_LIT.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Europos ypatingos svarbos žaliavų aktą,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bendrą komunikatą (2025/977) Europos Parlamentui ir Tarybai dėl ES ekonominio saugumo stiprinimo,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11 d. Europos Parlamento ir Tarybos reglamentą (ES) 2024/1083, kuriuo nustatoma bendra žiniasklaidos paslaugų vidaus rinkoje sistema ir iš dalies keičiama Direktyva 2010/13/ES (Europos žiniasklaidos laisvės aktas),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2014 m. liepos 31 d.</w:t>
            </w:r>
            <w:r>
              <w:t xml:space="preserve"> </w:t>
            </w:r>
            <w:r>
              <w:rPr>
                <w:b/>
                <w:i/>
              </w:rPr>
              <w:t>Tarybos sprendimą 2014/512/BUSP dėl ribojamųjų priemonių atsižvelgiant į Rusijos veiksmus, kuriais destabilizuojama padėtis Ukrainoje</w:t>
            </w:r>
            <w:r>
              <w:rPr>
                <w:b/>
                <w:i/>
                <w:vertAlign w:val="superscript"/>
              </w:rPr>
              <w:t>21</w:t>
            </w:r>
            <w:r>
              <w:rPr>
                <w:b/>
                <w:i/>
              </w:rPr>
              <w:t>, ir į 2014 m. liepos 31 d.</w:t>
            </w:r>
            <w:r>
              <w:t xml:space="preserve"> </w:t>
            </w:r>
            <w:r>
              <w:rPr>
                <w:b/>
                <w:i/>
              </w:rPr>
              <w:t>Tarybos reglamentą (ES) Nr. 833/2014 dėl ribojamųjų priemonių atsižvelgiant į Rusijos veiksmus, kuriais destabilizuojama padėtis Ukrainoje</w:t>
            </w:r>
            <w:r>
              <w:rPr>
                <w:b/>
                <w:i/>
                <w:vertAlign w:val="superscript"/>
              </w:rPr>
              <w:t>22</w:t>
            </w:r>
            <w:r>
              <w:rPr>
                <w:b/>
                <w:i/>
              </w:rPr>
              <w:t xml:space="preserve"> ,</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21</w:t>
            </w:r>
            <w:r>
              <w:t xml:space="preserve"> </w:t>
            </w:r>
            <w:r>
              <w:rPr>
                <w:b/>
                <w:i/>
              </w:rPr>
              <w:t>OL L 229, 2014 7 31, p. 13, ELI:</w:t>
            </w:r>
            <w:r>
              <w:t xml:space="preserve"> </w:t>
            </w:r>
            <w:r>
              <w:rPr>
                <w:b/>
                <w:i/>
              </w:rPr>
              <w:t>http://data.europa.eu/eli/dec/2014/512/oj.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OL L 229, 2014 7 31, p. 1, ELI:</w:t>
            </w:r>
            <w:r>
              <w:t xml:space="preserve"> </w:t>
            </w:r>
            <w:r>
              <w:rPr>
                <w:b/>
                <w:i/>
              </w:rPr>
              <w:t>http://data.europa.eu/eli/reg/2014/833/oj.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2022 m. vasario 23 d.</w:t>
            </w:r>
            <w:r>
              <w:t xml:space="preserve"> </w:t>
            </w:r>
            <w:r>
              <w:rPr>
                <w:b/>
                <w:i/>
              </w:rPr>
              <w:t>Tarybos sprendimą (BUSP) 2022/266 dėl ribojamųjų priemonių, taikytinų reaguojant į vyriausybės nekontroliuojamų Ukrainos Donecko ir Luhansko sričių teritorijų pripažinimą ir nurodymą į tas teritorijas įvesti Rusijos ginkluotąsias pajėgas</w:t>
            </w:r>
            <w:r>
              <w:rPr>
                <w:b/>
                <w:i/>
                <w:vertAlign w:val="superscript"/>
              </w:rPr>
              <w:t>23</w:t>
            </w:r>
            <w:r>
              <w:rPr>
                <w:b/>
                <w:i/>
              </w:rPr>
              <w:t>, ir į 2022 m. vasario 23 d.</w:t>
            </w:r>
            <w:r>
              <w:t xml:space="preserve"> </w:t>
            </w:r>
            <w:r>
              <w:rPr>
                <w:b/>
                <w:i/>
              </w:rPr>
              <w:t>Tarybos reglamentą (ES) 2022/263 dėl ribojamųjų priemonių, taikytinų reaguojant į vyriausybės nekontroliuojamų Ukrainos Donecko ir Luhansko sričių teritorijų pripažinimą ir nurodymą į tas teritorijas įvesti Rusijos ginkluotąsias pajėgas</w:t>
            </w:r>
            <w:r>
              <w:rPr>
                <w:b/>
                <w:i/>
                <w:vertAlign w:val="superscript"/>
              </w:rPr>
              <w:t>24</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OL L 42 I, 2022 2 23, p. 109, ELI:</w:t>
            </w:r>
            <w:r>
              <w:t xml:space="preserve"> </w:t>
            </w:r>
            <w:r>
              <w:rPr>
                <w:b/>
                <w:i/>
              </w:rPr>
              <w:t>http://data.europa.eu/eli/dec/2022/266/oj.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24</w:t>
            </w:r>
            <w:r>
              <w:t xml:space="preserve"> </w:t>
            </w:r>
            <w:r>
              <w:rPr>
                <w:b/>
                <w:i/>
              </w:rPr>
              <w:t>OL L 42 I, 2022 2 23, p. 77, ELI:</w:t>
            </w:r>
            <w:r>
              <w:t xml:space="preserve"> </w:t>
            </w:r>
            <w:r>
              <w:rPr>
                <w:b/>
                <w:i/>
              </w:rPr>
              <w:t>http://data.europa.eu/eli/reg/2022/263/oj.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2012 m. spalio 15 d.</w:t>
            </w:r>
            <w:r>
              <w:t xml:space="preserve"> </w:t>
            </w:r>
            <w:r>
              <w:rPr>
                <w:b/>
                <w:i/>
              </w:rPr>
              <w:t>Tarybos sprendimą 2012/642/BUSP dėl ribojamųjų priemonių Baltarusijai</w:t>
            </w:r>
            <w:r>
              <w:rPr>
                <w:b/>
                <w:i/>
                <w:vertAlign w:val="superscript"/>
              </w:rPr>
              <w:t>25</w:t>
            </w:r>
            <w:r>
              <w:rPr>
                <w:b/>
                <w:i/>
              </w:rPr>
              <w:t>ir į 2006 m. gegužės 18 d.</w:t>
            </w:r>
            <w:r>
              <w:t xml:space="preserve"> </w:t>
            </w:r>
            <w:r>
              <w:rPr>
                <w:b/>
                <w:i/>
              </w:rPr>
              <w:t>Tarybos reglamentą (EB) Nr. 765/2006 dėl ribojančių priemonių Prezidentui Lukašenkai ir tam tikriems Baltarusijos pareigūnams</w:t>
            </w:r>
            <w:r>
              <w:rPr>
                <w:b/>
                <w:i/>
                <w:vertAlign w:val="superscript"/>
              </w:rPr>
              <w:t>26</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OL L 285, 2012 10 17, p. 1, ELI:</w:t>
            </w:r>
            <w:r>
              <w:t xml:space="preserve"> </w:t>
            </w:r>
            <w:r>
              <w:rPr>
                <w:b/>
                <w:i/>
              </w:rPr>
              <w:t>http://data.europa.eu/eli/dec/2012/642/oj.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OL L 134, 2006 5 20, p. 1, ELI:</w:t>
            </w:r>
            <w:r>
              <w:t xml:space="preserve"> </w:t>
            </w:r>
            <w:r>
              <w:rPr>
                <w:b/>
                <w:i/>
              </w:rPr>
              <w:t>http://data.europa.eu/eli/reg/2006/765/oj.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2023 m. liepos 20 d.</w:t>
            </w:r>
            <w:r>
              <w:t xml:space="preserve"> </w:t>
            </w:r>
            <w:r>
              <w:rPr>
                <w:b/>
                <w:i/>
              </w:rPr>
              <w:t>Tarybos sprendimą (BUSP) 2023/1532 dėl ribojamųjų priemonių atsižvelgiant į Irano karinę paramą Rusijos agresijos karui prieš Ukrainą</w:t>
            </w:r>
            <w:r>
              <w:rPr>
                <w:b/>
                <w:i/>
                <w:vertAlign w:val="superscript"/>
              </w:rPr>
              <w:t>27</w:t>
            </w:r>
            <w:r>
              <w:rPr>
                <w:b/>
                <w:i/>
              </w:rPr>
              <w:t>ir 2023 m. liepos 20 d.</w:t>
            </w:r>
            <w:r>
              <w:t xml:space="preserve"> </w:t>
            </w:r>
            <w:r>
              <w:rPr>
                <w:b/>
                <w:i/>
              </w:rPr>
              <w:t>Tarybos reglamentą (ES) 2023/1529 dėl ribojamųjų priemonių atsižvelgiant į Irano karinę paramą Rusijos agresijos karui prieš Ukrainą</w:t>
            </w:r>
            <w:r>
              <w:rPr>
                <w:b/>
                <w:i/>
                <w:vertAlign w:val="superscript"/>
              </w:rPr>
              <w:t>28</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OL L 186, 2023 7 25, p. 20, ELI:</w:t>
            </w:r>
            <w:r>
              <w:t xml:space="preserve"> </w:t>
            </w:r>
            <w:r>
              <w:rPr>
                <w:b/>
                <w:i/>
              </w:rPr>
              <w:t>http://data.europa.eu/eli/dec/2023/1532/oj.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28</w:t>
            </w:r>
            <w:r>
              <w:t xml:space="preserve"> </w:t>
            </w:r>
            <w:r>
              <w:rPr>
                <w:b/>
                <w:i/>
              </w:rPr>
              <w:t>OL L 186, 2023 7 25, p. 1, ELI:</w:t>
            </w:r>
            <w:r>
              <w:t xml:space="preserve"> </w:t>
            </w:r>
            <w:r>
              <w:rPr>
                <w:b/>
                <w:i/>
              </w:rPr>
              <w:t>http://data.europa.eu/eli/reg/2023/1529/oj.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 į 2024 m. gegužės 31 d.</w:t>
            </w:r>
            <w:r>
              <w:t xml:space="preserve"> </w:t>
            </w:r>
            <w:r>
              <w:rPr>
                <w:b/>
                <w:i/>
              </w:rPr>
              <w:t>Tarybos sprendimą (BUSP) 2024/1603, kuriuo iš dalies keičiamas Sprendimas (BUSP) 2016/849 dėl ribojamųjų priemonių Korėjos Liaudies Demokratinei Respublikai</w:t>
            </w:r>
            <w:r>
              <w:rPr>
                <w:b/>
                <w:i/>
                <w:vertAlign w:val="superscript"/>
              </w:rPr>
              <w:t>29</w:t>
            </w:r>
            <w:r>
              <w:rPr>
                <w:b/>
                <w:i/>
              </w:rPr>
              <w:t>, ir į 2024 m. gegužės 31 d.</w:t>
            </w:r>
            <w:r>
              <w:t xml:space="preserve"> </w:t>
            </w:r>
            <w:r>
              <w:rPr>
                <w:b/>
                <w:i/>
              </w:rPr>
              <w:t>Tarybos įgyvendinimo reglamentą (ES) 2024/1602, kuriuo įgyvendinamas Reglamentas (ES) 2017/1509 dėl ribojamųjų priemonių Korėjos Liaudies Demokratinei Respublikai</w:t>
            </w:r>
            <w:r>
              <w:rPr>
                <w:b/>
                <w:i/>
                <w:vertAlign w:val="superscript"/>
              </w:rPr>
              <w:t>30</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29</w:t>
            </w:r>
            <w:r>
              <w:t xml:space="preserve"> </w:t>
            </w:r>
            <w:r>
              <w:rPr>
                <w:b/>
                <w:i/>
              </w:rPr>
              <w:t>OL L 2024/1603, 2024 5 31, ELI:</w:t>
            </w:r>
            <w:r>
              <w:t xml:space="preserve"> </w:t>
            </w:r>
            <w:r>
              <w:rPr>
                <w:b/>
                <w:i/>
              </w:rPr>
              <w:t>http://data.europa.eu/eli/dec/2024/1603/oj.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OL L 2024/1602, 2024 5 31, ELI:</w:t>
            </w:r>
            <w:r>
              <w:t xml:space="preserve"> </w:t>
            </w:r>
            <w:r>
              <w:rPr>
                <w:b/>
                <w:i/>
              </w:rPr>
              <w:t>http://data.europa.eu/eli/reg_impl/2024/1602/oj.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2026 m. sausio 22 d. rezoliuciją dėl mėginimo užvaldyti Lietuvos visuomeninį transliuotoją ir grėsmės demokratijai Lietuvoje,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savo 2025 m. spalio 9 d. rezoliuciją dėl vieningo atsako į pastarojo meto Rusijos padarytus ES valstybių narių oro erdvės ir ypatingos svarbos infrastruktūros pažeidimus</w:t>
            </w:r>
            <w:r>
              <w:rPr>
                <w:b/>
                <w:i/>
                <w:vertAlign w:val="superscript"/>
              </w:rPr>
              <w:t>32</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Priimti tekstai, P10_TA(2025)0230.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atsižvelgdamas į savo 2025 m. spalio 9 d. rezoliuciją dėl vieningo atsako į pastarojo meto Rusijos padarytus ES valstybių narių oro erdvės ir ypatingos svarbos infrastruktūros pažeidimus</w:t>
            </w:r>
            <w:r>
              <w:rPr>
                <w:vertAlign w:val="superscript"/>
              </w:rPr>
              <w:t>32</w:t>
            </w:r>
            <w:r>
              <w:t>,</w:t>
            </w:r>
          </w:p>
        </w:tc>
        <w:tc>
          <w:tcPr>
            <w:tcW w:w="4876" w:type="dxa"/>
            <w:tcBorders>
              <w:top w:val="nil"/>
              <w:left w:val="nil"/>
              <w:bottom w:val="nil"/>
              <w:right w:val="nil"/>
            </w:tcBorders>
          </w:tcPr>
          <w:p>
            <w:pPr>
              <w:pStyle w:val="Normal6a"/>
            </w:pPr>
            <w:r>
              <w:t>–</w:t>
            </w:r>
            <w:r>
              <w:tab/>
            </w:r>
            <w:r>
              <w:t xml:space="preserve">atsižvelgdamas į </w:t>
            </w:r>
            <w:r>
              <w:rPr>
                <w:b/>
                <w:i/>
              </w:rPr>
              <w:t>savo ankstesnes rezoliucijas dėl Rusijos Federacijos ir jos agresijos prieš Ukrainą, taip pat priešiškų veiksmų prieš valstybes nares, įskaitant</w:t>
            </w:r>
            <w:r>
              <w:t xml:space="preserve"> savo 2025 m. spalio 9 d. rezoliuciją dėl vieningo atsako į pastarojo meto Rusijos padarytus ES valstybių narių oro erdvės ir ypatingos svarbos infrastruktūros pažeidimus</w:t>
            </w:r>
            <w:r>
              <w:rPr>
                <w:vertAlign w:val="superscript"/>
              </w:rPr>
              <w:t>32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Priimti tekstai, P10_TA(2025)0230.</w:t>
            </w:r>
          </w:p>
        </w:tc>
        <w:tc>
          <w:tcPr>
            <w:tcW w:w="4876" w:type="dxa"/>
            <w:tcBorders>
              <w:top w:val="nil"/>
              <w:left w:val="nil"/>
              <w:bottom w:val="nil"/>
              <w:right w:val="nil"/>
            </w:tcBorders>
          </w:tcPr>
          <w:p>
            <w:pPr>
              <w:pStyle w:val="Normal6a"/>
            </w:pPr>
            <w:r>
              <w:rPr>
                <w:vertAlign w:val="superscript"/>
              </w:rPr>
              <w:t>32</w:t>
            </w:r>
            <w:r>
              <w:t xml:space="preserve"> </w:t>
            </w:r>
            <w:r>
              <w:t>Priimti tekstai, P10_TA(2025)0230.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savo 2025 m. birželio 18 d. rezoliuciją dėl Komisijos 2024 m. teisinės valstybės principo taikymo ataskaitos</w:t>
            </w:r>
            <w:r>
              <w:rPr>
                <w:b/>
                <w:i/>
                <w:vertAlign w:val="superscript"/>
              </w:rPr>
              <w:t>33</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OL C, C/2025/6259, 2025 12 19, ELI:</w:t>
            </w:r>
            <w:r>
              <w:t xml:space="preserve"> </w:t>
            </w:r>
            <w:r>
              <w:rPr>
                <w:b/>
                <w:i/>
              </w:rPr>
              <w:t>http://data.europa.eu/eli/C/2025/6259/oj.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sausio 20 d. rezoliuciją dėl Rusijos dezinformacijos ir istorinio falsifikavimo siekiant pateisinti savo agresijos karą prieš Ukrainą</w:t>
            </w:r>
            <w:r>
              <w:rPr>
                <w:b/>
                <w:i/>
                <w:vertAlign w:val="superscript"/>
              </w:rPr>
              <w:t>34a</w:t>
            </w:r>
            <w:r>
              <w:t xml:space="preserve"> </w:t>
            </w:r>
            <w:r>
              <w:rPr>
                <w:b/>
                <w:i/>
              </w:rPr>
              <w:t>ir į savo 2025 m. spalio 22 d. rezoliuciją dėl Tarybos pozicijos dėl 2026 finansinių metų Europos Sąjungos bendrojo biudžeto projekto</w:t>
            </w:r>
            <w:r>
              <w:rPr>
                <w:b/>
                <w:i/>
                <w:vertAlign w:val="superscript"/>
              </w:rPr>
              <w:t>34b</w:t>
            </w:r>
            <w:r>
              <w:rPr>
                <w:b/>
                <w:i/>
              </w:rPr>
              <w:t>, kurioje minimas memorialinis projektas Briuselyje,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34a</w:t>
            </w:r>
            <w:r>
              <w:t xml:space="preserve"> </w:t>
            </w:r>
            <w:r>
              <w:rPr>
                <w:b/>
                <w:i/>
              </w:rPr>
              <w:t>Priimti tekstai,</w:t>
            </w:r>
            <w:r>
              <w:t xml:space="preserve"> </w:t>
            </w:r>
            <w:r>
              <w:rPr>
                <w:b/>
                <w:i/>
              </w:rPr>
              <w:t>P10 TA(2025)0006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34b</w:t>
            </w:r>
            <w:r>
              <w:t xml:space="preserve"> </w:t>
            </w:r>
            <w:r>
              <w:rPr>
                <w:b/>
                <w:i/>
              </w:rPr>
              <w:t>Priimti tekstai,</w:t>
            </w:r>
            <w:r>
              <w:t xml:space="preserve"> </w:t>
            </w:r>
            <w:r>
              <w:rPr>
                <w:b/>
                <w:i/>
              </w:rPr>
              <w:t>P10_TA(2025)0244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sausio 23 d. rezoliuciją dėl Rusijos dezinformacijos ir istorijos falsifikavimo siekiant pateisinti savo agresijos karą prieš Ukrainą,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lapkričio 13 d. rezoliuciją dėl tarpvalstybinių represijų prieš žmogaus teisių gynėjus problemos sprendimo,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2026 m. sausio 21 d. rezoliuciją dėl nebaudžiamumo problemos sprendimo taikant ES sankcijas, įskaitant ES visuotinį sankcijų už žmogaus teisių pažeidimus režimą (vadinamąjį ES Magnitskio aktą),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António Tânger Corrêa,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JAV Atstovų Rūmų Teisminių institucijų komiteto tarpinę tarnybų ataskaitą „The Foreign Censorship Threat, Part II:</w:t>
            </w:r>
            <w:r>
              <w:t xml:space="preserve"> </w:t>
            </w:r>
            <w:r>
              <w:rPr>
                <w:b/>
                <w:i/>
              </w:rPr>
              <w:t>Europe´s decade-long campaign to censor the Global Internet and how it harms American speech in the United States“ („Užsienio cenzūros keliama grėsmė, II dalis: dešimtmetį trunkanti Europos kampanija, kuria siekiama cenzūruoti pasaulinį internetą, ir kaip ji kenkia amerikiečių žodžio laisvei Jungtinėse Valstijose“), kurioje nurodoma, kad Europos Komisija šiurkščiai kišasi į valstybių narių rinkimus, ir nuosekliai apžvelgiamos reguliavimo pastangos cenzūruoti žodžio laisvę,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vasario 8 d. Pirmininkų sueigos patvirtintas sąžiningumo, nepriklausomumo ir atskaitomybės stiprinimo priemones</w:t>
            </w:r>
            <w:r>
              <w:rPr>
                <w:b/>
                <w:i/>
                <w:vertAlign w:val="superscript"/>
              </w:rPr>
              <w:t>37a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37a</w:t>
            </w:r>
            <w:r>
              <w:t xml:space="preserve"> </w:t>
            </w:r>
            <w:r>
              <w:rPr>
                <w:b/>
                <w:i/>
              </w:rPr>
              <w:t>PV CPG 08.02.2023 https://www.europarl.europa.eu/RegData/organes/conf_pres_groupes/proces_verbal/2023/02-08/CPG_PV(2023)02-08_LT.pdf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savo 2022 m. lapkričio 23 d. rezoliuciją dėl Rusijos Federacijos pripažinimo terorizmą remiančia valstybe</w:t>
            </w:r>
            <w:r>
              <w:rPr>
                <w:b/>
                <w:i/>
                <w:vertAlign w:val="superscript"/>
              </w:rPr>
              <w:t>38</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38</w:t>
            </w:r>
            <w:r>
              <w:t xml:space="preserve"> </w:t>
            </w:r>
            <w:r>
              <w:rPr>
                <w:b/>
                <w:i/>
              </w:rPr>
              <w:t>OL C 167, 2023 5 11, p. 18.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Komisijos Baltąją knygą dėl Europos gynybos parengties 2030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Andrey Kovatchev</w:t>
      </w:r>
      <w:r>
        <w:rPr>
          <w:rStyle w:val="HideTWBExt"/>
          <w:b w:val="0"/>
        </w:rPr>
        <w:t>&lt;/Members&gt;</w:t>
      </w:r>
    </w:p>
    <w:p>
      <w:r>
        <w:rPr>
          <w:rStyle w:val="HideTWBExt"/>
          <w:b w:val="0"/>
        </w:rPr>
        <w:t>&lt;AuNomDe&gt;</w:t>
      </w:r>
      <w:r>
        <w:rPr>
          <w:rStyle w:val="HideTWBInt"/>
        </w:rPr>
        <w:t>{PPE}</w:t>
      </w:r>
      <w:r>
        <w:t>PPE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lapkričio mėn. paskelbtą Jungtinių Amerikos Valstijų nacionalinio saugumo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52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liepos 18 d.</w:t>
            </w:r>
            <w:r>
              <w:t xml:space="preserve"> </w:t>
            </w:r>
            <w:r>
              <w:rPr>
                <w:b/>
                <w:i/>
              </w:rPr>
              <w:t>Komisijos pirmininkės Ursulos von der Leyen pristatytas 2024–2029 m.</w:t>
            </w:r>
            <w:r>
              <w:t xml:space="preserve"> </w:t>
            </w:r>
            <w:r>
              <w:rPr>
                <w:b/>
                <w:i/>
              </w:rPr>
              <w:t>Komisijos kadencijos politines gaires „Europos pasirinkimas“,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2026 m. vasario 6 d. preliminarias Komisijos išvadas dėl to, kad platforma „TikTok“ nesilaiko Skaitmeninių paslaugų akto, kiek tai susiję su rizikos vertinimais dėl jos rekomendavimo sistemų ir priklausomybę sukeliančių dizaino savybių,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54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atsižvelgdamas į kovos su dezinformacija </w:t>
            </w:r>
            <w:r>
              <w:rPr>
                <w:b/>
                <w:i/>
              </w:rPr>
              <w:t>praktikos</w:t>
            </w:r>
            <w:r>
              <w:t xml:space="preserve"> kodeksą,</w:t>
            </w:r>
          </w:p>
        </w:tc>
        <w:tc>
          <w:tcPr>
            <w:tcW w:w="4876" w:type="dxa"/>
            <w:tcBorders>
              <w:top w:val="nil"/>
              <w:left w:val="nil"/>
              <w:bottom w:val="nil"/>
              <w:right w:val="nil"/>
            </w:tcBorders>
          </w:tcPr>
          <w:p>
            <w:pPr>
              <w:pStyle w:val="Normal6a"/>
            </w:pPr>
            <w:r>
              <w:t>–</w:t>
            </w:r>
            <w:r>
              <w:tab/>
            </w:r>
            <w:r>
              <w:t xml:space="preserve">atsižvelgdamas į Kovos su dezinformacija </w:t>
            </w:r>
            <w:r>
              <w:rPr>
                <w:b/>
                <w:i/>
              </w:rPr>
              <w:t>elgesio</w:t>
            </w:r>
            <w:r>
              <w:t xml:space="preserve"> kodeksą </w:t>
            </w:r>
            <w:r>
              <w:rPr>
                <w:b/>
                <w:i/>
              </w:rPr>
              <w:t>(2018 m.</w:t>
            </w:r>
            <w:r>
              <w:t xml:space="preserve">, </w:t>
            </w:r>
            <w:r>
              <w:rPr>
                <w:b/>
                <w:i/>
              </w:rPr>
              <w:t>sugriežtintas 2022 m.), kurį 2025 m. vasario 13 d. Europos Komisija ir Europos skaitmeninių paslaugų valdyba patvirtino kaip elgesio kodeksą pagal Reglamento (ES) 2022/2065 (Skaitmeninių paslaugų aktas) 45 straipsnį, o pertvarkymas įsigaliojo 2025 m. liepos 1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buvusio Suomijos Respublikos prezidento Sauli Niinistö, kaip Europos Komisijos pirmininkės specialiojo patarėjo, 2024 m. spalio 30 d. ataskaitą „Saugiau kartu. Europos civilinio ir karinio pasirengimo ir parengties stiprinimas“,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vasario 13 d. Komisijos nuomonę dėl Kovos su dezinformacija praktikos kodekso vertinimo, kaip tai suprantama Reglamento (ES) 2022/2065 45 straipsnyje,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2026 m. vasario 3 d. JAV Atstovų Rūmų Teisminių institucijų komiteto paskelbtą tarpinę tarnybų ataskaitą „The Foreign Censorship Threat, Part II:</w:t>
            </w:r>
            <w:r>
              <w:t xml:space="preserve"> </w:t>
            </w:r>
            <w:r>
              <w:rPr>
                <w:b/>
                <w:i/>
              </w:rPr>
              <w:t>European’s Decade-Long Campaign to Censor the Global Internet and How It Harms American Speech in the United States“ („Užsienio cenzūros keliama grėsmė, II dalis: dešimtmetį trunkanti Europos kampanija, kuria siekiama cenzūruoti pasaulinį internetą, ir kaip ji kenkia amerikiečių žodžio laisvei Jungtinėse Valstijose“)</w:t>
            </w:r>
            <w:r>
              <w:rPr>
                <w:b/>
                <w:i/>
                <w:vertAlign w:val="superscript"/>
              </w:rPr>
              <w:t>49a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49a</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77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Parlamento Specialiojo komiteto Europos demokratijos skydo klausimais užsakytą tyrimą „Strengthening Resilience – Towards the European Democracy Shield“ (liet. „Atsparumo stiprinimas. Kelias į Europos demokratijos skydą“), kurį 2025 m. spalio mėn. paskelbė jo Piliečių teisių, teisingumo ir institucinių reikalų generalinis direktoratas</w:t>
            </w:r>
            <w:r>
              <w:rPr>
                <w:b/>
                <w:i/>
                <w:vertAlign w:val="superscript"/>
              </w:rPr>
              <w:t>51</w:t>
            </w:r>
            <w:r>
              <w:rPr>
                <w:b/>
                <w:i/>
              </w:rPr>
              <w:t>,</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51</w:t>
            </w:r>
            <w:r>
              <w:t xml:space="preserve"> </w:t>
            </w:r>
            <w:r>
              <w:rPr>
                <w:b/>
                <w:i/>
              </w:rPr>
              <w:t>Tyrimas „Strengthening Resilience – Towards the European Democracy Shield“ (liet. „Atsparumo stiprinimas. Kelias į Europos demokratijos skydą“), Europos Parlamentas, Piliečių teisių, teisingumo ir institucinių reikalų generalinis direktoratas, Teisingumo, piliečių laisvių ir institucinių reikalų teminis skyrius, 2025 m. spalio mėn.</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lapkričio mėn. „Eurobarometro“ apklausą, iš kurios matyti, kad Europos piliečiai didžiausiais iššūkiais demokratijai laiko vis didesnį nepasitikėjimą demokratinėmis institucijomis (49 proc.), užsienio vykdomą manipuliavimą informacija ir dezinformaciją, be kita ko, rinkimų kontekste (42 proc.), ir DI grindžiamo politinio turinio internete skaidrumo trūkumą (32 proc.), ir iš kurios taip pat matyti, kad tiksli ir prieinama informacija laikoma svarbiausiu laisvų ir sąžiningų rinkimų elementu (53 proc.), taip pat susirūpinimą kelia dezinformacija besikliaujantys rinkėjai (79 proc.), kibernetiniai išpuoliai (71 proc.) ir užsienio kišimasis (70 proc.),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78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atsižvelgdamas į Europos </w:t>
            </w:r>
            <w:r>
              <w:rPr>
                <w:b/>
                <w:i/>
              </w:rPr>
              <w:t>išorės veiksmų tarnybos (EIVT) 1-ąją, 2-ąją ir 3-iąją ataskaitas dėl užsienio vykdomo manipuliavimo informacija ir kišimosi grėsmių</w:t>
            </w:r>
            <w:r>
              <w:t>,</w:t>
            </w:r>
          </w:p>
        </w:tc>
        <w:tc>
          <w:tcPr>
            <w:tcW w:w="4876" w:type="dxa"/>
            <w:tcBorders>
              <w:top w:val="nil"/>
              <w:left w:val="nil"/>
              <w:bottom w:val="nil"/>
              <w:right w:val="nil"/>
            </w:tcBorders>
          </w:tcPr>
          <w:p>
            <w:pPr>
              <w:pStyle w:val="Normal6a"/>
            </w:pPr>
            <w:r>
              <w:t>–</w:t>
            </w:r>
            <w:r>
              <w:tab/>
            </w:r>
            <w:r>
              <w:t xml:space="preserve">atsižvelgdamas į Europos </w:t>
            </w:r>
            <w:r>
              <w:rPr>
                <w:b/>
                <w:i/>
              </w:rPr>
              <w:t>Tarybos ataskaitą „Safety of Journalists platform 2024 report: serious concern about the use of spyware against journalists, abusive lawsuits and journalists in exile“ („2024 m. Žurnalistų saugumo platformos ataskaita: didelį susirūpinimą kelia šnipinėjimo programų naudojimas prieš žurnalistus, piktnaudžiaujamieji ieškiniai ir žurnalistų tremtis“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Parlamente vykstančias diskusijas dėl nuomonės formuotojų poveikio visuomenei,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Lenkijos valstybinės komisijos Rusijos įtakai Lenkijos Respublikos vidaus saugumui 2007–2022 m. tirti ataskaitos išvadas,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2020 m.</w:t>
            </w:r>
            <w:r>
              <w:t xml:space="preserve"> </w:t>
            </w:r>
            <w:r>
              <w:rPr>
                <w:b/>
                <w:i/>
              </w:rPr>
              <w:t>Suomijos „Mediapooli“ parengtą nuomonės formuotojų vadovą,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2020 m.</w:t>
            </w:r>
            <w:r>
              <w:t xml:space="preserve"> </w:t>
            </w:r>
            <w:r>
              <w:rPr>
                <w:b/>
                <w:i/>
              </w:rPr>
              <w:t>Suomijos „Mediapooli“ parengtą nuomonės formuotojų vadovą,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gruodžio mėn. JAV nacionalinio saugumo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lapkričio mėn. paskelbtą Jungtinių Amerikos Valstijų nacionalinio saugumo strategiją ir 2026 m. sausio mėn. paskelbtą nacionalinę gynybos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88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JAV nacionalinio saugumo strategiją (NSS),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89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organizacijos „Žurnalistai be sienų“ 2025 m. rugsėjo 25 d. ataskaitą „The Propaganda Monitor:</w:t>
            </w:r>
            <w:r>
              <w:t xml:space="preserve"> </w:t>
            </w:r>
            <w:r>
              <w:rPr>
                <w:b/>
                <w:i/>
              </w:rPr>
              <w:t>The Russian Edition“ (liet. „Propagandos stebėjimas. Rusijos leidimas“,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90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2025 m. lapkričio 1 d.</w:t>
            </w:r>
            <w:r>
              <w:t xml:space="preserve"> </w:t>
            </w:r>
            <w:r>
              <w:rPr>
                <w:b/>
                <w:i/>
              </w:rPr>
              <w:t>Europos universitetinio instituto Žiniasklaidos pliuralizmo ir žiniasklaidos laisvės centro paskelbtą straipsnį „Influencers as news creators implications for media regulation“ (liet. „Žiniasklaidos nuomonės formuotojai kaip naujienų kūrėjai. Poveikis žiniasklaidos reguliavimui“),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2025 m. spalio 28 d. konsorciumo „AlgoSoc“ paskelbtą straipsnį „1 in 10 Dutch citizens are likely to ask AI for election advice.</w:t>
            </w:r>
            <w:r>
              <w:t xml:space="preserve"> </w:t>
            </w:r>
            <w:r>
              <w:rPr>
                <w:b/>
                <w:i/>
              </w:rPr>
              <w:t>This is why they shouldn’t“ (liet. „1 iš 10 Nyderlandų piliečių linkę prašyti dirbtinio intelekto patarimo rinkimų klausimais. Štai kodėl jie neturėtų to daryti“),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93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2025 m. kovo 6 d. organizacijos „NewsGuard“ specialiąją ataskaitą „A Well-funded Moscow-based Global “News” Network has Infected Western Artificial Intelligence with Russian Propaganda“ (liet. „Gerai finansuojamas Maskvoje įsikūręs pasaulinis „naujienų“ tinklas užkrėtė Vakarų dirbtinį intelektą Rusijos propaganda“),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NATO strateginės komunikacijos kompetencijos centro analizes ir rekomendacijas,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„MCC Brussels“ paskelbtą Normano Lewiso ataskaitą „A Shield Against Democracy:</w:t>
            </w:r>
            <w:r>
              <w:t xml:space="preserve"> </w:t>
            </w:r>
            <w:r>
              <w:rPr>
                <w:b/>
                <w:i/>
              </w:rPr>
              <w:t>The European Democracy Shield and the Future of Free Speech“ („Skydas prieš demokratiją: Europos demokratijos skydas ir žodžio laisvės ateitis“);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95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išorės veiksmų tarnybos „EUvsDisinfo“ analizes ir rekomendacijas,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95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JAV Atstovų Rūmų Teisminių institucijų komiteto daugumos tarnybos ataskaitą dėl Skaitmeninių paslaugų akto ir transatlantinės grėsmės žodžio laisvei,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95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Nacionalinio saugumo fondo (Fundacja Bezpieczeństwa Narodowego) ataskaitą dėl rinkimų Lenkijoje,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95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JAV Atstovų Rūmų Teisminių institucijų komiteto daugumos tarnybos ataskaitos dėl užsienio cenzūros keliamos grėsmės žodžio laisvei II dalį, paskelbtą 2026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vasario 26 d.</w:t>
            </w:r>
            <w:r>
              <w:t xml:space="preserve"> </w:t>
            </w:r>
            <w:r>
              <w:rPr>
                <w:b/>
                <w:i/>
              </w:rPr>
              <w:t>„Vsquare“, „Delfi Estonia“ ir žiniasklaidos organizacijų partnerių paskelbtą tyrimo ataskaitą „Kremlin Leaks:</w:t>
            </w:r>
            <w:r>
              <w:t xml:space="preserve"> </w:t>
            </w:r>
            <w:r>
              <w:rPr>
                <w:b/>
                <w:i/>
              </w:rPr>
              <w:t>Secret Files Reveal How Putin Pre-Rigged his Reelection“ (liet. Kremliaus informacijos nutekinimai. Slaptieji dokumentai atskleidžia, kaip Putinas iš anksto suklastojo savo perrinkimą“,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96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vasario 26 d.</w:t>
            </w:r>
            <w:r>
              <w:t xml:space="preserve"> </w:t>
            </w:r>
            <w:r>
              <w:rPr>
                <w:b/>
                <w:i/>
              </w:rPr>
              <w:t>„Vsquare“, „Delfi Estonia“ ir žiniasklaidos organizacijų partnerių paskelbtą tyrimo ataskaitą „Kremlin Leaks:</w:t>
            </w:r>
            <w:r>
              <w:t xml:space="preserve"> </w:t>
            </w:r>
            <w:r>
              <w:rPr>
                <w:b/>
                <w:i/>
              </w:rPr>
              <w:t>Secret Files Reveal How Putin Pre-Rigged his Reelection“ (liet. Kremliaus informacijos nutekinimai. Slaptieji dokumentai atskleidžia, kaip Putinas iš anksto suklastojo savo perrinkimą“,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97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organizacijos „Aspen Institute“ (Vokietija) paskelbtą Socialinės žiniasklaidos nuomonės formuotojų ir turinio kūrėjų etikos kodeksą,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97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organizacijos „Aspen Institute“ (Vokietija) paskelbtą Socialinės žiniasklaidos nuomonės formuotojų ir turinio kūrėjų etikos kodeksą,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98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2023 m. gegužės 4 d. organizacijos „Debunk.org“ paskelbtą straipsnį „Kremlin spent 1.9 billion USD on propaganda last year, the budget exceeded by a quarter“ (liet. Kremlius praėjusiais metais propagandai išleido 1,9 mlrd. USD – biudžetas viršytas ketvirtadaliu),</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98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2023 m. gegužės 4 d. organizacijos „Debunk.org“ paskelbtą straipsnį „Kremlin spent 1.9 billion USD on propaganda last year, the budget exceeded by a quarter“ (liet. Kremlius praėjusiais metais propagandai išleido 1,9 mlrd. USD – biudžetas viršytas ketvirtadaliu),</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99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gruodžio 28 d.</w:t>
            </w:r>
            <w:r>
              <w:t xml:space="preserve"> </w:t>
            </w:r>
            <w:r>
              <w:rPr>
                <w:b/>
                <w:i/>
              </w:rPr>
              <w:t>Rusijos Federacijos užsienio reikalų ministerijos pareiškimą dėl priemonių, kuriomis reaguojama į 15-ąjį ES sankcijų Rusijai paketą, kuriame ji paskelbė išplečianti ES pareigūnų ir piliečių, kuriems draudžiama atvykti į šalį, sąrašą,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gruodžio 28 d.</w:t>
            </w:r>
            <w:r>
              <w:t xml:space="preserve"> </w:t>
            </w:r>
            <w:r>
              <w:rPr>
                <w:b/>
                <w:i/>
              </w:rPr>
              <w:t>Rusijos naujienų agentūros „TASS“ straipsnį „Russia substantially expands blacklist of EU officials in response to sanctions – MFA“ (liet. Rusija, reaguodama į sankcijas, gerokai išplečia ES pareigūnų juodąjį sąrašą. URM),</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gruodžio 18 d. Komisijos pranešimą spaudai dėl jos pradėtos oficialios procedūros pagal Skaitmeninių paslaugų aktą prieš bendrovę „X“, siekiant įvertinti galimus jos pareigų pažeidimus, visų pirma susijusius su sisteminės rizikos, susijusios su jos rekomendavimo sistemų dizainu ir veikimu, mažinimu, taip pat su pareigomis, susijusiomis su rizikos vertinimu, turinio moderavimu, reklamos skaidrumu ir tyrėjų prieiga prie duomenų,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kovo mėn. paskelbtą Pramos et al. tyrimą „Political Biases on X before the 2025 German Federal Election’“ („Politinis šališkumas platformoje „X“ prieš 2025 m. Vokietijos federalinius rinkimus“),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30 d. Komisijos pranešimą spaudai dėl jos pradėtos oficialios procedūros pagal Skaitmeninių paslaugų aktą prieš „Meta“ platformas, visų pirma dėl politinio turinio tvarkymo ir mažinimo jos interneto platformose,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kovo mėn. paskelbtą Pramos, Vishalio ir Grabowicziaus tyrimą „Algorithmic Biases on X before the 2025 Polish Presidential Election’, published in March 2025“ („Algoritminis šališkumas platformoje „X“ prieš 2025 m. Lenkijos prezidento rinkimus“),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sausio mėn. paskelbtą Weinmann, Denkovskio ir Giannaccini ataskaitą „Filtered for You: Algorithmic Bias on TikTok and Instagram in Germany“ (Filtruota jums: algoritminis šališkumas platformose „TikTok“ ir „Instagram“ Vokietijoje“);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sausio mėn. paskelbtą organizacijos „Global Witness“ ataskaitą „TikTok and X Recommend Pro-AfD Content to Non-Partisan Users Ahead of the German Elections“ („TikTok“ ir „X“ prieš Vokietijos rinkimus nešališkiems naudotojams rekomenduoja už AfD agituojantį turinį“),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vasario mėn. paskelbtą organizacijos „Global Witness“ ataskaitą „TikTok Algorithm Continues to Push Multiple Times More Far-Right Content to Users Ahead of Romanian Election“ („TikTok“ algoritmas prieš Rumunijos rinkimus naudotojams toliau pateikia kelis kartus daugiau kraštutinių dešiniųjų turinio“),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f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sausio mėn. paskelbtą Verwiebe et al. ataskaitą „Digitalisiert, politisiert, polarisiert? Eine Analyse von Social-Media-Feeds junger Menschen zur Bundestagswahl 2025 auf TikTok, YouTube, Instagram und X“ („Skaitmenizuota, politizuota, poliarizuota? Jaunimo socialinių tinklų naujienų srauto žinučių apie 2025 m. Bundestago rinkimus platformose „TikTok“, „YouTube“, „Instagram“ ir „X“ analizė“),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g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vasario mėn. paskelbtą Katzy-Reinshagen et al. ataskaitą „Wahlkampf im Feed? Wie TikTok mit parteipolitischen Inhalten im Vorfeld der Bundestagswahl 2025 umgeht“ („Rinkimų kampanija naujienų sraute? Kaip „TikTok“ elgėsi su partijų politiniu turiniu prieš 2025 m. Bundestago rinkimus“),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100 h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vasario mėn. paskelbtą Matlach et al. ataskaitą „Recommending Hate: How TikTok’s Search Engine Algorithms Reproduce Societal Bias“ („Rekomenduoti neapykantą: kaip „TikTok“ paieškos sistemos algoritmai atkuria visuomenės šališkumą“),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101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2024 m. gruodžio mėn. platformos „TikTok“ pareiškimą dėl tolesnio platformos „TikTok“ integralumo apsaugos per Rumunijos rinkimus,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jaunimo apklausą apie jaunų žmonių (16–30 metų amžiaus) visoje ES pažiūras ir prioritetus, kurioje daugiausia dėmesio skiriama jų politiniams prioritetams, požiūriui į Europos Sąjungą, informacijos šaltiniams, dezinformacijos poveikiui, politiniam angažavimuisi ir elgsenai balsuojant 2024 m. Europos Parlamento rinkimuose,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Parlamento, Europos Sąjungos Tarybos, Europos Komisijos, Europos Sąjungos Teisingumo Teismo, Europos Centrinio Banko, Europos Audito Rūmų, Europos ekonomikos ir socialinių reikalų komiteto ir Europos regionų komiteto susitarimą, kuriuo įsteigiamas tarpinstitucinis Europos Sąjungos sutarties 13 straipsnyje nurodytų institucijų ir patariamųjų organų narių etikos standartų organas,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Parlamento sprendimą Biudžeto kontrolės komitete įsteigti NVO finansavimo tikrinimo darbo grupę,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Baltąją knygą dėl Europos gynybos parengties 2030 m. ir į 2025 m. gegužės 27 d. Tarybos reglamentą (ES) 2025/1106, kuriuo nustatoma Europos saugumo veiksmų (SAFE) stiprinant Europos gynybos pramonę priemonė,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2017 m. rugsėjo 14 d. rezoliuciją dėl skaidrumo, atskaitomybės ir sąžiningumo ES institucijose,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gruodžio 17 d. Europos Parlamento rezoliuciją dėl su subsidiarumo ir proporcingumo principais susijusių Sutarties nuostatų taikymo ir nacionalinių parlamentų vaidmens ES teisėkūros procese (2025/2042(INI)),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gruodžio 5 d. paskelbtą 2025 m. JAV nacionalinio saugumo politiką, į kurią reaguojant reikia imtis skubių ir plataus užmojo Europos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Sąjungos sutarties 5 straipsnį, ypač į jame įtvirtintus suteikimo, subsidiarumo ir proporcingumo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Audito Rūmų ataskaitas ir rekomendacijas, ypač į specialiąją ataskaitą Nr. 11/2025</w:t>
            </w:r>
            <w:r>
              <w:t xml:space="preserve"> </w:t>
            </w:r>
            <w:r>
              <w:rPr>
                <w:b/>
                <w:i/>
              </w:rPr>
              <w:t>„NVO skiriamo ES finansavimo skaidrumas“;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Pirmininkės U. von der Leyen 2025 m. rugsėjo mėn. pranešimą apie Sąjungos padėtį, kuriame ji pabrėžė, kad svarbu ir neatidėliotina imtis veiksmų dėl demokratinio atsparumo,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sausio 7 d. bendrovės „Meta Platforms, Inc.“ pareiškimą „More Speech and Fewer Mistakes“ („Daugiau žodžio laisvės ir mažiau klaidų“), kuriame pranešama, kad ji nutraukia trečiosios šalies faktų tikrinimo programą, motyvuodama tuo, kad dėl šios programos buvo pašalinama pernelyg daug turinio ir cenzūruojamos teisėtos viešos diskusijos,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2025 m. lapkričio 28 d. Tarybos išvadas dėl patikimų naujienų prieinamumo, kaip Europos demokratijos skydo sudėtinės dalies,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atitinkamus tyrimus ir Komisijos veiksmus, susijusius su skaitmeninės reklamos poveikiu ir interneto turinio naudojimu DI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104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Europos Parlamento darbą autorių teisių ir generatyvinio dirbtinio intelekto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2025 m. lapkričio 12 d. Komisija ir Sąjungos vyriausioji įgaliotinė užsienio reikalams ir saugumo politikai pateikė bendrą komunikatą dėl Europos demokratijos skydo sukūrimo, kuriame išdėstytos priemonės, kuriomis siekiama įgalinti, apsaugoti ir skatinti stiprią ir atsparią demokratiją visoje ES;</w:t>
            </w:r>
          </w:p>
        </w:tc>
        <w:tc>
          <w:tcPr>
            <w:tcW w:w="4876" w:type="dxa"/>
            <w:tcBorders>
              <w:top w:val="nil"/>
              <w:left w:val="nil"/>
              <w:bottom w:val="nil"/>
              <w:right w:val="nil"/>
            </w:tcBorders>
          </w:tcPr>
          <w:p>
            <w:pPr>
              <w:pStyle w:val="Normal6a"/>
            </w:pPr>
            <w:r>
              <w:t>A.</w:t>
            </w:r>
            <w:r>
              <w:tab/>
            </w:r>
            <w:r>
              <w:t xml:space="preserve">kadangi 2025 m. lapkričio 12 d. Komisija ir Sąjungos vyriausioji įgaliotinė užsienio reikalams ir saugumo politikai </w:t>
            </w:r>
            <w:r>
              <w:rPr>
                <w:b/>
                <w:i/>
              </w:rPr>
              <w:t>gerokai uždelsusios</w:t>
            </w:r>
            <w:r>
              <w:t xml:space="preserve"> pateikė bendrą komunikatą dėl Europos demokratijos skydo sukūrimo, kuriame išdėstytos priemonės, kuriomis siekiama įgalinti, apsaugoti ir skatinti stiprią ir atsparią demokratiją visoje ES; </w:t>
            </w:r>
            <w:r>
              <w:rPr>
                <w:b/>
                <w:i/>
              </w:rPr>
              <w:t>kadangi tam tikri Komisijos pasiūlymai gali prisidėti prie tolesnio galių centralizavimo ES lygmeniu valstybių narių demokratinių prerogatyvų sąskaita;</w:t>
            </w:r>
            <w:r>
              <w:t xml:space="preserve"> </w:t>
            </w:r>
            <w:r>
              <w:rPr>
                <w:b/>
                <w:i/>
              </w:rPr>
              <w:t>kadangi siūlomos priemonės neatspindi esamų demokratijos trūkumų, priežiūros trūkumų, pastarojo meto skandalų, dvigubų standartų ir akivaizdaus objektyvumo trūkumo ES institucijose;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demokratinis atsparumas ir Europos saugumas tampa vis labiau neatsiejami;</w:t>
            </w:r>
            <w:r>
              <w:t xml:space="preserve"> </w:t>
            </w:r>
            <w:r>
              <w:rPr>
                <w:b/>
                <w:i/>
              </w:rPr>
              <w:t>kadangi hibridinės grėsmės, užsienio kišimasis ir dezinformacija sąmoningai naudojami kaip karo ir prievartos priemonės;</w:t>
            </w:r>
            <w:r>
              <w:t xml:space="preserve"> </w:t>
            </w:r>
            <w:r>
              <w:rPr>
                <w:b/>
                <w:i/>
              </w:rPr>
              <w:t>kadangi todėl stiprinant Europos demokratijos skydą taip pat prisidedama prie Sąjungos saugumo ir gynybos savarankiškumo;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užsienio vykdomo manipuliavimo informacija kampanijos dažnai vykdomos taikant nebrangią, mažo intensyvumo ir nuolatinę taktiką;</w:t>
            </w:r>
            <w:r>
              <w:t xml:space="preserve"> </w:t>
            </w:r>
            <w:r>
              <w:rPr>
                <w:b/>
                <w:i/>
              </w:rPr>
              <w:t>kadangi atsakas į tokią veiklą turi išlikti proporcingas, pagrįstas įrodymais ir tvirtai paremtas teisinės valstybės principu, kad būtų išvengta nuolatinio skubaus pobūdžio kišimosi į informacinę erdvę normalizavimo;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Visuotinės žmogaus teisių deklaracijos 19 straipsnyje patvirtinama, kad kiekvienas turi teisę į nuomonės ir saviraiškos laisvę;</w:t>
            </w:r>
            <w:r>
              <w:t xml:space="preserve"> </w:t>
            </w:r>
            <w:r>
              <w:rPr>
                <w:b/>
                <w:i/>
              </w:rPr>
              <w:t>kadangi ši teisė apima laisvę nekliudomam turėti savo nuomonę ir ieškoti informacijos bei idėjų, jas gauti ir skleisti visokiomis priemonėmis ir nepaisant valstybės sienų;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Demokratijos skydas suteikia unikalią galimybę sukurti veiksmingą visos visuomenės gynybą, saugančią Europos demokratiją, laisvę, konkurencingumą ir klestėjimą;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Europos žmogaus teisių konvencijos 10 straipsniu užtikrinama teisė į saviraiškos laisvę, įskaitant laisvę turėti turėti savo nuomonę, gauti bei skleisti informaciją ir idėjas valdžios institucijų netrukdomam ir nepaisant valstybės sienų;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kadangi Europos Komisija neatsižvelgė į Europos Parlamento raginimus į metinę teisinės valstybės principo taikymo ataskaitą įtraukti specialų skyrių, kuriame būtų įvertinta padėtis pačiose ES institucijose;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w:t>
            </w:r>
            <w:r>
              <w:rPr>
                <w:b/>
                <w:i/>
              </w:rPr>
              <w:t>Europos demokratinio atsparumo centras</w:t>
            </w:r>
            <w:r>
              <w:t xml:space="preserve"> yra pagrindinis Europos demokratijos skydo elementas; kadangi abu Parlamento specialieji komitetai užsienio šalių kišimosi į visus demokratinius procesus Europos Sąjungoje, įskaitant dezinformaciją, klausimais (INGE ir ING2) jau paragino </w:t>
            </w:r>
            <w:r>
              <w:rPr>
                <w:b/>
                <w:i/>
              </w:rPr>
              <w:t>sukurti</w:t>
            </w:r>
            <w:r>
              <w:t xml:space="preserve"> ES kovos su užsienio vykdomu manipuliavimu informacija ir kišimusi (FIMI) struktūrą;</w:t>
            </w:r>
          </w:p>
        </w:tc>
        <w:tc>
          <w:tcPr>
            <w:tcW w:w="4876" w:type="dxa"/>
            <w:tcBorders>
              <w:top w:val="nil"/>
              <w:left w:val="nil"/>
              <w:bottom w:val="nil"/>
              <w:right w:val="nil"/>
            </w:tcBorders>
          </w:tcPr>
          <w:p>
            <w:pPr>
              <w:pStyle w:val="Normal6a"/>
            </w:pPr>
            <w:r>
              <w:t>B.</w:t>
            </w:r>
            <w:r>
              <w:tab/>
            </w:r>
            <w:r>
              <w:t xml:space="preserve">kadangi </w:t>
            </w:r>
            <w:r>
              <w:rPr>
                <w:b/>
                <w:i/>
              </w:rPr>
              <w:t>laisvos visuomenės</w:t>
            </w:r>
            <w:r>
              <w:t xml:space="preserve"> yra pagrindinis Europos demokratijos skydo elementas </w:t>
            </w:r>
            <w:r>
              <w:rPr>
                <w:b/>
                <w:i/>
              </w:rPr>
              <w:t>ir jokios Briuselio institucijos negali pakeisti demokratinių procesų valstybėse narėse ar daryti jiems įtakos</w:t>
            </w:r>
            <w:r>
              <w:t xml:space="preserve">; kadangi abu Parlamento specialieji komitetai užsienio šalių kišimosi į visus demokratinius procesus Europos Sąjungoje, įskaitant dezinformaciją, klausimais (INGE ir ING2) jau paragino </w:t>
            </w:r>
            <w:r>
              <w:rPr>
                <w:b/>
                <w:i/>
              </w:rPr>
              <w:t>stiprinti</w:t>
            </w:r>
            <w:r>
              <w:t xml:space="preserve"> ES kovos su užsienio vykdomu manipuliavimu informacija ir kišimusi (FIMI) struktūrą</w:t>
            </w:r>
            <w:r>
              <w:rPr>
                <w:b/>
                <w:i/>
              </w:rPr>
              <w:t>, kuri turėtų būti tinkamai įtraukta į EIVT, kartu su seniai veikiančiais organais, pvz., Strateginės komunikacijos Rytų kaimynystės šalyse darbo grupe, kuri turi nusistovėjusią darbo metodiką ir jau daugelį metų sėkmingai bendradarbiauja su Europos Parlamentu, Komisija, valstybėmis narėmis, organizacijomis partnerėmis ir ekspertų bendruomene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Europos demokratinio atsparumo </w:t>
            </w:r>
            <w:r>
              <w:rPr>
                <w:b/>
                <w:i/>
              </w:rPr>
              <w:t>centras yra pagrindinis Europos demokratijos skydo elementas</w:t>
            </w:r>
            <w:r>
              <w:t>; 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w:t>
            </w:r>
          </w:p>
        </w:tc>
        <w:tc>
          <w:tcPr>
            <w:tcW w:w="4876" w:type="dxa"/>
            <w:tcBorders>
              <w:top w:val="nil"/>
              <w:left w:val="nil"/>
              <w:bottom w:val="nil"/>
              <w:right w:val="nil"/>
            </w:tcBorders>
          </w:tcPr>
          <w:p>
            <w:pPr>
              <w:pStyle w:val="Normal6a"/>
            </w:pPr>
            <w:r>
              <w:t>B.</w:t>
            </w:r>
            <w:r>
              <w:tab/>
            </w:r>
            <w:r>
              <w:t xml:space="preserve">kadangi </w:t>
            </w:r>
            <w:r>
              <w:rPr>
                <w:b/>
                <w:i/>
              </w:rPr>
              <w:t>bendrame komunikate dėl Europos demokratijos skydo pateikiama keletas teigiamų rekomendacijų ir pasiūlymų, pvz., dėl</w:t>
            </w:r>
            <w:r>
              <w:t xml:space="preserve"> Europos demokratinio atsparumo </w:t>
            </w:r>
            <w:r>
              <w:rPr>
                <w:b/>
                <w:i/>
              </w:rPr>
              <w:t>centro įsteigimo, jo taikymo srities išplėtimo įtraukiant narystės siekiančias šalis ir ES kaimynines šalis arba visapusiško pagrindinių ES teisės aktų vykdymo užtikrinimo</w:t>
            </w:r>
            <w:r>
              <w:t>; 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w:t>
            </w:r>
            <w:r>
              <w:rPr>
                <w:b/>
                <w:i/>
              </w:rPr>
              <w:t>, panašią į siūlomą Europos demokratinio atsparumo centrą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Europos demokratinio atsparumo centras yra pagrindinis Europos demokratijos skydo elementas; 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w:t>
            </w:r>
          </w:p>
        </w:tc>
        <w:tc>
          <w:tcPr>
            <w:tcW w:w="4876" w:type="dxa"/>
            <w:tcBorders>
              <w:top w:val="nil"/>
              <w:left w:val="nil"/>
              <w:bottom w:val="nil"/>
              <w:right w:val="nil"/>
            </w:tcBorders>
          </w:tcPr>
          <w:p>
            <w:pPr>
              <w:pStyle w:val="Normal6a"/>
            </w:pPr>
            <w:r>
              <w:t>B.</w:t>
            </w:r>
            <w:r>
              <w:tab/>
            </w:r>
            <w:r>
              <w:t>kadangi Europos demokratinio atsparumo centras yra pagrindinis Europos demokratijos skydo elementas</w:t>
            </w:r>
            <w:r>
              <w:rPr>
                <w:b/>
                <w:i/>
              </w:rPr>
              <w:t>, tačiau jis kelia abejonių dėl pagarbos valstybių narių nacionaliniam savitumui, kaip numatyta ES sutarties 4 straipsnio 1 dalyje, ir išimtinės valstybių narių atsakomybės už nacionalinį saugumą, kaip nustatyta ES sutarties 4 straipsnio 2 dalyje</w:t>
            </w:r>
            <w:r>
              <w:t>; 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Europos demokratinio atsparumo centras yra pagrindinis Europos demokratijos skydo elementas; 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w:t>
            </w:r>
          </w:p>
        </w:tc>
        <w:tc>
          <w:tcPr>
            <w:tcW w:w="4876" w:type="dxa"/>
            <w:tcBorders>
              <w:top w:val="nil"/>
              <w:left w:val="nil"/>
              <w:bottom w:val="nil"/>
              <w:right w:val="nil"/>
            </w:tcBorders>
          </w:tcPr>
          <w:p>
            <w:pPr>
              <w:pStyle w:val="Normal6a"/>
            </w:pPr>
            <w:r>
              <w:t>B.</w:t>
            </w:r>
            <w:r>
              <w:tab/>
            </w:r>
            <w:r>
              <w:t xml:space="preserve">kadangi Europos demokratinio atsparumo centras yra pagrindinis Europos demokratijos skydo elementas; 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 </w:t>
            </w:r>
            <w:r>
              <w:rPr>
                <w:b/>
                <w:i/>
              </w:rPr>
              <w:t>kadangi tokia struktūra turėtų ne dubliuoti esamas priemones, pajėgumus ir kompetencijas, o juos konsoliduoti į vieną subjektą, turintį aiškią viziją, įgaliojimus, realias galias ir finansavimą;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Europos demokratinio atsparumo centras </w:t>
            </w:r>
            <w:r>
              <w:rPr>
                <w:b/>
                <w:i/>
              </w:rPr>
              <w:t>yra pagrindinis Europos demokratijos skydo elementas;</w:t>
            </w:r>
            <w:r>
              <w:t xml:space="preserve"> </w:t>
            </w:r>
            <w:r>
              <w:rPr>
                <w:b/>
                <w:i/>
              </w:rPr>
              <w:t>kadangi abu Parlamento specialieji komitetai užsienio</w:t>
            </w:r>
            <w:r>
              <w:t xml:space="preserve"> šalių </w:t>
            </w:r>
            <w:r>
              <w:rPr>
                <w:b/>
                <w:i/>
              </w:rPr>
              <w:t>kišimosi į visus demokratinius procesus Europos Sąjungoje, įskaitant dezinformaciją, klausimais (INGE ir ING2) jau paragino sukurti ES kovos su užsienio vykdomu manipuliavimu informacija ir kišimusi (FIMI) struktūrą</w:t>
            </w:r>
            <w:r>
              <w:t>;</w:t>
            </w:r>
          </w:p>
        </w:tc>
        <w:tc>
          <w:tcPr>
            <w:tcW w:w="4876" w:type="dxa"/>
            <w:tcBorders>
              <w:top w:val="nil"/>
              <w:left w:val="nil"/>
              <w:bottom w:val="nil"/>
              <w:right w:val="nil"/>
            </w:tcBorders>
          </w:tcPr>
          <w:p>
            <w:pPr>
              <w:pStyle w:val="Normal6a"/>
            </w:pPr>
            <w:r>
              <w:t>B.</w:t>
            </w:r>
            <w:r>
              <w:tab/>
            </w:r>
            <w:r>
              <w:t xml:space="preserve">kadangi Europos demokratinio atsparumo centras </w:t>
            </w:r>
            <w:r>
              <w:rPr>
                <w:b/>
                <w:i/>
              </w:rPr>
              <w:t>propaguojamas kaip dalyvaujančių valstybių narių, ES šalių kandidačių ir potencialių</w:t>
            </w:r>
            <w:r>
              <w:t xml:space="preserve"> šalių </w:t>
            </w:r>
            <w:r>
              <w:rPr>
                <w:b/>
                <w:i/>
              </w:rPr>
              <w:t>kandidačių bei ES institucijų mainų ir operatyvinio bendradarbiavimo bei koordinavimo sistema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w:t>
            </w:r>
            <w:r>
              <w:rPr>
                <w:b/>
                <w:i/>
              </w:rPr>
              <w:t>Europos demokratinio atsparumo centras yra pagrindinis</w:t>
            </w:r>
            <w:r>
              <w:t xml:space="preserve"> Europos demokratijos </w:t>
            </w:r>
            <w:r>
              <w:rPr>
                <w:b/>
                <w:i/>
              </w:rPr>
              <w:t>skydo elementas;</w:t>
            </w:r>
            <w:r>
              <w:t xml:space="preserve"> </w:t>
            </w:r>
            <w:r>
              <w:rPr>
                <w:b/>
                <w:i/>
              </w:rPr>
              <w:t>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w:t>
            </w:r>
            <w:r>
              <w:t>;</w:t>
            </w:r>
          </w:p>
        </w:tc>
        <w:tc>
          <w:tcPr>
            <w:tcW w:w="4876" w:type="dxa"/>
            <w:tcBorders>
              <w:top w:val="nil"/>
              <w:left w:val="nil"/>
              <w:bottom w:val="nil"/>
              <w:right w:val="nil"/>
            </w:tcBorders>
          </w:tcPr>
          <w:p>
            <w:pPr>
              <w:pStyle w:val="Normal6a"/>
            </w:pPr>
            <w:r>
              <w:t>B.</w:t>
            </w:r>
            <w:r>
              <w:tab/>
            </w:r>
            <w:r>
              <w:t xml:space="preserve">kadangi Europos demokratijos </w:t>
            </w:r>
            <w:r>
              <w:rPr>
                <w:b/>
                <w:i/>
              </w:rPr>
              <w:t>skydas turėtų papildyti, o ne dubliuoti ar pakeisti valstybių narių saugumo ir žvalgybos tarnybų ir teisėsaugos institucijų, taip pat atitinkamų Sąjungos įstaigų ir institucijų darbą šioje srityje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Europos demokratinio atsparumo centras yra pagrindinis Europos demokratijos skydo elementas; kadangi abu Parlamento specialieji komitetai užsienio šalių kišimosi į visus demokratinius procesus Europos Sąjungoje, įskaitant dezinformaciją, klausimais (INGE ir ING2) jau paragino sukurti ES kovos su užsienio vykdomu manipuliavimu informacija ir kišimusi (FIMI) struktūrą;</w:t>
            </w:r>
          </w:p>
        </w:tc>
        <w:tc>
          <w:tcPr>
            <w:tcW w:w="4876" w:type="dxa"/>
            <w:tcBorders>
              <w:top w:val="nil"/>
              <w:left w:val="nil"/>
              <w:bottom w:val="nil"/>
              <w:right w:val="nil"/>
            </w:tcBorders>
          </w:tcPr>
          <w:p>
            <w:pPr>
              <w:pStyle w:val="Normal6a"/>
            </w:pPr>
            <w:r>
              <w:t>B.</w:t>
            </w:r>
            <w:r>
              <w:tab/>
            </w:r>
            <w:r>
              <w:t xml:space="preserve">kadangi Europos demokratinio atsparumo centras yra pagrindinis Europos demokratijos skydo elementas; kadangi abu Parlamento specialieji komitetai užsienio šalių kišimosi į visus demokratinius procesus Europos Sąjungoje, įskaitant dezinformaciją, klausimais (INGE ir ING2) jau paragino sukurti ES kovos su užsienio vykdomu manipuliavimu informacija ir kišimusi (FIMI) </w:t>
            </w:r>
            <w:r>
              <w:rPr>
                <w:b/>
                <w:i/>
              </w:rPr>
              <w:t>bei dezinformacija</w:t>
            </w:r>
            <w:r>
              <w:t xml:space="preserve"> struktūrą;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dėl savanoriško dalyvavimo pasiūlyme, kuriuo grindžiamas Europos demokratinio atsparumo centras, pobūdžio gali atsirasti struktūrinių apribojimų ir praktinių kliūčių jo veiksmingam veikimui, o tai kenkia Centro gebėjimui veikti ir koordinuoti atsaką į grėsmes demokratiniams procesams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Jaroslav Bžoch,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du Parlamento specialieji komitetai užsienio šalių kišimosi į visus demokratinius procesus Europos Sąjungoje, įskaitant dezinformaciją, klausimais (INGE ir ING2) jau anksčiau ragino sukurti ES kovos su užsienio vykdomu manipuliavimu informacija ir kišimusi (FIMI) struktūrą;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savo komunikate Komisija nenustatė teisinio pagrindo Centrui įsteigti;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praėjus beveik trejiems metams nuo 2023 m. birželio 15 d. Europos Parlamento rekomendacijos Tarybai ir Komisijai priėmimo didžioji dauguma šių rekomendacijų dar neįgyvendintos, nepaisant jų esminės svarbos saugoti pagrindines teises, demokratiją ir teisinę valstybę nuo netinkamo šnipinėjimo programų ir intervencinių sekimo technologijų naudojimo;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EIVT, bendradarbiaudama su NATO ir G7 institucijomis, jau daugelį metų imasi veiksmingų veiksmų, kad stebėtų Rusiją ir Kiniją ir imtųsi veiksmų dėl jų kaip FIMI subjektų, be kita ko, vykdydama atskleidimo veiklą, nustatydama politinę atsakomybę ir priimdama sankcijas;</w:t>
            </w:r>
            <w:r>
              <w:t xml:space="preserve"> </w:t>
            </w:r>
            <w:r>
              <w:rPr>
                <w:b/>
                <w:i/>
              </w:rPr>
              <w:t>kadangi Komisijos kompetencija šioje srityje yra ribota;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kadangi, globojant ES, jau veikia Europos kovos su hibridinėmis grėsmėmis kompetencijos centras;</w:t>
            </w:r>
            <w:r>
              <w:t xml:space="preserve"> </w:t>
            </w:r>
            <w:r>
              <w:rPr>
                <w:b/>
                <w:i/>
              </w:rPr>
              <w:t>kadangi NATO strateginės komunikacijos kompetencijos centras jau kelerius metus atlieka labai veiksmingą darbą šioje srityje;</w:t>
            </w:r>
            <w:r>
              <w:t xml:space="preserve"> </w:t>
            </w:r>
            <w:r>
              <w:rPr>
                <w:b/>
                <w:i/>
              </w:rPr>
              <w:t>kadangi Komisija gauna šių institucijų parengtus analitinius produktus ir prireikus gali prašyti jų atlikti papildomus tyrimus;</w:t>
            </w:r>
            <w:r>
              <w:t xml:space="preserve"> </w:t>
            </w:r>
            <w:r>
              <w:rPr>
                <w:b/>
                <w:i/>
              </w:rPr>
              <w:t>kadangi dėl to nereikia kurti papildomų struktūrų, kurios dubliuotų esamus pajėgumus arba atimtų iš seniai įsitvirtinusių subjektų jų kompetenciją, kad tokia veikla būtų pavaldi Komisijai, kuri neturi atitinkamų įgaliojimų;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w:t>
            </w:r>
            <w:r>
              <w:rPr>
                <w:b/>
                <w:i/>
              </w:rPr>
              <w:t>vykdant priešiškas</w:t>
            </w:r>
            <w:r>
              <w:t xml:space="preserve"> manipuliavimo informacija </w:t>
            </w:r>
            <w:r>
              <w:rPr>
                <w:b/>
                <w:i/>
              </w:rPr>
              <w:t>kampanijas daugiausia dėmesio skiriama ES institucinei sąsajai</w:t>
            </w:r>
            <w:r>
              <w:t xml:space="preserve">; kadangi ES </w:t>
            </w:r>
            <w:r>
              <w:rPr>
                <w:b/>
                <w:i/>
              </w:rPr>
              <w:t>kenčia dėl fragmentiško požiūrio į kova</w:t>
            </w:r>
            <w:r>
              <w:t xml:space="preserve"> su FIMI ir dezinformacija</w:t>
            </w:r>
            <w:r>
              <w:rPr>
                <w:b/>
                <w:i/>
              </w:rPr>
              <w:t>, o</w:t>
            </w:r>
            <w:r>
              <w:t xml:space="preserve"> valstybių narių pajėgumai </w:t>
            </w:r>
            <w:r>
              <w:rPr>
                <w:b/>
                <w:i/>
              </w:rPr>
              <w:t>labai skiriasi</w:t>
            </w:r>
            <w:r>
              <w:t xml:space="preserve"> ir nėra </w:t>
            </w:r>
            <w:r>
              <w:rPr>
                <w:b/>
                <w:i/>
              </w:rPr>
              <w:t>visa apimančios</w:t>
            </w:r>
            <w:r>
              <w:t xml:space="preserve"> strateginės sistemos, pagal kurią operatyvinis atsakas būtų susietas su žvalgybos informacija apie grėsmes;</w:t>
            </w:r>
          </w:p>
        </w:tc>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w:t>
            </w:r>
            <w:r>
              <w:rPr>
                <w:b/>
                <w:i/>
              </w:rPr>
              <w:t>ES institucinė sąsaja nėra pagrindinis priešiškų</w:t>
            </w:r>
            <w:r>
              <w:t xml:space="preserve"> manipuliavimo informacija </w:t>
            </w:r>
            <w:r>
              <w:rPr>
                <w:b/>
                <w:i/>
              </w:rPr>
              <w:t>kampanijų taikinys, nes rafinuoti ir specialiai pritaikyti priešiški veiksmai yra sąmoningai nukreipti prieš valstybių narių visuomenes;</w:t>
            </w:r>
            <w:r>
              <w:t xml:space="preserve"> </w:t>
            </w:r>
            <w:r>
              <w:rPr>
                <w:b/>
                <w:i/>
              </w:rPr>
              <w:t>kadangi centralizuota ES įstaiga negali atremti tokių rafinuotų išpuolių</w:t>
            </w:r>
            <w:r>
              <w:t xml:space="preserve">; kadangi ES </w:t>
            </w:r>
            <w:r>
              <w:rPr>
                <w:b/>
                <w:i/>
              </w:rPr>
              <w:t>požiūris į kovą</w:t>
            </w:r>
            <w:r>
              <w:t xml:space="preserve"> su FIMI ir dezinformacija </w:t>
            </w:r>
            <w:r>
              <w:rPr>
                <w:b/>
                <w:i/>
              </w:rPr>
              <w:t>nėra fragmentiškas;</w:t>
            </w:r>
            <w:r>
              <w:t xml:space="preserve"> </w:t>
            </w:r>
            <w:r>
              <w:rPr>
                <w:b/>
                <w:i/>
              </w:rPr>
              <w:t>kadangi, atsižvelgiant į valstybių narių įvairovę, skirtingi</w:t>
            </w:r>
            <w:r>
              <w:t xml:space="preserve"> valstybių narių pajėgumai </w:t>
            </w:r>
            <w:r>
              <w:rPr>
                <w:b/>
                <w:i/>
              </w:rPr>
              <w:t>yra būtini;</w:t>
            </w:r>
            <w:r>
              <w:t xml:space="preserve"> </w:t>
            </w:r>
            <w:r>
              <w:rPr>
                <w:b/>
                <w:i/>
              </w:rPr>
              <w:t>kadangi Komisija neturi įgaliojimų pakeisti valstybių narių pajėgumų ir taip pažeisti subsidiarumo principą;</w:t>
            </w:r>
            <w:r>
              <w:t xml:space="preserve"> </w:t>
            </w:r>
            <w:r>
              <w:rPr>
                <w:b/>
                <w:i/>
              </w:rPr>
              <w:t>kadangi teiginys, kad trūksta visa apimančių strateginių sistemų</w:t>
            </w:r>
            <w:r>
              <w:t xml:space="preserve"> ir nėra strateginės sistemos, pagal kurią operatyvinis atsakas būtų susietas su žvalgybos informacija apie grėsmes</w:t>
            </w:r>
            <w:r>
              <w:rPr>
                <w:b/>
                <w:i/>
              </w:rPr>
              <w:t>, kaip pagrindo pavojingai išplėsti Komisijos kompetenciją, yra klaidingas</w:t>
            </w:r>
            <w:r>
              <w:t xml:space="preserve">; </w:t>
            </w:r>
            <w:r>
              <w:rPr>
                <w:b/>
                <w:i/>
              </w:rPr>
              <w:t>kadangi tokie veiksmai gali būti veiksmingai vykdomi bendradarbiaujant valstybėms narėms, EIVT, NATO, įvairiems partneriams, įskaitant pilietinę visuomenę, o Komisija šiame kontekste gali atlikti pagalbinį vaidmenį, neviršydama jai suteiktos kompetencijos;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naujausios EIVT ataskaitos dėl FIMI </w:t>
            </w:r>
            <w:r>
              <w:rPr>
                <w:b/>
                <w:i/>
              </w:rPr>
              <w:t>grėsmių</w:t>
            </w:r>
            <w:r>
              <w:t xml:space="preserve">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vykdant priešiškas manipuliavimo informacija kampanijas daugiausia dėmesio skiriama </w:t>
            </w:r>
            <w:r>
              <w:rPr>
                <w:b/>
                <w:i/>
              </w:rPr>
              <w:t>ES institucinei sąsajai</w:t>
            </w:r>
            <w:r>
              <w:t>; kadangi ES kenčia dėl fragmentiško požiūrio į kova su FIMI ir dezinformacija, o valstybių narių pajėgumai labai skiriasi ir nėra visa apimančios strateginės sistemos, pagal kurią operatyvinis atsakas būtų susietas su žvalgybos informacija apie grėsmes;</w:t>
            </w:r>
          </w:p>
        </w:tc>
        <w:tc>
          <w:tcPr>
            <w:tcW w:w="4876" w:type="dxa"/>
            <w:tcBorders>
              <w:top w:val="nil"/>
              <w:left w:val="nil"/>
              <w:bottom w:val="nil"/>
              <w:right w:val="nil"/>
            </w:tcBorders>
          </w:tcPr>
          <w:p>
            <w:pPr>
              <w:pStyle w:val="Normal6a"/>
            </w:pPr>
            <w:r>
              <w:t>C.</w:t>
            </w:r>
            <w:r>
              <w:tab/>
            </w:r>
            <w:r>
              <w:t xml:space="preserve">kadangi naujausios EIVT ataskaitos dėl FIMI </w:t>
            </w:r>
            <w:r>
              <w:rPr>
                <w:b/>
                <w:i/>
              </w:rPr>
              <w:t>išpuolių</w:t>
            </w:r>
            <w:r>
              <w:t xml:space="preserve"> rodo vis išsamesnį supratimą apie piktavališkų subjektų metodikas, techninę infrastruktūrą ir numatomus naratyvus, tačiau šis informuotumas apie padėtį nebuvo paverstas tvariais veiklos mechanizmais, kurie sudarytų sąlygas </w:t>
            </w:r>
            <w:r>
              <w:rPr>
                <w:b/>
                <w:i/>
              </w:rPr>
              <w:t>valstybėms narėms ir</w:t>
            </w:r>
            <w:r>
              <w:t xml:space="preserve"> ES laiku imtis koordinuotų atsakomųjų priemonių; kadangi vykdant priešiškas manipuliavimo informacija kampanijas daugiausia dėmesio skiriama </w:t>
            </w:r>
            <w:r>
              <w:rPr>
                <w:b/>
                <w:i/>
              </w:rPr>
              <w:t>nacionaliniams ir Europos Parlamento rinkimams;</w:t>
            </w:r>
            <w:r>
              <w:t xml:space="preserve"> </w:t>
            </w:r>
            <w:r>
              <w:rPr>
                <w:b/>
                <w:i/>
              </w:rPr>
              <w:t>kadangi šiomis kampanijomis menkinami konkretūs kandidatai ar politinės partijos, bandoma diskredituoti patį rinkimų procesą, išnaudojami prieštaringi klausimai ir bandoma diskredituoti tradicinę žiniasklaidą;</w:t>
            </w:r>
            <w:r>
              <w:t xml:space="preserve"> </w:t>
            </w:r>
            <w:r>
              <w:rPr>
                <w:b/>
                <w:i/>
              </w:rPr>
              <w:t>kadangi taip pat intensyviai puolamos ES ir valstybių narių institucijos</w:t>
            </w:r>
            <w:r>
              <w:t>; kadangi ES kenčia dėl fragmentiško požiūrio į kova su FIMI ir dezinformacija, o valstybių narių pajėgumai labai skiriasi ir nėra visa apimančios strateginės sistemos, pagal kurią operatyvinis atsakas būtų susietas su žvalgybos informacija apie grėsmes;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vykdant priešiškas manipuliavimo informacija kampanijas daugiausia dėmesio skiriama ES institucinei sąsajai; kadangi ES kenčia dėl fragmentiško požiūrio į kova su FIMI ir dezinformacija, o valstybių narių pajėgumai labai skiriasi ir nėra visa apimančios strateginės sistemos, pagal </w:t>
            </w:r>
            <w:r>
              <w:rPr>
                <w:b/>
                <w:i/>
              </w:rPr>
              <w:t>kurią</w:t>
            </w:r>
            <w:r>
              <w:t xml:space="preserve"> operatyvinis atsakas būtų susietas su žvalgybos informacija apie grėsmes;</w:t>
            </w:r>
          </w:p>
        </w:tc>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vykdant priešiškas manipuliavimo informacija kampanijas daugiausia dėmesio skiriama ES institucinei sąsajai; kadangi ES kenčia dėl fragmentiško požiūrio į kova su FIMI ir dezinformacija, o valstybių narių pajėgumai labai skiriasi ir nėra visa apimančios strateginės sistemos </w:t>
            </w:r>
            <w:r>
              <w:rPr>
                <w:b/>
                <w:i/>
              </w:rPr>
              <w:t>ar veikiančių tarpvalstybinio ir (arba) Europos bendradarbiavimo mechanizmų</w:t>
            </w:r>
            <w:r>
              <w:t xml:space="preserve">, pagal </w:t>
            </w:r>
            <w:r>
              <w:rPr>
                <w:b/>
                <w:i/>
              </w:rPr>
              <w:t>kuriuos</w:t>
            </w:r>
            <w:r>
              <w:t xml:space="preserve"> operatyvinis atsakas būtų susietas su žvalgybos informacija apie grėsmes;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vykdant priešiškas manipuliavimo informacija kampanijas daugiausia dėmesio skiriama ES institucinei sąsajai; kadangi ES kenčia dėl fragmentiško požiūrio į kova su FIMI ir dezinformacija, o valstybių narių pajėgumai labai skiriasi ir nėra visa apimančios strateginės sistemos, pagal kurią operatyvinis atsakas būtų susietas su žvalgybos informacija apie grėsmes;</w:t>
            </w:r>
          </w:p>
        </w:tc>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vykdant priešiškas manipuliavimo informacija kampanijas </w:t>
            </w:r>
            <w:r>
              <w:rPr>
                <w:b/>
                <w:i/>
              </w:rPr>
              <w:t>ir kitų formų piktavališkus išpuolius</w:t>
            </w:r>
            <w:r>
              <w:t xml:space="preserve"> daugiausia dėmesio skiriama ES institucinei sąsajai; kadangi ES kenčia dėl fragmentiško požiūrio į kova su FIMI ir dezinformacija, o valstybių narių pajėgumai labai skiriasi ir nėra visa apimančios strateginės sistemos, pagal kurią operatyvinis atsakas būtų susietas su žvalgybos informacija apie grėsmes;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vykdant priešiškas manipuliavimo informacija kampanijas daugiausia dėmesio skiriama ES institucinei sąsajai; kadangi ES kenčia dėl fragmentiško požiūrio į kova su FIMI ir dezinformacija, o valstybių narių pajėgumai labai skiriasi ir nėra visa apimančios strateginės sistemos, pagal kurią operatyvinis atsakas būtų susietas su žvalgybos informacija apie grėsmes;</w:t>
            </w:r>
          </w:p>
        </w:tc>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w:t>
            </w:r>
            <w:r>
              <w:rPr>
                <w:b/>
                <w:i/>
              </w:rPr>
              <w:t>numatyti grėsmes, užkirsti joms kelią, jas aptikti ir</w:t>
            </w:r>
            <w:r>
              <w:t xml:space="preserve"> laiku imtis koordinuotų atsakomųjų priemonių; kadangi vykdant priešiškas manipuliavimo informacija kampanijas daugiausia dėmesio skiriama ES institucinei sąsajai; kadangi ES kenčia dėl fragmentiško požiūrio į kova su FIMI ir dezinformacija, o valstybių narių pajėgumai labai skiriasi ir nėra visa apimančios strateginės sistemos, pagal kurią operatyvinis atsakas būtų susietas su žvalgybos informacija apie grėsmes;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Jaroslav Bžoch, Marieke Ehlers,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w:t>
            </w:r>
            <w:r>
              <w:rPr>
                <w:b/>
                <w:i/>
              </w:rPr>
              <w:t>vykdant priešiškas</w:t>
            </w:r>
            <w:r>
              <w:t xml:space="preserve"> manipuliavimo informacija </w:t>
            </w:r>
            <w:r>
              <w:rPr>
                <w:b/>
                <w:i/>
              </w:rPr>
              <w:t>kampanijas daugiausia dėmesio skiriama ES institucinei sąsajai</w:t>
            </w:r>
            <w:r>
              <w:t xml:space="preserve">; kadangi ES </w:t>
            </w:r>
            <w:r>
              <w:rPr>
                <w:b/>
                <w:i/>
              </w:rPr>
              <w:t>kenčia dėl fragmentiško</w:t>
            </w:r>
            <w:r>
              <w:t xml:space="preserve"> požiūrio į kova su FIMI ir dezinformacija, o valstybių narių pajėgumai labai skiriasi ir nėra </w:t>
            </w:r>
            <w:r>
              <w:rPr>
                <w:b/>
                <w:i/>
              </w:rPr>
              <w:t>visa apimančios</w:t>
            </w:r>
            <w:r>
              <w:t xml:space="preserve"> strateginės sistemos, pagal kurią operatyvinis atsakas būtų susietas su žvalgybos informacija apie grėsmes;</w:t>
            </w:r>
          </w:p>
        </w:tc>
        <w:tc>
          <w:tcPr>
            <w:tcW w:w="4876" w:type="dxa"/>
            <w:tcBorders>
              <w:top w:val="nil"/>
              <w:left w:val="nil"/>
              <w:bottom w:val="nil"/>
              <w:right w:val="nil"/>
            </w:tcBorders>
          </w:tcPr>
          <w:p>
            <w:pPr>
              <w:pStyle w:val="Normal6a"/>
            </w:pPr>
            <w:r>
              <w:t>C.</w:t>
            </w:r>
            <w:r>
              <w:tab/>
            </w:r>
            <w:r>
              <w:t xml:space="preserve">kadangi naujausios EIVT ataskaitos dėl FIMI grėsmių rodo vis išsamesnį supratimą apie piktavališkų subjektų metodikas, techninę infrastruktūrą ir numatomus naratyvus, tačiau šis informuotumas apie padėtį nebuvo paverstas tvariais veiklos mechanizmais, kurie sudarytų sąlygas ES laiku imtis koordinuotų atsakomųjų priemonių; kadangi </w:t>
            </w:r>
            <w:r>
              <w:rPr>
                <w:b/>
                <w:i/>
              </w:rPr>
              <w:t>ES institucinė sąsaja yra vienas iš priešiškų</w:t>
            </w:r>
            <w:r>
              <w:t xml:space="preserve"> manipuliavimo informacija </w:t>
            </w:r>
            <w:r>
              <w:rPr>
                <w:b/>
                <w:i/>
              </w:rPr>
              <w:t>kampanijų taikinių</w:t>
            </w:r>
            <w:r>
              <w:t xml:space="preserve">; kadangi ES </w:t>
            </w:r>
            <w:r>
              <w:rPr>
                <w:b/>
                <w:i/>
              </w:rPr>
              <w:t>trūksta nuoseklaus</w:t>
            </w:r>
            <w:r>
              <w:t xml:space="preserve"> požiūrio į kova su FIMI ir dezinformacija, o valstybių narių pajėgumai labai skiriasi ir nėra </w:t>
            </w:r>
            <w:r>
              <w:rPr>
                <w:b/>
                <w:i/>
              </w:rPr>
              <w:t>rekomenduojamos</w:t>
            </w:r>
            <w:r>
              <w:t xml:space="preserve"> strateginės sistemos, pagal kurią operatyvinis atsakas būtų susietas su žvalgybos informacija apie grėsmes;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rinkimų organizavimas ir vykdymas, įskaitant politinių pasisakymų ir žiniasklaidos aplinkos reguliavimą, ir toliau priklauso valstybių narių kompetencijai pagal ES sutarties 4 straipsnio 2 dalį ir 5 straipsnį;</w:t>
            </w:r>
            <w:r>
              <w:t xml:space="preserve"> </w:t>
            </w:r>
            <w:r>
              <w:rPr>
                <w:b/>
                <w:i/>
              </w:rPr>
              <w:t>kadangi Sąjungos veiksmai šioje srityje turi ir toliau griežtai apsiriboti užsienio vykdomu kišimusi ir neturi apimti vidaus demokratinio diskurso valdymo;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Europos Parlamentas atlieka pagrindinį vaidmenį saugant ir skatinant demokratiją Europos Sąjungoje ir už jos ribų;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ECNE, skubaus įspėjimo sistema ir Europos skaitmeninės žiniasklaidos stebėjimo centras (EDMO) yra vertingi bendro ES atsparumo FIMI ir dezinformacijai komponentai, tačiau jų veiksmingumą iš esmės riboja tai, kad nėra specialios ES veiklos struktūros, kuri būtų įgaliota koordinuoti atsparumo didinimo veiklą ir greitojo reagavimo bei eskalavimo mechanizmus, susiejančius nacionalinius operatyvinius pajėgumus su ES lygmens koordinavimu;</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kadangi ECNE, skubaus įspėjimo sistema ir Europos skaitmeninės žiniasklaidos stebėjimo centras (EDMO) yra vertingi bendro ES atsparumo FIMI ir dezinformacijai komponentai, tačiau jų veiksmingumą iš esmės riboja tai, kad nėra specialios ES veiklos struktūros, kuri būtų įgaliota koordinuoti atsparumo didinimo veiklą ir greitojo reagavimo bei eskalavimo mechanizmus, susiejančius nacionalinius operatyvinius pajėgumus su ES lygmens koordinavimu;</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ECNE, skubaus įspėjimo sistema ir Europos skaitmeninės žiniasklaidos stebėjimo centras (EDMO) yra vertingi bendro ES atsparumo FIMI ir dezinformacijai komponentai</w:t>
            </w:r>
            <w:r>
              <w:rPr>
                <w:b/>
                <w:i/>
              </w:rPr>
              <w:t>, tačiau jų veiksmingumą iš esmės riboja tai, kad nėra specialios ES veiklos struktūros, kuri būtų įgaliota koordinuoti atsparumo didinimo veiklą ir greitojo reagavimo bei eskalavimo mechanizmus, susiejančius nacionalinius operatyvinius pajėgumus su ES lygmens koordinavimu</w:t>
            </w:r>
            <w:r>
              <w:t>;</w:t>
            </w:r>
          </w:p>
        </w:tc>
        <w:tc>
          <w:tcPr>
            <w:tcW w:w="4876" w:type="dxa"/>
            <w:tcBorders>
              <w:top w:val="nil"/>
              <w:left w:val="nil"/>
              <w:bottom w:val="nil"/>
              <w:right w:val="nil"/>
            </w:tcBorders>
          </w:tcPr>
          <w:p>
            <w:pPr>
              <w:pStyle w:val="Normal6a"/>
            </w:pPr>
            <w:r>
              <w:t>D.</w:t>
            </w:r>
            <w:r>
              <w:tab/>
            </w:r>
            <w:r>
              <w:t>kadangi ECNE, skubaus įspėjimo sistema ir Europos skaitmeninės žiniasklaidos stebėjimo centras (EDMO) yra vertingi bendro ES atsparumo FIMI ir dezinformacijai komponentai;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ECNE, skubaus įspėjimo sistema ir Europos skaitmeninės žiniasklaidos stebėjimo centras (EDMO) yra vertingi bendro ES atsparumo FIMI ir dezinformacijai komponentai</w:t>
            </w:r>
            <w:r>
              <w:rPr>
                <w:b/>
                <w:i/>
              </w:rPr>
              <w:t>, tačiau jų veiksmingumą iš esmės riboja tai, kad nėra specialios ES veiklos struktūros, kuri būtų įgaliota koordinuoti atsparumo didinimo veiklą ir greitojo reagavimo bei eskalavimo mechanizmus, susiejančius nacionalinius operatyvinius pajėgumus su ES lygmens koordinavimu</w:t>
            </w:r>
            <w:r>
              <w:t>;</w:t>
            </w:r>
          </w:p>
        </w:tc>
        <w:tc>
          <w:tcPr>
            <w:tcW w:w="4876" w:type="dxa"/>
            <w:tcBorders>
              <w:top w:val="nil"/>
              <w:left w:val="nil"/>
              <w:bottom w:val="nil"/>
              <w:right w:val="nil"/>
            </w:tcBorders>
          </w:tcPr>
          <w:p>
            <w:pPr>
              <w:pStyle w:val="Normal6a"/>
            </w:pPr>
            <w:r>
              <w:t>D.</w:t>
            </w:r>
            <w:r>
              <w:tab/>
            </w:r>
            <w:r>
              <w:t>kadangi ECNE, skubaus įspėjimo sistema ir Europos skaitmeninės žiniasklaidos stebėjimo centras (EDMO) yra vertingi bendro ES atsparumo FIMI ir dezinformacijai komponentai;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ECNE, skubaus įspėjimo sistema ir Europos skaitmeninės žiniasklaidos stebėjimo centras (EDMO) </w:t>
            </w:r>
            <w:r>
              <w:rPr>
                <w:b/>
                <w:i/>
              </w:rPr>
              <w:t>yra vertingi</w:t>
            </w:r>
            <w:r>
              <w:t xml:space="preserve"> bendro ES atsparumo FIMI ir dezinformacijai komponentai</w:t>
            </w:r>
            <w:r>
              <w:rPr>
                <w:b/>
                <w:i/>
              </w:rPr>
              <w:t>, tačiau jų veiksmingumą iš esmės riboja tai, kad nėra specialios ES veiklos struktūros, kuri būtų įgaliota koordinuoti atsparumo didinimo veiklą ir greitojo reagavimo bei eskalavimo mechanizmus, susiejančius nacionalinius operatyvinius pajėgumus su ES lygmens koordinavimu</w:t>
            </w:r>
            <w:r>
              <w:t>;</w:t>
            </w:r>
          </w:p>
        </w:tc>
        <w:tc>
          <w:tcPr>
            <w:tcW w:w="4876" w:type="dxa"/>
            <w:tcBorders>
              <w:top w:val="nil"/>
              <w:left w:val="nil"/>
              <w:bottom w:val="nil"/>
              <w:right w:val="nil"/>
            </w:tcBorders>
          </w:tcPr>
          <w:p>
            <w:pPr>
              <w:pStyle w:val="Normal6a"/>
            </w:pPr>
            <w:r>
              <w:t>D.</w:t>
            </w:r>
            <w:r>
              <w:tab/>
            </w:r>
            <w:r>
              <w:t xml:space="preserve">kadangi ECNE, skubaus įspėjimo sistema ir Europos skaitmeninės žiniasklaidos stebėjimo centras (EDMO) </w:t>
            </w:r>
            <w:r>
              <w:rPr>
                <w:b/>
                <w:i/>
              </w:rPr>
              <w:t>jau veikia kaip</w:t>
            </w:r>
            <w:r>
              <w:t xml:space="preserve"> bendro ES atsparumo FIMI ir dezinformacijai komponentai </w:t>
            </w:r>
            <w:r>
              <w:rPr>
                <w:b/>
                <w:i/>
              </w:rPr>
              <w:t>ir teikia konsultacinę paramą valstybių narių kompetentingoms institucijoms, taip pat atitinkamoms Sąjungos įstaigoms ir institucijoms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ECNE, skubaus įspėjimo sistema ir Europos skaitmeninės žiniasklaidos stebėjimo centras (EDMO) yra vertingi bendro ES atsparumo FIMI ir dezinformacijai komponentai, tačiau jų veiksmingumą iš esmės riboja tai, kad nėra specialios ES veiklos struktūros, kuri būtų įgaliota </w:t>
            </w:r>
            <w:r>
              <w:rPr>
                <w:b/>
                <w:i/>
              </w:rPr>
              <w:t>koordinuoti</w:t>
            </w:r>
            <w:r>
              <w:t xml:space="preserve"> atsparumo didinimo veiklą ir greitojo reagavimo bei eskalavimo mechanizmus, susiejančius nacionalinius operatyvinius pajėgumus su ES lygmens </w:t>
            </w:r>
            <w:r>
              <w:rPr>
                <w:b/>
                <w:i/>
              </w:rPr>
              <w:t>koordinavimu</w:t>
            </w:r>
            <w:r>
              <w:t>;</w:t>
            </w:r>
          </w:p>
        </w:tc>
        <w:tc>
          <w:tcPr>
            <w:tcW w:w="4876" w:type="dxa"/>
            <w:tcBorders>
              <w:top w:val="nil"/>
              <w:left w:val="nil"/>
              <w:bottom w:val="nil"/>
              <w:right w:val="nil"/>
            </w:tcBorders>
          </w:tcPr>
          <w:p>
            <w:pPr>
              <w:pStyle w:val="Normal6a"/>
            </w:pPr>
            <w:r>
              <w:t>D.</w:t>
            </w:r>
            <w:r>
              <w:tab/>
            </w:r>
            <w:r>
              <w:t xml:space="preserve">kadangi ECNE, skubaus įspėjimo sistema ir Europos skaitmeninės žiniasklaidos stebėjimo centras (EDMO) yra vertingi bendro ES atsparumo FIMI ir dezinformacijai komponentai, tačiau jų veiksmingumą iš esmės riboja tai, kad nėra specialios ES veiklos struktūros, kuri būtų įgaliota </w:t>
            </w:r>
            <w:r>
              <w:rPr>
                <w:b/>
                <w:i/>
              </w:rPr>
              <w:t>gerinti keitimąsi gerąja praktika, mokymus, gebėjimų stiprinimo ir</w:t>
            </w:r>
            <w:r>
              <w:t xml:space="preserve"> atsparumo didinimo veiklą ir greitojo reagavimo bei eskalavimo mechanizmus, susiejančius nacionalinius operatyvinius pajėgumus su ES lygmens </w:t>
            </w:r>
            <w:r>
              <w:rPr>
                <w:b/>
                <w:i/>
              </w:rPr>
              <w:t>derinimu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ECNE, skubaus įspėjimo sistema ir Europos skaitmeninės žiniasklaidos stebėjimo centras (EDMO) </w:t>
            </w:r>
            <w:r>
              <w:rPr>
                <w:b/>
                <w:i/>
              </w:rPr>
              <w:t>yra</w:t>
            </w:r>
            <w:r>
              <w:t xml:space="preserve"> vertingi bendro ES atsparumo FIMI ir dezinformacijai komponentai, tačiau jų veiksmingumą iš esmės riboja tai, kad nėra specialios ES veiklos struktūros, kuri būtų įgaliota koordinuoti atsparumo didinimo veiklą ir greitojo reagavimo bei eskalavimo mechanizmus, susiejančius nacionalinius operatyvinius pajėgumus su ES lygmens koordinavimu;</w:t>
            </w:r>
          </w:p>
        </w:tc>
        <w:tc>
          <w:tcPr>
            <w:tcW w:w="4876" w:type="dxa"/>
            <w:tcBorders>
              <w:top w:val="nil"/>
              <w:left w:val="nil"/>
              <w:bottom w:val="nil"/>
              <w:right w:val="nil"/>
            </w:tcBorders>
          </w:tcPr>
          <w:p>
            <w:pPr>
              <w:pStyle w:val="Normal6a"/>
            </w:pPr>
            <w:r>
              <w:t>D.</w:t>
            </w:r>
            <w:r>
              <w:tab/>
            </w:r>
            <w:r>
              <w:t xml:space="preserve">kadangi ECNE, skubaus įspėjimo sistema ir Europos skaitmeninės žiniasklaidos stebėjimo centras (EDMO) </w:t>
            </w:r>
            <w:r>
              <w:rPr>
                <w:b/>
                <w:i/>
              </w:rPr>
              <w:t>gali būti</w:t>
            </w:r>
            <w:r>
              <w:t xml:space="preserve"> vertingi bendro ES atsparumo FIMI ir dezinformacijai komponentai, tačiau jų veiksmingumą iš esmės riboja tai, kad nėra specialios ES veiklos struktūros, kuri būtų įgaliota koordinuoti atsparumo didinimo veiklą ir greitojo reagavimo bei eskalavimo mechanizmus, susiejančius nacionalinius operatyvinius pajėgumus su ES lygmens koordinavimu;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tam tikri tarptautiniai subjektai, visų pirma autoritarinės valstybės, kelia grėsmę Europos saugumui ir stabilumui, naudodami įvairiausią hibridinę taktiką, kuri apima, be kita ko, kibernetinius išpuolius, sabotažo veiksmus prieš ypatingos svarbos infrastruktūros objektus, ekonominį spaudimą, šantažą maisto produktais ir energetinį šantažą, ardomąją politinę įtaką ir koordinuotus nuolatinius bandymus kištis į mūsų šalių demokratinį veikimą vykdant užsienio manipuliavimo informacija ir kišimosi kampanijas, ypač rinkimų procesuose;</w:t>
            </w:r>
            <w:r>
              <w:t xml:space="preserve"> </w:t>
            </w:r>
            <w:r>
              <w:rPr>
                <w:b/>
                <w:i/>
              </w:rPr>
              <w:t>kadangi tai, kad piktavališki užsienio subjektai naudoja šias hibridines taktikas, kelia visapusišką grėsmę ES ir jos valstybių narių saugumui ir daro didelį poveikį demokratijai;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mano, kad bet kokioje demokratinėje struktūroje turėtų dalyvauti opozicinių partijų atstovai arba joje dalyvauti bent jau kaip stebėtojai;</w:t>
            </w:r>
            <w:r>
              <w:br/>
            </w:r>
            <w:r>
              <w:br/>
            </w:r>
            <w:r>
              <w:rPr>
                <w:b/>
                <w:i/>
              </w:rPr>
              <w:t>konstatuoja, kad projektuose dėl EDMO, ECNE ar Europos demokratinio atsparumo centro apie tai neužsimenama;</w:t>
            </w:r>
            <w:r>
              <w:t xml:space="preserve"> </w:t>
            </w:r>
            <w:r>
              <w:rPr>
                <w:b/>
                <w:i/>
              </w:rPr>
              <w:t>primena kai kurių parlamentų taikomą praktiką, pagal kurią pirmininkavimas Finansų komitetui yra patikimas opozicijai;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geopolitinė aplinka sparčiai keičiasi ir tam tikri partneriai, tradiciškai laikyti sąjungininkais, laikosi vis labiau sandoriais grindžiamos ir prievartinės pozicijos;</w:t>
            </w:r>
            <w:r>
              <w:t xml:space="preserve"> </w:t>
            </w:r>
            <w:r>
              <w:rPr>
                <w:b/>
                <w:i/>
              </w:rPr>
              <w:t>kadangi nuolatinis Jungtinių Amerikos Valstijų politinio ir ekonominio spaudimo naudojimas, įskaitant grasinimus tarifais ir bandymus primesti vienašališkus strateginius reikalavimus, kenkia tarpusavio pasitikėjimui ir atskleidžia Sąjungos strateginį pažeidžiamumą;</w:t>
            </w:r>
            <w:r>
              <w:t xml:space="preserve"> </w:t>
            </w:r>
            <w:r>
              <w:rPr>
                <w:b/>
                <w:i/>
              </w:rPr>
              <w:t>kadangi tokia praktika rodo, kad Sąjunga turi skubiai stiprinti savo strateginį savarankiškumą ir gebėjimą visomis aplinkybėmis apsaugoti savo suverenumą, saugumą ir demokratinius sprendimų priėmimo procesus;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palyginti su 2021 m. versija, 2025 m. gruodžio 4 d. JAV nacionalinio saugumo strategija (NSS) atspindi radikalius ilgalaikės JAV užsienio politikos pokyčius, pavyzdžiui, vertinant agresorės valstybės Rusijos ir konkuruojančios Kinijos keliamus iššūkius, joje pateikiamos kritinės nuorodos į tariamus demokratijos trūkumus tam tikrose ES valstybėse narėse ir skelbiami veiksmai, panašūs į užsienio kišimąsi;</w:t>
            </w:r>
            <w:r>
              <w:t xml:space="preserve"> </w:t>
            </w:r>
            <w:r>
              <w:rPr>
                <w:b/>
                <w:i/>
              </w:rPr>
              <w:t>kadangi Kremliaus atstovas spaudai viešai palankiai įvertino NSS, tačiau keliose ES sostinėse dėl jos buvo išreikštas susirūpinimas;</w:t>
            </w:r>
            <w:r>
              <w:t xml:space="preserve"> </w:t>
            </w:r>
            <w:r>
              <w:rPr>
                <w:b/>
                <w:i/>
              </w:rPr>
              <w:t>kadangi strategijoje ES nepagrįstai kaltinama už tai, kad ji blokuoja JAV pastangas nutraukti karą Ukrainoje;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kadangi reikėtų ne tik žvelgti į demokratiją per saugumo prizmę ir spręsti tokius klausimus kaip FIMI demokratijos skydo priešakyje, bet ir šalinti ES vidaus grėsmes demokratijai, nagrinėti jas skubos tvarka ir skirti išteklių;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kadangi dėl pagrindinės skaitmeninės infrastruktūros struktūrinio ir verslo modelio pažeidžiamumo, ypač socialinės žiniasklaidos paslaugų srityje, sudaromos sąlygos FIMI ir dezinformacijos atakoms;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kadangi užsienio vykdomo manipuliavimo informacija ir kišimosi operacijos retai būna atsietos, jos paprastai vykdomos kartu su kitais priešiškais veiksmais, pvz., ekonominiu ir politiniu spaudimu ar net kariniais grasinimais, arba naudojamos siekiant formuoti strateginę aplinką rengiantis kitoms piktavališkoms operacijoms ir veiklai;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kadangi dėl skurdo, socialinio ir ekonominio nepritekliaus ir marginalizacijos tam tikros visuomenės grupės gali patirti ypač didelį išorės kišimosi ir priešiškų informavimo operacijų poveikį ir būti pažeidžiamos;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kadangi FIMI ir dezinformacijos keliamos grėsmės apima ne tik atskiras valstybes nares, tai yra išpuolis prieš pačią Europos projekto esmę;</w:t>
            </w:r>
            <w:r>
              <w:t xml:space="preserve"> </w:t>
            </w:r>
            <w:r>
              <w:rPr>
                <w:b/>
                <w:i/>
              </w:rPr>
              <w:t>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FIMI ir dezinformacijos keliamos grėsmės apima ne tik atskiras valstybes nares, tai yra išpuolis prieš pačią Europos projekto esmę; 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w:t>
            </w:r>
          </w:p>
        </w:tc>
        <w:tc>
          <w:tcPr>
            <w:tcW w:w="4876" w:type="dxa"/>
            <w:tcBorders>
              <w:top w:val="nil"/>
              <w:left w:val="nil"/>
              <w:bottom w:val="nil"/>
              <w:right w:val="nil"/>
            </w:tcBorders>
          </w:tcPr>
          <w:p>
            <w:pPr>
              <w:pStyle w:val="Normal6a"/>
            </w:pPr>
            <w:r>
              <w:t>E.</w:t>
            </w:r>
            <w:r>
              <w:tab/>
            </w:r>
            <w:r>
              <w:t xml:space="preserve">kadangi FIMI ir dezinformacijos keliamos grėsmės apima ne tik atskiras valstybes nares, tai yra išpuolis prieš pačią Europos projekto esmę; 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 </w:t>
            </w:r>
            <w:r>
              <w:rPr>
                <w:b/>
                <w:i/>
              </w:rPr>
              <w:t>kadangi galiausiai nuo šios praktikos pirmiausia nukenčia Europos piliečiai, nes jų galimybės gauti patikimą informaciją, gebėjimas formuoti nepriklausomą nuomonę ir prasmingai dalyvauti demokratiniame gyvenime yra tiesiogiai silpninami, taip pat kyla pavojus viešajam saugumui ir visuomenės stabilumui;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FIMI ir dezinformacijos keliamos grėsmės </w:t>
            </w:r>
            <w:r>
              <w:rPr>
                <w:b/>
                <w:i/>
              </w:rPr>
              <w:t>apima ne tik atskiras valstybes nares, tai yra išpuolis</w:t>
            </w:r>
            <w:r>
              <w:t xml:space="preserve"> prieš pačią Europos projekto esmę; 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w:t>
            </w:r>
          </w:p>
        </w:tc>
        <w:tc>
          <w:tcPr>
            <w:tcW w:w="4876" w:type="dxa"/>
            <w:tcBorders>
              <w:top w:val="nil"/>
              <w:left w:val="nil"/>
              <w:bottom w:val="nil"/>
              <w:right w:val="nil"/>
            </w:tcBorders>
          </w:tcPr>
          <w:p>
            <w:pPr>
              <w:pStyle w:val="Normal6a"/>
            </w:pPr>
            <w:r>
              <w:t>E.</w:t>
            </w:r>
            <w:r>
              <w:tab/>
            </w:r>
            <w:r>
              <w:t xml:space="preserve">kadangi FIMI ir dezinformacijos keliamos grėsmės </w:t>
            </w:r>
            <w:r>
              <w:rPr>
                <w:b/>
                <w:i/>
              </w:rPr>
              <w:t>dažnai peržengia atskirų valstybių narių ribas, įskaitant išpuolį</w:t>
            </w:r>
            <w:r>
              <w:t xml:space="preserve"> prieš pačią Europos projekto esmę </w:t>
            </w:r>
            <w:r>
              <w:rPr>
                <w:b/>
                <w:i/>
              </w:rPr>
              <w:t>ir transatlantinius ryšius</w:t>
            </w:r>
            <w:r>
              <w:t xml:space="preserve">; 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 </w:t>
            </w:r>
            <w:r>
              <w:rPr>
                <w:b/>
                <w:i/>
              </w:rPr>
              <w:t>kadangi dėl šių iššūkių Sąjunga turi pasimokyti iš savo klaidų, o ne slopinti teisėtą kritiką;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FIMI ir dezinformacijos keliamos grėsmės </w:t>
            </w:r>
            <w:r>
              <w:rPr>
                <w:b/>
                <w:i/>
              </w:rPr>
              <w:t>apima ne tik atskiras valstybes nares, tai yra</w:t>
            </w:r>
            <w:r>
              <w:t xml:space="preserve"> išpuolis prieš pačią Europos </w:t>
            </w:r>
            <w:r>
              <w:rPr>
                <w:b/>
                <w:i/>
              </w:rPr>
              <w:t>projekto</w:t>
            </w:r>
            <w:r>
              <w:t xml:space="preserve"> esmę; 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w:t>
            </w:r>
          </w:p>
        </w:tc>
        <w:tc>
          <w:tcPr>
            <w:tcW w:w="4876" w:type="dxa"/>
            <w:tcBorders>
              <w:top w:val="nil"/>
              <w:left w:val="nil"/>
              <w:bottom w:val="nil"/>
              <w:right w:val="nil"/>
            </w:tcBorders>
          </w:tcPr>
          <w:p>
            <w:pPr>
              <w:pStyle w:val="Normal6a"/>
            </w:pPr>
            <w:r>
              <w:t>E.</w:t>
            </w:r>
            <w:r>
              <w:tab/>
            </w:r>
            <w:r>
              <w:t xml:space="preserve">kadangi FIMI ir dezinformacijos keliamos grėsmės </w:t>
            </w:r>
            <w:r>
              <w:rPr>
                <w:b/>
                <w:i/>
              </w:rPr>
              <w:t>gali peržengti atskirų valstybių narių ribas ir tokiais atvejais tai gali būti</w:t>
            </w:r>
            <w:r>
              <w:t xml:space="preserve"> išpuolis prieš pačią Europos </w:t>
            </w:r>
            <w:r>
              <w:rPr>
                <w:b/>
                <w:i/>
              </w:rPr>
              <w:t>vertybių, kuriomis grindžiama ES,</w:t>
            </w:r>
            <w:r>
              <w:t xml:space="preserve"> esmę; kadangi FIMI operacijos </w:t>
            </w:r>
            <w:r>
              <w:rPr>
                <w:b/>
                <w:i/>
              </w:rPr>
              <w:t>dažnai</w:t>
            </w:r>
            <w:r>
              <w:t xml:space="preserve"> sistemingai nukreiptos į pagrindines demokratines vertybes, nustatytas ES sutarties 2 straipsnyje, ir atvirų bei skaidrių sprendimų priėmimo procesų principą, įtvirtintą ES sutarties 1 straipsnyje, taip, kad būtų daromas neigiamas poveikis ES </w:t>
            </w:r>
            <w:r>
              <w:rPr>
                <w:b/>
                <w:i/>
              </w:rPr>
              <w:t>ir (arba) jos valstybių narių</w:t>
            </w:r>
            <w:r>
              <w:t xml:space="preserve"> interesams</w:t>
            </w:r>
            <w:r>
              <w:rPr>
                <w:b/>
                <w:i/>
              </w:rPr>
              <w:t>, kartu skatinant trečiųjų šalių interesus ir tikslus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FIMI ir dezinformacijos keliamos grėsmės apima ne tik atskiras valstybes nares, tai yra išpuolis prieš pačią Europos projekto esmę; 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w:t>
            </w:r>
          </w:p>
        </w:tc>
        <w:tc>
          <w:tcPr>
            <w:tcW w:w="4876" w:type="dxa"/>
            <w:tcBorders>
              <w:top w:val="nil"/>
              <w:left w:val="nil"/>
              <w:bottom w:val="nil"/>
              <w:right w:val="nil"/>
            </w:tcBorders>
          </w:tcPr>
          <w:p>
            <w:pPr>
              <w:pStyle w:val="Normal6a"/>
            </w:pPr>
            <w:r>
              <w:t>E.</w:t>
            </w:r>
            <w:r>
              <w:tab/>
            </w:r>
            <w:r>
              <w:t xml:space="preserve">kadangi FIMI ir dezinformacijos keliamos grėsmės apima ne tik atskiras valstybes nares, tai yra išpuolis prieš pačią Europos projekto esmę; kadangi FIMI operacijos sistemingai nukreiptos į pagrindines demokratines vertybes, nustatytas ES sutarties 2 straipsnyje, ir atvirų bei skaidrių sprendimų priėmimo procesų principą, įtvirtintą ES sutarties 1 straipsnyje, taip, kad būtų daromas neigiamas poveikis ES interesams </w:t>
            </w:r>
            <w:r>
              <w:rPr>
                <w:b/>
                <w:i/>
              </w:rPr>
              <w:t>ir demokratiniams procesams ES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užsienio šalių kišimasis į Sąjungą apima ne tik išorės dezinformacijos kampanijas, bet ir naudojimąsi ES institucijų ir valstybių narių vidaus trūkumais, įskaitant korupciją, interesų konfliktus, neskaidrią lobistinę veiklą ir nepakankamas etikos apsaugos priemones, taip kenkiant demokratiniam atsparumui iš vidaus;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ne visų formų poliarizuojanti, prieštaringa ar koordinuojama politinė komunikacija, net jei ji vykdoma iš užsienio, yra užsienio vykdomas manipuliavimas informacija ir kišimasis;</w:t>
            </w:r>
            <w:r>
              <w:t xml:space="preserve"> </w:t>
            </w:r>
            <w:r>
              <w:rPr>
                <w:b/>
                <w:i/>
              </w:rPr>
              <w:t>kadangi demokratinėms visuomenėms iš esmės būdingas varžymasis, nepritarimas ir aktyvizmas, įskaitant didelio masto teisėtą mobilizaciją ir kampanijas;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valstybių narių aukšto rango politiniai lyderiai, baigę eiti pareigas, užima aukštus postus priešiškų trečiųjų šalių kontroliuojamose valstybinėse įmonėse, konkrečiai Rusijos energetikos sektoriuje, visų pirma „Gazprom“, paminėtinas buvęs Vokietijos kancleris Gerhard Schröder, kurio paskyrimas eiti pareigas baigus kadenciją rodo „sukamųjų durų“ reiškinį ir kelia didelį susirūpinimą dėl strateginės priklausomybės, užsienio įtakos ir politinės vadovybės patikimumo tam tikrose įtakingose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kadangi dokumentais pagrįsti aukšto rango ES pareigūnų susitikimai ir ryšiai, įskaitant buvusį už teisingumą atsakingą Komisijos narį Didier Reyndersą ir asmenis, glaudžiai susijusius su Rusijos oligarchais, kuriems taikomos sankcijos, pvz., artimu V. Putino sąjungininku Olegu Deripaska, atskleidė didelius skaidrumo, etinės priežiūros ir informuotumo apie riziką trūkumus ES institucijose, kuriais sudaromos galimybės nepriimtinai užsienio įtakai;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kadangi „Katargeito“ korupcijos skandalas, remiantis vykstančiais teisminiais tyrimais ir plačiai žiniasklaidos pateiktais faktais, parodė, kad trečioji šalis tariamai galėjo prasiskverbti į Europos Parlamentą duodama finansines paskatas, per tarpininkus ir slaptuosius tinklus, įskaitant įtakingų EP narių ir Komisijos Mobilumo ir transporto GD direktoriaus atvejus; kadangi šios tendencijos atskleidė didelius struktūrinius Sąjungos vidaus integralumo, etikos ir saugumo sistemų trūkumus ir parodė, kad užsienio kišimasis gali būti vykdomas iš pačių ES institucijų;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kadangi rimti įtarimai, paprastai siejami su vadinamąja „Greengate“ byla, rodo, kad tam tikroms nevyriausybinėms organizacijoms, gaunančioms Sąjungos finansavimą, galėjo būti pavesta daryti neproporcingą ir neskaidrią įtaką teisėkūros procesams;</w:t>
            </w:r>
            <w:r>
              <w:t xml:space="preserve"> </w:t>
            </w:r>
            <w:r>
              <w:rPr>
                <w:b/>
                <w:i/>
              </w:rPr>
              <w:t>kadangi viešos diskusijos ir žiniasklaidos pranešimai taip pat iškėlė klausimų dėl aukšto rango Komisijos narių, įskaitant buvusį vykdomąjį Komisijos pirmininko pavaduotoją Fransą Timmermansą, politinės atsakomybės, susijusios su finansavimo struktūromis ir politikos koordinavimu;</w:t>
            </w:r>
            <w:r>
              <w:t xml:space="preserve"> </w:t>
            </w:r>
            <w:r>
              <w:rPr>
                <w:b/>
                <w:i/>
              </w:rPr>
              <w:t>kadangi šie pokyčiai kelia susirūpinimą dėl institucinio užvaldymo, netinkamo viešųjų lėšų naudojimo ir netiesioginio užsienio ar ideologinio kišimosi rizikos;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kadangi pranešimai ir parlamentinės iniciatyvos sukėlė didelį susirūpinimą dėl to, kad tam tikroms organizacijoms skirtos Sąjungos lėšos galėjo būti tiesiogiai ar netiesiogiai nukreiptos subjektams, susijusiems su ekstremistų ar teroristų judėjimais, įskaitant grupuotę „Hamas“, ir išryškino esminius finansavimo kontrolės, stebėsenos mechanizmų ir politinės atskaitomybės trūkumus;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kadangi Sąjungos patikimumas kovojant su užsienio vykdomu manipuliavimu informacija ir kišimusi iš esmės susilpnėja, jei sprendžiamos išorės grėsmės, o vidaus pažeidžiamumas, korupcija, interesų konfliktai ir politiškai jautrūs skandalai ES institucijose yra nuvertinami, ignoruojami arba jiems taikomi dvigubi standartai;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h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kadangi buvusio EP nario Nathano Gillo byloje teismo sprendimas patvirtino Rusijos šnipinėjimo tinklo buvimą ir, kaip atskleidė Lenkijos tarnybos, N. Gillas už kyšius Parlamente sakė Rusijos žvalgybos tarnybų parašytas kalbas ir dalyvavo jų organizuojamose iniciatyvose, pvz., stebėjo suklastotus rinkimus ar referendumus Rusijos okupuotose teritorijose;</w:t>
            </w:r>
            <w:r>
              <w:t xml:space="preserve"> </w:t>
            </w:r>
            <w:r>
              <w:rPr>
                <w:b/>
                <w:i/>
              </w:rPr>
              <w:t>kadangi, remiantis Lenkijos tarnybų, kurios pateikė Parlamento valdžios institucijoms informaciją apie tinklo veiklos sistemą ir metodus, išvadomis, Rusijos valdžios institucijos mokėjo tinklui, kuriame dalyvavo keli EP nariai;</w:t>
            </w:r>
            <w:r>
              <w:t xml:space="preserve"> </w:t>
            </w:r>
            <w:r>
              <w:rPr>
                <w:b/>
                <w:i/>
              </w:rPr>
              <w:t>kadangi dėl to reikia nustatyti griežtesnes EP narių ir aukšto rango ES pareigūnų sąžiningumo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pavienės valstybės narės, investavusios į specialias veiklos struktūras, turinčias aiškius įstatus ir įgaliojimus, taip pat pakankamai lėšų ir darbuotojų, rodo, ką galima pasiekti, visų pirma Prancūzijos VIGINUM ir Švedijos psichologinės gynybos agentūros atvejais;</w:t>
            </w:r>
          </w:p>
        </w:tc>
        <w:tc>
          <w:tcPr>
            <w:tcW w:w="4876" w:type="dxa"/>
            <w:tcBorders>
              <w:top w:val="nil"/>
              <w:left w:val="nil"/>
              <w:bottom w:val="nil"/>
              <w:right w:val="nil"/>
            </w:tcBorders>
          </w:tcPr>
          <w:p>
            <w:pPr>
              <w:pStyle w:val="Normal6a"/>
            </w:pPr>
            <w:r>
              <w:t>F.</w:t>
            </w:r>
            <w:r>
              <w:tab/>
            </w:r>
            <w:r>
              <w:t xml:space="preserve">kadangi pavienės valstybės narės, investavusios į specialias veiklos struktūras, turinčias aiškius įstatus ir įgaliojimus, taip pat pakankamai lėšų ir darbuotojų, rodo, ką galima pasiekti, visų pirma Prancūzijos VIGINUM ir Švedijos psichologinės gynybos agentūros atvejais; </w:t>
            </w:r>
            <w:r>
              <w:rPr>
                <w:b/>
                <w:i/>
              </w:rPr>
              <w:t>kadangi kiekviena šalis turi savo ypatumų, kuriuos, be kita ko, lemia istorinės aplinkybės, dėl kurių kai kurios valstybės narės, pvz., Lenkija ar Baltijos valstybės, yra atsparesnės Rusijos dezinformacijai ir manipuliavimui istorija nei kitos šalys, kurios istoriškai palaikė glaudesnį bendradarbiavimą su Rusija;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pavienės valstybės narės, investavusios į specialias veiklos struktūras, turinčias aiškius įstatus ir įgaliojimus, taip pat pakankamai lėšų ir darbuotojų, rodo, ką galima pasiekti, visų pirma Prancūzijos VIGINUM ir Švedijos psichologinės gynybos agentūros atvejais;</w:t>
            </w:r>
          </w:p>
        </w:tc>
        <w:tc>
          <w:tcPr>
            <w:tcW w:w="4876" w:type="dxa"/>
            <w:tcBorders>
              <w:top w:val="nil"/>
              <w:left w:val="nil"/>
              <w:bottom w:val="nil"/>
              <w:right w:val="nil"/>
            </w:tcBorders>
          </w:tcPr>
          <w:p>
            <w:pPr>
              <w:pStyle w:val="Normal6a"/>
            </w:pPr>
            <w:r>
              <w:t>F.</w:t>
            </w:r>
            <w:r>
              <w:tab/>
            </w:r>
            <w:r>
              <w:t xml:space="preserve">kadangi pavienės valstybės narės, investavusios į specialias veiklos struktūras, turinčias aiškius įstatus ir įgaliojimus, taip pat pakankamai lėšų ir darbuotojų, rodo, ką galima pasiekti, visų pirma Prancūzijos VIGINUM ir Švedijos psichologinės gynybos agentūros atvejais; </w:t>
            </w:r>
            <w:r>
              <w:rPr>
                <w:b/>
                <w:i/>
              </w:rPr>
              <w:t>kadangi šios institucijos, gavusios prašymą arba savo iniciatyva teikdamos vertingas įžvalgas, dirba izoliuotai ir nėra tinkamai tarpusavyje susijusios, o tai lemia jų darbo susiskaidymą, taigi ir nepakankamą bendradarbiavimą apsisaugant nuo kišimosi kampanijų;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w:t>
            </w:r>
            <w:r>
              <w:rPr>
                <w:b/>
                <w:i/>
              </w:rPr>
              <w:t>pavienės</w:t>
            </w:r>
            <w:r>
              <w:t xml:space="preserve"> valstybės narės, investavusios į specialias veiklos struktūras, turinčias aiškius įstatus ir įgaliojimus, taip pat pakankamai lėšų ir darbuotojų, rodo, ką galima pasiekti, visų pirma Prancūzijos VIGINUM ir Švedijos psichologinės gynybos agentūros atvejais;</w:t>
            </w:r>
          </w:p>
        </w:tc>
        <w:tc>
          <w:tcPr>
            <w:tcW w:w="4876" w:type="dxa"/>
            <w:tcBorders>
              <w:top w:val="nil"/>
              <w:left w:val="nil"/>
              <w:bottom w:val="nil"/>
              <w:right w:val="nil"/>
            </w:tcBorders>
          </w:tcPr>
          <w:p>
            <w:pPr>
              <w:pStyle w:val="Normal6a"/>
            </w:pPr>
            <w:r>
              <w:t>F.</w:t>
            </w:r>
            <w:r>
              <w:tab/>
            </w:r>
            <w:r>
              <w:t xml:space="preserve">kadangi </w:t>
            </w:r>
            <w:r>
              <w:rPr>
                <w:b/>
                <w:i/>
              </w:rPr>
              <w:t>kai kurios atskiros</w:t>
            </w:r>
            <w:r>
              <w:t xml:space="preserve"> valstybės narės, investavusios į specialias veiklos struktūras, turinčias aiškius įstatus ir įgaliojimus, taip pat pakankamai lėšų ir darbuotojų, rodo, ką galima pasiekti, visų pirma Prancūzijos VIGINUM ir Švedijos psichologinės gynybos agentūros atvejais; </w:t>
            </w:r>
            <w:r>
              <w:rPr>
                <w:b/>
                <w:i/>
              </w:rPr>
              <w:t>kadangi šios agentūros laikosi tik faktais grindžiamo, techninio ir nešališko požiūrio;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pavienės valstybės narės, investavusios į specialias veiklos struktūras, turinčias aiškius įstatus ir įgaliojimus, taip pat pakankamai lėšų ir darbuotojų, rodo, ką galima pasiekti</w:t>
            </w:r>
            <w:r>
              <w:rPr>
                <w:b/>
                <w:i/>
              </w:rPr>
              <w:t>, visų pirma Prancūzijos VIGINUM ir Švedijos psichologinės gynybos agentūros atvejais</w:t>
            </w:r>
            <w:r>
              <w:t>;</w:t>
            </w:r>
          </w:p>
        </w:tc>
        <w:tc>
          <w:tcPr>
            <w:tcW w:w="4876" w:type="dxa"/>
            <w:tcBorders>
              <w:top w:val="nil"/>
              <w:left w:val="nil"/>
              <w:bottom w:val="nil"/>
              <w:right w:val="nil"/>
            </w:tcBorders>
          </w:tcPr>
          <w:p>
            <w:pPr>
              <w:pStyle w:val="Normal6a"/>
            </w:pPr>
            <w:r>
              <w:t>F.</w:t>
            </w:r>
            <w:r>
              <w:tab/>
            </w:r>
            <w:r>
              <w:t>kadangi pavienės valstybės narės, investavusios į specialias veiklos struktūras, turinčias aiškius įstatus ir įgaliojimus, taip pat pakankamai lėšų ir darbuotojų, rodo, ką galima pasiekti;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pavienės valstybės narės, investavusios į specialias veiklos struktūras, turinčias aiškius įstatus ir įgaliojimus, taip pat pakankamai lėšų ir darbuotojų, rodo, ką galima pasiekti, </w:t>
            </w:r>
            <w:r>
              <w:rPr>
                <w:b/>
                <w:i/>
              </w:rPr>
              <w:t>visų pirma</w:t>
            </w:r>
            <w:r>
              <w:t xml:space="preserve"> Prancūzijos VIGINUM ir Švedijos psichologinės gynybos agentūros atvejais;</w:t>
            </w:r>
          </w:p>
        </w:tc>
        <w:tc>
          <w:tcPr>
            <w:tcW w:w="4876" w:type="dxa"/>
            <w:tcBorders>
              <w:top w:val="nil"/>
              <w:left w:val="nil"/>
              <w:bottom w:val="nil"/>
              <w:right w:val="nil"/>
            </w:tcBorders>
          </w:tcPr>
          <w:p>
            <w:pPr>
              <w:pStyle w:val="Normal6a"/>
            </w:pPr>
            <w:r>
              <w:t>F.</w:t>
            </w:r>
            <w:r>
              <w:tab/>
            </w:r>
            <w:r>
              <w:t xml:space="preserve">kadangi pavienės valstybės narės, investavusios į specialias veiklos struktūras, turinčias aiškius įstatus ir įgaliojimus, taip pat pakankamai lėšų ir darbuotojų, rodo, ką galima pasiekti, </w:t>
            </w:r>
            <w:r>
              <w:rPr>
                <w:b/>
                <w:i/>
              </w:rPr>
              <w:t>pavyzdžiui,</w:t>
            </w:r>
            <w:r>
              <w:t xml:space="preserve"> Prancūzijos VIGINUM ir Švedijos psichologinės gynybos agentūros atvejais;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dezinformacija neturi būti patogi dingstis nuslėpti sąmoningai vykdomą politiką, kuri buvo naudinga tam tikroms sostinėms ir Rusijos Federacijai kitų valstybių narių pagrindinių saugumo interesų sąskaita ir kuri pakenkė Europos solidarumui;</w:t>
            </w:r>
            <w:r>
              <w:t xml:space="preserve"> </w:t>
            </w:r>
            <w:r>
              <w:rPr>
                <w:b/>
                <w:i/>
              </w:rPr>
              <w:t>kadangi iki šiol nei Sąjungos, nei nacionaliniu lygmeniu nebuvo įsteigtas parlamentinis tyrimo komitetas, kuris paaiškintų garsių dujotiekių „Nord Stream 1“ ir „Nord Stream 2“ statybos aplinkybes;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praėjus beveik trejiems metams nuo 2023 m. birželio 15 d. Europos Parlamento rekomendacijos Tarybai ir Komisijai priėmimo didžioji dauguma šių rekomendacijų dar neįgyvendintos, nepaisant jų esminės svarbos saugoti pagrindines teises, demokratiją ir teisinę valstybę nuo netinkamo šnipinėjimo programų ir intervencinių sekimo technologijų naudojimo;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siekiant užtikrinti, kad tokios iniciatyvos neturėtų atgrasomojo poveikio naudojimuisi pagrindinėmis laisvėmis, pvz., saviraiškos laisve ir religijos laisve, reikia atlikti išsamų poveikio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viršija susiskaidžiusių nacionalinių institucijų gebėjimą prisitaikyti; kadangi be koordinuoto ES atsako ir aiškių </w:t>
            </w:r>
            <w:r>
              <w:rPr>
                <w:b/>
                <w:i/>
              </w:rPr>
              <w:t>operatyvinių</w:t>
            </w:r>
            <w:r>
              <w:t xml:space="preserve"> pajėgumų technologinis pranašumas </w:t>
            </w:r>
            <w:r>
              <w:rPr>
                <w:b/>
                <w:i/>
              </w:rPr>
              <w:t>bus</w:t>
            </w:r>
            <w:r>
              <w:t xml:space="preserve"> vis palankesnis užpuolikams, o ne gynėjams;</w:t>
            </w:r>
          </w:p>
        </w:tc>
        <w:tc>
          <w:tcPr>
            <w:tcW w:w="4876" w:type="dxa"/>
            <w:tcBorders>
              <w:top w:val="nil"/>
              <w:left w:val="nil"/>
              <w:bottom w:val="nil"/>
              <w:right w:val="nil"/>
            </w:tcBorders>
          </w:tcPr>
          <w:p>
            <w:pPr>
              <w:pStyle w:val="Normal6a"/>
            </w:pPr>
            <w:r>
              <w:t>G.</w:t>
            </w:r>
            <w:r>
              <w:tab/>
            </w:r>
            <w:r>
              <w:t>kadangi sparti dirbtinio intelekto (DI) ir sintetinės sankaitos technologijų pažanga viršija susiskaidžiusių nacionalinių institucijų gebėjimą prisitaikyti; kadangi be koordinuoto ES atsako</w:t>
            </w:r>
            <w:r>
              <w:rPr>
                <w:b/>
                <w:i/>
              </w:rPr>
              <w:t>, tvarių investicijų į inovacijas, mokslinius tyrimus ir technologinę plėtrą</w:t>
            </w:r>
            <w:r>
              <w:t xml:space="preserve"> ir aiškių </w:t>
            </w:r>
            <w:r>
              <w:rPr>
                <w:b/>
                <w:i/>
              </w:rPr>
              <w:t>veiklos</w:t>
            </w:r>
            <w:r>
              <w:t xml:space="preserve"> pajėgumų technologinis pranašumas vis </w:t>
            </w:r>
            <w:r>
              <w:rPr>
                <w:b/>
                <w:i/>
              </w:rPr>
              <w:t>labiau bus</w:t>
            </w:r>
            <w:r>
              <w:t xml:space="preserve"> palankesnis užpuolikams, o ne gynėjams; </w:t>
            </w:r>
            <w:r>
              <w:rPr>
                <w:b/>
                <w:i/>
              </w:rPr>
              <w:t>kadangi inovacijos, be kita ko, patikimų DI sistemų, aptikimo priemonių ir atsparios skaitmeninės infrastruktūros vystymas, turi būti laikomos pagrindiniu Sąjungos gynybos ir prevencijos strategijos komponentu;</w:t>
            </w:r>
            <w:r>
              <w:t xml:space="preserve"> </w:t>
            </w:r>
            <w:r>
              <w:rPr>
                <w:b/>
                <w:i/>
              </w:rPr>
              <w:t>kadangi bet kokios reguliavimo ar techninės sistemos veiksmingumas galiausiai priklauso nuo tvarios politinės valios, nuoseklaus vykdymo užtikrinimo ir valstybių narių bei Sąjungos institucijų pasirengimo įsipareigojimus paversti konkrečiais ir savalaikiais veiksmais;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w:t>
            </w:r>
            <w:r>
              <w:rPr>
                <w:b/>
                <w:i/>
              </w:rPr>
              <w:t>viršija susiskaidžiusių</w:t>
            </w:r>
            <w:r>
              <w:t xml:space="preserve"> nacionalinių institucijų gebėjimą prisitaikyti; kadangi be </w:t>
            </w:r>
            <w:r>
              <w:rPr>
                <w:b/>
                <w:i/>
              </w:rPr>
              <w:t>koordinuoto ES atsako ir aiškių operatyvinių pajėgumų</w:t>
            </w:r>
            <w:r>
              <w:t xml:space="preserve"> technologinis pranašumas bus vis palankesnis užpuolikams, o ne gynėjams;</w:t>
            </w:r>
          </w:p>
        </w:tc>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w:t>
            </w:r>
            <w:r>
              <w:rPr>
                <w:b/>
                <w:i/>
              </w:rPr>
              <w:t>pranoksta</w:t>
            </w:r>
            <w:r>
              <w:t xml:space="preserve"> nacionalinių </w:t>
            </w:r>
            <w:r>
              <w:rPr>
                <w:b/>
                <w:i/>
              </w:rPr>
              <w:t>ir Europos</w:t>
            </w:r>
            <w:r>
              <w:t xml:space="preserve"> institucijų gebėjimą prisitaikyti</w:t>
            </w:r>
            <w:r>
              <w:rPr>
                <w:b/>
                <w:i/>
              </w:rPr>
              <w:t>, atsižvelgiant į tai, kad dažnai pažeidžiamos teisinės taisyklės</w:t>
            </w:r>
            <w:r>
              <w:t xml:space="preserve">; kadangi be </w:t>
            </w:r>
            <w:r>
              <w:rPr>
                <w:b/>
                <w:i/>
              </w:rPr>
              <w:t>specializuotos technologinės įrangos ir priemonių</w:t>
            </w:r>
            <w:r>
              <w:t xml:space="preserve"> technologinis pranašumas bus vis palankesnis užpuolikams, o ne gynėjams; </w:t>
            </w:r>
            <w:r>
              <w:rPr>
                <w:b/>
                <w:i/>
              </w:rPr>
              <w:t>kadangi pagrindines DI technologijas kontroliuoja trečiųjų valstybių subjektai, kurie daro didžiausią įtaką sukurtam turiniui ir tam, kaip DI sistemos veikia ir kuria išvedinius naudotojams, ir kadangi ES valstybės narės neturi savo suverenių DI pajėgumų;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sparti dirbtinio intelekto (DI) ir sintetinės sankaitos technologijų pažanga viršija susiskaidžiusių nacionalinių institucijų gebėjimą prisitaikyti; kadangi be koordinuoto ES atsako ir aiškių operatyvinių pajėgumų technologinis pranašumas bus vis palankesnis užpuolikams, o ne gynėjams;</w:t>
            </w:r>
          </w:p>
        </w:tc>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viršija susiskaidžiusių nacionalinių institucijų gebėjimą prisitaikyti; kadangi be koordinuoto ES atsako ir aiškių operatyvinių pajėgumų technologinis pranašumas bus vis palankesnis užpuolikams, o ne gynėjams; </w:t>
            </w:r>
            <w:r>
              <w:rPr>
                <w:b/>
                <w:i/>
              </w:rPr>
              <w:t>kadangi tinkamas atsakas į šiuos iššūkius yra ne dar vienos ES lygmens institucijos sukūrimas, o glaudesnis valstybių narių ir jų kompetentingų tarnybų bendradarbiavimas, taip pat bendradarbiavimas su IT bendrovėmis ir su panašiai mąstančiais sąjungininkais NATO ir G7 partneriais, kurie susiduria su panašiomis grėsmėmis;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sparti dirbtinio intelekto (DI) ir sintetinės sankaitos technologijų pažanga viršija susiskaidžiusių nacionalinių institucijų gebėjimą prisitaikyti; kadangi be koordinuoto ES atsako ir aiškių operatyvinių pajėgumų technologinis pranašumas bus vis palankesnis užpuolikams, o ne gynėjams;</w:t>
            </w:r>
          </w:p>
        </w:tc>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viršija susiskaidžiusių nacionalinių institucijų gebėjimą prisitaikyti; kadangi be koordinuoto ES atsako ir aiškių operatyvinių </w:t>
            </w:r>
            <w:r>
              <w:rPr>
                <w:b/>
                <w:i/>
              </w:rPr>
              <w:t>ir mokslinių</w:t>
            </w:r>
            <w:r>
              <w:t xml:space="preserve"> pajėgumų technologinis pranašumas bus vis palankesnis užpuolikams, o ne gynėjams; </w:t>
            </w:r>
            <w:r>
              <w:rPr>
                <w:b/>
                <w:i/>
              </w:rPr>
              <w:t>kadangi ES dirbtinio intelekto akte (DI akte) nustatytos taisyklės, pagal kurias reikalaujama, kad interneto platformos ženklintų DI sugeneruotą turinį;</w:t>
            </w:r>
            <w:r>
              <w:t xml:space="preserve"> </w:t>
            </w:r>
            <w:r>
              <w:rPr>
                <w:b/>
                <w:i/>
              </w:rPr>
              <w:t>kadangi siekiant užtikrinti šių taisyklių vykdymą reikės, kad interneto platformos jų tikrai laikytųsi ir kad ES vykdytų griežtą priežiūrą;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sparti dirbtinio intelekto (DI) ir sintetinės sankaitos technologijų pažanga viršija susiskaidžiusių nacionalinių institucijų gebėjimą prisitaikyti; kadangi be koordinuoto ES atsako ir aiškių operatyvinių pajėgumų technologinis pranašumas bus vis palankesnis užpuolikams, o ne gynėjams;</w:t>
            </w:r>
          </w:p>
        </w:tc>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viršija susiskaidžiusių nacionalinių institucijų gebėjimą prisitaikyti; kadangi be koordinuoto ES atsako ir aiškių operatyvinių pajėgumų technologinis pranašumas bus vis palankesnis užpuolikams, o ne gynėjams; </w:t>
            </w:r>
            <w:r>
              <w:rPr>
                <w:b/>
                <w:i/>
              </w:rPr>
              <w:t>kadangi DI įmonės sumažino, o ne padidino saugos priemones, kad pažabotų per teikiamas paslaugas plintančią dezinformacijos sklaidą ir generavimą; kadangi DI įmonės nesugebėjo užkirsti kelio savo paslaugų „duomenų užkrėtimui“;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viršija susiskaidžiusių nacionalinių institucijų gebėjimą prisitaikyti; kadangi </w:t>
            </w:r>
            <w:r>
              <w:rPr>
                <w:b/>
                <w:i/>
              </w:rPr>
              <w:t>be koordinuoto</w:t>
            </w:r>
            <w:r>
              <w:t xml:space="preserve"> ES atsako ir aiškių operatyvinių pajėgumų technologinis pranašumas bus vis palankesnis užpuolikams, o ne gynėjams;</w:t>
            </w:r>
          </w:p>
        </w:tc>
        <w:tc>
          <w:tcPr>
            <w:tcW w:w="4876" w:type="dxa"/>
            <w:tcBorders>
              <w:top w:val="nil"/>
              <w:left w:val="nil"/>
              <w:bottom w:val="nil"/>
              <w:right w:val="nil"/>
            </w:tcBorders>
          </w:tcPr>
          <w:p>
            <w:pPr>
              <w:pStyle w:val="Normal6a"/>
            </w:pPr>
            <w:r>
              <w:t>G.</w:t>
            </w:r>
            <w:r>
              <w:tab/>
            </w:r>
            <w:r>
              <w:t>kadangi sparti dirbtinio intelekto (DI) ir sintetinės sankaitos technologijų pažanga viršija susiskaidžiusių nacionalinių institucijų gebėjimą prisitaikyti; kadangi</w:t>
            </w:r>
            <w:r>
              <w:rPr>
                <w:b/>
                <w:i/>
              </w:rPr>
              <w:t>, nors DI sudaro palankesnes sąlygas dezinformacijos kampanijoms, tačiau jis taip pat yra priemonė, kuria gerinami mūsų gebėjimai jas aptikti, analizuoti ir su jomis kovoti;</w:t>
            </w:r>
            <w:r>
              <w:t xml:space="preserve"> </w:t>
            </w:r>
            <w:r>
              <w:rPr>
                <w:b/>
                <w:i/>
              </w:rPr>
              <w:t>kadangi be suderinto</w:t>
            </w:r>
            <w:r>
              <w:t xml:space="preserve"> ES atsako ir aiškių operatyvinių pajėgumų technologinis pranašumas bus vis palankesnis užpuolikams, o ne gynėjams;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w:t>
            </w:r>
            <w:r>
              <w:rPr>
                <w:b/>
                <w:i/>
              </w:rPr>
              <w:t>viršija</w:t>
            </w:r>
            <w:r>
              <w:t xml:space="preserve"> susiskaidžiusių nacionalinių institucijų gebėjimą prisitaikyti; kadangi be koordinuoto ES atsako ir aiškių operatyvinių pajėgumų technologinis pranašumas bus vis palankesnis užpuolikams, o ne gynėjams;</w:t>
            </w:r>
          </w:p>
        </w:tc>
        <w:tc>
          <w:tcPr>
            <w:tcW w:w="4876" w:type="dxa"/>
            <w:tcBorders>
              <w:top w:val="nil"/>
              <w:left w:val="nil"/>
              <w:bottom w:val="nil"/>
              <w:right w:val="nil"/>
            </w:tcBorders>
          </w:tcPr>
          <w:p>
            <w:pPr>
              <w:pStyle w:val="Normal6a"/>
            </w:pPr>
            <w:r>
              <w:t>G.</w:t>
            </w:r>
            <w:r>
              <w:tab/>
            </w:r>
            <w:r>
              <w:t xml:space="preserve">kadangi sparti dirbtinio intelekto (DI) ir sintetinės sankaitos technologijų pažanga </w:t>
            </w:r>
            <w:r>
              <w:rPr>
                <w:b/>
                <w:i/>
              </w:rPr>
              <w:t>pranoksta</w:t>
            </w:r>
            <w:r>
              <w:t xml:space="preserve"> susiskaidžiusių nacionalinių institucijų gebėjimą prisitaikyti </w:t>
            </w:r>
            <w:r>
              <w:rPr>
                <w:b/>
                <w:i/>
              </w:rPr>
              <w:t>ir senosios mokyklos sprendimai, pvz., skaidrumo ar geriausių pastangų įsipareigojimai, yra pasenę</w:t>
            </w:r>
            <w:r>
              <w:t xml:space="preserve">; kadangi be koordinuoto ES atsako ir aiškių operatyvinių pajėgumų technologinis pranašumas bus vis palankesnis </w:t>
            </w:r>
            <w:r>
              <w:rPr>
                <w:b/>
                <w:i/>
              </w:rPr>
              <w:t>grėsmę mūsų demokratijos pagrindui keliantiems </w:t>
            </w:r>
            <w:r>
              <w:t>užpuolikams, o ne gynėjams;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DI technologijos, įskaitant sintetinę sankaitą, generatyvinį turinį ir automatizuotus botus, labai padidina dezinformacijos kampanijų mastą, greitį ir patikimumą;</w:t>
            </w:r>
            <w:r>
              <w:t xml:space="preserve"> </w:t>
            </w:r>
            <w:r>
              <w:rPr>
                <w:b/>
                <w:i/>
              </w:rPr>
              <w:t>kadangi, nors turinio kūrimo sąnaudos smarkiai sumažėjo, platinimas naudojant dalyvavimu grindžiamas rekomendavimo sistemas tebėra lemiamas veiksnys siekiant didelio masto poveikio visuomenei;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ankstyvųjų Skaitmeninių paslaugų akto (SPA), Skaitmeninių rinkų akto (SRA), Dirbtinio intelekto akto (DI akto) ir Europos žiniasklaidos laisvės akto įgyvendinimo etapų sutapimas suteikia galimybę sukurti visapusišką apsaugą nuo FIMI;</w:t>
            </w:r>
          </w:p>
        </w:tc>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apsaugą nuo FIMI </w:t>
            </w:r>
            <w:r>
              <w:rPr>
                <w:b/>
                <w:i/>
              </w:rPr>
              <w:t>ir apsaugoti informacinę erdvę</w:t>
            </w:r>
            <w:r>
              <w:t xml:space="preserve">; </w:t>
            </w:r>
            <w:r>
              <w:rPr>
                <w:b/>
                <w:i/>
              </w:rPr>
              <w:t>kadangi šios reguliavimo sistemos veiksmingumas priklauso nuo visapusiško, savalaikio ir nuoseklaus šių teisėkūros priemonių vykdymo užtikrinimo;</w:t>
            </w:r>
            <w:r>
              <w:t xml:space="preserve"> </w:t>
            </w:r>
            <w:r>
              <w:rPr>
                <w:b/>
                <w:i/>
              </w:rPr>
              <w:t>kadangi nevienodas ir uždelstas įgyvendinimas valstybėse narėse, visų pirma kiek tai susiję su Europos žiniasklaidos laisvės aktu, gali pakenkti kolektyviniam poveikiui ir susilpninti Sąjungos gebėjimą apsaugoti viešosios erdvės vientisumą ir piliečių teisę gauti patikimą ir pliuralistinę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ankstyvųjų Skaitmeninių paslaugų akto (SPA), Skaitmeninių rinkų akto (SRA), Dirbtinio intelekto akto (DI akto) ir Europos žiniasklaidos laisvės akto įgyvendinimo etapų sutapimas suteikia galimybę sukurti visapusišką apsaugą nuo FIMI;</w:t>
            </w:r>
          </w:p>
        </w:tc>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apsaugą nuo FIMI; </w:t>
            </w:r>
            <w:r>
              <w:rPr>
                <w:b/>
                <w:i/>
              </w:rPr>
              <w:t>kadangi numatyta stiprinti valstybių narių ir Sąjungos institucijų bei įstaigų keitimąsi informacija ir savitarpio pagalbą, be kita ko, diegiant technologines priemones;</w:t>
            </w:r>
            <w:r>
              <w:t xml:space="preserve"> </w:t>
            </w:r>
            <w:r>
              <w:rPr>
                <w:b/>
                <w:i/>
              </w:rPr>
              <w:t>kadangi reglamentai turėtų būti persvarstyti taip, kad būtų galima užtikrinti saviraiškos laisvę ir laisvę gauti bei skleisti informaciją, kaip įtvirtinta Europos Sąjungos pagrindinių teisių chartijoje;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ankstyvųjų Skaitmeninių paslaugų akto (SPA), Skaitmeninių rinkų akto (SRA), Dirbtinio intelekto akto (DI akto) ir Europos žiniasklaidos laisvės akto įgyvendinimo etapų sutapimas suteikia galimybę sukurti visapusišką apsaugą nuo FIMI;</w:t>
            </w:r>
          </w:p>
        </w:tc>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apsaugą nuo FIMI; </w:t>
            </w:r>
            <w:r>
              <w:rPr>
                <w:b/>
                <w:i/>
              </w:rPr>
              <w:t>kadangi užtikrinant vykdymą turėtų būti siekiama tik sumažinti sisteminę dezinformacijos riziką, ne riboti žodžio laisvę, nutildyti nepopuliarias nuomones ar užgniaužti politinį nepritarimą;</w:t>
            </w:r>
            <w:r>
              <w:t xml:space="preserve"> </w:t>
            </w:r>
            <w:r>
              <w:rPr>
                <w:b/>
                <w:i/>
              </w:rPr>
              <w:t>kadangi užtikrinant vykdymą atspirties taškas turi būti tai, kad piliečiams paliekama erdvė ir laisvė savarankiškai vertinti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ankstyvųjų Skaitmeninių paslaugų akto (SPA), Skaitmeninių rinkų akto (SRA), Dirbtinio intelekto akto (DI akto) ir Europos žiniasklaidos laisvės akto įgyvendinimo etapų sutapimas suteikia galimybę sukurti visapusišką apsaugą nuo FIMI;</w:t>
            </w:r>
          </w:p>
        </w:tc>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apsaugą nuo FIMI; </w:t>
            </w:r>
            <w:r>
              <w:rPr>
                <w:b/>
                <w:i/>
              </w:rPr>
              <w:t>kadangi dėl to ypač svarbu suderinti struktūrinę paramą valstybėms narėms, kad šios priemonės būtų įgyvendinamos veiksmingai ir laiku, su galimybe imtis skubių ir proporcingų taisomųjų veiksmų, kai dėl trūkumų, vėlavimo ar nevisiško ES teisės perkėlimo į nacionalinę teisę kyla grėsmė Sąjungos demokratiniam atsparumui;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ankstyvųjų Skaitmeninių paslaugų akto (SPA), Skaitmeninių rinkų akto (SRA), Dirbtinio intelekto akto (DI akto) ir Europos žiniasklaidos laisvės akto įgyvendinimo etapų sutapimas suteikia galimybę sukurti visapusišką apsaugą nuo FIMI;</w:t>
            </w:r>
          </w:p>
        </w:tc>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apsaugą nuo FIMI; </w:t>
            </w:r>
            <w:r>
              <w:rPr>
                <w:b/>
                <w:i/>
              </w:rPr>
              <w:t>kadangi dėl nustatytų taisyklių, kuriomis siekiama sukurti saugesnę, skaidresnę ir atskaitingesnę skaitmeninę aplinką, JAV prezidento administracija daro vis didesnį spaudimą ES, be kita ko, grasina tarifais, asmeninėmis sankcijomis ES pareigūnams ir draudimais išduoti vizas;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ankstyvųjų Skaitmeninių paslaugų akto (SPA), Skaitmeninių rinkų akto (SRA), Dirbtinio intelekto akto (DI akto) ir Europos žiniasklaidos laisvės akto įgyvendinimo etapų sutapimas suteikia galimybę sukurti visapusišką apsaugą nuo FIMI;</w:t>
            </w:r>
          </w:p>
        </w:tc>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apsaugą nuo FIMI </w:t>
            </w:r>
            <w:r>
              <w:rPr>
                <w:b/>
                <w:i/>
              </w:rPr>
              <w:t>ir jokiu būdu nėra pretekstas apriboti saviraiškos laisvę viešojoje erdvėje, be kita ko, internete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w:t>
            </w:r>
            <w:r>
              <w:rPr>
                <w:b/>
                <w:i/>
              </w:rPr>
              <w:t>ankstyvųjų</w:t>
            </w:r>
            <w:r>
              <w:t xml:space="preserve"> Skaitmeninių paslaugų </w:t>
            </w:r>
            <w:r>
              <w:rPr>
                <w:b/>
                <w:i/>
              </w:rPr>
              <w:t>akto</w:t>
            </w:r>
            <w:r>
              <w:t xml:space="preserve"> (SPA), Skaitmeninių rinkų </w:t>
            </w:r>
            <w:r>
              <w:rPr>
                <w:b/>
                <w:i/>
              </w:rPr>
              <w:t>akto</w:t>
            </w:r>
            <w:r>
              <w:t xml:space="preserve"> (SRA), Dirbtinio intelekto </w:t>
            </w:r>
            <w:r>
              <w:rPr>
                <w:b/>
                <w:i/>
              </w:rPr>
              <w:t>akto (DI akto</w:t>
            </w:r>
            <w:r>
              <w:t xml:space="preserve">) ir Europos žiniasklaidos laisvės </w:t>
            </w:r>
            <w:r>
              <w:rPr>
                <w:b/>
                <w:i/>
              </w:rPr>
              <w:t>akto įgyvendinimo etapų sutapimas suteikia galimybę sukurti visapusišką apsaugą</w:t>
            </w:r>
            <w:r>
              <w:t xml:space="preserve"> nuo FIMI;</w:t>
            </w:r>
          </w:p>
        </w:tc>
        <w:tc>
          <w:tcPr>
            <w:tcW w:w="4876" w:type="dxa"/>
            <w:tcBorders>
              <w:top w:val="nil"/>
              <w:left w:val="nil"/>
              <w:bottom w:val="nil"/>
              <w:right w:val="nil"/>
            </w:tcBorders>
          </w:tcPr>
          <w:p>
            <w:pPr>
              <w:pStyle w:val="Normal6a"/>
            </w:pPr>
            <w:r>
              <w:t>H.</w:t>
            </w:r>
            <w:r>
              <w:tab/>
            </w:r>
            <w:r>
              <w:t xml:space="preserve">kadangi Skaitmeninių paslaugų </w:t>
            </w:r>
            <w:r>
              <w:rPr>
                <w:b/>
                <w:i/>
              </w:rPr>
              <w:t>aktas</w:t>
            </w:r>
            <w:r>
              <w:t xml:space="preserve"> (SPA), Skaitmeninių rinkų </w:t>
            </w:r>
            <w:r>
              <w:rPr>
                <w:b/>
                <w:i/>
              </w:rPr>
              <w:t>aktas</w:t>
            </w:r>
            <w:r>
              <w:t xml:space="preserve"> (SRA), Dirbtinio intelekto </w:t>
            </w:r>
            <w:r>
              <w:rPr>
                <w:b/>
                <w:i/>
              </w:rPr>
              <w:t>aktas (DI aktas</w:t>
            </w:r>
            <w:r>
              <w:t>)</w:t>
            </w:r>
            <w:r>
              <w:rPr>
                <w:b/>
                <w:i/>
              </w:rPr>
              <w:t>, Politinės reklamos reglamentas</w:t>
            </w:r>
            <w:r>
              <w:t xml:space="preserve"> ir Europos žiniasklaidos laisvės </w:t>
            </w:r>
            <w:r>
              <w:rPr>
                <w:b/>
                <w:i/>
              </w:rPr>
              <w:t>aktas daugeliu atvejų įgyvendinami lėtai, todėl piktavališkiems subjektams suteikiama galimybė pasinaudoti tuo, kad Europos teisės aktuose trūksta apsaugos</w:t>
            </w:r>
            <w:r>
              <w:t xml:space="preserve"> nuo FIMI </w:t>
            </w:r>
            <w:r>
              <w:rPr>
                <w:b/>
                <w:i/>
              </w:rPr>
              <w:t>priemonių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apsaugą </w:t>
            </w:r>
            <w:r>
              <w:rPr>
                <w:b/>
                <w:i/>
              </w:rPr>
              <w:t>nuo FIMI</w:t>
            </w:r>
            <w:r>
              <w:t>;</w:t>
            </w:r>
          </w:p>
        </w:tc>
        <w:tc>
          <w:tcPr>
            <w:tcW w:w="4876" w:type="dxa"/>
            <w:tcBorders>
              <w:top w:val="nil"/>
              <w:left w:val="nil"/>
              <w:bottom w:val="nil"/>
              <w:right w:val="nil"/>
            </w:tcBorders>
          </w:tcPr>
          <w:p>
            <w:pPr>
              <w:pStyle w:val="Normal6a"/>
            </w:pPr>
            <w:r>
              <w:t>H.</w:t>
            </w:r>
            <w:r>
              <w:tab/>
            </w:r>
            <w:r>
              <w:t xml:space="preserve">kadangi ankstyvųjų Skaitmeninių paslaugų akto (SPA), Skaitmeninių rinkų akto (SRA), Dirbtinio intelekto akto (DI akto) ir Europos žiniasklaidos laisvės akto įgyvendinimo etapų sutapimas suteikia galimybę sukurti visapusišką </w:t>
            </w:r>
            <w:r>
              <w:rPr>
                <w:b/>
                <w:i/>
              </w:rPr>
              <w:t>hibridinę</w:t>
            </w:r>
            <w:r>
              <w:t xml:space="preserve">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ir g) rekomendavimo sistemas, specialiai sukurtas sąveikai skatinti poliarizacijos būdu;</w:t>
            </w:r>
          </w:p>
        </w:tc>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ir g) rekomendavimo sistemas, specialiai sukurtas sąveikai skatinti poliarizacijos būdu; </w:t>
            </w:r>
            <w:r>
              <w:rPr>
                <w:b/>
                <w:i/>
              </w:rPr>
              <w:t>kadangi šios grėsmės nėra naujos ir per pastarąjį dešimtmetį valstybės narės, interneto platformos, ekspertai ir pačios visuomenės sukūrė įvairių priemonių, kuriomis galima veiksmingai kovoti su tokiomis grėsmėmis;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w:t>
            </w:r>
            <w:r>
              <w:rPr>
                <w:b/>
                <w:i/>
              </w:rPr>
              <w:t>ir</w:t>
            </w:r>
            <w:r>
              <w:t xml:space="preserve"> g) rekomendavimo sistemas, specialiai sukurtas sąveikai skatinti poliarizacijos būdu;</w:t>
            </w:r>
          </w:p>
        </w:tc>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w:t>
            </w:r>
            <w:r>
              <w:rPr>
                <w:b/>
                <w:i/>
              </w:rPr>
              <w:t>ir monetizavimą</w:t>
            </w:r>
            <w:r>
              <w:t>, f) sintetinio turinio, pvz., sintetinės sankaitos ir kito DI sukurto turinio, naudojimą</w:t>
            </w:r>
            <w:r>
              <w:rPr>
                <w:b/>
                <w:i/>
              </w:rPr>
              <w:t>,</w:t>
            </w:r>
            <w:r>
              <w:t xml:space="preserve"> g) rekomendavimo sistemas, specialiai sukurtas sąveikai skatinti poliarizacijos būdu</w:t>
            </w:r>
            <w:r>
              <w:rPr>
                <w:b/>
                <w:i/>
              </w:rPr>
              <w:t>, ir h) LLM viliojimą – piktavališką LLM maitinimą šališku, apgaulingu ar melagingu naratyvu siekiant daryti įtaką apmokymui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w:t>
            </w:r>
            <w:r>
              <w:rPr>
                <w:b/>
                <w:i/>
              </w:rPr>
              <w:t>ir g)</w:t>
            </w:r>
            <w:r>
              <w:t xml:space="preserve"> rekomendavimo sistemas, specialiai sukurtas sąveikai skatinti poliarizacijos būdu;</w:t>
            </w:r>
          </w:p>
        </w:tc>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w:t>
            </w:r>
            <w:r>
              <w:rPr>
                <w:b/>
                <w:i/>
              </w:rPr>
              <w:t>ir nuolat kintančius</w:t>
            </w:r>
            <w:r>
              <w:t xml:space="preserve">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w:t>
            </w:r>
            <w:r>
              <w:rPr>
                <w:b/>
                <w:i/>
              </w:rPr>
              <w:t>, g) dezinformacijos naratyvų skleidimą, dėl kurių atsiranda DI modelių vadinamasis duomenų užkrėtimas, ir h)</w:t>
            </w:r>
            <w:r>
              <w:t xml:space="preserve"> rekomendavimo sistemas, specialiai sukurtas sąveikai skatinti poliarizacijos būdu;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w:t>
            </w:r>
            <w:r>
              <w:rPr>
                <w:b/>
                <w:i/>
              </w:rPr>
              <w:t>socialinių</w:t>
            </w:r>
            <w:r>
              <w:t xml:space="preserve">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w:t>
            </w:r>
            <w:r>
              <w:rPr>
                <w:b/>
                <w:i/>
              </w:rPr>
              <w:t>ir g) rekomendavimo sistemas, specialiai sukurtas sąveikai skatinti poliarizacijos būdu</w:t>
            </w:r>
            <w:r>
              <w:t>;</w:t>
            </w:r>
          </w:p>
        </w:tc>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w:t>
            </w:r>
            <w:r>
              <w:rPr>
                <w:b/>
                <w:i/>
              </w:rPr>
              <w:t>tikslines</w:t>
            </w:r>
            <w:r>
              <w:t xml:space="preserve">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ir g) rekomendavimo sistemas, </w:t>
            </w:r>
            <w:r>
              <w:rPr>
                <w:b/>
                <w:i/>
              </w:rPr>
              <w:t>specialiai</w:t>
            </w:r>
            <w:r>
              <w:t xml:space="preserve"> sukurtas sąveikai skatinti poliarizacijos būdu;</w:t>
            </w:r>
          </w:p>
        </w:tc>
        <w:tc>
          <w:tcPr>
            <w:tcW w:w="4876" w:type="dxa"/>
            <w:tcBorders>
              <w:top w:val="nil"/>
              <w:left w:val="nil"/>
              <w:bottom w:val="nil"/>
              <w:right w:val="nil"/>
            </w:tcBorders>
          </w:tcPr>
          <w:p>
            <w:pPr>
              <w:pStyle w:val="Normal6a"/>
            </w:pPr>
            <w:r>
              <w:t>I.</w:t>
            </w:r>
            <w:r>
              <w:tab/>
            </w:r>
            <w:r>
              <w:t>kadangi demokratinės visuomenės ES vis dažniau susiduria su hibridinėmis grėsmėmis,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ir g) rekomendavimo sistemas, sukurtas sąveikai skatinti poliarizacijos būdu;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kadangi demokratinės visuomenės ES vis dažniau susiduria su </w:t>
            </w:r>
            <w:r>
              <w:rPr>
                <w:b/>
                <w:i/>
              </w:rPr>
              <w:t>hibridinėmis grėsmėmis,</w:t>
            </w:r>
            <w:r>
              <w:t xml:space="preserve">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ir g) rekomendavimo sistemas, specialiai sukurtas sąveikai skatinti poliarizacijos būdu;</w:t>
            </w:r>
          </w:p>
        </w:tc>
        <w:tc>
          <w:tcPr>
            <w:tcW w:w="4876" w:type="dxa"/>
            <w:tcBorders>
              <w:top w:val="nil"/>
              <w:left w:val="nil"/>
              <w:bottom w:val="nil"/>
              <w:right w:val="nil"/>
            </w:tcBorders>
          </w:tcPr>
          <w:p>
            <w:pPr>
              <w:pStyle w:val="Normal6a"/>
            </w:pPr>
            <w:r>
              <w:t>I.</w:t>
            </w:r>
            <w:r>
              <w:tab/>
            </w:r>
            <w:r>
              <w:t>kadangi demokratinės visuomenės ES vis dažniau susiduria su dezinformacija ir FIMI, ypač skaitmeninėje srityje; kadangi internetinė erdvė sudaro sąlygas plėtoti naujus manipuliavimo metodus, įskaitant: a) neautentišką naudojimąsi socialiniais tinklais pasitelkiant automatizuotas programinės įrangos programas, netikras socialinių medijų paskyras ir trolių fabrikų naudojimą, interneto botų valdomą turinio sureikšminimą ir veiksmus, b) dirbtinės visuomenės nuomonės kūrimo (angl. astroturfing) ir potvynio (angl. flooding) metodų naudojimą siekiant daryti įtaką viešoms diskusijoms internete, c) asmenų personalizavimą, sekimą ir mikroorientavimą, d) oficialius šaltinius imituojančias interneto svetaines e) dirbtinį prieštaringai vertinamo turinio sureikšminimą, f) sintetinio turinio, pvz., sintetinės sankaitos ir kito DI sukurto turinio, naudojimą ir g) rekomendavimo sistemas, specialiai sukurtas sąveikai skatinti poliarizacijos būdu;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remiantis naujausia 2025 m. rudens „Eurobarometro“ apklausa, piliečiai reiškia labai didelį susirūpinimą dėl dezinformacijos (69 proc.), neapykantą kurstančių kalbų (68 proc.), dirbtinio intelekto (DI) sukurto netikro turinio, pvz., sintetinės vaizdo klastotės ar melagingos informacijos (68 proc.), asmens duomenų apsaugos internete (68 proc.) ir grėsmių žodžio laisvei (67 proc.);</w:t>
            </w:r>
            <w:r>
              <w:t xml:space="preserve"> </w:t>
            </w:r>
            <w:r>
              <w:rPr>
                <w:b/>
                <w:i/>
              </w:rPr>
              <w:t>kadangi kelių didelių įmonių vykdoma socialinių tinklų kontrolė kelia didelį susirūpinimą visoje Europos Sąjungoje, nes 64 proc. respondentų teigia, kad dėl to jie yra „labai susirūpinę“;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bendri manipuliavimo informacija taktikos, technikos, priešiškų subjektų ir naratyvų būdai, metodai, duomenų modeliai ir taksonomijos gali sudaryti sąlygas veiksmingam didelio masto demokratijos gynėjų bendradarbiavimui sužlugdant FIMI, dezinformacijos ir įtakos operacijas; </w:t>
            </w:r>
            <w:r>
              <w:t xml:space="preserve"> </w:t>
            </w:r>
            <w:r>
              <w:rPr>
                <w:b/>
                <w:i/>
              </w:rPr>
              <w:t>kadangi, siekiant padidinti atsparumą, turėtų būti gerokai padidinta parama tokiems bendriems metodams ir atvirųjų šaltinių žvalgybos informacijos tyrėjų, faktų tikrintojų, žiniasklaidos subjektų ir politikos formuotojų bendradarbiavimui;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vartojant terminą „hibridinės grėsmės“ kyla pavojus, kad migrantai, prieglobsčio prašytojai ir pabėgėliai bus traktuojami kaip grėsmė saugumui ir instrumentalizuojami, kad pažeidžiami asmenys bus laikomi priemone ar grėsme, o ne teisių turėtojais, ir taip bus pakenkta jų orumui, saugumui ir Sąjungos įsipareigojimams pagal tarptautinę ir žmogaus teisių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užsienio kišimasis į rinkimus, įskaitant FIMI, algoritminį manipuliavimą ir koordinuotą neautentišką elgesį, iš pavienių incidentų virto sisteminėmis grėsmėmis rinkimų procesų integralumui ir demokratiniam valdymui, kaip matyti iš neseniai įvykusių rinkimų keliose valstybėse narėse ir kaimyninėse šalyse;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automatizuotos priemonės, algoritminės skelbimo sistemos ir DI grindžiamo turinio kūrimas vis labiau integruojamas į žiniasklaidą ir pilietinę komunikaciją;</w:t>
            </w:r>
            <w:r>
              <w:t xml:space="preserve"> </w:t>
            </w:r>
            <w:r>
              <w:rPr>
                <w:b/>
                <w:i/>
              </w:rPr>
              <w:t>kadangi tokiomis priemonėmis perteikiamą raišką galima apsaugoti, jei ji atspindi žmogaus ketinimus, redakcinę kryptį ar taisyklėmis grindžiamą dizainą;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demokratijos skydas suteikia unikalią galimybę sukurti veiksmingą visos visuomenės gynybą, apsaugančią Europos demokratiją, laisvę, konkurencingumą ir klestėjimą;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trečiųjų šalių vykdomas slaptas islamistų grupuočių finansavimas Sąjungoje kelia grėsmę demokratinio proceso teisėtumui;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kadangi, remdamasi nacionalinio suvereniteto principu, Komisija neturėtų nustatyti, kad valstybės narės naudotų elektroninį balsavimą, net siekiant kovoti su rinkimų klastojimu;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kadangi interneto platformos, spręsdamos, ar reklamuoti turinį naudotojo sklaidos kanale, naudojasi savo įžvalgomis apie kiekvieno atskiro naudotojo pageidavimus ir pažeidžiamumą, todėl jie yra įtakingesni nei tradiciniai leidėjai;</w:t>
            </w:r>
          </w:p>
        </w:tc>
        <w:tc>
          <w:tcPr>
            <w:tcW w:w="4876" w:type="dxa"/>
            <w:tcBorders>
              <w:top w:val="nil"/>
              <w:left w:val="nil"/>
              <w:bottom w:val="nil"/>
              <w:right w:val="nil"/>
            </w:tcBorders>
          </w:tcPr>
          <w:p>
            <w:pPr>
              <w:pStyle w:val="Normal6a"/>
            </w:pPr>
            <w:r>
              <w:t>J.</w:t>
            </w:r>
            <w:r>
              <w:tab/>
            </w:r>
            <w:r>
              <w:rPr>
                <w:b/>
                <w:i/>
              </w:rPr>
              <w:t>kadangi platformų algoritmai yra konceptualiai ydingi, savo esme skaldantys ir jais lengvai manipuliuoja piktavališki subjektai;</w:t>
            </w:r>
            <w:r>
              <w:t xml:space="preserve"> kadangi interneto platformos, spręsdamos, ar reklamuoti turinį naudotojo sklaidos kanale, naudojasi savo įžvalgomis apie kiekvieno atskiro naudotojo pageidavimus ir pažeidžiamumą, todėl jie yra įtakingesni nei tradiciniai leidėjai; </w:t>
            </w:r>
            <w:r>
              <w:rPr>
                <w:b/>
                <w:i/>
              </w:rPr>
              <w:t>kadangi platformos savininkai ir akcininkai gali manipuliuoti platformos algoritmais, kad pateiktų politinį turinį ir nutildytų opoziciją, taip kliudydami, mažindami arba iškraipydami publikacijų matomumą;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kadangi interneto platformos, spręsdamos, ar reklamuoti turinį naudotojo sklaidos kanale, naudojasi savo įžvalgomis apie kiekvieno atskiro naudotojo pageidavimus ir pažeidžiamumą, todėl jie yra įtakingesni nei tradiciniai leidėjai;</w:t>
            </w:r>
          </w:p>
        </w:tc>
        <w:tc>
          <w:tcPr>
            <w:tcW w:w="4876" w:type="dxa"/>
            <w:tcBorders>
              <w:top w:val="nil"/>
              <w:left w:val="nil"/>
              <w:bottom w:val="nil"/>
              <w:right w:val="nil"/>
            </w:tcBorders>
          </w:tcPr>
          <w:p>
            <w:pPr>
              <w:pStyle w:val="Normal6a"/>
            </w:pPr>
            <w:r>
              <w:t>J.</w:t>
            </w:r>
            <w:r>
              <w:tab/>
            </w:r>
            <w:r>
              <w:t xml:space="preserve">kadangi interneto platformos, spręsdamos, ar reklamuoti turinį naudotojo sklaidos kanale, naudojasi savo įžvalgomis apie kiekvieno atskiro naudotojo pageidavimus ir pažeidžiamumą, todėl jie yra įtakingesni nei tradiciniai leidėjai; </w:t>
            </w:r>
            <w:r>
              <w:rPr>
                <w:b/>
                <w:i/>
              </w:rPr>
              <w:t>kadangi tokia įtaka gali būti ypač žalinga pažeidžiamoms grupėms, įskaitant vaikus ir jaunimą, kurie gali būti nepasirengę kritiškai vertinti įtaigų ar manipuliacinį turinį, todėl jiems kyla didesnė rizika gauti klaidingą informaciją, žalingų naratyvų ir nepriimtinos elgesiu grindžiamos internetinės reklamos;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kadangi interneto platformos, spręsdamos, ar reklamuoti turinį naudotojo sklaidos kanale, naudojasi savo įžvalgomis apie kiekvieno atskiro naudotojo pageidavimus ir pažeidžiamumą, todėl jie yra įtakingesni nei tradiciniai leidėjai;</w:t>
            </w:r>
          </w:p>
        </w:tc>
        <w:tc>
          <w:tcPr>
            <w:tcW w:w="4876" w:type="dxa"/>
            <w:tcBorders>
              <w:top w:val="nil"/>
              <w:left w:val="nil"/>
              <w:bottom w:val="nil"/>
              <w:right w:val="nil"/>
            </w:tcBorders>
          </w:tcPr>
          <w:p>
            <w:pPr>
              <w:pStyle w:val="Normal6a"/>
            </w:pPr>
            <w:r>
              <w:t>J.</w:t>
            </w:r>
            <w:r>
              <w:tab/>
            </w:r>
            <w:r>
              <w:t xml:space="preserve">kadangi interneto platformos, spręsdamos, ar reklamuoti turinį naudotojo sklaidos kanale, naudojasi savo įžvalgomis apie kiekvieno atskiro naudotojo pageidavimus ir pažeidžiamumą, todėl jie yra įtakingesni </w:t>
            </w:r>
            <w:r>
              <w:rPr>
                <w:b/>
                <w:i/>
              </w:rPr>
              <w:t>ir pavojingesni</w:t>
            </w:r>
            <w:r>
              <w:t xml:space="preserve"> nei tradiciniai leidėjai</w:t>
            </w:r>
            <w:r>
              <w:rPr>
                <w:b/>
                <w:i/>
              </w:rPr>
              <w:t>, o jų verslo modelius daugiausia lemia dėmesiu grindžiami ekonominiai aspektai ir algoritminė amplifikacija, struktūriškai skatinant poliarizaciją, sensacingą turinį ir didesnį pažeidžiamumą dėl manipuliavimo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kadangi interneto platformos, spręsdamos, ar reklamuoti turinį naudotojo sklaidos kanale, naudojasi savo įžvalgomis apie kiekvieno atskiro naudotojo pageidavimus ir pažeidžiamumą, todėl </w:t>
            </w:r>
            <w:r>
              <w:rPr>
                <w:b/>
                <w:i/>
              </w:rPr>
              <w:t>jie yra įtakingesni</w:t>
            </w:r>
            <w:r>
              <w:t xml:space="preserve"> nei tradiciniai leidėjai;</w:t>
            </w:r>
          </w:p>
        </w:tc>
        <w:tc>
          <w:tcPr>
            <w:tcW w:w="4876" w:type="dxa"/>
            <w:tcBorders>
              <w:top w:val="nil"/>
              <w:left w:val="nil"/>
              <w:bottom w:val="nil"/>
              <w:right w:val="nil"/>
            </w:tcBorders>
          </w:tcPr>
          <w:p>
            <w:pPr>
              <w:pStyle w:val="Normal6a"/>
            </w:pPr>
            <w:r>
              <w:t>J.</w:t>
            </w:r>
            <w:r>
              <w:tab/>
            </w:r>
            <w:r>
              <w:t xml:space="preserve">kadangi interneto platformos, spręsdamos, ar reklamuoti turinį naudotojo sklaidos kanale, </w:t>
            </w:r>
            <w:r>
              <w:rPr>
                <w:b/>
                <w:i/>
              </w:rPr>
              <w:t>yra palankesnėje padėtyje dėl to, kad turi prieigą prie naudotojų internetinių profilių, todėl jos</w:t>
            </w:r>
            <w:r>
              <w:t xml:space="preserve"> naudojasi savo įžvalgomis apie kiekvieno atskiro naudotojo pageidavimus ir pažeidžiamumą, </w:t>
            </w:r>
            <w:r>
              <w:rPr>
                <w:b/>
                <w:i/>
              </w:rPr>
              <w:t>visų pirma siekdamos kuo labiau padidinti savo finansinę naudą,</w:t>
            </w:r>
            <w:r>
              <w:t xml:space="preserve"> todėl </w:t>
            </w:r>
            <w:r>
              <w:rPr>
                <w:b/>
                <w:i/>
              </w:rPr>
              <w:t>jos yra įtakingesnės</w:t>
            </w:r>
            <w:r>
              <w:t xml:space="preserve"> nei tradiciniai leidėjai;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kadangi interneto platformos</w:t>
            </w:r>
            <w:r>
              <w:rPr>
                <w:b/>
                <w:i/>
              </w:rPr>
              <w:t>,</w:t>
            </w:r>
            <w:r>
              <w:t xml:space="preserve"> spręsdamos, ar reklamuoti turinį naudotojo sklaidos kanale, naudojasi savo įžvalgomis apie kiekvieno atskiro naudotojo pageidavimus ir pažeidžiamumą, todėl jie yra įtakingesni nei tradiciniai leidėjai;</w:t>
            </w:r>
          </w:p>
        </w:tc>
        <w:tc>
          <w:tcPr>
            <w:tcW w:w="4876" w:type="dxa"/>
            <w:tcBorders>
              <w:top w:val="nil"/>
              <w:left w:val="nil"/>
              <w:bottom w:val="nil"/>
              <w:right w:val="nil"/>
            </w:tcBorders>
          </w:tcPr>
          <w:p>
            <w:pPr>
              <w:pStyle w:val="Normal6a"/>
            </w:pPr>
            <w:r>
              <w:t>J.</w:t>
            </w:r>
            <w:r>
              <w:tab/>
            </w:r>
            <w:r>
              <w:t xml:space="preserve">kadangi interneto platformos </w:t>
            </w:r>
            <w:r>
              <w:rPr>
                <w:b/>
                <w:i/>
              </w:rPr>
              <w:t>akivaizdžiai piktnaudžiauja kiekvieno atskiro naudotojo pažeidžiamumu ir</w:t>
            </w:r>
            <w:r>
              <w:t xml:space="preserve"> spręsdamos, ar reklamuoti turinį naudotojo sklaidos kanale, naudojasi savo įžvalgomis apie kiekvieno atskiro naudotojo pageidavimus ir pažeidžiamumą, todėl jie yra įtakingesni nei tradiciniai leidėjai;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kadangi interneto platformos, spręsdamos, ar reklamuoti turinį naudotojo sklaidos kanale, naudojasi savo įžvalgomis apie kiekvieno atskiro naudotojo pageidavimus ir pažeidžiamumą</w:t>
            </w:r>
            <w:r>
              <w:rPr>
                <w:b/>
                <w:i/>
              </w:rPr>
              <w:t>, todėl jie yra įtakingesni nei tradiciniai leidėjai</w:t>
            </w:r>
            <w:r>
              <w:t>;</w:t>
            </w:r>
          </w:p>
        </w:tc>
        <w:tc>
          <w:tcPr>
            <w:tcW w:w="4876" w:type="dxa"/>
            <w:tcBorders>
              <w:top w:val="nil"/>
              <w:left w:val="nil"/>
              <w:bottom w:val="nil"/>
              <w:right w:val="nil"/>
            </w:tcBorders>
          </w:tcPr>
          <w:p>
            <w:pPr>
              <w:pStyle w:val="Normal6a"/>
            </w:pPr>
            <w:r>
              <w:t>J.</w:t>
            </w:r>
            <w:r>
              <w:tab/>
            </w:r>
            <w:r>
              <w:t>kadangi interneto platformos, spręsdamos, ar reklamuoti turinį naudotojo sklaidos kanale, naudojasi savo įžvalgomis apie kiekvieno atskiro naudotojo pageidavimus ir pažeidžiamumą;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kadangi interneto platformos, spręsdamos, ar reklamuoti turinį naudotojo sklaidos kanale, naudojasi savo įžvalgomis apie kiekvieno atskiro naudotojo pageidavimus ir pažeidžiamumą, todėl jie yra įtakingesni nei tradiciniai leidėjai;</w:t>
            </w:r>
          </w:p>
        </w:tc>
        <w:tc>
          <w:tcPr>
            <w:tcW w:w="4876" w:type="dxa"/>
            <w:tcBorders>
              <w:top w:val="nil"/>
              <w:left w:val="nil"/>
              <w:bottom w:val="nil"/>
              <w:right w:val="nil"/>
            </w:tcBorders>
          </w:tcPr>
          <w:p>
            <w:pPr>
              <w:pStyle w:val="Normal6a"/>
            </w:pPr>
            <w:r>
              <w:t>J.</w:t>
            </w:r>
            <w:r>
              <w:tab/>
            </w:r>
            <w:r>
              <w:t xml:space="preserve">kadangi interneto platformos, spręsdamos, ar reklamuoti turinį naudotojo sklaidos kanale, naudojasi savo įžvalgomis apie kiekvieno atskiro naudotojo pageidavimus ir pažeidžiamumą, todėl jie yra </w:t>
            </w:r>
            <w:r>
              <w:rPr>
                <w:b/>
                <w:i/>
              </w:rPr>
              <w:t>kur kas labiau</w:t>
            </w:r>
            <w:r>
              <w:t xml:space="preserve"> įtakingesni nei tradiciniai leidėjai;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kadangi interneto platformos, spręsdamos, ar reklamuoti turinį naudotojo sklaidos kanale, naudojasi savo įžvalgomis apie </w:t>
            </w:r>
            <w:r>
              <w:rPr>
                <w:b/>
                <w:i/>
              </w:rPr>
              <w:t>kiekvieno atskiro naudotojo pageidavimus ir pažeidžiamumą, todėl jie yra įtakingesni nei tradiciniai leidėjai</w:t>
            </w:r>
            <w:r>
              <w:t>;</w:t>
            </w:r>
          </w:p>
        </w:tc>
        <w:tc>
          <w:tcPr>
            <w:tcW w:w="4876" w:type="dxa"/>
            <w:tcBorders>
              <w:top w:val="nil"/>
              <w:left w:val="nil"/>
              <w:bottom w:val="nil"/>
              <w:right w:val="nil"/>
            </w:tcBorders>
          </w:tcPr>
          <w:p>
            <w:pPr>
              <w:pStyle w:val="Normal6a"/>
            </w:pPr>
            <w:r>
              <w:t>J.</w:t>
            </w:r>
            <w:r>
              <w:tab/>
            </w:r>
            <w:r>
              <w:t xml:space="preserve">kadangi interneto platformos </w:t>
            </w:r>
            <w:r>
              <w:rPr>
                <w:b/>
                <w:i/>
              </w:rPr>
              <w:t>akivaizdžiai piktnaudžiauja kiekvieno atskiro naudotojo pažeidžiamumu</w:t>
            </w:r>
            <w:r>
              <w:t>, spręsdamos, ar reklamuoti turinį naudotojo sklaidos kanale, naudojasi savo įžvalgomis apie </w:t>
            </w:r>
            <w:r>
              <w:rPr>
                <w:b/>
                <w:i/>
              </w:rPr>
              <w:t>parinktis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kadangi informacijos ekosistemos skaitmeninė transformacija lėmė fragmentišką ir individualizuotą informacijos vartojimą, kurį vis labiau skatina neskaidrios algoritminės sistemos, optimizuotos įtraukimui, o ne tikslumui ar viešajam interesui;</w:t>
            </w:r>
            <w:r>
              <w:t xml:space="preserve"> </w:t>
            </w:r>
            <w:r>
              <w:rPr>
                <w:b/>
                <w:i/>
              </w:rPr>
              <w:t>kadangi vis didesnė jaunų piliečių dalis pirmiausia remiasi skaitmeninėmis platformomis kaip pagrindiniais informacijos šaltiniais;</w:t>
            </w:r>
            <w:r>
              <w:t xml:space="preserve"> </w:t>
            </w:r>
            <w:r>
              <w:rPr>
                <w:b/>
                <w:i/>
              </w:rPr>
              <w:t>kadangi dirbtinis intelektas ir algoritminės rekomendavimo sistemos vystosi greičiau nei demokratinės apsaugos priemonės ir reguliavimo priežiūra, todėl didelės interneto platformos ir DI tiekėjai gali daryti struktūrinę įtaką politinio diskurso ir galiausiai demokratinių procesų matomumui ir stiprinimui;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kadangi, remiantis 2024 m. jaunimo apklausos duomenimis, 42 proc. jaunų piliečių (16–30 metų) naudojasi socialine žiniasklaida kaip pagrindiniu informacijos apie politinius ir socialinius klausimus šaltiniu;</w:t>
            </w:r>
            <w:r>
              <w:t xml:space="preserve"> </w:t>
            </w:r>
            <w:r>
              <w:rPr>
                <w:b/>
                <w:i/>
              </w:rPr>
              <w:t>kadangi reikia gerinti gyventojų gebėjimą naudotis žiniasklaidos priemonėmis, skatinant kritinį mąstymą ir informacijos integralumą, nes tai yra esminė visuomenės atsparumo FIMI didinimo priemonė, ypač kai toks gebėjimas pradedamas ugdyti nuo ankstyvo amžiaus;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J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kadangi jaunimas, moterys ir vyresnio amžiaus asmenys sudaro ypač pažeidžiamas grupes internetinėje aplinkoje;</w:t>
            </w:r>
            <w:r>
              <w:t xml:space="preserve"> </w:t>
            </w:r>
            <w:r>
              <w:rPr>
                <w:b/>
                <w:i/>
              </w:rPr>
              <w:t>kadangi jaunimas vis dažniau formuoja savo politines pažiūras ir nuomonę apie rinkimus internete, visų pirma socialinės žiniasklaidos platformose, kuriose dažniau susiduria su tiksliniu turiniu, algoritmine amplifikacija ir manipuliavimo metodais;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w:t>
            </w:r>
            <w:r>
              <w:rPr>
                <w:b/>
                <w:i/>
              </w:rPr>
              <w:t>skaitmeninių</w:t>
            </w:r>
            <w:r>
              <w:t xml:space="preserve"> platformų atskaitingumą ir apsaugant demokratinius procesus, didinant skaidrumą ir apsaugant saviraiškos laisvę; kadangi tuo pat metu jų vykdymo užtikrinimas tebėra </w:t>
            </w:r>
            <w:r>
              <w:rPr>
                <w:b/>
                <w:i/>
              </w:rPr>
              <w:t>iššūkis</w:t>
            </w:r>
            <w:r>
              <w:t>;</w:t>
            </w:r>
          </w:p>
        </w:tc>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w:t>
            </w:r>
            <w:r>
              <w:rPr>
                <w:b/>
                <w:i/>
              </w:rPr>
              <w:t>interneto</w:t>
            </w:r>
            <w:r>
              <w:t xml:space="preserve"> platformų atskaitingumą ir apsaugant demokratinius procesus, didinant skaidrumą ir apsaugant saviraiškos laisvę; kadangi tuo pat metu jų vykdymo užtikrinimas tebėra </w:t>
            </w:r>
            <w:r>
              <w:rPr>
                <w:b/>
                <w:i/>
              </w:rPr>
              <w:t>pernelyg lėtas, o tai kelia sunkumų apsaugant demokratinius procesus</w:t>
            </w:r>
            <w:r>
              <w:t xml:space="preserve">; </w:t>
            </w:r>
            <w:r>
              <w:rPr>
                <w:b/>
                <w:i/>
              </w:rPr>
              <w:t>kadangi tuo pat metu Komisija pasiūlė keletą bendrųjų rinkinių pasiūlymų, kuriais panaikinamos tam tikros apsaugos priemonės pagal tuos teisės aktus, visų pirma DI aktą ir BDAR, ir dėl to kyla abejonių dėl Europos piliečiams teikiamos apsaugos siekiant kovoti su užsienio kišimusi;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kadangi </w:t>
            </w:r>
            <w:r>
              <w:rPr>
                <w:b/>
                <w:i/>
              </w:rPr>
              <w:t>ES</w:t>
            </w:r>
            <w:r>
              <w:t xml:space="preserve">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skaitmeninių platformų atskaitingumą ir apsaugant demokratinius procesus, didinant skaidrumą ir apsaugant saviraiškos laisvę; kadangi tuo pat metu jų vykdymo užtikrinimas tebėra iššūkis;</w:t>
            </w:r>
          </w:p>
        </w:tc>
        <w:tc>
          <w:tcPr>
            <w:tcW w:w="4876" w:type="dxa"/>
            <w:tcBorders>
              <w:top w:val="nil"/>
              <w:left w:val="nil"/>
              <w:bottom w:val="nil"/>
              <w:right w:val="nil"/>
            </w:tcBorders>
          </w:tcPr>
          <w:p>
            <w:pPr>
              <w:pStyle w:val="Normal6a"/>
            </w:pPr>
            <w:r>
              <w:t>K.</w:t>
            </w:r>
            <w:r>
              <w:tab/>
            </w:r>
            <w:r>
              <w:t xml:space="preserve">kadangi </w:t>
            </w:r>
            <w:r>
              <w:rPr>
                <w:b/>
                <w:i/>
              </w:rPr>
              <w:t>valstybės narės ir ES taip pat</w:t>
            </w:r>
            <w:r>
              <w:t xml:space="preserve">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skaitmeninių platformų atskaitingumą ir apsaugant demokratinius procesus, didinant skaidrumą ir apsaugant saviraiškos laisvę; kadangi tuo pat metu jų vykdymo užtikrinimas tebėra iššūkis; </w:t>
            </w:r>
            <w:r>
              <w:rPr>
                <w:b/>
                <w:i/>
              </w:rPr>
              <w:t>kadangi dėl to, kaip kai kurios nuostatos buvo įgyvendintos, kilo rimtų nesutarimų dėl saviraiškos laisvės ir skaidrumo;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w:t>
            </w:r>
            <w:r>
              <w:rPr>
                <w:b/>
                <w:i/>
              </w:rPr>
              <w:t>šie</w:t>
            </w:r>
            <w:r>
              <w:t xml:space="preserve"> teisės </w:t>
            </w:r>
            <w:r>
              <w:rPr>
                <w:b/>
                <w:i/>
              </w:rPr>
              <w:t>aktai žymi svarbų žingsnį pirmyn užtikrinant skaitmeninių platformų atskaitingumą ir apsaugant demokratinius procesus, didinant skaidrumą ir apsaugant saviraiškos laisvę;</w:t>
            </w:r>
            <w:r>
              <w:t xml:space="preserve"> </w:t>
            </w:r>
            <w:r>
              <w:rPr>
                <w:b/>
                <w:i/>
              </w:rPr>
              <w:t>kadangi tuo pat metu jų vykdymo užtikrinimas tebėra iššūkis</w:t>
            </w:r>
            <w:r>
              <w:t>;</w:t>
            </w:r>
          </w:p>
        </w:tc>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w:t>
            </w:r>
            <w:r>
              <w:rPr>
                <w:b/>
                <w:i/>
              </w:rPr>
              <w:t>nuolat mėginama panaudoti šiuos</w:t>
            </w:r>
            <w:r>
              <w:t xml:space="preserve"> teisės </w:t>
            </w:r>
            <w:r>
              <w:rPr>
                <w:b/>
                <w:i/>
              </w:rPr>
              <w:t>aktus kaip ginklą, kad būtų taikoma tikslinė internetinė žodžio laisvės cenzūra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w:t>
            </w:r>
            <w:r>
              <w:rPr>
                <w:b/>
                <w:i/>
              </w:rPr>
              <w:t>kuriuo siekiama sukurti saugią ir skaidrią interneto erdvę,</w:t>
            </w:r>
            <w:r>
              <w:t xml:space="preserve"> įskaitant Skaitmeninių paslaugų aktą, Reglamentą dėl politinės reklamos skaidrumo ir atrankiojo adresavimo ir Dirbtinio intelekto aktą; kadangi </w:t>
            </w:r>
            <w:r>
              <w:rPr>
                <w:b/>
                <w:i/>
              </w:rPr>
              <w:t>šie teisės aktai žymi svarbų žingsnį pirmyn užtikrinant skaitmeninių platformų atskaitingumą ir apsaugant demokratinius procesus, didinant skaidrumą ir apsaugant saviraiškos laisvę;</w:t>
            </w:r>
            <w:r>
              <w:t xml:space="preserve"> </w:t>
            </w:r>
            <w:r>
              <w:rPr>
                <w:b/>
                <w:i/>
              </w:rPr>
              <w:t>kadangi</w:t>
            </w:r>
            <w:r>
              <w:t xml:space="preserve"> tuo pat metu </w:t>
            </w:r>
            <w:r>
              <w:rPr>
                <w:b/>
                <w:i/>
              </w:rPr>
              <w:t>jų vykdymo užtikrinimas tebėra iššūkis</w:t>
            </w:r>
            <w:r>
              <w:t>;</w:t>
            </w:r>
          </w:p>
        </w:tc>
        <w:tc>
          <w:tcPr>
            <w:tcW w:w="4876" w:type="dxa"/>
            <w:tcBorders>
              <w:top w:val="nil"/>
              <w:left w:val="nil"/>
              <w:bottom w:val="nil"/>
              <w:right w:val="nil"/>
            </w:tcBorders>
          </w:tcPr>
          <w:p>
            <w:pPr>
              <w:pStyle w:val="Normal6a"/>
            </w:pPr>
            <w:r>
              <w:t>K.</w:t>
            </w:r>
            <w:r>
              <w:tab/>
            </w:r>
            <w:r>
              <w:t>kadangi ES neseniai priėmė išsamių teisėkūros procedūra priimamų aktų rinkinį, įskaitant</w:t>
            </w:r>
            <w:r>
              <w:rPr>
                <w:b/>
                <w:i/>
              </w:rPr>
              <w:t>, inter alia,</w:t>
            </w:r>
            <w:r>
              <w:t xml:space="preserve"> Skaitmeninių paslaugų aktą, Reglamentą dėl politinės reklamos skaidrumo ir atrankiojo adresavimo ir Dirbtinio intelekto aktą; kadangi tuo pat metu </w:t>
            </w:r>
            <w:r>
              <w:rPr>
                <w:b/>
                <w:i/>
              </w:rPr>
              <w:t>tikimasi, kad ES peržiūrės tam tikrus reglamentus, kad užtikrintų pagarbą Europos Sąjungos pagrindinių teisių chartijoje įtvirtintoms pagrindinėms teisėms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skaitmeninių platformų atskaitingumą ir apsaugant demokratinius procesus, didinant skaidrumą ir apsaugant saviraiškos laisvę; kadangi tuo pat metu jų vykdymo </w:t>
            </w:r>
            <w:r>
              <w:rPr>
                <w:b/>
                <w:i/>
              </w:rPr>
              <w:t>užtikrinimas tebėra iššūkis</w:t>
            </w:r>
            <w:r>
              <w:t>;</w:t>
            </w:r>
          </w:p>
        </w:tc>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skaitmeninių platformų atskaitingumą ir apsaugant demokratinius procesus, didinant skaidrumą ir apsaugant saviraiškos laisvę; kadangi tuo pat metu jų vykdymo </w:t>
            </w:r>
            <w:r>
              <w:rPr>
                <w:b/>
                <w:i/>
              </w:rPr>
              <w:t>užtikrinimo apimtis išliko ribota dėl geopolitinių aplinkybių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skaitmeninių platformų atskaitingumą ir apsaugant demokratinius procesus, didinant skaidrumą ir apsaugant saviraiškos laisvę; kadangi tuo pat metu jų </w:t>
            </w:r>
            <w:r>
              <w:rPr>
                <w:b/>
                <w:i/>
              </w:rPr>
              <w:t>vykdymo</w:t>
            </w:r>
            <w:r>
              <w:t xml:space="preserve"> užtikrinimas </w:t>
            </w:r>
            <w:r>
              <w:rPr>
                <w:b/>
                <w:i/>
              </w:rPr>
              <w:t>tebėra iššūkis</w:t>
            </w:r>
            <w:r>
              <w:t>;</w:t>
            </w:r>
          </w:p>
        </w:tc>
        <w:tc>
          <w:tcPr>
            <w:tcW w:w="4876" w:type="dxa"/>
            <w:tcBorders>
              <w:top w:val="nil"/>
              <w:left w:val="nil"/>
              <w:bottom w:val="nil"/>
              <w:right w:val="nil"/>
            </w:tcBorders>
          </w:tcPr>
          <w:p>
            <w:pPr>
              <w:pStyle w:val="Normal6a"/>
            </w:pPr>
            <w:r>
              <w:t>K.</w:t>
            </w:r>
            <w:r>
              <w:tab/>
            </w:r>
            <w:r>
              <w:t>kadangi ES neseniai priėmė išsamių teisėkūros procedūra priimamų aktų rinkinį, kuriuo siekiama sukurti saugią ir skaidrią interneto erdvę, įskaitant Skaitmeninių paslaugų aktą, Reglamentą dėl politinės reklamos skaidrumo ir atrankiojo adresavimo</w:t>
            </w:r>
            <w:r>
              <w:rPr>
                <w:b/>
                <w:i/>
              </w:rPr>
              <w:t>, Europos žiniasklaidos laisvės aktą</w:t>
            </w:r>
            <w:r>
              <w:t xml:space="preserve"> ir Dirbtinio intelekto aktą; kadangi šie teisės aktai žymi svarbų žingsnį pirmyn užtikrinant skaitmeninių platformų atskaitingumą ir apsaugant demokratinius procesus, didinant skaidrumą ir apsaugant saviraiškos laisvę; kadangi tuo pat metu jų </w:t>
            </w:r>
            <w:r>
              <w:rPr>
                <w:b/>
                <w:i/>
              </w:rPr>
              <w:t>vykdymas ir toliau nepakankamai</w:t>
            </w:r>
            <w:r>
              <w:t xml:space="preserve"> užtikrinimas;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kadangi ES neseniai priėmė išsamių teisėkūros procedūra priimamų aktų rinkinį, kuriuo siekiama sukurti saugią ir skaidrią interneto erdvę, įskaitant Skaitmeninių paslaugų aktą, Reglamentą dėl politinės reklamos skaidrumo ir atrankiojo adresavimo ir Dirbtinio intelekto aktą; kadangi šie teisės aktai žymi svarbų žingsnį pirmyn užtikrinant skaitmeninių platformų atskaitingumą ir apsaugant demokratinius procesus, didinant skaidrumą ir apsaugant saviraiškos laisvę; kadangi tuo pat metu jų vykdymo užtikrinimas tebėra iššūkis;</w:t>
            </w:r>
          </w:p>
        </w:tc>
        <w:tc>
          <w:tcPr>
            <w:tcW w:w="4876" w:type="dxa"/>
            <w:tcBorders>
              <w:top w:val="nil"/>
              <w:left w:val="nil"/>
              <w:bottom w:val="nil"/>
              <w:right w:val="nil"/>
            </w:tcBorders>
          </w:tcPr>
          <w:p>
            <w:pPr>
              <w:pStyle w:val="Normal6a"/>
            </w:pPr>
            <w:r>
              <w:t>K.</w:t>
            </w:r>
            <w:r>
              <w:tab/>
            </w:r>
            <w:r>
              <w:t xml:space="preserve">kadangi ES neseniai priėmė išsamių teisėkūros procedūra priimamų aktų rinkinį, kuriuo siekiama sukurti saugią ir skaidrią interneto erdvę, įskaitant Skaitmeninių paslaugų </w:t>
            </w:r>
            <w:r>
              <w:rPr>
                <w:b/>
                <w:i/>
              </w:rPr>
              <w:t>aktą, Skaitmeninių rinkų</w:t>
            </w:r>
            <w:r>
              <w:t xml:space="preserve"> aktą, Reglamentą dėl politinės reklamos skaidrumo ir atrankiojo adresavimo ir Dirbtinio intelekto aktą; kadangi šie teisės aktai žymi svarbų žingsnį pirmyn užtikrinant skaitmeninių platformų atskaitingumą ir apsaugant demokratinius procesus, didinant skaidrumą ir apsaugant saviraiškos laisvę; kadangi tuo pat metu jų vykdymo užtikrinimas tebėra iššūkis;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Skaitmeninių paslaugų aktas (SPA) nėra cenzūros priemonė, juo veikiau kodifikuojamas ilgalaikis Europos teisinis principas, kad turinys, kuris yra neteisėtas realiame gyvenime, taip pat gali būti ribojamas internete, laikantis tinkamo proceso, teisminio teisių gynimo ir proporcingumo principų, kaip nuosekliai patvirtinama Europos Sąjungos Teisingumo Teismo praktikoje;</w:t>
            </w:r>
            <w:r>
              <w:t xml:space="preserve"> </w:t>
            </w:r>
            <w:r>
              <w:rPr>
                <w:b/>
                <w:i/>
              </w:rPr>
              <w:t>kadangi šis požiūris akivaizdžiai prieštarauja valstybės valdomiems cenzūros mechanizmams, kuriuos naudoja autoritariniai režimai, visų pirma Rusijos Federacija, kurioje turinio apribojimai nustatomi neatlikus esminio teisminio teisėtumo, klaidingumo ar žalos vertinimo;</w:t>
            </w:r>
            <w:r>
              <w:t xml:space="preserve"> </w:t>
            </w:r>
            <w:r>
              <w:rPr>
                <w:b/>
                <w:i/>
              </w:rPr>
              <w:t>kadangi neseniai priimtame sprendime dėl didelių Rusijos baudų ir politiškai motyvuotų nurodymų bendrovei „Google“ pašalinti turinį Europos Žmogaus Teisių Teismas nustatė, kad Rusijos valdžios institucijos neišnagrinėjo, ar tikslinis turinys yra melagingas ar žalingas, ir remiasi prielaida, kad bet koks nukrypimas nuo oficialių naratyvų kelia grėsmę nacionaliniams interesams, nepateikdamos konkrečių žalos įrodymų;</w:t>
            </w:r>
            <w:r>
              <w:t xml:space="preserve"> </w:t>
            </w:r>
            <w:r>
              <w:rPr>
                <w:b/>
                <w:i/>
              </w:rPr>
              <w:t>kadangi tokia teismų praktika rodo esminį skirtumą tarp Europos reguliavimo modelio, grindžiamo teisėtumu, proporcingumu ir pagrindinėmis teisėmis, ir Rusijos cenzūros praktikos, dėl kurios turinio kontrolė tampa įrankiu nepritarimui ir politiniam pliuralizmui nuslopinti;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JAV Atstovų Rūmų Teisminių institucijų reikalų komitetas pateikė preliminarią vertinimo ataskaitą „Užsienio cenzūros grėsmė, II dalis: dešimtmečius trunkanti Europos kampanija, kuria siekiama cenzūruoti pasaulinį internetą, ir jos poveikis žodžio laisvei Jungtinėse Amerikos Valstijose“</w:t>
            </w:r>
            <w:r>
              <w:rPr>
                <w:b/>
                <w:i/>
                <w:vertAlign w:val="superscript"/>
              </w:rPr>
              <w:t>1a</w:t>
            </w:r>
            <w:r>
              <w:rPr>
                <w:b/>
                <w:i/>
              </w:rPr>
              <w:t> (The Foreign Censorship Threat, Part II: Europe’s Decade-Long Campaign to Censor the Global Internet and How It Harms American Speech in the United States), kurioje dokumentais patvirtinamas plataus masto Europos valdžios institucijų, įskaitant Komisiją, dalyvavimas pagrindinių interneto platformų veikloje ir reguliavimo spaudimas minėtoms platformoms siekiant daryti įtaką turinio moderavimo praktikai Sąjungos teritorijoje ir už jos ribų;</w:t>
            </w:r>
            <w:r>
              <w:t xml:space="preserve"> </w:t>
            </w:r>
            <w:r>
              <w:rPr>
                <w:b/>
                <w:i/>
              </w:rPr>
              <w:t>kadangi ataskaitoje reiškiamas didelis susirūpinimas dėl to, kad siekiant daryti ekstrateritorinį spaudimą skaitmeninių paslaugų teikėjams buvo naudojamos ES reguliavimo sistemos, politikos priemonės ir neoficiali vykdymo užtikrinimo praktika ir dėl to buvo pašalintas arba slopinamas teisėtas turinys ir politiniai pareiškimai, įskaitant trečiųjų šalių kilmės turinį, arba sumažintas jų reitingas;</w:t>
            </w:r>
            <w:r>
              <w:t xml:space="preserve"> </w:t>
            </w:r>
            <w:r>
              <w:rPr>
                <w:b/>
                <w:i/>
              </w:rPr>
              <w:t>kadangi ataskaitoje taip pat pabrėžiama, kad tokia praktika gali pakenkti saviraiškos laisvei, demokratinėms diskusijoms ir rinkimų procesams ir gali prilygti netiesioginei cenzūrai, nesuderinamai su pagrindinėmis teisėmis ir tarptautiniais demokratiniais standartais;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pranešama, kad Komisijos sprendimai prieš dideles JAV technologijų bendroves, pvz., „Google“, buvo atidėti siekiant nesupykdyti JAV vyriausybės prekybos derybų metu;</w:t>
            </w:r>
            <w:r>
              <w:t xml:space="preserve"> </w:t>
            </w:r>
            <w:r>
              <w:rPr>
                <w:b/>
                <w:i/>
              </w:rPr>
              <w:t>kadangi pirmoji bauda pagal SPA byloje prieš platformą „X“ buvo skirta tik gruodžio 5 d., t. y. praėjus dvejiems metams nuo tyrimo prieš JAV įsikūrusią socialinės žiniasklaidos platformą pradžios, ir, kaip pranešama, dėl politinių priežasčių ištisus mėnesius buvo atidedama;</w:t>
            </w:r>
            <w:r>
              <w:t xml:space="preserve"> </w:t>
            </w:r>
            <w:r>
              <w:rPr>
                <w:b/>
                <w:i/>
              </w:rPr>
              <w:t>kadangi šią problemą dar labiau padidina tai, kad JAV vyriausybė ir technologijų bendrovės veikia išvien;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kadangi taikant reguliavimo priemones, darančias poveikį teisėto turinio matomumui, pasiekiamumui, reitingui ar sklaidai, gali būti suvaržoma saviraiškos laisvė, kaip apibrėžta Chartijos 11 straipsnyje, todėl joms turi būti taikomos griežtos teisinės apsaugos priemonės ir užtikrinamas jų skaidrumas ir teisminė peržiūra;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kadangi iš turimų duomenų apie sprendimus dėl turinio moderavimo matyti, kad didelė dalis sprendimų pašalinti turinį vėliau panaikinami taikant skundų teikimo ir teisių gynimo mechanizmus, o tai rodo struktūrinę pernelyg dažno pašalinimo riziką ir jo galimą atgrasomąjį poveikį teisėtai išraiškai;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K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kadangi už rinkimų organizavimą ir rengimas ir toliau priklauso valstybių narių kompetencijai ir atsakomybei pagal jų nacionalinės teisės aktus ir konstitucines tradicijas;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kadangi </w:t>
            </w:r>
            <w:r>
              <w:rPr>
                <w:b/>
                <w:i/>
              </w:rPr>
              <w:t>DI naudojimas suteikia naujų galimybių stiprinti rinkimų valdymą ir priežiūrą, pvz., nustatant neįprastą veiklą internete ir koordinuotą manipuliacinį elgesį</w:t>
            </w:r>
            <w:r>
              <w:t xml:space="preserve">; kadangi </w:t>
            </w:r>
            <w:r>
              <w:rPr>
                <w:b/>
                <w:i/>
              </w:rPr>
              <w:t>DI, įskaitant generatyvinius modelius ir sintetinę sankaitą, naudojimas taip pat kelia didelių iššūkių informacijos integralumui ir</w:t>
            </w:r>
            <w:r>
              <w:t xml:space="preserve"> rinkimų </w:t>
            </w:r>
            <w:r>
              <w:rPr>
                <w:b/>
                <w:i/>
              </w:rPr>
              <w:t>procesams;</w:t>
            </w:r>
            <w:r>
              <w:t xml:space="preserve"> </w:t>
            </w:r>
            <w:r>
              <w:rPr>
                <w:b/>
                <w:i/>
              </w:rPr>
              <w:t>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w:t>
            </w:r>
            <w:r>
              <w:t xml:space="preserve">; </w:t>
            </w:r>
            <w:r>
              <w:rPr>
                <w:b/>
                <w:i/>
              </w:rPr>
              <w:t>kadangi tokia taktika yra pavojinga FIMI raida, nes ja naudojamasi DI sistemų neskaidrumu ir išplečiamumu siekiant subtiliai skleisti melagingus ar klaidinančius geopolitinius pranešimus prisidengiant autoritetinga kalba;</w:t>
            </w:r>
            <w:r>
              <w:t xml:space="preserve"> </w:t>
            </w:r>
            <w:r>
              <w:rPr>
                <w:b/>
                <w:i/>
              </w:rPr>
              <w:t>kadangi šios formos algoritminis manipuliavimas kelia grėsmę, kad sumažės visuomenės pasitikėjimas DI technologijomis, bus iškreiptas demokratinis diskursas ir padidės dezinformacijos rizika visoje ES ir visame pasaulyje;</w:t>
            </w:r>
            <w:r>
              <w:t xml:space="preserve"> </w:t>
            </w:r>
            <w:r>
              <w:rPr>
                <w:b/>
                <w:i/>
              </w:rPr>
              <w:t>kadangi tai rodo, kad reikia stiprinti DI raštingumą švietimo, darbo ir plačiosios visuomenės srityse;</w:t>
            </w:r>
          </w:p>
        </w:tc>
        <w:tc>
          <w:tcPr>
            <w:tcW w:w="4876" w:type="dxa"/>
            <w:tcBorders>
              <w:top w:val="nil"/>
              <w:left w:val="nil"/>
              <w:bottom w:val="nil"/>
              <w:right w:val="nil"/>
            </w:tcBorders>
          </w:tcPr>
          <w:p>
            <w:pPr>
              <w:pStyle w:val="Normal6a"/>
            </w:pPr>
            <w:r>
              <w:t>L.</w:t>
            </w:r>
            <w:r>
              <w:tab/>
            </w:r>
            <w:r>
              <w:t xml:space="preserve">kadangi </w:t>
            </w:r>
            <w:r>
              <w:rPr>
                <w:b/>
                <w:i/>
              </w:rPr>
              <w:t>Sutartimis Sąjungai nesuteikiama bendra kompetencija prižiūrėti rinkimus valstybėse narėse siekiant užtikrinti, kad jie būtų „teisingi“ ar „sąžiningi“ ar imtis užtikrinimo priemonių</w:t>
            </w:r>
            <w:r>
              <w:t xml:space="preserve">; kadangi </w:t>
            </w:r>
            <w:r>
              <w:rPr>
                <w:b/>
                <w:i/>
              </w:rPr>
              <w:t>pati Komisija patvirtino, kad už</w:t>
            </w:r>
            <w:r>
              <w:t xml:space="preserve"> rinkimų </w:t>
            </w:r>
            <w:r>
              <w:rPr>
                <w:b/>
                <w:i/>
              </w:rPr>
              <w:t>organizavimą ir regimą ir toliau atsako valstybė narė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kadangi DI naudojimas suteikia naujų galimybių </w:t>
            </w:r>
            <w:r>
              <w:rPr>
                <w:b/>
                <w:i/>
              </w:rPr>
              <w:t>stiprinti</w:t>
            </w:r>
            <w:r>
              <w:t xml:space="preserve">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w:t>
            </w:r>
          </w:p>
        </w:tc>
        <w:tc>
          <w:tcPr>
            <w:tcW w:w="4876" w:type="dxa"/>
            <w:tcBorders>
              <w:top w:val="nil"/>
              <w:left w:val="nil"/>
              <w:bottom w:val="nil"/>
              <w:right w:val="nil"/>
            </w:tcBorders>
          </w:tcPr>
          <w:p>
            <w:pPr>
              <w:pStyle w:val="Normal6a"/>
            </w:pPr>
            <w:r>
              <w:t>L.</w:t>
            </w:r>
            <w:r>
              <w:tab/>
            </w:r>
            <w:r>
              <w:t xml:space="preserve">kadangi DI naudojimas suteikia naujų galimybių </w:t>
            </w:r>
            <w:r>
              <w:rPr>
                <w:b/>
                <w:i/>
              </w:rPr>
              <w:t>palengvinti</w:t>
            </w:r>
            <w:r>
              <w:t xml:space="preserve"> rinkimų valdymą ir priežiūrą, pvz., nustatant </w:t>
            </w:r>
            <w:r>
              <w:rPr>
                <w:b/>
                <w:i/>
              </w:rPr>
              <w:t>įtartiną ir</w:t>
            </w:r>
            <w:r>
              <w:t xml:space="preserve">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w:t>
            </w:r>
            <w:r>
              <w:rPr>
                <w:b/>
                <w:i/>
              </w:rPr>
              <w:t>;</w:t>
            </w:r>
            <w:r>
              <w:t xml:space="preserve"> </w:t>
            </w:r>
            <w:r>
              <w:rPr>
                <w:b/>
                <w:i/>
              </w:rPr>
              <w:t>kadangi atsiranda įrodymų, kad siekdami savo interesų ir geopolitinių tikslų Kinijos subjektai, vadinamoji „Musulmonų brolija“ ir kiti subjektai, bando daryti įtaką viešajai nuomonei ir demokratiniam sprendimų priėmimui</w:t>
            </w:r>
            <w:r>
              <w:t xml:space="preserve">;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 </w:t>
            </w:r>
            <w:r>
              <w:rPr>
                <w:b/>
                <w:i/>
              </w:rPr>
              <w:t>kadangi naudotojai DI išvedinius turėtų deramai kontroliuoti vertinti kritiškai, nes tokie išvediniai gali atspindėti šališkumą, kuris atsiranda dėl žmogaus dizaino sprendimų, ir ne visada gali būti grindžiami naujausia ar patikrinta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w:t>
            </w:r>
          </w:p>
        </w:tc>
        <w:tc>
          <w:tcPr>
            <w:tcW w:w="4876" w:type="dxa"/>
            <w:tcBorders>
              <w:top w:val="nil"/>
              <w:left w:val="nil"/>
              <w:bottom w:val="nil"/>
              <w:right w:val="nil"/>
            </w:tcBorders>
          </w:tcPr>
          <w:p>
            <w:pPr>
              <w:pStyle w:val="Normal6a"/>
            </w:pPr>
            <w:r>
              <w:t>L.</w:t>
            </w:r>
            <w:r>
              <w:tab/>
            </w:r>
            <w:r>
              <w:t xml:space="preserve">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 </w:t>
            </w:r>
            <w:r>
              <w:rPr>
                <w:b/>
                <w:i/>
              </w:rPr>
              <w:t>kadangi patikimi pranešimai atskleidė Maskvoje įsikūrusio dezinformacijos tinklo „Pravda“, kuris sąmoningai taikosi į informacines ekosistemas, įskaitant didžiuosius kalbos modelius, naudodamas Kremliui palankius naratyvus, veiklą;</w:t>
            </w:r>
            <w:r>
              <w:t xml:space="preserve"> </w:t>
            </w:r>
            <w:r>
              <w:rPr>
                <w:b/>
                <w:i/>
              </w:rPr>
              <w:t>kadangi tokia veikla yra tam tikros formos užsienio vykdomas manipuliavimas informacija ir kišimasis siekiant pakenkti demokratiniam diskursui ir pasitikėjimui skaitmeninėmis technologijomis visoje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w:t>
            </w:r>
          </w:p>
        </w:tc>
        <w:tc>
          <w:tcPr>
            <w:tcW w:w="4876" w:type="dxa"/>
            <w:tcBorders>
              <w:top w:val="nil"/>
              <w:left w:val="nil"/>
              <w:bottom w:val="nil"/>
              <w:right w:val="nil"/>
            </w:tcBorders>
          </w:tcPr>
          <w:p>
            <w:pPr>
              <w:pStyle w:val="Normal6a"/>
            </w:pPr>
            <w:r>
              <w:t>L.</w:t>
            </w:r>
            <w:r>
              <w:tab/>
            </w:r>
            <w:r>
              <w:t>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w:t>
            </w:r>
            <w:r>
              <w:rPr>
                <w:b/>
                <w:i/>
              </w:rPr>
              <w:t>;</w:t>
            </w:r>
            <w:r>
              <w:t xml:space="preserve"> </w:t>
            </w:r>
            <w:r>
              <w:rPr>
                <w:b/>
                <w:i/>
              </w:rPr>
              <w:t>kadangi DI plėtra daugiausia vykdoma už ES ribų, be to, ES atsilieka investicijų į DI ir mokymo srityje</w:t>
            </w:r>
            <w:r>
              <w:t xml:space="preserve">;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 </w:t>
            </w:r>
            <w:r>
              <w:rPr>
                <w:b/>
                <w:i/>
              </w:rPr>
              <w:t>ir didinti LLM mokymo skaidrumą, taip pat nuolatinį ir tinkamą mokslinių tyrimų finansavimą, kad būtų atskleisti dirbtiniu intelektu grindžiami dezinformacijos tinklai ir kitos grėsmės informacijos vientisumui, pvz., geresnis rekomendavimo sistemų ir dirbtiniu intelektu grindžiamos internete daromos žalos supratimas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w:t>
            </w:r>
          </w:p>
        </w:tc>
        <w:tc>
          <w:tcPr>
            <w:tcW w:w="4876" w:type="dxa"/>
            <w:tcBorders>
              <w:top w:val="nil"/>
              <w:left w:val="nil"/>
              <w:bottom w:val="nil"/>
              <w:right w:val="nil"/>
            </w:tcBorders>
          </w:tcPr>
          <w:p>
            <w:pPr>
              <w:pStyle w:val="Normal6a"/>
            </w:pPr>
            <w:r>
              <w:t>L.</w:t>
            </w:r>
            <w:r>
              <w:tab/>
            </w:r>
            <w:r>
              <w:t>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w:t>
            </w:r>
            <w:r>
              <w:rPr>
                <w:b/>
                <w:i/>
              </w:rPr>
              <w:t>;</w:t>
            </w:r>
            <w:r>
              <w:t xml:space="preserve"> </w:t>
            </w:r>
            <w:r>
              <w:rPr>
                <w:b/>
                <w:i/>
              </w:rPr>
              <w:t>kadangi tokių su rinkimais susijusių sintetinės sankaitos atvejų pastebėta, be kita ko, Slovakijoje ir Vengrijoje</w:t>
            </w:r>
            <w:r>
              <w:t>;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w:t>
            </w:r>
            <w:r>
              <w:rPr>
                <w:b/>
                <w:i/>
              </w:rPr>
              <w:t>kadangi tai rodo, kad reikia stiprinti DI raštingumą švietimo, darbo ir plačiosios visuomenės srityse;</w:t>
            </w:r>
          </w:p>
        </w:tc>
        <w:tc>
          <w:tcPr>
            <w:tcW w:w="4876" w:type="dxa"/>
            <w:tcBorders>
              <w:top w:val="nil"/>
              <w:left w:val="nil"/>
              <w:bottom w:val="nil"/>
              <w:right w:val="nil"/>
            </w:tcBorders>
          </w:tcPr>
          <w:p>
            <w:pPr>
              <w:pStyle w:val="Normal6a"/>
            </w:pPr>
            <w:r>
              <w:t>L.</w:t>
            </w:r>
            <w:r>
              <w:tab/>
            </w:r>
            <w:r>
              <w:t>kadangi DI naudojimas suteikia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kadangi DI naudojimas </w:t>
            </w:r>
            <w:r>
              <w:rPr>
                <w:b/>
                <w:i/>
              </w:rPr>
              <w:t>suteikia</w:t>
            </w:r>
            <w:r>
              <w:t xml:space="preserve">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w:t>
            </w:r>
          </w:p>
        </w:tc>
        <w:tc>
          <w:tcPr>
            <w:tcW w:w="4876" w:type="dxa"/>
            <w:tcBorders>
              <w:top w:val="nil"/>
              <w:left w:val="nil"/>
              <w:bottom w:val="nil"/>
              <w:right w:val="nil"/>
            </w:tcBorders>
          </w:tcPr>
          <w:p>
            <w:pPr>
              <w:pStyle w:val="Normal6a"/>
            </w:pPr>
            <w:r>
              <w:t>L.</w:t>
            </w:r>
            <w:r>
              <w:tab/>
            </w:r>
            <w:r>
              <w:t xml:space="preserve">kadangi DI naudojimas </w:t>
            </w:r>
            <w:r>
              <w:rPr>
                <w:b/>
                <w:i/>
              </w:rPr>
              <w:t>gali suteikti</w:t>
            </w:r>
            <w:r>
              <w:t xml:space="preserve"> naujų galimybių stiprinti rinkimų valdymą ir priežiūrą, pvz., nustatant neįprastą veiklą internete ir koordinuotą manipuliacinį elgesį; kadangi DI, įskaitant generatyvinius modelius ir sintetinę sankaitą, naudojimas taip pat kelia didelių iššūkių informacijos integralumui ir rinkimų procesams; kadangi patikimi pranešimai atskleidė Maskvoje įsikūrusio dezinformacijos tinklo „Pravda“, kuris sąmoningai taikosi į didžiuosius kalbos modelius (LLM) ir į juos infiltruoja Kremliui palankius naratyvus, skirtus neutraliems ir faktais pagrįstiems rezultatams imituoti, operacijas; kadangi tokia taktika yra pavojinga FIMI raida, nes ja naudojamasi DI sistemų neskaidrumu ir išplečiamumu siekiant subtiliai skleisti melagingus ar klaidinančius geopolitinius pranešimus prisidengiant autoritetinga kalba; kadangi šios formos algoritminis manipuliavimas kelia grėsmę, kad sumažės visuomenės pasitikėjimas DI technologijomis, bus iškreiptas demokratinis diskursas ir padidės dezinformacijos rizika visoje ES ir visame pasaulyje; kadangi tai rodo, kad reikia stiprinti DI raštingumą švietimo, darbo ir plačiosios visuomenės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remiantis „Europinion“ ataskaita</w:t>
            </w:r>
            <w:r>
              <w:rPr>
                <w:b/>
                <w:i/>
                <w:vertAlign w:val="superscript"/>
              </w:rPr>
              <w:t>51b</w:t>
            </w:r>
            <w:r>
              <w:rPr>
                <w:b/>
                <w:i/>
              </w:rPr>
              <w:t>, 16–24 m. asmenys internete praleidžia vidutiniškai 7 valandas, o socialiniuose tinkluose – apie 2–3 valandas;</w:t>
            </w:r>
            <w:r>
              <w:t xml:space="preserve"> </w:t>
            </w:r>
            <w:r>
              <w:rPr>
                <w:b/>
                <w:i/>
              </w:rPr>
              <w:t>kadangi ataskaitoje pabrėžiama, kad 59 proc. 15–24 metų amžiaus asmenų socialiniai tinklai yra pagrindinis naujienų šaltinis;</w:t>
            </w:r>
            <w:r>
              <w:t xml:space="preserve"> </w:t>
            </w:r>
            <w:r>
              <w:rPr>
                <w:b/>
                <w:i/>
              </w:rPr>
              <w:t>kadangi vis dėlto socialinės žiniasklaidos platformos, kuriose jaunimas naudojasi daugiausia, pvz., „TikTok“, laikomos mažiau patikimomis;</w:t>
            </w:r>
            <w:r>
              <w:t xml:space="preserve"> </w:t>
            </w:r>
            <w:r>
              <w:rPr>
                <w:b/>
                <w:i/>
              </w:rPr>
              <w:t>kadangi jų naujienų vartojimui būdingas susiskaidymas, pasyvus ir atsitiktinis vartojimas ir bulvarinės naujienos, o ne aktyvus politinis turinys;</w:t>
            </w:r>
            <w:r>
              <w:t xml:space="preserve"> </w:t>
            </w:r>
            <w:r>
              <w:rPr>
                <w:b/>
                <w:i/>
              </w:rPr>
              <w:t>kadangi tai reiškia, kad gebėjimo naudotis žiniasklaidos priemonėmis ugdymas būti pritaikytas prie jų vartojimo įpročių;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interneto platformų verslo modelis grindžiamas aktyviu dalyvavimu, pirmenybę teikiant sensacingai, poliarizuojančiai ar klaidinančiai informacijai;</w:t>
            </w:r>
            <w:r>
              <w:t xml:space="preserve"> </w:t>
            </w:r>
            <w:r>
              <w:rPr>
                <w:b/>
                <w:i/>
              </w:rPr>
              <w:t>kadangi interneto platformų algoritmų neskaidrumas tebėra problema;</w:t>
            </w:r>
            <w:r>
              <w:t xml:space="preserve"> </w:t>
            </w:r>
            <w:r>
              <w:rPr>
                <w:b/>
                <w:i/>
              </w:rPr>
              <w:t>kadangi SPA nustatytos svarbios naujos taisyklės, kuriomis siekiama padidinti algoritmų skaidrumą ir atskaitomybę;</w:t>
            </w:r>
            <w:r>
              <w:t xml:space="preserve"> </w:t>
            </w:r>
            <w:r>
              <w:rPr>
                <w:b/>
                <w:i/>
              </w:rPr>
              <w:t>kadangi dabar naudotojai gali rinktis nepersonalizuotus sklaidos kanalus ir taip sumažinti priklausomybę nuo neskaidrios algoritminės atrankos;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Komisija įsipareigojo pateikti pasiūlymą dėl Skaitmeninio sąžiningumo akto, kuriuo būtų siekiama kovoti su neetiškais metodais ir komercine praktika, susijusia su tamsiais modeliais, socialinės žiniasklaidos nuomonės formuotojų vykdoma rinkodara, priklausomybę sukeliančiu skaitmeninių produktų ir paslaugų dizainu ir profiliavimu internete, ypač kai visų vartotojų, pažeidžiamumu naudojamasi komerciniais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tarpvalstybinės represijos, kaip užsienio kišimosi forma, kuri kenkia demokratijai, Europos suverenumui bei saugumui ir iš esmės pažeidžia asmenų, prieš kuriuos jos nukreiptos, žmogaus teises, taip pat jų saugumą ir apsaugą nuo represijų Europoje, vis dažniau vykdomos mūsų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interneto platformos, kurios pagal savo verslo modelį sistemingai diegia algoritmines sistemas, grindžiamas projektavimo metodais, pagal kuriuos pirmenybė teikiama emociniam ar ekstremalaus pobūdžio turiniui, taip pat gali būti naudojamos siekiant kištis į rinkimus ir manipuliuoti demokratiniais procesais;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plačiai paplitęs skaitmeninis raštingumas ir gebėjimas naudotis žiniasklaidos priemonėmis kartu su sistemingu kritinio mąstymo skatinimu visose amžiaus grupėse yra viena iš veiksmingiausių apsaugos nuo užsienio vykdomo manipuliavimo informacija ir piktavališko dirbtinio intelekto naudojimo priemonių;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L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kadangi dirbtinio intelekto paslaugos yra vienas iš pagrindinių inovacijų, konkurencingumo ir visuomenės pažangos veiksnių, suteikiantis precedento neturinčių galimybių plėsti prieigą prie žinių, didinti našumą ir skatinti naujų skaitmeninių paslaugų ir pramonės plėtrą;</w:t>
            </w:r>
            <w:r>
              <w:t xml:space="preserve"> </w:t>
            </w:r>
            <w:r>
              <w:rPr>
                <w:b/>
                <w:i/>
              </w:rPr>
              <w:t>vis dėlto pabrėžia, kad dėl didėjančių tokių sistemų pajėgumų kurti, apibendrinti ir skleisti į naujienas panašų turinį be aiškios redakcinės atskaitomybės taip pat reikia adaptyvių rinkos sąlygų ir į ateitį orientuotų reguliavimo metodų;</w:t>
            </w:r>
            <w:r>
              <w:t xml:space="preserve"> </w:t>
            </w:r>
            <w:r>
              <w:rPr>
                <w:b/>
                <w:i/>
              </w:rPr>
              <w:t>pabrėžia, kad pačios inovacijos turi būti laikomos pagrindine atsako dalimi, visų pirma investuojant į Europos mokslinius tyrimus, patikimas DI ekosistemas ir technologinį suverenumą;</w:t>
            </w:r>
            <w:r>
              <w:t xml:space="preserve"> </w:t>
            </w:r>
            <w:r>
              <w:rPr>
                <w:b/>
                <w:i/>
              </w:rPr>
              <w:t>pabrėžia, kad atsakingų inovacijų skatinimas ir vienodų sąlygų DI grindžiamoms paslaugoms ir redakcinės žiniasklaidos subjektams sudarymas yra labai svarbūs siekiant išlaikyti visuomenės pasitikėjimą, apsaugoti prieigą prie patikimos informacijos ir užtikrinti, kad technologinė pažanga stiprintų demokratinę informacinę aplinką, užuot jai kenkus;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kadangi nuomonės formuotojai internete gali atlikti svarbų vaidmenį stiprinant mūsų visuomenės skaitmeninį atsparumą, didindami informuotumą apie gebėjimą naudotis žiniasklaidos priemonėmis, demokratines procedūras arba prisidėdami prie sveikų politinių diskusijų;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kadangi nuomonės formuotojai </w:t>
            </w:r>
            <w:r>
              <w:rPr>
                <w:b/>
                <w:i/>
              </w:rPr>
              <w:t>internete gali atlikti svarbų vaidmenį stiprinant mūsų visuomenės skaitmeninį atsparumą, didindami informuotumą apie</w:t>
            </w:r>
            <w:r>
              <w:t xml:space="preserve"> gebėjimą naudotis žiniasklaidos priemonėmis, </w:t>
            </w:r>
            <w:r>
              <w:rPr>
                <w:b/>
                <w:i/>
              </w:rPr>
              <w:t>demokratines procedūras arba prisidėdami prie sveikų politinių</w:t>
            </w:r>
            <w:r>
              <w:t xml:space="preserve"> diskusijų;</w:t>
            </w:r>
          </w:p>
        </w:tc>
        <w:tc>
          <w:tcPr>
            <w:tcW w:w="4876" w:type="dxa"/>
            <w:tcBorders>
              <w:top w:val="nil"/>
              <w:left w:val="nil"/>
              <w:bottom w:val="nil"/>
              <w:right w:val="nil"/>
            </w:tcBorders>
          </w:tcPr>
          <w:p>
            <w:pPr>
              <w:pStyle w:val="Normal6a"/>
            </w:pPr>
            <w:r>
              <w:t>M.</w:t>
            </w:r>
            <w:r>
              <w:tab/>
            </w:r>
            <w:r>
              <w:t xml:space="preserve">kadangi </w:t>
            </w:r>
            <w:r>
              <w:rPr>
                <w:b/>
                <w:i/>
              </w:rPr>
              <w:t>vis didesnė piliečių, ypač nepilnamečių, dalis plačiai naudojasi socialiniais tinklais ir dalijimosi vaizdo medžiaga bei turiniu paslaugomis kaip naujienų ir aktualijų šaltiniais;</w:t>
            </w:r>
            <w:r>
              <w:t xml:space="preserve"> </w:t>
            </w:r>
            <w:r>
              <w:rPr>
                <w:b/>
                <w:i/>
              </w:rPr>
              <w:t>kadangi vyraujantys ekonominiai ir dalyvavimu grindžiami tokių paslaugų modeliai gali paskatinti klaidinančios, sensacingos ar poliarizuojančios medžiagos matomumą;</w:t>
            </w:r>
            <w:r>
              <w:t xml:space="preserve"> </w:t>
            </w:r>
            <w:r>
              <w:rPr>
                <w:b/>
                <w:i/>
              </w:rPr>
              <w:t>kadangi šioje aplinkoje daugelis naudotojų nuolat susiduria su sunkumais patikimai atskirdami patikrintą informaciją nuo melagingo ar manipuliuojamo turinio;</w:t>
            </w:r>
            <w:r>
              <w:t xml:space="preserve"> </w:t>
            </w:r>
            <w:r>
              <w:rPr>
                <w:b/>
                <w:i/>
              </w:rPr>
              <w:t>kadangi interneto asmenybės ir</w:t>
            </w:r>
            <w:r>
              <w:t xml:space="preserve"> nuomonės formuotojai </w:t>
            </w:r>
            <w:r>
              <w:rPr>
                <w:b/>
                <w:i/>
              </w:rPr>
              <w:t>dabar gali daryti didelę įtaką viešajai nuomonei ir informacijos srautui ir jiems ne visada taikomi atskaitomybės standartai, panašūs į reguliuojamiems žiniasklaidos subjektams taikomus standartus;</w:t>
            </w:r>
            <w:r>
              <w:t xml:space="preserve"> </w:t>
            </w:r>
            <w:r>
              <w:rPr>
                <w:b/>
                <w:i/>
              </w:rPr>
              <w:t>kadangi visoje Sąjungoje taikomi reguliavimo metodai, susiję su internetinių nuomonės formuotojų statusu, skaidrumo reikalavimais ir redakcine atsakomybe, tebėra nevienodi;</w:t>
            </w:r>
            <w:r>
              <w:t xml:space="preserve"> </w:t>
            </w:r>
            <w:r>
              <w:rPr>
                <w:b/>
                <w:i/>
              </w:rPr>
              <w:t>kadangi dėl plačios auditorijos ir jos pasitikėjimo nuomonės formuotojai taip pat yra svarbus šiuolaikinės informacinės ekosistemos veiksnys ir turėtų būti skatinami prisiimti didesnę atsakomybę ir dalyvauti viešojo intereso iniciatyvose, kuriomis siekiama stiprinti</w:t>
            </w:r>
            <w:r>
              <w:t xml:space="preserve"> gebėjimą naudotis žiniasklaidos priemonėmis, </w:t>
            </w:r>
            <w:r>
              <w:rPr>
                <w:b/>
                <w:i/>
              </w:rPr>
              <w:t>demokratinį sąmoningumą ir viešųjų</w:t>
            </w:r>
            <w:r>
              <w:t xml:space="preserve"> diskusijų </w:t>
            </w:r>
            <w:r>
              <w:rPr>
                <w:b/>
                <w:i/>
              </w:rPr>
              <w:t>sąžiningumą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kadangi nuomonės formuotojai internete gali atlikti svarbų vaidmenį stiprinant mūsų </w:t>
            </w:r>
            <w:r>
              <w:rPr>
                <w:b/>
                <w:i/>
              </w:rPr>
              <w:t>visuomenės</w:t>
            </w:r>
            <w:r>
              <w:t xml:space="preserve"> skaitmeninį atsparumą, </w:t>
            </w:r>
            <w:r>
              <w:rPr>
                <w:b/>
                <w:i/>
              </w:rPr>
              <w:t>didindami</w:t>
            </w:r>
            <w:r>
              <w:t xml:space="preserve"> informuotumą apie gebėjimą naudotis žiniasklaidos priemonėmis, demokratines procedūras arba </w:t>
            </w:r>
            <w:r>
              <w:rPr>
                <w:b/>
                <w:i/>
              </w:rPr>
              <w:t>prisidėdami prie sveikų politinių diskusijų</w:t>
            </w:r>
            <w:r>
              <w:t>;</w:t>
            </w:r>
          </w:p>
        </w:tc>
        <w:tc>
          <w:tcPr>
            <w:tcW w:w="4876" w:type="dxa"/>
            <w:tcBorders>
              <w:top w:val="nil"/>
              <w:left w:val="nil"/>
              <w:bottom w:val="nil"/>
              <w:right w:val="nil"/>
            </w:tcBorders>
          </w:tcPr>
          <w:p>
            <w:pPr>
              <w:pStyle w:val="Normal6a"/>
            </w:pPr>
            <w:r>
              <w:t>M.</w:t>
            </w:r>
            <w:r>
              <w:tab/>
            </w:r>
            <w:r>
              <w:t xml:space="preserve">kadangi nuomonės formuotojai internete gali atlikti svarbų vaidmenį stiprinant mūsų </w:t>
            </w:r>
            <w:r>
              <w:rPr>
                <w:b/>
                <w:i/>
              </w:rPr>
              <w:t>visuomenių</w:t>
            </w:r>
            <w:r>
              <w:t xml:space="preserve"> skaitmeninį atsparumą, </w:t>
            </w:r>
            <w:r>
              <w:rPr>
                <w:b/>
                <w:i/>
              </w:rPr>
              <w:t>kai jie nagrinėja tokias temas kaip politinės partijos, jų atstovai ir kandidatai, įskaitant rinkimų programas;</w:t>
            </w:r>
            <w:r>
              <w:t xml:space="preserve"> </w:t>
            </w:r>
            <w:r>
              <w:rPr>
                <w:b/>
                <w:i/>
              </w:rPr>
              <w:t>kadangi dėl to būtina, kad nagrinėjant tokias temas jų turinys padėtų didinti</w:t>
            </w:r>
            <w:r>
              <w:t xml:space="preserve"> informuotumą apie gebėjimą naudotis žiniasklaidos priemonėmis, demokratines procedūras arba </w:t>
            </w:r>
            <w:r>
              <w:rPr>
                <w:b/>
                <w:i/>
              </w:rPr>
              <w:t>skatinti sveikas politines diskusijas;</w:t>
            </w:r>
            <w:r>
              <w:t xml:space="preserve"> </w:t>
            </w:r>
            <w:r>
              <w:rPr>
                <w:b/>
                <w:i/>
              </w:rPr>
              <w:t>kadangi nuomonės formuotojai internete gali atlikti svarbų vaidmenį stiprinant mūsų visuomenių skaitmeninį atsparumą, tačiau komentuodami politines partijas, jų atstovus ir kandidatus bei rinkimų programas jie daro vis didesnę įtaką politinėms pažiūroms</w:t>
            </w:r>
            <w:r>
              <w:t xml:space="preserve">; </w:t>
            </w:r>
            <w:r>
              <w:rPr>
                <w:b/>
                <w:i/>
              </w:rPr>
              <w:t>kadangi dėl jų auditorijos ir įtakos labai svarbu būtina, kad toks turinys nekenktų demokratinėms procedūroms ir padėtų didinti informuotumą apie gebėjimą naudotis žiniasklaidos priemonėmis, demokratines procedūras ir sveikas politines diskusijas;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kadangi nuomonės formuotojai internete </w:t>
            </w:r>
            <w:r>
              <w:rPr>
                <w:b/>
                <w:i/>
              </w:rPr>
              <w:t>gali atlikti svarbų vaidmenį stiprinant mūsų visuomenės skaitmeninį atsparumą, didindami informuotumą apie gebėjimą naudotis žiniasklaidos priemonėmis, demokratines procedūras arba prisidėdami prie sveikų politinių diskusijų</w:t>
            </w:r>
            <w:r>
              <w:t>;</w:t>
            </w:r>
          </w:p>
        </w:tc>
        <w:tc>
          <w:tcPr>
            <w:tcW w:w="4876" w:type="dxa"/>
            <w:tcBorders>
              <w:top w:val="nil"/>
              <w:left w:val="nil"/>
              <w:bottom w:val="nil"/>
              <w:right w:val="nil"/>
            </w:tcBorders>
          </w:tcPr>
          <w:p>
            <w:pPr>
              <w:pStyle w:val="Normal6a"/>
            </w:pPr>
            <w:r>
              <w:t>M.</w:t>
            </w:r>
            <w:r>
              <w:tab/>
            </w:r>
            <w:r>
              <w:t xml:space="preserve">kadangi </w:t>
            </w:r>
            <w:r>
              <w:rPr>
                <w:b/>
                <w:i/>
              </w:rPr>
              <w:t>piliečiai, ypač nepilnamečiai, masiškai naudojasi socialine žiniasklaida, dalijimosi turiniu platformomis ir interneto telkėjais, be kita ko, naujienų vartojimo tikslais;</w:t>
            </w:r>
            <w:r>
              <w:t xml:space="preserve"> </w:t>
            </w:r>
            <w:r>
              <w:rPr>
                <w:b/>
                <w:i/>
              </w:rPr>
              <w:t>kadangi pagal tokių platformų verslo modelį labai dažnai pirmenybė teikiama poliarizuojančiam turiniui;</w:t>
            </w:r>
            <w:r>
              <w:t xml:space="preserve"> </w:t>
            </w:r>
            <w:r>
              <w:rPr>
                <w:b/>
                <w:i/>
              </w:rPr>
              <w:t>kadangi šių paslaugų naudotojams sunku atskirti tikrą informaciją nuo melagingos;</w:t>
            </w:r>
            <w:r>
              <w:t xml:space="preserve"> </w:t>
            </w:r>
            <w:r>
              <w:rPr>
                <w:b/>
                <w:i/>
              </w:rPr>
              <w:t>kadangi šiose interneto platformose veikiantys asmenys ir</w:t>
            </w:r>
            <w:r>
              <w:t xml:space="preserve"> nuomonės formuotojai </w:t>
            </w:r>
            <w:r>
              <w:rPr>
                <w:b/>
                <w:i/>
              </w:rPr>
              <w:t>įgijo didelę įtaką formuojant viešąjį diskursą, nebūtinai laikydamiesi tų pačių standartų kaip kiti reguliuojami subjektai;</w:t>
            </w:r>
            <w:r>
              <w:t xml:space="preserve"> </w:t>
            </w:r>
            <w:r>
              <w:rPr>
                <w:b/>
                <w:i/>
              </w:rPr>
              <w:t>kadangi su nuomonės formuotojų</w:t>
            </w:r>
            <w:r>
              <w:t xml:space="preserve"> internete </w:t>
            </w:r>
            <w:r>
              <w:rPr>
                <w:b/>
                <w:i/>
              </w:rPr>
              <w:t>veikla ir jų redakcine atsakomybe susijusių taisyklių atžvilgiu ES yra susiskaidžiusi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kadangi nuomonės formuotojai internete gali atlikti svarbų vaidmenį stiprinant mūsų visuomenės skaitmeninį atsparumą, didindami informuotumą apie gebėjimą naudotis žiniasklaidos priemonėmis, demokratines procedūras arba prisidėdami prie sveikų politinių diskusijų;</w:t>
            </w:r>
          </w:p>
        </w:tc>
        <w:tc>
          <w:tcPr>
            <w:tcW w:w="4876" w:type="dxa"/>
            <w:tcBorders>
              <w:top w:val="nil"/>
              <w:left w:val="nil"/>
              <w:bottom w:val="nil"/>
              <w:right w:val="nil"/>
            </w:tcBorders>
          </w:tcPr>
          <w:p>
            <w:pPr>
              <w:pStyle w:val="Normal6a"/>
            </w:pPr>
            <w:r>
              <w:t>M.</w:t>
            </w:r>
            <w:r>
              <w:tab/>
            </w:r>
            <w:r>
              <w:t>kadangi nuomonės formuotojai internete gali atlikti svarbų vaidmenį stiprinant mūsų visuomenės</w:t>
            </w:r>
            <w:r>
              <w:rPr>
                <w:b/>
                <w:i/>
              </w:rPr>
              <w:t>, visų pirma jaunimo ir pirmą katą balsuojančiųjų,</w:t>
            </w:r>
            <w:r>
              <w:t xml:space="preserve"> skaitmeninį atsparumą, didindami informuotumą apie gebėjimą naudotis žiniasklaidos priemonėmis, demokratines procedūras arba prisidėdami prie sveikų politinių diskusijų; </w:t>
            </w:r>
            <w:r>
              <w:rPr>
                <w:b/>
                <w:i/>
              </w:rPr>
              <w:t>tačiau dėl didėjančios priklausomybės nuo mokamo bendradarbiavimo ir remiamo turinio atsiranda pažeidžiamumas, todėl šis bendradarbiavimas turėtų būti skaidrus ir viešai skelbiamas, nes tokiais susitarimais gali būti naudojamasi siekiant skleisti žalingus, klaidinančius ar politiniu požiūriu manipuliacinius naratyvus;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kadangi nuomonės </w:t>
            </w:r>
            <w:r>
              <w:rPr>
                <w:b/>
                <w:i/>
              </w:rPr>
              <w:t>formuotojai</w:t>
            </w:r>
            <w:r>
              <w:t xml:space="preserve"> internete gali atlikti svarbų vaidmenį stiprinant mūsų visuomenės skaitmeninį atsparumą, didindami informuotumą apie gebėjimą naudotis žiniasklaidos priemonėmis, demokratines procedūras arba prisidėdami prie sveikų politinių diskusijų;</w:t>
            </w:r>
          </w:p>
        </w:tc>
        <w:tc>
          <w:tcPr>
            <w:tcW w:w="4876" w:type="dxa"/>
            <w:tcBorders>
              <w:top w:val="nil"/>
              <w:left w:val="nil"/>
              <w:bottom w:val="nil"/>
              <w:right w:val="nil"/>
            </w:tcBorders>
          </w:tcPr>
          <w:p>
            <w:pPr>
              <w:pStyle w:val="Normal6a"/>
            </w:pPr>
            <w:r>
              <w:t>M.</w:t>
            </w:r>
            <w:r>
              <w:tab/>
            </w:r>
            <w:r>
              <w:t xml:space="preserve">kadangi nuomonės </w:t>
            </w:r>
            <w:r>
              <w:rPr>
                <w:b/>
                <w:i/>
              </w:rPr>
              <w:t>formuotojais</w:t>
            </w:r>
            <w:r>
              <w:t xml:space="preserve"> internete </w:t>
            </w:r>
            <w:r>
              <w:rPr>
                <w:b/>
                <w:i/>
              </w:rPr>
              <w:t>gali būti naudojamasi kaip užsienio kišimosi priemone, kaip buvo Rumunijos prezidento rinkimų atveju;</w:t>
            </w:r>
            <w:r>
              <w:t xml:space="preserve"> </w:t>
            </w:r>
            <w:r>
              <w:rPr>
                <w:b/>
                <w:i/>
              </w:rPr>
              <w:t>kadangi vis dėlto jie</w:t>
            </w:r>
            <w:r>
              <w:t xml:space="preserve"> gali atlikti svarbų vaidmenį stiprinant mūsų visuomenės skaitmeninį atsparumą, didindami informuotumą apie gebėjimą naudotis žiniasklaidos priemonėmis, demokratines procedūras arba prisidėdami prie sveikų politinių diskusijų; </w:t>
            </w:r>
            <w:r>
              <w:rPr>
                <w:b/>
                <w:i/>
              </w:rPr>
              <w:t>kadangi bandoma nustatyti atsakingų nuomonės formuotojų internete standartus, pvz., Prancūzijoje Reklamos reguliavimo institucija išduoda atsakingos įtakos sertifikatus (pranc. Certificat de l’influence responsable);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kadangi nuomonės formuotojai internete gali atlikti svarbų vaidmenį stiprinant mūsų visuomenės skaitmeninį atsparumą, didindami informuotumą apie gebėjimą naudotis žiniasklaidos priemonėmis, demokratines procedūras arba prisidėdami prie sveikų politinių diskusijų;</w:t>
            </w:r>
          </w:p>
        </w:tc>
        <w:tc>
          <w:tcPr>
            <w:tcW w:w="4876" w:type="dxa"/>
            <w:tcBorders>
              <w:top w:val="nil"/>
              <w:left w:val="nil"/>
              <w:bottom w:val="nil"/>
              <w:right w:val="nil"/>
            </w:tcBorders>
          </w:tcPr>
          <w:p>
            <w:pPr>
              <w:pStyle w:val="Normal6a"/>
            </w:pPr>
            <w:r>
              <w:t>M.</w:t>
            </w:r>
            <w:r>
              <w:tab/>
            </w:r>
            <w:r>
              <w:t xml:space="preserve">kadangi nuomonės formuotojai internete gali atlikti svarbų vaidmenį stiprinant mūsų visuomenės skaitmeninį atsparumą, didindami informuotumą apie gebėjimą naudotis žiniasklaidos priemonėmis, demokratines procedūras arba prisidėdami prie sveikų politinių diskusijų; </w:t>
            </w:r>
            <w:r>
              <w:rPr>
                <w:b/>
                <w:i/>
              </w:rPr>
              <w:t>kadangi šių nuomonės formuotojų veikla taip pat turėtų būti atidžiai tikrinama, kai jie naudojasi savo skaitmeniniu poveikiu dezinformacijai skleisti arba kai nacionalinės vyriausybės juos samdo šališkai informacijai skleisti;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kadangi nuomonės formuotojai internete gali atlikti svarbų vaidmenį stiprinant mūsų visuomenės skaitmeninį atsparumą, didindami informuotumą apie gebėjimą naudotis žiniasklaidos priemonėmis, demokratines procedūras arba prisidėdami prie sveikų politinių diskusijų;</w:t>
            </w:r>
          </w:p>
        </w:tc>
        <w:tc>
          <w:tcPr>
            <w:tcW w:w="4876" w:type="dxa"/>
            <w:tcBorders>
              <w:top w:val="nil"/>
              <w:left w:val="nil"/>
              <w:bottom w:val="nil"/>
              <w:right w:val="nil"/>
            </w:tcBorders>
          </w:tcPr>
          <w:p>
            <w:pPr>
              <w:pStyle w:val="Normal6a"/>
            </w:pPr>
            <w:r>
              <w:t>M.</w:t>
            </w:r>
            <w:r>
              <w:tab/>
            </w:r>
            <w:r>
              <w:t xml:space="preserve">kadangi nuomonės formuotojai internete gali atlikti svarbų vaidmenį stiprinant mūsų visuomenės skaitmeninį atsparumą, didindami informuotumą apie gebėjimą naudotis žiniasklaidos priemonėmis, demokratines procedūras arba prisidėdami prie sveikų politinių diskusijų; </w:t>
            </w:r>
            <w:r>
              <w:rPr>
                <w:b/>
                <w:i/>
              </w:rPr>
              <w:t>kadangi norint skatinti nuomonės formuotojus internete propaguoti faktais grindžiamą, demokratiją skatinantį turinį reikia, kad interneto platformos taikytų skaidrias ir nuoseklias monetizavimo strategijas;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kadangi nuomonės formuotojai internete gali atlikti svarbų vaidmenį </w:t>
            </w:r>
            <w:r>
              <w:rPr>
                <w:b/>
                <w:i/>
              </w:rPr>
              <w:t>stiprinant mūsų visuomenės skaitmeninį atsparumą, didindami informuotumą apie gebėjimą naudotis žiniasklaidos priemonėmis, demokratines procedūras arba prisidėdami prie sveikų politinių diskusijų</w:t>
            </w:r>
            <w:r>
              <w:t>;</w:t>
            </w:r>
          </w:p>
        </w:tc>
        <w:tc>
          <w:tcPr>
            <w:tcW w:w="4876" w:type="dxa"/>
            <w:tcBorders>
              <w:top w:val="nil"/>
              <w:left w:val="nil"/>
              <w:bottom w:val="nil"/>
              <w:right w:val="nil"/>
            </w:tcBorders>
          </w:tcPr>
          <w:p>
            <w:pPr>
              <w:pStyle w:val="Normal6a"/>
            </w:pPr>
            <w:r>
              <w:t>M.</w:t>
            </w:r>
            <w:r>
              <w:tab/>
            </w:r>
            <w:r>
              <w:t>kadangi</w:t>
            </w:r>
            <w:r>
              <w:rPr>
                <w:b/>
                <w:i/>
              </w:rPr>
              <w:t> didindami informuotumą arba propaguodami politinį turinį</w:t>
            </w:r>
            <w:r>
              <w:t xml:space="preserve"> nuomonės formuotojai internete gali atlikti svarbų vaidmenį </w:t>
            </w:r>
            <w:r>
              <w:rPr>
                <w:b/>
                <w:i/>
              </w:rPr>
              <w:t>demokratiniuose procesuose ir politinėse diskusijose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kadangi politinio elito įtraukimas ir korumpavimas yra veiksminga taktika, kuria naudojasi piktavališki subjektai;</w:t>
            </w:r>
            <w:r>
              <w:t xml:space="preserve"> </w:t>
            </w:r>
            <w:r>
              <w:rPr>
                <w:b/>
                <w:i/>
              </w:rPr>
              <w:t>kadangi paskelbus kai kuriuos dokumentus, susijusius su nuteistu pedofilu Jeffrey Epsteinu, paaiškėjo, kad su juo susijusių aukšto rango Europos politikų sąrašas nėra baigtinis;</w:t>
            </w:r>
            <w:r>
              <w:t xml:space="preserve"> </w:t>
            </w:r>
            <w:r>
              <w:rPr>
                <w:b/>
                <w:i/>
              </w:rPr>
              <w:t>kadangi Jeffrey Epsteinas tariamai bendradarbiavo su užsienio slaptosiomis tarnybomis, įskaitant Rusijos slaptąją tarnybą;</w:t>
            </w:r>
            <w:r>
              <w:t xml:space="preserve"> </w:t>
            </w:r>
            <w:r>
              <w:rPr>
                <w:b/>
                <w:i/>
              </w:rPr>
              <w:t>kadangi didelė Europos politinio elito dalis gali būti sukompromituota, todėl Rusija ir kitos užsienio tarnybos gali ją šantažuoti;</w:t>
            </w:r>
            <w:r>
              <w:t xml:space="preserve"> </w:t>
            </w:r>
            <w:r>
              <w:rPr>
                <w:b/>
                <w:i/>
              </w:rPr>
              <w:t>kadangi būdamas Europos Tarybos generaliniu sekretoriumi Thorbjørnas Jaglandas pažadėjo padėti Jeffrey Epsteinui susitikti su Rusijos Sergejumi Lavrovu;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kadangi įvairūs nepriklausomi tyrimai parodė, kad algoritminės rekomendavimo sistemos pagrindinėse interneto platformose, įskaitant „X“, „TikTok“ ir „Instagram“, sistemingai išplėtė kraštutinių dešiniųjų pažiūrų, poliarizuojantį ar ekstremistinį politinį turinį rengiantis nacionaliniams rinkimams keliose valstybėse narėse, įskaitant Vokietiją, Lenkiją ir Rumuniją, ir taip neigiamai paveikė demokratinių politinių veikėjų matomumą;</w:t>
            </w:r>
            <w:r>
              <w:t xml:space="preserve"> </w:t>
            </w:r>
            <w:r>
              <w:rPr>
                <w:b/>
                <w:i/>
              </w:rPr>
              <w:t>kadangi tokie veiksmai daro tiesioginį ar netiesioginį poveikį rinkimų procesams ir demokratiniam dalyvavimui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kadangi bendradarbiavimo sistemos, pvz., savanoriški elgesio kodeksai, greitojo reagavimo mechanizmai ir neoficialus koordinavimas su platformomis, gali turėti de facto vykdymo užtikrinimo poveikį valstybėse narėse, net ir be nacionalinio įgyvendinimo ar vykdytinų nacionalinių įgaliojimų;</w:t>
            </w:r>
            <w:r>
              <w:t xml:space="preserve"> </w:t>
            </w:r>
            <w:r>
              <w:rPr>
                <w:b/>
                <w:i/>
              </w:rPr>
              <w:t>kadangi tokiam poveikiui užtikrinti būtinas skaidrumas, apibrėžtos ribos ir veiksmingos teisių gynimo priemonės;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kadangi aršaus politinio varžymosi painiojimas su „skaitmeniniu smurtu“ gali pakenkti teisėtai demokratinei valstybės pareigūnų ir politinių veikėjų kontrolei;</w:t>
            </w:r>
            <w:r>
              <w:t xml:space="preserve"> </w:t>
            </w:r>
            <w:r>
              <w:rPr>
                <w:b/>
                <w:i/>
              </w:rPr>
              <w:t>kadangi kovos su kišimusi priemonės ir toliau turi būti nukreiptos prieš neteisėtą turinį ir tikrai prievartinį elgesį, o ne į teisėtą kritiką ar nepritarimą;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kadangi Prancūzijos valdžios institucijos atskleidė su Rusijos dezinformacijos tinklu susijusią koordinuotą kampaniją, kurios metu Prezidentas Emmanuelis Macronas buvo melagingai siejamas su Epsteino skandalu;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M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kadangi tam tikrais projektais ir priemonėmis, kurie priskiriami prie kovos su dezinformacija pajėgumų, siekiama prevencinės stebėsenos ir išankstinės intervencijos, įskaitant užmojus neutralizuoti naratyvus prieš prasmingą jų sklaidą;</w:t>
            </w:r>
            <w:r>
              <w:t xml:space="preserve"> </w:t>
            </w:r>
            <w:r>
              <w:rPr>
                <w:b/>
                <w:i/>
              </w:rPr>
              <w:t>kadangi tokie metodai gali pereiti nuo kovos su manipuliavimu prie teisėto demokratinio diskurso valdymo;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kadangi 2024 m. rudens prezidento rinkimai Rumunijoje atskleidė didelį internetinės informacinės aplinkos pažeidžiamumą, o patikimi pranešimai rodo, kad konkretiems politiniams naratyvams propaguoti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 kadangi užsienio subjektų naudojimasis nuomonės formuotojais, įskaitant nano</w:t>
            </w:r>
            <w:r>
              <w:rPr>
                <w:b/>
                <w:i/>
              </w:rPr>
              <w:t>- ir mikronuomonės</w:t>
            </w:r>
            <w:r>
              <w:t xml:space="preserve"> formuotojus, dar labiau išryškina tai, kad nebrangūs, prastai matomi subjektai gali būti naudojami kaip ginklas siekiant išvengti aptikimo ir daryti įtaką viešajai nuomonei, pažeidžiant demokratines normas;</w:t>
            </w:r>
          </w:p>
        </w:tc>
        <w:tc>
          <w:tcPr>
            <w:tcW w:w="4876" w:type="dxa"/>
            <w:tcBorders>
              <w:top w:val="nil"/>
              <w:left w:val="nil"/>
              <w:bottom w:val="nil"/>
              <w:right w:val="nil"/>
            </w:tcBorders>
          </w:tcPr>
          <w:p>
            <w:pPr>
              <w:pStyle w:val="Normal6a"/>
            </w:pPr>
            <w:r>
              <w:t>N.</w:t>
            </w:r>
            <w:r>
              <w:tab/>
            </w:r>
            <w:r>
              <w:t xml:space="preserve">kadangi 2024 m. rudens prezidento rinkimai Rumunijoje atskleidė didelį internetinės informacinės aplinkos pažeidžiamumą, o patikimi pranešimai rodo, kad konkretiems politiniams naratyvams propaguoti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 kadangi užsienio subjektų naudojimasis nuomonės formuotojais, įskaitant nano </w:t>
            </w:r>
            <w:r>
              <w:rPr>
                <w:b/>
                <w:i/>
              </w:rPr>
              <w:t>ir mikro lygmenų nuomonės</w:t>
            </w:r>
            <w:r>
              <w:t xml:space="preserve"> formuotojus, dar labiau išryškina tai, kad nebrangūs, prastai matomi subjektai gali būti naudojami kaip ginklas siekiant išvengti aptikimo ir daryti įtaką viešajai nuomonei, pažeidžiant demokratines normas; </w:t>
            </w:r>
            <w:r>
              <w:rPr>
                <w:b/>
                <w:i/>
              </w:rPr>
              <w:t>kadangi iš įrodymų matyti, kad taikomi du pagrindiniai veiklos modeliai, t. y. koordinuotas manipuliavimas rekomendacijų algoritmais per sinchronizuotų paskyrų tinklus, kuriais sukuriamas dirbtinis srautas ir stiprinamos tendencijos, ir slaptas turinio kūrėjų, visų pirma nano ir mikro lygmenų nuomonės formuotojų, instrumentalizavimas taikant slaptus atlygio ar partnerystės metodus, kuriais siekiama išvengti skaidrumo ir susekimo;</w:t>
            </w:r>
            <w:r>
              <w:t xml:space="preserve"> </w:t>
            </w:r>
            <w:r>
              <w:rPr>
                <w:b/>
                <w:i/>
              </w:rPr>
              <w:t>kadangi ši praktika rodo, kaip pigūs, mažai matomi subjektai ir techninių platformų dinamika gali būti naudojami kaip ginklas siekiant daryti įtaką viešajai nuomonei ir apeiti demokratines apsaugos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kadangi 2024 m. rudens prezidento rinkimai Rumunijoje atskleidė didelį internetinės informacinės aplinkos pažeidžiamumą, o patikimi pranešimai rodo, kad konkretiems politiniams naratyvams propaguoti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 kadangi užsienio subjektų naudojimasis nuomonės formuotojais, įskaitant nano</w:t>
            </w:r>
            <w:r>
              <w:rPr>
                <w:b/>
                <w:i/>
              </w:rPr>
              <w:t>- ir mikronuomonės</w:t>
            </w:r>
            <w:r>
              <w:t xml:space="preserve"> formuotojus, dar labiau išryškina tai, kad nebrangūs, prastai matomi subjektai gali būti naudojami kaip ginklas siekiant išvengti aptikimo ir daryti įtaką viešajai nuomonei, pažeidžiant demokratines normas;</w:t>
            </w:r>
          </w:p>
        </w:tc>
        <w:tc>
          <w:tcPr>
            <w:tcW w:w="4876" w:type="dxa"/>
            <w:tcBorders>
              <w:top w:val="nil"/>
              <w:left w:val="nil"/>
              <w:bottom w:val="nil"/>
              <w:right w:val="nil"/>
            </w:tcBorders>
          </w:tcPr>
          <w:p>
            <w:pPr>
              <w:pStyle w:val="Normal6a"/>
            </w:pPr>
            <w:r>
              <w:t>N.</w:t>
            </w:r>
            <w:r>
              <w:tab/>
            </w:r>
            <w:r>
              <w:t xml:space="preserve">kadangi 2024 m. rudens prezidento rinkimai Rumunijoje atskleidė didelį internetinės informacinės aplinkos pažeidžiamumą, o patikimi pranešimai rodo, kad konkretiems politiniams naratyvams propaguoti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 kadangi užsienio subjektų naudojimasis nuomonės formuotojais, įskaitant nano </w:t>
            </w:r>
            <w:r>
              <w:rPr>
                <w:b/>
                <w:i/>
              </w:rPr>
              <w:t>ir mikro lygmenų nuomonės</w:t>
            </w:r>
            <w:r>
              <w:t xml:space="preserve"> formuotojus, dar labiau išryškina tai, kad nebrangūs, prastai matomi subjektai gali būti naudojami kaip ginklas siekiant išvengti aptikimo ir daryti įtaką viešajai nuomonei, pažeidžiant demokratines normas; </w:t>
            </w:r>
            <w:r>
              <w:rPr>
                <w:b/>
                <w:i/>
              </w:rPr>
              <w:t>kadangi tokių problemų sprendimas neturi būti naudojamas kaip bet kokios formos saviraiškos laisvės ir pliuralizmo apribojimo arba nepagrįsto teisėto interneto platformų veikimo apribojimo pateisinimas;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kadangi 2024 m. rudens prezidento rinkimai Rumunijoje atskleidė didelį internetinės informacinės aplinkos pažeidžiamumą, o </w:t>
            </w:r>
            <w:r>
              <w:rPr>
                <w:b/>
                <w:i/>
              </w:rPr>
              <w:t>patikimi</w:t>
            </w:r>
            <w:r>
              <w:t xml:space="preserve"> pranešimai rodo, kad konkretiems politiniams naratyvams propaguoti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 kadangi užsienio subjektų naudojimasis nuomonės formuotojais, įskaitant nano</w:t>
            </w:r>
            <w:r>
              <w:rPr>
                <w:b/>
                <w:i/>
              </w:rPr>
              <w:t>- ir mikronuomonės</w:t>
            </w:r>
            <w:r>
              <w:t xml:space="preserve"> formuotojus, dar labiau išryškina tai, kad nebrangūs, prastai matomi subjektai gali būti naudojami kaip ginklas siekiant išvengti aptikimo ir daryti įtaką viešajai nuomonei, pažeidžiant demokratines normas;</w:t>
            </w:r>
          </w:p>
        </w:tc>
        <w:tc>
          <w:tcPr>
            <w:tcW w:w="4876" w:type="dxa"/>
            <w:tcBorders>
              <w:top w:val="nil"/>
              <w:left w:val="nil"/>
              <w:bottom w:val="nil"/>
              <w:right w:val="nil"/>
            </w:tcBorders>
          </w:tcPr>
          <w:p>
            <w:pPr>
              <w:pStyle w:val="Normal6a"/>
            </w:pPr>
            <w:r>
              <w:t>N.</w:t>
            </w:r>
            <w:r>
              <w:tab/>
            </w:r>
            <w:r>
              <w:t xml:space="preserve">kadangi </w:t>
            </w:r>
            <w:r>
              <w:rPr>
                <w:b/>
                <w:i/>
              </w:rPr>
              <w:t>įtariama, kad</w:t>
            </w:r>
            <w:r>
              <w:t xml:space="preserve"> 2024 m. rudens prezidento rinkimai Rumunijoje atskleidė didelį internetinės informacinės aplinkos pažeidžiamumą, o pranešimai rodo, kad konkretiems politiniams naratyvams propaguoti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 kadangi užsienio subjektų naudojimasis nuomonės formuotojais, įskaitant nano </w:t>
            </w:r>
            <w:r>
              <w:rPr>
                <w:b/>
                <w:i/>
              </w:rPr>
              <w:t>ir mikro lygmenų nuomonės</w:t>
            </w:r>
            <w:r>
              <w:t xml:space="preserve"> formuotojus, dar labiau išryškina tai, kad nebrangūs, prastai matomi subjektai gali būti naudojami kaip ginklas siekiant išvengti aptikimo ir daryti įtaką viešajai nuomonei, pažeidžiant demokratines normas; </w:t>
            </w:r>
            <w:r>
              <w:rPr>
                <w:b/>
                <w:i/>
              </w:rPr>
              <w:t>kadangi turimi įrodymai tebėra ginčytini arba neišsamūs;</w:t>
            </w:r>
            <w:r>
              <w:t xml:space="preserve"> </w:t>
            </w:r>
            <w:r>
              <w:rPr>
                <w:b/>
                <w:i/>
              </w:rPr>
              <w:t>kadangi tokios situacijos rodo, kad prieš darant politines išvadas reikia taikyti griežtus, skaidrius ir patikrinamus įrodymų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kadangi 2024 m. rudens prezidento rinkimai Rumunijoje atskleidė didelį internetinės informacinės aplinkos pažeidžiamumą, o patikimi pranešimai rodo, kad konkretiems politiniams naratyvams propaguoti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 kadangi užsienio subjektų naudojimasis nuomonės formuotojais, įskaitant nano</w:t>
            </w:r>
            <w:r>
              <w:rPr>
                <w:b/>
                <w:i/>
              </w:rPr>
              <w:t>- ir mikronuomonės</w:t>
            </w:r>
            <w:r>
              <w:t xml:space="preserve"> formuotojus, dar labiau išryškina tai, kad nebrangūs, prastai matomi subjektai gali būti naudojami kaip ginklas siekiant išvengti aptikimo ir daryti įtaką viešajai nuomonei, pažeidžiant demokratines normas;</w:t>
            </w:r>
          </w:p>
        </w:tc>
        <w:tc>
          <w:tcPr>
            <w:tcW w:w="4876" w:type="dxa"/>
            <w:tcBorders>
              <w:top w:val="nil"/>
              <w:left w:val="nil"/>
              <w:bottom w:val="nil"/>
              <w:right w:val="nil"/>
            </w:tcBorders>
          </w:tcPr>
          <w:p>
            <w:pPr>
              <w:pStyle w:val="Normal6a"/>
            </w:pPr>
            <w:r>
              <w:t>N.</w:t>
            </w:r>
            <w:r>
              <w:tab/>
            </w:r>
            <w:r>
              <w:t xml:space="preserve">kadangi 2024 m. rudens prezidento rinkimai Rumunijoje atskleidė didelį internetinės informacinės aplinkos pažeidžiamumą, o patikimi pranešimai rodo, kad konkretiems politiniams naratyvams propaguoti </w:t>
            </w:r>
            <w:r>
              <w:rPr>
                <w:b/>
                <w:i/>
              </w:rPr>
              <w:t>ir konkurencijai rinkimuose paveikti</w:t>
            </w:r>
            <w:r>
              <w:t xml:space="preserve"> plačiai naudojamos netikros paskyros, interneto botai ir algoritmais sureikšminamas turinys; kadangi „TikTok“, viena iš labiausiai jaunų rinkėjų naudojamų platformų, teigė užblokavusi daugiau kaip 116 000 brukalui skirtų paskyrų sukūrimą ir pašalinusi 59 000 netikrų paskyrų po rinkimų</w:t>
            </w:r>
            <w:r>
              <w:rPr>
                <w:b/>
                <w:i/>
              </w:rPr>
              <w:t>, o tai rodo koordinuoto neautentiško elgesio mastą ir nepakankamą reaktyvių platformų priemonių taikymą rinkimų laikotarpiu</w:t>
            </w:r>
            <w:r>
              <w:t xml:space="preserve">; kadangi užsienio subjektų naudojimasis nuomonės formuotojais, įskaitant nano </w:t>
            </w:r>
            <w:r>
              <w:rPr>
                <w:b/>
                <w:i/>
              </w:rPr>
              <w:t>ir mikro lygmenų nuomonės</w:t>
            </w:r>
            <w:r>
              <w:t xml:space="preserve"> formuotojus, dar labiau išryškina tai, kad nebrangūs, prastai matomi subjektai gali būti </w:t>
            </w:r>
            <w:r>
              <w:rPr>
                <w:b/>
                <w:i/>
              </w:rPr>
              <w:t>sąmoningai</w:t>
            </w:r>
            <w:r>
              <w:t xml:space="preserve"> naudojami kaip ginklas siekiant išvengti aptikimo ir daryti įtaką viešajai nuomonei, pažeidžiant </w:t>
            </w:r>
            <w:r>
              <w:rPr>
                <w:b/>
                <w:i/>
              </w:rPr>
              <w:t>pagrindines</w:t>
            </w:r>
            <w:r>
              <w:t xml:space="preserve"> demokratines normas;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kadangi 2024 m. rudens prezidento rinkimai Rumunijoje atskleidė </w:t>
            </w:r>
            <w:r>
              <w:rPr>
                <w:b/>
                <w:i/>
              </w:rPr>
              <w:t>didelį</w:t>
            </w:r>
            <w:r>
              <w:t xml:space="preserve"> internetinės informacinės aplinkos pažeidžiamumą, o </w:t>
            </w:r>
            <w:r>
              <w:rPr>
                <w:b/>
                <w:i/>
              </w:rPr>
              <w:t>patikimi pranešimai rodo</w:t>
            </w:r>
            <w:r>
              <w:t xml:space="preserve">, kad konkretiems politiniams naratyvams propaguoti plačiai naudojamos netikros paskyros, interneto botai ir algoritmais sureikšminamas turinys; kadangi </w:t>
            </w:r>
            <w:r>
              <w:rPr>
                <w:b/>
                <w:i/>
              </w:rPr>
              <w:t>„TikTok“, viena iš labiausiai jaunų rinkėjų naudojamų platformų, teigė užblokavusi daugiau kaip 116 000 brukalui skirtų paskyrų sukūrimą ir pašalinusi 59 000 netikrų paskyrų po rinkimų;</w:t>
            </w:r>
            <w:r>
              <w:t xml:space="preserve"> </w:t>
            </w:r>
            <w:r>
              <w:rPr>
                <w:b/>
                <w:i/>
              </w:rPr>
              <w:t>kadangi užsienio</w:t>
            </w:r>
            <w:r>
              <w:t xml:space="preserve"> subjektų naudojimasis nuomonės formuotojais, įskaitant nano</w:t>
            </w:r>
            <w:r>
              <w:rPr>
                <w:b/>
                <w:i/>
              </w:rPr>
              <w:t>- ir mikronuomonės</w:t>
            </w:r>
            <w:r>
              <w:t xml:space="preserve"> formuotojus, dar labiau išryškina tai, kad nebrangūs, prastai matomi subjektai gali būti naudojami kaip ginklas siekiant išvengti aptikimo ir daryti įtaką viešajai nuomonei, </w:t>
            </w:r>
            <w:r>
              <w:rPr>
                <w:b/>
                <w:i/>
              </w:rPr>
              <w:t>pažeidžiant demokratines normas</w:t>
            </w:r>
            <w:r>
              <w:t>;</w:t>
            </w:r>
          </w:p>
        </w:tc>
        <w:tc>
          <w:tcPr>
            <w:tcW w:w="4876" w:type="dxa"/>
            <w:tcBorders>
              <w:top w:val="nil"/>
              <w:left w:val="nil"/>
              <w:bottom w:val="nil"/>
              <w:right w:val="nil"/>
            </w:tcBorders>
          </w:tcPr>
          <w:p>
            <w:pPr>
              <w:pStyle w:val="Normal6a"/>
            </w:pPr>
            <w:r>
              <w:t>N.</w:t>
            </w:r>
            <w:r>
              <w:tab/>
            </w:r>
            <w:r>
              <w:t xml:space="preserve">kadangi 2024 m. rudens prezidento rinkimai Rumunijoje atskleidė internetinės informacinės aplinkos pažeidžiamumą, o </w:t>
            </w:r>
            <w:r>
              <w:rPr>
                <w:b/>
                <w:i/>
              </w:rPr>
              <w:t>iš pranešimų matyti</w:t>
            </w:r>
            <w:r>
              <w:t xml:space="preserve">, kad konkretiems politiniams naratyvams propaguoti plačiai naudojamos netikros paskyros, interneto botai ir algoritmais sureikšminamas turinys; kadangi </w:t>
            </w:r>
            <w:r>
              <w:rPr>
                <w:b/>
                <w:i/>
              </w:rPr>
              <w:t>trečiųjų šalių</w:t>
            </w:r>
            <w:r>
              <w:t xml:space="preserve"> subjektų naudojimasis nuomonės formuotojais, įskaitant nano </w:t>
            </w:r>
            <w:r>
              <w:rPr>
                <w:b/>
                <w:i/>
              </w:rPr>
              <w:t>ir mikro lygmenų nuomonės</w:t>
            </w:r>
            <w:r>
              <w:t xml:space="preserve"> formuotojus, dar labiau išryškina tai, kad nebrangūs, prastai matomi subjektai gali būti naudojami kaip ginklas siekiant išvengti aptikimo ir daryti įtaką viešajai nuomonei, </w:t>
            </w:r>
            <w:r>
              <w:rPr>
                <w:b/>
                <w:i/>
              </w:rPr>
              <w:t>atsižvelgiant į asmenų ir (arba) subjektų, kurie jiems moka tiesiogiai arba per subjektų grandinę (įskaitant mokėjimus natūra ar kitą naudą ir pranašumus) interesus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JAV Atstovų Rūmų (kuriuose Respublikonai turi daugumą) Teismų komiteto teigimu, iš naujai gauti nevieši dokumentai kelia abejonių dėl įtarimų dėl Rusijos kišimosi, dėl kurio Rumunijos teismas 2024 m. prezidento rinkimų rezultatus paskelbė negaliojančiais;</w:t>
            </w:r>
            <w:r>
              <w:rPr>
                <w:b/>
                <w:i/>
              </w:rPr>
              <w:t>bendrovė „TikTok“ pranešė Europos Komisijai, kad nerado „jokių įrodymų“ apie koordinuotą Rusijos kampaniją, kuria siekiama sudaryti palankesnes sąlygas laimėjusiam kandidatui Calinui Georgescu (tai buvo pagrindinis Rumunijos valdžios institucijų kaltinimas), ir informavo Rumunijos valdžios institucijas apie šią išvadą;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Nuo to laiko vieša informacija atskleidė, kad tariamą Rusijos kampaniją „TikTok“ iš tikrųjų finansavo kita Rumunijos politinė partija</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https://x.com/JudiciaryGOP/status/2018683758006665352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kadangi 2023 m. Lenkijoje vykusius parlamento rinkimus ir 2025 m. prezidento rinkimus paveikė Rusijos Federacijos kišimasis, taip pat neskaidrūs ES institucijų ir kitų valstybių kontroliuojamų subjektų, įskaitant konkrečias politines jėgas remiančius fondus, veiksmai;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kadangi už rinkimų organizavimą ir priežiūrą atsakingos valstybės narės;</w:t>
            </w:r>
            <w:r>
              <w:t xml:space="preserve"> </w:t>
            </w:r>
            <w:r>
              <w:rPr>
                <w:b/>
                <w:i/>
              </w:rPr>
              <w:t>kadangi bet koks Sąjungos dalyvavimo išplėtimas, neapsiribojant pagalbiniu vaidmeniu, gali pakenkti nacionaliniam demokratiniam suverenumui ir kompetencijos suteikimo principui;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kadangi JAV įsikūrę technologijų oligarchai ir kraštutinių dešiniųjų tinklai propaguoja kraštutines dešiniąsias ir prieš ES nukreiptas partijas;</w:t>
            </w:r>
            <w:r>
              <w:t xml:space="preserve"> </w:t>
            </w:r>
            <w:r>
              <w:rPr>
                <w:b/>
                <w:i/>
              </w:rPr>
              <w:t>kadangi Paveldo fondas ir jo sąjungininkai aptarė ES išardymo strategijas;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Europos Tarybos Venecijos komisija paragino elgtis labai atsargiai anuliuojant rinkimus;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vien tai, kad kandidatui pavyksta surengti internetinę kampaniją ir kad socialinės žiniasklaidos naudojimas gali sustiprinti jo žinią labiau, nei tai leidžia spausdintinėje ir audiovizualinėje žiniasklaidoje, nereiškia, kad jis pažeidė kampanijos finansavimo ir skaidrumo taisykles ir taip įgijo nepagrįstą pranašumą;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kadangi daug svarbių dešiniosios pakraipos nuomonės formuotojų, įskaitant Timą Poolą, Dave Rubiną ir Benny Johnsoną, buvo apkaltinti tuo, kad iš Rusijos valstybinės žiniasklaidos gavo beveik 10 mln. JAV dolerių mainais už prorusiško naratyvo, įskaitant susijusį su karu Ukrainoje, propagavimą;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kadangi Rusijos Federacija per platformą „Telegram“ užverbavo ir apmokėjo sabotažo grupes, kurioms pavesta skleisti vulgarius šūkius internete ir viešojoje erdvėje, nukreiptus prieš konservatyvią, antirusišką vyriausybę, kaip nustatyta galutiniuose teismo sprendimuose;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kadangi po to, kai 2024 m. gruodžio 6 d. buvo beprecedenčiai anuliuotas pirmasis Rumunijos prezidento rinkimų turas, 2025 m. sausio 9 d. Komisijos nario Thierry Bretono padarytas pareiškimas („mes tai padarėme Rumunijoje ir, žinoma, prireikus turėsime tai padaryti Vokietijoje“) teisėtai sukrėtė daugelį Europos piliečių;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Vokietijoje parlamento rinkimai vyko 2025 m. vasario 23 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kadangi ES institucijos taip pat neteisėtai piktnaudžiavo savo kompetencija sustabdydamos teisėtai priklausančių lėšų skyrimą Lenkijai ir jas išmokėdamos iš karto po to, kai pradėjo dirbti politiškai joms artima vyriausybė, nepasikeitus taikytinai teisinei sistemai ir nepaisant nuolatinių veiksmų, kuriais kenkiama demokratiniams standartams;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kadangi 2025 m. bendrovė „Google“ pašalino beveik 11 000 „YouTube“ kanalų ir kitų paskyrų, susijusių su Kinijos, Rusijos ir kitų piktavališkų subjektų vadovaujamomis ir valstybės remiamomis propagandos kampanijomis;</w:t>
            </w:r>
            <w:r>
              <w:t xml:space="preserve"> </w:t>
            </w:r>
            <w:r>
              <w:rPr>
                <w:b/>
                <w:i/>
              </w:rPr>
              <w:t>kadangi tokių veiksmų turėtų būti sistemingiau imamasi visose interneto platformose, kad būtų išlaikytas interneto erdvės vientisumas;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kadangi nevyriausybinės organizacijos ir valstybės kontroliuojami fondai neskaidriai ir dažnai neteisėtai teikė finansinę paramą veiklai, atvirai nukreiptai prieš demokratiškai išrinktą Lenkijos vyriausybę;</w:t>
            </w:r>
            <w:r>
              <w:t xml:space="preserve"> </w:t>
            </w:r>
            <w:r>
              <w:rPr>
                <w:b/>
                <w:i/>
              </w:rPr>
              <w:t>kadangi panašūs veiksmai taip pat buvo vykdomi per pastarąją prezidento rinkimų kampaniją, kai užsienio subjektai finansavo socialinės tinklų kampanijas, nukreiptas prieš konservatyvių pažiūrų kandidatą;</w:t>
            </w:r>
            <w:r>
              <w:t xml:space="preserve"> </w:t>
            </w:r>
            <w:r>
              <w:rPr>
                <w:b/>
                <w:i/>
              </w:rPr>
              <w:t>kadangi turiniu, kuris buvo pristatytas kaip „rinkėjų aktyvumą skatinančios kampanijos“, buvo siekiama platinti vulgarią ir šmeižikišką medžiagą, kad rinkėjai neberemtų konservatyvaus kandidato;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kadangi bendrovėms „AWS“, „Microsoft“ ir „Google“ tenka apie 70 proc. už debesijos paslaugas Europoje gaunamų pajamų;</w:t>
            </w:r>
            <w:r>
              <w:t xml:space="preserve"> </w:t>
            </w:r>
            <w:r>
              <w:rPr>
                <w:b/>
                <w:i/>
              </w:rPr>
              <w:t>kadangi manoma, kad bent ketvirtadalis labai didelių interneto platformų grynųjų pajamų gaunama iš Europos;</w:t>
            </w:r>
            <w:r>
              <w:t xml:space="preserve"> </w:t>
            </w:r>
            <w:r>
              <w:rPr>
                <w:b/>
                <w:i/>
              </w:rPr>
              <w:t>kadangi vien bendrovės „Meta“ pasaulinės grynosios pajamos sudaro apie 60 mlrd. EUR, tačiau į nepriklausomus faktų tikrintojus Europoje ji investuoja tik apie 25 mln. EUR (0,04 proc.);</w:t>
            </w:r>
            <w:r>
              <w:t xml:space="preserve"> </w:t>
            </w:r>
            <w:r>
              <w:rPr>
                <w:b/>
                <w:i/>
              </w:rPr>
              <w:t>kadangi bendruomenės pastabos yra naudinga priemonė, tačiau ji negali pakeisti nepriklausomų faktų tikrintojų, ypač prieštaringais klausimais, kai bendruomenė dažnai remiasi ne faktais, o dideliu šališkumu;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N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kadangi Komisija išreiškė norą SPA vardu kištis į rinkimus ne Europos šalyse, kaip rodo Komisijos nario Thierry Bretono 2024 m. rugpjūčio 12 d. laiškas, kuriuo JAV platformai „X“ grasinama reguliavimo sankcijomis už tiesioginį interviu su prezidentu D. Trumpu, vykusį JAV teritorijoje 2024 m. rugpjūčio mėn.;</w:t>
            </w:r>
            <w:r>
              <w:t xml:space="preserve"> </w:t>
            </w:r>
            <w:r>
              <w:rPr>
                <w:b/>
                <w:i/>
              </w:rPr>
              <w:t>šią neįtikėtiną situaciją papildė jos susiejimas su riaušėmis, įvykusiomis kitoje ES nepriklausančioje užsienio šalyje (JK);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kadangi pranešimų platforma „Telegram“, kurios naudotojų bazė ES didėja, </w:t>
            </w:r>
            <w:r>
              <w:rPr>
                <w:b/>
                <w:i/>
              </w:rPr>
              <w:t>vis dažniau įvardijama kaip dezinformacijos, užsienio šalių kišimosi ir neteisėtos veiklos, įskaitant ekstremistinio turinio sklaidą ir neatsekamą</w:t>
            </w:r>
            <w:r>
              <w:t xml:space="preserve"> politinę </w:t>
            </w:r>
            <w:r>
              <w:rPr>
                <w:b/>
                <w:i/>
              </w:rPr>
              <w:t>propagandą, kanalas</w:t>
            </w:r>
            <w:r>
              <w:t xml:space="preserve">; kadangi </w:t>
            </w:r>
            <w:r>
              <w:rPr>
                <w:b/>
                <w:i/>
              </w:rPr>
              <w:t>jos kilmė Rusijoje ir reikšmingo turinio moderavimo trūkumas kelia nuolatinį susirūpinimą dėl jos vaidmens kenkiant demokratiniam diskursui;</w:t>
            </w:r>
            <w:r>
              <w:t xml:space="preserve"> </w:t>
            </w:r>
            <w:r>
              <w:rPr>
                <w:b/>
                <w:i/>
              </w:rPr>
              <w:t>kadangi platforma</w:t>
            </w:r>
            <w:r>
              <w:t xml:space="preserve"> „Telegram“ </w:t>
            </w:r>
            <w:r>
              <w:rPr>
                <w:b/>
                <w:i/>
              </w:rPr>
              <w:t>tapo viena iš pagrindinių kanalų „vienkartinio naudojimo agentams“ įdarbinti ir hibridinėms operacijoms vykdyti;</w:t>
            </w:r>
            <w:r>
              <w:t xml:space="preserve"> </w:t>
            </w:r>
            <w:r>
              <w:rPr>
                <w:b/>
                <w:i/>
              </w:rPr>
              <w:t>kadangi nustatyta, kad piktavališki valstybiniai subjektai naudojasi</w:t>
            </w:r>
            <w:r>
              <w:t xml:space="preserve"> platformos </w:t>
            </w:r>
            <w:r>
              <w:rPr>
                <w:b/>
                <w:i/>
              </w:rPr>
              <w:t>„Telegram“ naudotojų, ypač jaunimo, technologiniais įgūdžiais, finansiniais poreikiais ir naivumu, kad mažiausiomis sąnaudomis atliktų šnipinėjimo ir sabotažo operacijas, kartu išlaikydami patikimą neigimą</w:t>
            </w:r>
            <w:r>
              <w:t xml:space="preserve">; </w:t>
            </w:r>
            <w:r>
              <w:rPr>
                <w:b/>
                <w:i/>
              </w:rPr>
              <w:t>kadangi iš ataskaitų matyti, kad platforma „Telegram“ atitinka naudotojų ribą, kad pagal Skaitmeninių paslaugų aktą būtų klasifikuojama kaip labai didelė interneto platforma, todėl jai taikomi griežtesni reguliavimo įpareigojimai ir rizikos mažinimo reikalavimai;</w:t>
            </w:r>
          </w:p>
        </w:tc>
        <w:tc>
          <w:tcPr>
            <w:tcW w:w="4876" w:type="dxa"/>
            <w:tcBorders>
              <w:top w:val="nil"/>
              <w:left w:val="nil"/>
              <w:bottom w:val="nil"/>
              <w:right w:val="nil"/>
            </w:tcBorders>
          </w:tcPr>
          <w:p>
            <w:pPr>
              <w:pStyle w:val="Normal6a"/>
            </w:pPr>
            <w:r>
              <w:t>O.</w:t>
            </w:r>
            <w:r>
              <w:tab/>
            </w:r>
            <w:r>
              <w:t xml:space="preserve">kadangi pranešimų platforma „Telegram“, kurios naudotojų bazė ES didėja, </w:t>
            </w:r>
            <w:r>
              <w:rPr>
                <w:b/>
                <w:i/>
              </w:rPr>
              <w:t>ir toliau yra tvirtai nusistačiusi prieš</w:t>
            </w:r>
            <w:r>
              <w:t xml:space="preserve"> politinę </w:t>
            </w:r>
            <w:r>
              <w:rPr>
                <w:b/>
                <w:i/>
              </w:rPr>
              <w:t>cenzūrą</w:t>
            </w:r>
            <w:r>
              <w:t xml:space="preserve">; kadangi „Telegram“ </w:t>
            </w:r>
            <w:r>
              <w:rPr>
                <w:b/>
                <w:i/>
              </w:rPr>
              <w:t>įkūrėjas ir generalinis direktorius Pavelas Durovas apkaltino Prancūzijos žvalgybos tarnybas bandymu kištis į</w:t>
            </w:r>
            <w:r>
              <w:t xml:space="preserve"> platformos </w:t>
            </w:r>
            <w:r>
              <w:rPr>
                <w:b/>
                <w:i/>
              </w:rPr>
              <w:t>veiklą vykstant rinkimams Rumunijoje ir Moldovoje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kadangi </w:t>
            </w:r>
            <w:r>
              <w:rPr>
                <w:b/>
                <w:i/>
              </w:rPr>
              <w:t>pranešimų platforma</w:t>
            </w:r>
            <w:r>
              <w:t xml:space="preserve"> „Telegram“</w:t>
            </w:r>
            <w:r>
              <w:rPr>
                <w:b/>
                <w:i/>
              </w:rPr>
              <w:t>, kurios naudotojų bazė ES didėja, vis dažniau įvardijama kaip dezinformacijos, užsienio šalių kišimosi ir neteisėtos veiklos, įskaitant ekstremistinio turinio sklaidą ir neatsekamą politinę propagandą, kanalas</w:t>
            </w:r>
            <w:r>
              <w:t>; kadangi jos kilmė Rusijoje ir reikšmingo turinio moderavimo trūkumas kelia nuolatinį susirūpinimą dėl jos vaidmens kenkiant demokratiniam diskursui</w:t>
            </w:r>
            <w:r>
              <w:rPr>
                <w:b/>
                <w:i/>
              </w:rPr>
              <w:t>;</w:t>
            </w:r>
            <w:r>
              <w:t xml:space="preserve"> </w:t>
            </w:r>
            <w:r>
              <w:rPr>
                <w:b/>
                <w:i/>
              </w:rPr>
              <w:t>kadangi platforma „Telegram“ tapo viena iš pagrindinių kanalų „vienkartinio naudojimo agentams“ įdarbinti ir hibridinėms operacijoms vykdyti;</w:t>
            </w:r>
            <w:r>
              <w:t xml:space="preserve"> </w:t>
            </w:r>
            <w:r>
              <w:rPr>
                <w:b/>
                <w:i/>
              </w:rPr>
              <w:t>kadangi nustatyta, kad piktavališki valstybiniai subjektai naudojasi platformos „Telegram“ naudotojų, ypač jaunimo, technologiniais įgūdžiais, finansiniais poreikiais ir naivumu, kad mažiausiomis sąnaudomis atliktų šnipinėjimo ir sabotažo operacijas, kartu išlaikydami patikimą neigimą</w:t>
            </w:r>
            <w:r>
              <w:t>; kadangi iš ataskaitų matyti, kad platforma „Telegram“ atitinka naudotojų ribą, kad pagal Skaitmeninių paslaugų aktą būtų klasifikuojama kaip labai didelė interneto platforma, todėl jai taikomi griežtesni reguliavimo įpareigojimai ir rizikos mažinimo reikalavimai;</w:t>
            </w:r>
          </w:p>
        </w:tc>
        <w:tc>
          <w:tcPr>
            <w:tcW w:w="4876" w:type="dxa"/>
            <w:tcBorders>
              <w:top w:val="nil"/>
              <w:left w:val="nil"/>
              <w:bottom w:val="nil"/>
              <w:right w:val="nil"/>
            </w:tcBorders>
          </w:tcPr>
          <w:p>
            <w:pPr>
              <w:pStyle w:val="Normal6a"/>
            </w:pPr>
            <w:r>
              <w:t>O.</w:t>
            </w:r>
            <w:r>
              <w:tab/>
            </w:r>
            <w:r>
              <w:t xml:space="preserve">kadangi „Telegram“ </w:t>
            </w:r>
            <w:r>
              <w:rPr>
                <w:b/>
                <w:i/>
              </w:rPr>
              <w:t>dėl savo šifruoto ir atviro pobūdžio, kuriuo sudaromos sąlygos saugiam ir laisvam informacijos srautui, tapo svarbiu ryšių ir keitimosi informacija kanalu</w:t>
            </w:r>
            <w:r>
              <w:t>; kadangi jos kilmė Rusijoje ir reikšmingo turinio moderavimo trūkumas kelia nuolatinį susirūpinimą dėl jos vaidmens kenkiant demokratiniam diskursui; kadangi iš ataskaitų matyti, kad platforma „Telegram“ atitinka naudotojų ribą, kad pagal Skaitmeninių paslaugų aktą būtų klasifikuojama kaip labai didelė interneto platforma, todėl jai taikomi griežtesni reguliavimo įpareigojimai ir rizikos mažinimo reikalavimai;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kadangi pranešimų platforma „Telegram“, kurios naudotojų bazė ES didėja, vis dažniau įvardijama kaip dezinformacijos, užsienio šalių kišimosi ir neteisėtos veiklos, įskaitant ekstremistinio turinio sklaidą ir neatsekamą politinę propagandą, kanalas; kadangi jos kilmė Rusijoje ir reikšmingo turinio moderavimo trūkumas kelia nuolatinį susirūpinimą dėl jos vaidmens kenkiant demokratiniam diskursui; kadangi platforma „Telegram“ tapo viena iš pagrindinių kanalų „vienkartinio naudojimo agentams“ įdarbinti ir hibridinėms operacijoms vykdyti; kadangi nustatyta, kad piktavališki valstybiniai subjektai naudojasi platformos „Telegram“ naudotojų, ypač jaunimo, technologiniais įgūdžiais, finansiniais poreikiais ir naivumu, kad mažiausiomis sąnaudomis atliktų šnipinėjimo ir sabotažo operacijas, kartu išlaikydami patikimą neigimą; kadangi iš ataskaitų matyti, kad platforma „Telegram“ atitinka naudotojų ribą, kad pagal Skaitmeninių paslaugų aktą būtų klasifikuojama kaip labai didelė interneto platforma, todėl jai taikomi griežtesni reguliavimo įpareigojimai ir rizikos mažinimo reikalavimai;</w:t>
            </w:r>
          </w:p>
        </w:tc>
        <w:tc>
          <w:tcPr>
            <w:tcW w:w="4876" w:type="dxa"/>
            <w:tcBorders>
              <w:top w:val="nil"/>
              <w:left w:val="nil"/>
              <w:bottom w:val="nil"/>
              <w:right w:val="nil"/>
            </w:tcBorders>
          </w:tcPr>
          <w:p>
            <w:pPr>
              <w:pStyle w:val="Normal6a"/>
            </w:pPr>
            <w:r>
              <w:t>O.</w:t>
            </w:r>
            <w:r>
              <w:tab/>
            </w:r>
            <w:r>
              <w:t xml:space="preserve">kadangi pranešimų platforma „Telegram“, kurios naudotojų bazė ES didėja, vis dažniau įvardijama kaip dezinformacijos, užsienio šalių kišimosi ir neteisėtos veiklos, įskaitant ekstremistinio turinio sklaidą ir neatsekamą politinę propagandą, kanalas; kadangi jos kilmė Rusijoje ir reikšmingo turinio moderavimo trūkumas kelia nuolatinį susirūpinimą dėl jos vaidmens kenkiant demokratiniam diskursui; kadangi platforma „Telegram“ tapo viena iš pagrindinių kanalų „vienkartinio naudojimo agentams“ įdarbinti ir hibridinėms operacijoms vykdyti; kadangi nustatyta, kad piktavališki valstybiniai subjektai naudojasi platformos „Telegram“ naudotojų, ypač jaunimo, technologiniais įgūdžiais, finansiniais poreikiais ir naivumu, kad mažiausiomis sąnaudomis atliktų šnipinėjimo ir sabotažo operacijas, kartu išlaikydami patikimą neigimą; kadangi iš ataskaitų matyti, kad platforma „Telegram“ atitinka naudotojų ribą, kad pagal Skaitmeninių paslaugų aktą būtų klasifikuojama kaip labai didelė interneto platforma, todėl jai taikomi griežtesni reguliavimo įpareigojimai ir rizikos mažinimo reikalavimai; </w:t>
            </w:r>
            <w:r>
              <w:rPr>
                <w:b/>
                <w:i/>
              </w:rPr>
              <w:t>kadangi „Telegram“ savo naudotojams dažnai skleidžia dezinformaciją apie vykstančius teismo procesus prieš jos įkūrėją, taip pat apie ES ir nacionalinės teisės aktus, kurie gali turėti įtakos jos, kaip platformos, atskaitomybei ir atsakomybei, pvz., naujausia dezinformacijos kampanija, kuria jos naudotojams Ispanijoje žinutėmis buvo pranešama apie draudimą jaunesniems nei 16 m. asmenims naudotis socialiniais tinklais;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kadangi pranešimų platforma „Telegram“, kurios naudotojų bazė ES didėja, vis dažniau įvardijama kaip dezinformacijos, užsienio šalių kišimosi ir neteisėtos veiklos, įskaitant ekstremistinio turinio sklaidą ir neatsekamą politinę propagandą, kanalas; kadangi jos kilmė Rusijoje ir reikšmingo turinio moderavimo trūkumas kelia nuolatinį susirūpinimą dėl jos vaidmens kenkiant demokratiniam diskursui; kadangi platforma „Telegram“ tapo viena iš pagrindinių kanalų „vienkartinio naudojimo agentams“ įdarbinti ir hibridinėms operacijoms vykdyti; kadangi nustatyta, kad piktavališki valstybiniai subjektai naudojasi platformos „Telegram“ naudotojų, ypač jaunimo, technologiniais įgūdžiais, finansiniais poreikiais ir naivumu, kad mažiausiomis sąnaudomis atliktų šnipinėjimo ir sabotažo operacijas, kartu išlaikydami patikimą neigimą; kadangi iš ataskaitų matyti, kad platforma „Telegram“ atitinka naudotojų ribą, kad pagal Skaitmeninių paslaugų aktą būtų klasifikuojama kaip labai didelė interneto platforma, todėl jai taikomi griežtesni reguliavimo įpareigojimai ir rizikos mažinimo reikalavimai;</w:t>
            </w:r>
          </w:p>
        </w:tc>
        <w:tc>
          <w:tcPr>
            <w:tcW w:w="4876" w:type="dxa"/>
            <w:tcBorders>
              <w:top w:val="nil"/>
              <w:left w:val="nil"/>
              <w:bottom w:val="nil"/>
              <w:right w:val="nil"/>
            </w:tcBorders>
          </w:tcPr>
          <w:p>
            <w:pPr>
              <w:pStyle w:val="Normal6a"/>
            </w:pPr>
            <w:r>
              <w:t>O.</w:t>
            </w:r>
            <w:r>
              <w:tab/>
            </w:r>
            <w:r>
              <w:t xml:space="preserve">kadangi pranešimų platforma „Telegram“, kurios naudotojų bazė ES didėja, vis dažniau įvardijama kaip dezinformacijos, užsienio šalių kišimosi ir neteisėtos veiklos, įskaitant ekstremistinio turinio sklaidą ir neatsekamą politinę propagandą, kanalas; kadangi jos kilmė Rusijoje ir reikšmingo turinio moderavimo trūkumas kelia nuolatinį susirūpinimą dėl jos vaidmens kenkiant demokratiniam diskursui; kadangi platforma „Telegram“ tapo viena iš pagrindinių kanalų „vienkartinio naudojimo agentams“ įdarbinti ir hibridinėms operacijoms vykdyti; kadangi nustatyta, kad piktavališki valstybiniai subjektai naudojasi platformos „Telegram“ naudotojų, ypač jaunimo, technologiniais įgūdžiais, finansiniais poreikiais ir naivumu, kad mažiausiomis sąnaudomis atliktų šnipinėjimo ir sabotažo operacijas, kartu išlaikydami patikimą neigimą; kadangi iš </w:t>
            </w:r>
            <w:r>
              <w:rPr>
                <w:b/>
                <w:i/>
              </w:rPr>
              <w:t>patikimų</w:t>
            </w:r>
            <w:r>
              <w:t xml:space="preserve"> ataskaitų </w:t>
            </w:r>
            <w:r>
              <w:rPr>
                <w:b/>
                <w:i/>
              </w:rPr>
              <w:t>aiškiai</w:t>
            </w:r>
            <w:r>
              <w:t xml:space="preserve"> matyti, kad platforma „Telegram“ atitinka naudotojų ribą, kad pagal Skaitmeninių paslaugų aktą būtų klasifikuojama kaip labai didelė interneto platforma, todėl jai taikomi griežtesni reguliavimo įpareigojimai ir rizikos mažinimo reikalavimai; </w:t>
            </w:r>
            <w:r>
              <w:rPr>
                <w:b/>
                <w:i/>
              </w:rPr>
              <w:t>kadangi Komisija ilgą laiką nagrinėjo šį klausimą ir vis dar nėra priėmusi sprendimo dėl tolesnių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kadangi pranešimų platforma „Telegram“, kurios naudotojų bazė ES didėja, vis dažniau įvardijama kaip dezinformacijos, užsienio šalių kišimosi ir neteisėtos veiklos, įskaitant ekstremistinio turinio sklaidą ir neatsekamą politinę propagandą, kanalas; kadangi jos kilmė Rusijoje </w:t>
            </w:r>
            <w:r>
              <w:rPr>
                <w:b/>
                <w:i/>
              </w:rPr>
              <w:t>ir</w:t>
            </w:r>
            <w:r>
              <w:t xml:space="preserve"> reikšmingo turinio moderavimo trūkumas kelia nuolatinį susirūpinimą dėl jos vaidmens kenkiant demokratiniam diskursui; kadangi platforma „Telegram“ tapo viena iš pagrindinių kanalų „vienkartinio naudojimo agentams“ įdarbinti ir hibridinėms operacijoms vykdyti; kadangi nustatyta, kad piktavališki valstybiniai subjektai naudojasi platformos „Telegram“ naudotojų, ypač jaunimo, technologiniais įgūdžiais, finansiniais poreikiais ir naivumu, kad mažiausiomis sąnaudomis atliktų šnipinėjimo ir sabotažo operacijas, kartu išlaikydami patikimą neigimą; kadangi iš ataskaitų matyti, kad platforma „Telegram“ atitinka naudotojų ribą, kad pagal Skaitmeninių paslaugų aktą būtų klasifikuojama kaip labai didelė interneto platforma, todėl jai taikomi griežtesni reguliavimo įpareigojimai ir rizikos mažinimo reikalavimai;</w:t>
            </w:r>
          </w:p>
        </w:tc>
        <w:tc>
          <w:tcPr>
            <w:tcW w:w="4876" w:type="dxa"/>
            <w:tcBorders>
              <w:top w:val="nil"/>
              <w:left w:val="nil"/>
              <w:bottom w:val="nil"/>
              <w:right w:val="nil"/>
            </w:tcBorders>
          </w:tcPr>
          <w:p>
            <w:pPr>
              <w:pStyle w:val="Normal6a"/>
            </w:pPr>
            <w:r>
              <w:t>O.</w:t>
            </w:r>
            <w:r>
              <w:tab/>
            </w:r>
            <w:r>
              <w:t>kadangi pranešimų platforma „Telegram“, kurios naudotojų bazė ES didėja, vis dažniau įvardijama kaip dezinformacijos, užsienio šalių kišimosi ir neteisėtos veiklos, įskaitant ekstremistinio turinio sklaidą ir neatsekamą politinę propagandą, kanalas; kadangi jos kilmė Rusijoje</w:t>
            </w:r>
            <w:r>
              <w:rPr>
                <w:b/>
                <w:i/>
              </w:rPr>
              <w:t>, neskaidrios nuosavybės struktūros ir tinklo infrastruktūros kontrolė, taip pat</w:t>
            </w:r>
            <w:r>
              <w:t xml:space="preserve"> reikšmingo turinio moderavimo trūkumas kelia nuolatinį susirūpinimą dėl jos vaidmens kenkiant demokratiniam diskursui; kadangi platforma „Telegram“ tapo viena iš pagrindinių kanalų „vienkartinio naudojimo agentams“ įdarbinti ir hibridinėms operacijoms vykdyti; kadangi nustatyta, kad piktavališki valstybiniai subjektai naudojasi platformos „Telegram“ naudotojų, ypač jaunimo, technologiniais įgūdžiais, finansiniais poreikiais ir naivumu, kad mažiausiomis sąnaudomis atliktų šnipinėjimo ir sabotažo operacijas, kartu išlaikydami patikimą neigimą; kadangi iš ataskaitų matyti, kad platforma „Telegram“ atitinka naudotojų ribą, kad pagal Skaitmeninių paslaugų aktą būtų klasifikuojama kaip labai didelė interneto platforma, todėl jai taikomi griežtesni reguliavimo įpareigojimai ir rizikos mažinimo reikalavimai;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kadangi politinės lyderės, kandidatės ir išrinktos atstovės vis dažniau susiduria su dezinformacija dėl lyties, prievarta ir priekabiavimu internete, taip pat sintetinės sankaitos kampanijomis, kurias dažnai koordinuoja piktavališki užsienio ir vidaus subjektai, siekdami jas nutildyti, atgrasyti nuo dalyvavimo politiniame gyvenime ir pakenkti demokratinių institucijų vientisumui ir stabilumui;</w:t>
            </w:r>
            <w:r>
              <w:t xml:space="preserve"> </w:t>
            </w:r>
            <w:r>
              <w:rPr>
                <w:b/>
                <w:i/>
              </w:rPr>
              <w:t>kadangi pastarojo meto rinkimų procesai Moldovos Respublikoje parodė, kad tokia praktika taikoma siekiant delegitimizuoti demokratiją remiančias lyderes pasitelkiant seksualizuotas manipuliacijas, šmeižikišką turinį ir dezinformaciją;</w:t>
            </w:r>
            <w:r>
              <w:t xml:space="preserve"> </w:t>
            </w:r>
            <w:r>
              <w:rPr>
                <w:b/>
                <w:i/>
              </w:rPr>
              <w:t>kadangi sparti generatyvinio dirbtinio intelekto priemonių sklaida ir prieinamumas dar labiau padidino šią riziką, kaip matyti iš tebesitęsiančių nesutarimų, susijusių su DI pokalbių robotu „Grok“, kuris buvo naudojamas siekiant sukurti seksualizuotus ir klaidinančius politikių vaizdus be jų sutikimo;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kadangi vaizdo žaidimai, vaizdo žaidimų komunikacijos taikomosios programos ir jų forumai vis dažniau naudojami dešiniosios pakraipos teroristinei ir ekstremistinei propagandai bei maskulinistiniam turiniui skleisti[1];</w:t>
            </w:r>
            <w:r>
              <w:t xml:space="preserve"> </w:t>
            </w:r>
            <w:r>
              <w:rPr>
                <w:b/>
                <w:i/>
              </w:rPr>
              <w:t>kadangi, be to, vaizdo žaidimų e. parduotuvės ir kiti skaitmeniniai objektai yra naudojami siekiant apeiti sankcijas ir neteisėtai pervesti pinigus, kadangi tai yra spraga, kurią reikia užpildyti, kad ES galėtų sekti dezinformaciją ir hibridines grėsmes</w:t>
            </w:r>
            <w:r>
              <w:rPr>
                <w:b/>
                <w:i/>
                <w:vertAlign w:val="superscript"/>
              </w:rPr>
              <w:t>51c</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Konstantinos Arvanitis, Danilo Della Valle, Jonas Sjöstedt,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O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kadangi viešąjį dialogą skaitmeninėje srityje vis daugiau ir daugiausia formuoja verslo subjektai ir tai vyksta tiek dėl platformų nuosavybės, tiek dėl artumo vykdomajai politinei valdžiai, pvz., Jungtinių Amerikos Valstijų atveju;</w:t>
            </w:r>
            <w:r>
              <w:t xml:space="preserve"> </w:t>
            </w:r>
            <w:r>
              <w:rPr>
                <w:b/>
                <w:i/>
              </w:rPr>
              <w:t>kadangi bendrovės „X“ savininkas viešai ir nedviprasmiškai išreiškė suinteresuotumą remti kraštutinių dešiniųjų politines partijas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 </w:t>
            </w:r>
            <w:r>
              <w:rPr>
                <w:b/>
                <w:i/>
              </w:rPr>
              <w:t>kadangi pasaulinė technologinė aplinka sparčiai keičiasi dėl pažangos dirbtinio intelekto srityje ir taip sukuriamas naujas strateginės konkurencijos etapas, kuriame lyderystė yra dar nenusistovėjusi ir daro tiesioginę įtaką ekonominei galiai, informacijos saugumui ir demokratiniam atsparumui;</w:t>
            </w:r>
            <w:r>
              <w:t xml:space="preserve"> </w:t>
            </w:r>
            <w:r>
              <w:rPr>
                <w:b/>
                <w:i/>
              </w:rPr>
              <w:t>kadangi Sąjunga jau sukūrė didelius pajėgumus bazinių didelio poveikio technologijų, įskaitant našiąją kompiuteriją, pažangią mokslinių tyrimų infrastruktūrą ir konkretiems sektoriams skirtas dirbtinio intelekto prietaikas, srityje, o tai rodo, kad tvarios viešosios investicijos ir koordinuota Europos politika gali suteikti išmatuojamų strateginių pranašumų;</w:t>
            </w:r>
            <w:r>
              <w:t xml:space="preserve"> </w:t>
            </w:r>
            <w:r>
              <w:rPr>
                <w:b/>
                <w:i/>
              </w:rPr>
              <w:t>kadangi tai, kad Europos įmonės vis dažniau naudoja dirbtinį intelektą įvairiose pramonės šakose, rodo teigiamą perėjimą prie didesnės technologinės brandos ir našumo, kuriuos palaiko auganti novatoriškų startuolių ir veiklą plečiančių įmonių, galinčių konkuruoti pasauliniu lygmeniu, ekosistema;</w:t>
            </w:r>
            <w:r>
              <w:t xml:space="preserve"> </w:t>
            </w:r>
            <w:r>
              <w:rPr>
                <w:b/>
                <w:i/>
              </w:rPr>
              <w:t>kadangi prieigos prie skaičiavimo galios, duomenų infrastruktūros ir didelio masto testavimo įrenginių gerinimas, be kita ko, pasitelkiant viešojo ir privačiojo sektorių partnerystes ir specialius inovacijų centrus, prisideda ne tik prie ekonomikos konkurencingumo, bet ir prie Sąjungos atviro strateginio savarankiškumo skaitmeninėje srityje;</w:t>
            </w:r>
            <w:r>
              <w:t xml:space="preserve"> </w:t>
            </w:r>
            <w:r>
              <w:rPr>
                <w:b/>
                <w:i/>
              </w:rPr>
              <w:t>kadangi didesni skaitmeniniai pajėgumai, suvereni infrastruktūra ir technologinis savarankiškumas mažina struktūrinę priklausomybę nuo išorės subjektų ir riboja priešiško kišimosi, manipuliavimo informacija ar ekonominės prievartos galimybes;</w:t>
            </w:r>
            <w:r>
              <w:t xml:space="preserve"> </w:t>
            </w:r>
            <w:r>
              <w:rPr>
                <w:b/>
                <w:i/>
              </w:rPr>
              <w:t>kadangi šiame kontekste Europos technologinės bazės stiprinimas yra pagrindinis Europos demokratijos skydo ramstis, nes juo gerinamas Sąjungos gebėjimas apsaugoti savo informacinę erdvę, saugoti ypatingos svarbos skaitmeninį turtą ir užtikrinti, kad inovacijos tarnautų demokratinėms vertybėms, visuomenės atsparumui ir ilgalaikiam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w:t>
            </w:r>
            <w:r>
              <w:rPr>
                <w:b/>
                <w:i/>
              </w:rPr>
              <w:t>ir</w:t>
            </w:r>
            <w:r>
              <w:t xml:space="preserve">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w:t>
            </w:r>
            <w:r>
              <w:rPr>
                <w:b/>
                <w:i/>
              </w:rPr>
              <w:t>spartus DI sistemų kūrimas ir diegimas visame pasaulyje, be kita ko, trečiosiose valstybėse, kuriose reguliavimo metodus gali formuoti konkrečios religinės ar ideologinės sistemos, įskaitant islamo vertybes, gali kelti susirūpinimą, kai tokios sistemos nėra visiškai suderinamos su Sąjungos pagrindinėmis teisėmis, įskaitant minties, sąžinės ir religijos laisvę ir saviraiškos laisvę, kurios yra įtvirtintos Sutartyse ir Europos Sąjungos pagrindinių teisių chartijoje;</w:t>
            </w:r>
            <w:r>
              <w:t xml:space="preserve"> </w:t>
            </w:r>
            <w:r>
              <w:rPr>
                <w:b/>
                <w:i/>
              </w:rPr>
              <w:t>kadangi Europos techninio suverenumo kūrimas, be kita ko, plėtojant Europos DI pajėgumus ir skaitmenines platformas per visą jų gyvavimo ciklą, ir</w:t>
            </w:r>
            <w:r>
              <w:t xml:space="preserve"> vietos inovacijų skatinimas, parama Europos startuoliams </w:t>
            </w:r>
            <w:r>
              <w:rPr>
                <w:b/>
                <w:i/>
              </w:rPr>
              <w:t>bei</w:t>
            </w:r>
            <w:r>
              <w:t xml:space="preserve">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 </w:t>
            </w:r>
            <w:r>
              <w:rPr>
                <w:b/>
                <w:i/>
              </w:rPr>
              <w:t>kadangi strateginiai sujungiamumo projektai, pvz., Rytų ir Rytinės Viduržemio jūros regiono dalies geležinkelių koridorius – povandeninių ir sausumos duomenų perdavimo sistema, jungianti Europą su Azija per Graikiją ir Saudo Arabiją, padeda įvairinti duomenų maršrutus ir stiprinti Sąjungos skaitmeninę nepriklausomybę;</w:t>
            </w:r>
            <w:r>
              <w:t xml:space="preserve"> </w:t>
            </w:r>
            <w:r>
              <w:rPr>
                <w:b/>
                <w:i/>
              </w:rPr>
              <w:t>kadangi pranešimai apie Turkijos kišimąsi į tyrimų veiklą, susijusią su Rytų ir Rytinės Viduržemio jūros regiono dalies geležinkelių koridoriaus projektu, rodo geopolitinę riziką ypatingos svarbos skaitmeninei infrastruktūrai ir tai, kad ES turi apsaugoti valstybių narių strategines junglumo iniciatyvas;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w:t>
            </w:r>
            <w:r>
              <w:rPr>
                <w:b/>
                <w:i/>
              </w:rPr>
              <w:t>ir</w:t>
            </w:r>
            <w:r>
              <w:t xml:space="preserve">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w:t>
            </w:r>
            <w:r>
              <w:rPr>
                <w:b/>
                <w:i/>
              </w:rPr>
              <w:t>,</w:t>
            </w:r>
            <w:r>
              <w:t xml:space="preserve"> socialinės žiniasklaidos platformos</w:t>
            </w:r>
            <w:r>
              <w:rPr>
                <w:b/>
                <w:i/>
              </w:rPr>
              <w:t>, mokėjimo sprendimai ir programinė įranga;</w:t>
            </w:r>
            <w:r>
              <w:t xml:space="preserve"> </w:t>
            </w:r>
            <w:r>
              <w:rPr>
                <w:b/>
                <w:i/>
              </w:rPr>
              <w:t>kadangi Komisijos atsisakymas sertifikavimą, kuriuo užtikrinama aukščiausio lygio strateginių duomenų apsauga, suteikti tik Europos debesijos paslaugų teikėjams, pabrėžia dabartinius ES apribojimus stiprinant savo skaitmeninį suverenumą</w:t>
            </w:r>
            <w:r>
              <w:t>;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w:t>
            </w:r>
            <w:r>
              <w:rPr>
                <w:b/>
                <w:i/>
              </w:rPr>
              <w:t>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w:t>
            </w:r>
            <w:r>
              <w:rPr>
                <w:b/>
                <w:i/>
              </w:rPr>
              <w:t>2026 m. ES Audito Rūmai dar kartą patvirtino, kad egzistuoja tokia priklausomybė ypatingos svarbos žaliavų srityje</w:t>
            </w:r>
            <w:r>
              <w:rPr>
                <w:b/>
                <w:i/>
                <w:vertAlign w:val="superscript"/>
              </w:rPr>
              <w:t>51d</w:t>
            </w:r>
            <w:r>
              <w:rPr>
                <w:b/>
                <w:i/>
              </w:rPr>
              <w:t>;</w:t>
            </w:r>
            <w:r>
              <w:t xml:space="preserve"> </w:t>
            </w:r>
            <w:r>
              <w:rPr>
                <w:b/>
                <w:i/>
              </w:rPr>
              <w:t>kadangi</w:t>
            </w:r>
            <w:r>
              <w:t xml:space="preserve"> skaitmeninių inovacijų suderinimas su demokratinėmis vertybėmis ir pagrindinėmis teisėmis suteikia ES galimybę tapti pasauline lydere atsakingų ir į žmogų orientuotų technologijų srityje;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51d</w:t>
            </w:r>
            <w:r>
              <w:t xml:space="preserve"> </w:t>
            </w:r>
            <w:r>
              <w:rPr>
                <w:b/>
                <w:i/>
              </w:rPr>
              <w:t>Europos Audito Rūmai, Specialioji ataskaita 04/2026 „Ypatingos svarbos žaliavos energetikos pertvarkai. Nėra tvirtos politikos“, Europos Sąjungos leidinių biuras, 2026 m. https://www.eca.europa.eu/ECAPublications/SR-2026-04/SR-2026-04_LT.pdf.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 </w:t>
            </w:r>
            <w:r>
              <w:rPr>
                <w:b/>
                <w:i/>
              </w:rPr>
              <w:t>kadangi ES skaitmeninį suverenumą ypač sunku pasiekti, kai labai didelės interneto platformos ir labai didelės interneto paieškos sistemos veikia esant de facto oligopolijos padėčiai;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w:t>
            </w:r>
            <w:r>
              <w:rPr>
                <w:b/>
                <w:i/>
              </w:rPr>
              <w:t>, sąžiningų ir konkurencingų skaitmeninių technologijų rinkų užtikrinimas, skaitmeninių taisyklių sąvado vykdymo užtikrinimas</w:t>
            </w:r>
            <w:r>
              <w:t xml:space="preserve">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r>
              <w:rPr>
                <w:b/>
                <w:i/>
              </w:rPr>
              <w:t>, ypač atsižvelgiant į tai, kad technologinės lenktynės spartėja ir Europa neturėtų atsilikti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kadangi didėjanti ne Europos technologijų įmonių, ypač įsisteigusių </w:t>
            </w:r>
            <w:r>
              <w:rPr>
                <w:b/>
                <w:i/>
              </w:rPr>
              <w:t>Jungtinėse Amerikos Valstijose ir</w:t>
            </w:r>
            <w:r>
              <w:t xml:space="preserve">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 xml:space="preserve">kadangi didėjanti ne Europos technologijų įmonių, ypač įsisteigusių Kinijoje </w:t>
            </w:r>
            <w:r>
              <w:rPr>
                <w:b/>
                <w:i/>
              </w:rPr>
              <w:t>ir kitose šalyse, kurios nėra NATO sąjungininkės ir bendramintės partnerės</w:t>
            </w:r>
            <w:r>
              <w:t>,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w:t>
            </w:r>
            <w:r>
              <w:rPr>
                <w:b/>
                <w:i/>
              </w:rPr>
              <w:t>socialinės žiniasklaidos</w:t>
            </w:r>
            <w:r>
              <w:t xml:space="preserve"> platformos; kadangi vietos inovacijų skatinimas, parama Europos startuoliams ir investicijos į suverenią skaitmeninę infrastruktūrą yra </w:t>
            </w:r>
            <w:r>
              <w:rPr>
                <w:b/>
                <w:i/>
              </w:rPr>
              <w:t>būtini žingsniai kuriant</w:t>
            </w:r>
            <w:r>
              <w:t xml:space="preserve">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 xml:space="preserve">kadangi didėjanti ne Europos technologijų įmonių, ypač įsisteigusių Jungtinėse Amerikos Valstijose ir Kinijoje, įtaka išryškino ES strateginę priklausomybę tokiose svarbiose srityse kaip duomenų infrastruktūra, debesijos paslaugos ir </w:t>
            </w:r>
            <w:r>
              <w:rPr>
                <w:b/>
                <w:i/>
              </w:rPr>
              <w:t>interneto</w:t>
            </w:r>
            <w:r>
              <w:t xml:space="preserve"> platformos; kadangi vietos inovacijų skatinimas, parama Europos startuoliams ir investicijos į suverenią skaitmeninę infrastruktūrą yra </w:t>
            </w:r>
            <w:r>
              <w:rPr>
                <w:b/>
                <w:i/>
              </w:rPr>
              <w:t>būtina ir turi būti teikiama skubiai siekiant kurti</w:t>
            </w:r>
            <w:r>
              <w:t xml:space="preserve"> konkurencingą, saugią ir atsparią ES skaitmeninę ekosistemą</w:t>
            </w:r>
            <w:r>
              <w:rPr>
                <w:b/>
                <w:i/>
              </w:rPr>
              <w:t>, kuri būtų nepriklausoma nuo užsienio interesų</w:t>
            </w:r>
            <w:r>
              <w:t>; kadangi skaitmeninių inovacijų suderinimas su demokratinėmis vertybėmis ir pagrindinėmis teisėmis suteikia ES galimybę tapti pasauline lydere atsakingų ir į žmogų orientuotų technologijų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c>
          <w:tcPr>
            <w:tcW w:w="4876" w:type="dxa"/>
            <w:tcBorders>
              <w:top w:val="nil"/>
              <w:left w:val="nil"/>
              <w:bottom w:val="nil"/>
              <w:right w:val="nil"/>
            </w:tcBorders>
          </w:tcPr>
          <w:p>
            <w:pPr>
              <w:pStyle w:val="Normal6a"/>
            </w:pPr>
            <w:r>
              <w:t>P.</w:t>
            </w:r>
            <w:r>
              <w:tab/>
            </w:r>
            <w:r>
              <w:t>kadangi didėjanti ne Europos technologijų įmonių, ypač įsisteigusių Jungtinėse Amerikos Valstijose ir Kinijoje, įtaka išryškino ES strateginę priklausomybę tokiose svarbiose srityse kaip duomenų infrastruktūra</w:t>
            </w:r>
            <w:r>
              <w:rPr>
                <w:b/>
                <w:i/>
              </w:rPr>
              <w:t>, palydovinis ryšys</w:t>
            </w:r>
            <w:r>
              <w:t>, debesijos paslaugos ir socialinės žiniasklaidos platformos; kadangi vietos inovacijų skatinimas, parama Europos startuoliams ir investicijos į suverenią skaitmeninę infrastruktūrą yra būtini žingsniai kuriant konkurencingą, saugią ir atsparią ES skaitmeninę ekosistemą; kadangi skaitmeninių inovacijų suderinimas su demokratinėmis vertybėmis ir pagrindinėmis teisėmis suteikia ES galimybę tapti pasauline lydere atsakingų ir į žmogų orientuotų technologijų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kadangi Europos technologinis suverenumas ir strateginis savarankiškumas prasideda nuo esminio Sąjungos priklausomybės gynybos srityje sumažinimo;</w:t>
            </w:r>
            <w:r>
              <w:t xml:space="preserve"> </w:t>
            </w:r>
            <w:r>
              <w:rPr>
                <w:b/>
                <w:i/>
              </w:rPr>
              <w:t>kadangi tvirta ir patikima Europos gynybos pozicija yra Sąjungos demokratinių sistemų atsparumo ir jos gebėjimo užtikrinti savo reguliavimo sistemos, įskaitant Skaitmeninių paslaugų aktą (SPA), vykdymą pagrindas;</w:t>
            </w:r>
            <w:r>
              <w:t xml:space="preserve"> </w:t>
            </w:r>
            <w:r>
              <w:rPr>
                <w:b/>
                <w:i/>
              </w:rPr>
              <w:t>kadangi dėl to Europos gynybos pajėgumų stiprinimas yra būtina sąlyga siekiant užtikrinti demokratinį atsparumą ir sumažinti strateginę priklausomybę kitose ypatingos svarbos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Jonas Sjöstedt, Danilo Della Valle,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kadangi Jungtinių Amerikos Valstijų administracijos vieši pareiškimai, politinis palaikymas ir nuolatiniai jų politinių veikėjų pareiškimai, kuriais remiamos kraštutinių dešiniųjų politinėms partijos ir lyderiai Europos Sąjungoje yra politinio kišimosi į Sąjungos demokratinę erdvę forma, nes jais siekiama daryti įtaką politiniam diskursui, legitimizuoti kraštutinių dešiniųjų veikėjus ir formuoti rinkimų dinamiką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kadangi Kinija kontroliuoja apie 70 proc. pasaulinės retųjų žemių elementų kasybos ir 90 proc. jų perdirbimo ir taip ji yra beveik įgavusi monopoliją tam tikrų itin svarbių elementų, kurie yra būtini aukštųjų technologijų, gynybos ir žaliosios energijos pramonei, atžvilgiu;</w:t>
            </w:r>
            <w:r>
              <w:t xml:space="preserve"> </w:t>
            </w:r>
            <w:r>
              <w:rPr>
                <w:b/>
                <w:i/>
              </w:rPr>
              <w:t>kadangi Kinija, siekdama politinio ir ekonominio pranašumo, strategiškai naudojasi šia padėtimi įgyvendindama eksporto kontrolę, todėl ES automobilių ir žalioji pramonė yra labai pažeidžiama dėl šių apribojimų;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kadangi geoekonominė prievarta, įskaitant tokias priemones kaip skolos spąstų praktika, tikslinė eksporto kontrolė ir strateginis subjektų iš trečiųjų valstybių vykdomas Europos įmonių įsigijimas, gali pakenkti Sąjungos ir valstybių narių sprendimų priėmimo suverenumui ir neigiamai paveikti demokratinį atsparumą;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kadangi užsienio įtaka taip pat gali būti daroma ilgalaikiais instituciniais kanalais, įskaitant su valstybe susijusias organizacijas, fondus, religines struktūras, akademines partnerystes ir įmonių tinklą;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kadangi užsienio įtakos operacijos neapsiriboja internetinėmis dezinformacijos kampanijomis, bet taip pat gali būti vykdomos kaip ilgalaikis struktūrinis dalyvavimas pasitelkiant finansavimo tinklus, kultūros ir religines organizacijas, akademinį bendradarbiavimą, diasporos sutelkimą ir strategines partnerystes;</w:t>
            </w:r>
            <w:r>
              <w:t xml:space="preserve"> </w:t>
            </w:r>
            <w:r>
              <w:rPr>
                <w:b/>
                <w:i/>
              </w:rPr>
              <w:t>kadangi tokia įtaka gali būti daroma teisėtais kanalais, todėl reikalauja skaidrumo, o ne neteisėtumo prezumpcijos;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kadangi Kinijos įmonės, glaudžiai susijusios su Kinijos komunistų partija, šiuo metu turi akcijų daugiau kaip 30 Europos jūrų uostų terminalų, dažnai esančių netoli Europos karinių jūrų pajėgų bazių;</w:t>
            </w:r>
            <w:r>
              <w:t xml:space="preserve"> </w:t>
            </w:r>
            <w:r>
              <w:rPr>
                <w:b/>
                <w:i/>
              </w:rPr>
              <w:t>kadangi Komisijos Baltojoje knygoje dėl Europos gynybos parengties 2030 m. pasiūlyta griežtesnė užsienio subjektams priklausančios ypatingos svarbos transporto infrastruktūros kontrolė;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kadangi atsinaujinančiųjų išteklių energija yra labai atspirties taškas siekiant Europos energetinio suverenumo;</w:t>
            </w:r>
            <w:r>
              <w:t xml:space="preserve"> </w:t>
            </w:r>
            <w:r>
              <w:rPr>
                <w:b/>
                <w:i/>
              </w:rPr>
              <w:t>kadangi, remiantis 2025 m. „Wood Mackenzie“ analize, devyni iš dešimties didžiausių pasaulinių saulės inverterių tiekėjų buvo įsisteigę Kinijoje;</w:t>
            </w:r>
            <w:r>
              <w:t xml:space="preserve"> </w:t>
            </w:r>
            <w:r>
              <w:rPr>
                <w:b/>
                <w:i/>
              </w:rPr>
              <w:t>kadangi Europoje ir Jungtinėse Amerikos Valstijose naudojamuose Kinijoje pagamintuose saulės energijos inverteriuose buvo rasta paslėptų komunikacijos įtaisų;</w:t>
            </w:r>
            <w:r>
              <w:t xml:space="preserve"> </w:t>
            </w:r>
            <w:r>
              <w:rPr>
                <w:b/>
                <w:i/>
              </w:rPr>
              <w:t>kadangi, Čekijos kibernetinio saugumo biuro duomenimis, esama rizikos, susijusios su duomenų apsauga, o kraštutiniais atvejais – su nuotoliniu manipuliavimu saulės inverteriais;</w:t>
            </w:r>
            <w:r>
              <w:t xml:space="preserve"> </w:t>
            </w:r>
            <w:r>
              <w:rPr>
                <w:b/>
                <w:i/>
              </w:rPr>
              <w:t>kadangi saulės elektrinės, sujungtos decentralizuotu tankiu tinklu, yra jautresnės kibernetiniams išpuoliams, todėl joms reikia griežtesnių reguliavimo ir saugumo priemonių;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kadangi tam tikros trečiosios šalys aktyviai palaiko struktūrinius santykius su diasporos bendruomenėmis Sąjungoje per su valstybe susijusias institucijas, religines administracijas ir kultūros tinklus;</w:t>
            </w:r>
            <w:r>
              <w:t xml:space="preserve"> </w:t>
            </w:r>
            <w:r>
              <w:rPr>
                <w:b/>
                <w:i/>
              </w:rPr>
              <w:t>kadangi toks dalyvavimas, nors daugeliu atvejų yra teisėtas, taip pat gali būti įtakos, informacijos formavimo ar politinio sutelkimo priemonė;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kadangi Ispanija su bendrove „Huawei“ sudarė sutartį dėl teisėsaugos ir žvalgybos tarnybų naudojamo teismo sankcionuoto pokalbių pasiklausymo įrašų valdymo ir saugojimo;</w:t>
            </w:r>
            <w:r>
              <w:t xml:space="preserve"> </w:t>
            </w:r>
            <w:r>
              <w:rPr>
                <w:b/>
                <w:i/>
              </w:rPr>
              <w:t>kadangi Komisija dėl saugumo priežasčių apribojo bendrovės „Huawei“ prieigą prie 5G tinklų visoje Europos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kadangi užsienio vykdomo manipuliavimo informacija operacijų priskyrimui reikia aukštų įrodymo standartų ir skaidrios metodikos, atsižvelgiant į galimą tokių teiginių poveikį politiniam stabilumui, visuomenės pasitikėjimui ir rinkimų teisėtumui;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w:t>
            </w:r>
            <w:r>
              <w:tab/>
            </w:r>
            <w:r>
              <w:rPr>
                <w:b/>
                <w:i/>
              </w:rPr>
              <w:t>kadangi, Jungtinės Karalystės žvalgybos tarnybų duomenimis, Rusija įsilaužė į tūkstančius vaizdo stebėjimo kamerų Ukrainoje ir Europos Sąjungoje, kad galėtų stebėti iš užsienio vykdomą tiekimą Ukrainos ginkluotosioms pajėgoms;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Pf.</w:t>
            </w:r>
            <w:r>
              <w:tab/>
            </w:r>
            <w:r>
              <w:rPr>
                <w:b/>
                <w:i/>
              </w:rPr>
              <w:t>kadangi Rusija suintensyvino hibridinį karą prieš Lenkiją ir Baltijos valstybes, vykdydama kibernetinius išpuolius, sabotažą ir dezinformaciją, pavaizduodama Lenkijos gynybinius veiksmus kaip provokacijas, kuriomis kurstomas vidaus naratyvas;</w:t>
            </w:r>
            <w:r>
              <w:t xml:space="preserve"> </w:t>
            </w:r>
            <w:r>
              <w:rPr>
                <w:b/>
                <w:i/>
              </w:rPr>
              <w:t>kadangi Lenkijoje stiprėja prieš Ukrainą nukreiptos nuotaikos;</w:t>
            </w:r>
            <w:r>
              <w:t xml:space="preserve"> </w:t>
            </w:r>
            <w:r>
              <w:rPr>
                <w:b/>
                <w:i/>
              </w:rPr>
              <w:t>kadangi, Lenkijos vyriausybės teigimu, Rusijos slaptosios tarnybos buvo 2024 m. padegimo išpuolio prieš Varšuvos prekybos centrą užsakovės;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P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Pg.</w:t>
            </w:r>
            <w:r>
              <w:tab/>
            </w:r>
            <w:r>
              <w:rPr>
                <w:b/>
                <w:i/>
              </w:rPr>
              <w:t>kadangi Rusija ir pats V. Putinas aktyviai vykdo istorijos revizionizmą ir neigia tautų, kurios anksčiau buvo valdomos Rusijos, tapatybę ir suverenitetą;</w:t>
            </w:r>
            <w:r>
              <w:t xml:space="preserve"> </w:t>
            </w:r>
            <w:r>
              <w:rPr>
                <w:b/>
                <w:i/>
              </w:rPr>
              <w:t>kadangi šiuos naratyvus Rusijos propaganda skleidžia Rusijoje, ES valstybėse narėse ir globaliuosiuose Pietuose, siekdama pateisinti Rusijos kišimąsi į įvairias šalis;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Q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kadangi moksliniai tyrimai rodo nerimą keliančią interneto platformų pajamų perskirstymo programų tendenciją, iš kurios matyti, kad žiniasklaidos priemonės, kurioms taikomos sankcijos, pvz., „Sputnik“ ir „Russia Today“, praėjus keliems mėnesiams nuo ES sankcijų Rusijai taikymo pradžios, išliko įtrauktos į „Facebook“ leidėjų partnerių sąrašą, todėl kyla klausimų, ar jos ir toliau gavo finansinės naudos;</w:t>
            </w:r>
            <w:r>
              <w:t xml:space="preserve"> </w:t>
            </w:r>
            <w:r>
              <w:rPr>
                <w:b/>
                <w:i/>
              </w:rPr>
              <w:t>kadangi tokie neskaidrūs monetizavimo mechanizmai suteikia galimybę su užsienio valstybe susijusiems subjektams gauti naudos iš dalijimosi dezinformacija ir, nepaisant reguliavimo priemonių, toliau destabilizuoti ES informacines erdves;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Q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kadangi moksliniai tyrimai rodo nerimą keliančią interneto platformų pajamų perskirstymo programų tendenciją, iš kurios matyti, kad žiniasklaidos priemonės, kurioms taikomos sankcijos, pvz., „Sputnik“ ir „Russia Today“, praėjus keliems mėnesiams nuo ES sankcijų Rusijai taikymo pradžios, išliko įtrauktos į „Facebook“ leidėjų partnerių sąrašą, todėl kyla klausimų, ar jos ir toliau gavo finansinės naudos; kadangi tokie neskaidrūs monetizavimo mechanizmai suteikia galimybę su užsienio </w:t>
            </w:r>
            <w:r>
              <w:rPr>
                <w:b/>
                <w:i/>
              </w:rPr>
              <w:t>valstybe</w:t>
            </w:r>
            <w:r>
              <w:t xml:space="preserve"> susijusiems subjektams gauti naudos iš dalijimosi dezinformacija ir, nepaisant reguliavimo priemonių, toliau destabilizuoti ES informacines erdves;</w:t>
            </w:r>
          </w:p>
        </w:tc>
        <w:tc>
          <w:tcPr>
            <w:tcW w:w="4876" w:type="dxa"/>
            <w:tcBorders>
              <w:top w:val="nil"/>
              <w:left w:val="nil"/>
              <w:bottom w:val="nil"/>
              <w:right w:val="nil"/>
            </w:tcBorders>
          </w:tcPr>
          <w:p>
            <w:pPr>
              <w:pStyle w:val="Normal6a"/>
            </w:pPr>
            <w:r>
              <w:t>Q.</w:t>
            </w:r>
            <w:r>
              <w:tab/>
            </w:r>
            <w:r>
              <w:t xml:space="preserve">kadangi moksliniai tyrimai rodo nerimą keliančią interneto platformų pajamų perskirstymo programų tendenciją, iš kurios matyti, kad žiniasklaidos priemonės, kurioms taikomos sankcijos, pvz., „Sputnik“ ir „Russia Today“, praėjus keliems mėnesiams nuo ES sankcijų Rusijai taikymo pradžios, išliko įtrauktos į „Facebook“ leidėjų partnerių sąrašą, todėl kyla klausimų, ar jos ir toliau gavo finansinės naudos; kadangi tokie neskaidrūs monetizavimo mechanizmai suteikia galimybę su užsienio </w:t>
            </w:r>
            <w:r>
              <w:rPr>
                <w:b/>
                <w:i/>
              </w:rPr>
              <w:t>valstybėmis</w:t>
            </w:r>
            <w:r>
              <w:t xml:space="preserve"> susijusiems subjektams gauti naudos iš dalijimosi dezinformacija ir, nepaisant reguliavimo priemonių, toliau destabilizuoti ES informacines erdves; </w:t>
            </w:r>
            <w:r>
              <w:rPr>
                <w:b/>
                <w:i/>
              </w:rPr>
              <w:t>kadangi bendrovė „Meta“ yra vienintelė didelė technologijų įmonė, reguliariai skelbianti savo monetizavimo duomenis, pateikdama nedaug informacijos, o kitos interneto platformos tebėra visiškai neskaidrios;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Q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kadangi moksliniai tyrimai rodo nerimą keliančią interneto platformų pajamų perskirstymo programų tendenciją, iš kurios matyti, kad žiniasklaidos priemonės, kurioms taikomos sankcijos, pvz., „Sputnik“ ir „Russia Today“, praėjus keliems mėnesiams nuo ES sankcijų Rusijai taikymo pradžios, išliko įtrauktos į „Facebook“ leidėjų partnerių sąrašą, todėl kyla klausimų, ar jos ir toliau gavo finansinės naudos; kadangi tokie neskaidrūs monetizavimo mechanizmai suteikia galimybę su užsienio </w:t>
            </w:r>
            <w:r>
              <w:rPr>
                <w:b/>
                <w:i/>
              </w:rPr>
              <w:t>valstybe</w:t>
            </w:r>
            <w:r>
              <w:t xml:space="preserve"> susijusiems subjektams gauti naudos iš dalijimosi dezinformacija ir, nepaisant reguliavimo priemonių, toliau destabilizuoti ES informacines erdves;</w:t>
            </w:r>
          </w:p>
        </w:tc>
        <w:tc>
          <w:tcPr>
            <w:tcW w:w="4876" w:type="dxa"/>
            <w:tcBorders>
              <w:top w:val="nil"/>
              <w:left w:val="nil"/>
              <w:bottom w:val="nil"/>
              <w:right w:val="nil"/>
            </w:tcBorders>
          </w:tcPr>
          <w:p>
            <w:pPr>
              <w:pStyle w:val="Normal6a"/>
            </w:pPr>
            <w:r>
              <w:t>Q.</w:t>
            </w:r>
            <w:r>
              <w:tab/>
            </w:r>
            <w:r>
              <w:t xml:space="preserve">kadangi moksliniai tyrimai rodo nerimą keliančią interneto platformų pajamų perskirstymo programų tendenciją, iš kurios matyti, kad žiniasklaidos priemonės, kurioms taikomos sankcijos, pvz., „Sputnik“ ir „Russia Today“, praėjus keliems mėnesiams nuo ES sankcijų Rusijai taikymo pradžios, išliko įtrauktos į „Facebook“ leidėjų partnerių sąrašą, todėl kyla klausimų, ar jos ir toliau gavo finansinės naudos; kadangi tokie neskaidrūs monetizavimo mechanizmai suteikia galimybę su užsienio </w:t>
            </w:r>
            <w:r>
              <w:rPr>
                <w:b/>
                <w:i/>
              </w:rPr>
              <w:t>valstybėmis</w:t>
            </w:r>
            <w:r>
              <w:t xml:space="preserve"> susijusiems subjektams gauti naudos iš dalijimosi dezinformacija ir, nepaisant reguliavimo priemonių, toliau destabilizuoti ES </w:t>
            </w:r>
            <w:r>
              <w:rPr>
                <w:b/>
                <w:i/>
              </w:rPr>
              <w:t>ir jos valstybių narių</w:t>
            </w:r>
            <w:r>
              <w:t xml:space="preserve"> informacines erdves;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Danilo Della Valle, 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Q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kadangi Izraelis tapo svarbiu veikėju teikiant stebėjimo ir skaitmeninio saugumo infrastruktūrą kelioms ES valstybėms narėms, nepaisant nuolatinio susirūpinimo dėl riboto skaidrumo ir priežiūros;</w:t>
            </w:r>
            <w:r>
              <w:t xml:space="preserve"> </w:t>
            </w:r>
            <w:r>
              <w:rPr>
                <w:b/>
                <w:i/>
              </w:rPr>
              <w:t>kadangi didėjanti technologinė priklausomybė nuo Izraelio kelia pavojų Europos strateginiam suverenumui ir mažina valstybių narių gebėjimą išlaikyti visapusišką ir savarankišką savo kibernetinio saugumo priemonių kontrolę;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Q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kadangi sudėtinga internetinės reklamos kanalų teikėjų grandinė – nuo teisėtų prekių ženklų iki interneto svetainių, kuriose, kaip žinoma, skelbiama klaidinga informacija ir dezinformacija, – kasmet kainuoja milijardus eurų;</w:t>
            </w:r>
            <w:r>
              <w:t xml:space="preserve"> </w:t>
            </w:r>
            <w:r>
              <w:rPr>
                <w:b/>
                <w:i/>
              </w:rPr>
              <w:t>kadangi šis pajamų srautas yra labai svarbus interneto svetainių, kurios apsimeta vietos naujienų tarnybomis, poliarizuoja bendruomenes ir mažina pasitikėjimą kokybiška žurnalistika, finansiniam išlikimui;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Q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kadangi rinkimų procesas yra pagrindinis kiekvienos valstybės narės suverenumo elementas ir visų pirma turi likti nacionalinių valdžios institucijų kompetencijoje pagal jų konstitucines tradicijas ir teisines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Q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kadangi Izraelis klasifikuoja šnipinėjimo programas ir kitas skaitmenines įsilaužimo technologijas kaip kibernetinės gynybos įrangą, kuriai taikomos jo Gynybos ministerijos išduotos eksporto licencijos, taip sukurdamas glaudų ryšį tarp šalies gynybos pramonės, žvalgybos tarnybų ir diplomatinio aparato;</w:t>
            </w:r>
            <w:r>
              <w:t xml:space="preserve"> </w:t>
            </w:r>
            <w:r>
              <w:rPr>
                <w:b/>
                <w:i/>
              </w:rPr>
              <w:t>kadangi tokios bendrovės kaip „NSO Group“, „Candiru“, „Paragon“ ir „Cognyte“, kurias įsteigė arba kuriose dirba buvę Izraelio žvalgybos pareigūnai, atlieka pagrindinį vaidmenį šioje ekosistemoje ir tiekia stebėjimo bei įsilaužimo priemones vyriausybėms visame pasaulyje, įskaitant kelias Europos Sąjungos vyriausybes;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R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kadangi per apklausą, surengtą prieš 2025 m. parlamento rinkimus Nyderlanduose, vienas iš dešimties respondentų pareiškė, kad greičiausiai prašys DI balsavimo patarimo, o dar 13 proc. teigė, kad galbūt juo naudosis; kadangi Nyderlanduose daugiau nei trečdalis jauniausių rinkėjų pareiškė, kad greičiausiai prašys DI balsavimo patarimo arba kad galbūt juo naudosis; kadangi ši tendencija atitinka valstybėse narėse ir visame pasaulyje nustatytus faktus; kadangi neseniai Nyderlandų duomenų apsaugos institucijos atliktas tyrimas rodo, kad DI pokalbių robotų parengtos balsavimo rekomendacijos dažnai atspindi labai iškreiptą ir poliarizuotą požiūrį į politinę aplinką;</w:t>
            </w:r>
          </w:p>
        </w:tc>
        <w:tc>
          <w:tcPr>
            <w:tcW w:w="4876" w:type="dxa"/>
            <w:tcBorders>
              <w:top w:val="nil"/>
              <w:left w:val="nil"/>
              <w:bottom w:val="nil"/>
              <w:right w:val="nil"/>
            </w:tcBorders>
          </w:tcPr>
          <w:p>
            <w:pPr>
              <w:pStyle w:val="Normal6a"/>
            </w:pPr>
            <w:r>
              <w:t>R.</w:t>
            </w:r>
            <w:r>
              <w:tab/>
            </w:r>
            <w:r>
              <w:t xml:space="preserve">kadangi per apklausą, surengtą prieš 2025 m. parlamento rinkimus Nyderlanduose, vienas iš dešimties respondentų pareiškė, kad greičiausiai prašys DI balsavimo patarimo, o dar 13 proc. teigė, kad galbūt juo naudosis; kadangi Nyderlanduose daugiau nei trečdalis jauniausių rinkėjų pareiškė, kad greičiausiai prašys DI balsavimo patarimo arba kad galbūt juo naudosis; kadangi ši tendencija atitinka valstybėse narėse ir visame pasaulyje nustatytus faktus; kadangi neseniai Nyderlandų duomenų apsaugos institucijos atliktas tyrimas rodo, kad DI pokalbių robotų parengtos balsavimo rekomendacijos dažnai atspindi labai iškreiptą ir poliarizuotą požiūrį į politinę aplinką; </w:t>
            </w:r>
            <w:r>
              <w:rPr>
                <w:b/>
                <w:i/>
              </w:rPr>
              <w:t>kadangi tai pabrėžia esminį švietimo, gebėjimo naudotis žiniasklaidos priemonėmis ir kritinių skaitmeninių įgūdžių vaidmenį sudarant sąlygas piliečiams, visų pirma jaunimui ir pirmą kartą balsuojantiems asmenims, identifikuoti šališkumą, manipuliavimą ir propagandą ir priimti informacija pagrįstus demokratinius sprendimus;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R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kadangi per apklausą, surengtą prieš 2025 m. parlamento rinkimus Nyderlanduose, vienas iš dešimties respondentų pareiškė, kad greičiausiai prašys DI balsavimo patarimo, o dar 13 proc. teigė, kad galbūt juo naudosis; kadangi Nyderlanduose daugiau nei trečdalis jauniausių rinkėjų pareiškė, kad greičiausiai prašys DI balsavimo patarimo arba kad galbūt juo naudosis; kadangi ši tendencija atitinka valstybėse narėse ir visame pasaulyje nustatytus faktus; kadangi neseniai Nyderlandų duomenų apsaugos institucijos atliktas tyrimas rodo, kad DI pokalbių robotų parengtos balsavimo rekomendacijos dažnai atspindi labai iškreiptą ir poliarizuotą požiūrį į politinę aplinką;</w:t>
            </w:r>
          </w:p>
        </w:tc>
        <w:tc>
          <w:tcPr>
            <w:tcW w:w="4876" w:type="dxa"/>
            <w:tcBorders>
              <w:top w:val="nil"/>
              <w:left w:val="nil"/>
              <w:bottom w:val="nil"/>
              <w:right w:val="nil"/>
            </w:tcBorders>
          </w:tcPr>
          <w:p>
            <w:pPr>
              <w:pStyle w:val="Normal6a"/>
            </w:pPr>
            <w:r>
              <w:t>R.</w:t>
            </w:r>
            <w:r>
              <w:tab/>
            </w:r>
            <w:r>
              <w:t>kadangi per apklausą, surengtą prieš 2025 m. parlamento rinkimus Nyderlanduose, vienas iš dešimties respondentų pareiškė, kad greičiausiai prašys DI balsavimo patarimo, o dar 13 proc. teigė, kad galbūt juo naudosis; kadangi Nyderlanduose daugiau nei trečdalis jauniausių rinkėjų pareiškė, kad greičiausiai prašys DI balsavimo patarimo arba kad galbūt juo naudosis; kadangi ši tendencija atitinka valstybėse narėse ir visame pasaulyje nustatytus faktus; kadangi neseniai Nyderlandų duomenų apsaugos institucijos atliktas tyrimas rodo, kad DI pokalbių robotų parengtos balsavimo rekomendacijos dažnai atspindi labai iškreiptą ir poliarizuotą požiūrį į politinę aplinką</w:t>
            </w:r>
            <w:r>
              <w:rPr>
                <w:b/>
                <w:i/>
              </w:rPr>
              <w:t>, o tai gali būti laikoma nepakankamo tokių sistemų skaidrumo ir galimo nepatikimumo požymiu, ypač atsižvelgiant į tai, kad dirbtinio intelekto naudojimas didėja ir žmonės vis dažniau kreipiasi į dirbtinį intelektą, kad gautų patarimų dėl didelį poveikį darančių sprendimų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R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kadangi per apklausą, surengtą prieš 2025 m. parlamento rinkimus Nyderlanduose, vienas iš dešimties respondentų pareiškė, kad greičiausiai prašys DI balsavimo patarimo, o dar 13 proc. teigė, kad galbūt juo naudosis; kadangi Nyderlanduose daugiau nei trečdalis jauniausių rinkėjų pareiškė, kad greičiausiai prašys DI balsavimo patarimo arba kad galbūt juo naudosis; kadangi ši tendencija atitinka valstybėse narėse ir visame pasaulyje nustatytus faktus; kadangi neseniai Nyderlandų duomenų apsaugos institucijos atliktas tyrimas rodo, kad DI pokalbių robotų parengtos balsavimo rekomendacijos dažnai atspindi labai iškreiptą ir poliarizuotą požiūrį į politinę aplinką;</w:t>
            </w:r>
          </w:p>
        </w:tc>
        <w:tc>
          <w:tcPr>
            <w:tcW w:w="4876" w:type="dxa"/>
            <w:tcBorders>
              <w:top w:val="nil"/>
              <w:left w:val="nil"/>
              <w:bottom w:val="nil"/>
              <w:right w:val="nil"/>
            </w:tcBorders>
          </w:tcPr>
          <w:p>
            <w:pPr>
              <w:pStyle w:val="Normal6a"/>
            </w:pPr>
            <w:r>
              <w:t>R.</w:t>
            </w:r>
            <w:r>
              <w:tab/>
            </w:r>
            <w:r>
              <w:t xml:space="preserve">kadangi per apklausą, surengtą prieš 2025 m. parlamento rinkimus Nyderlanduose, vienas iš dešimties respondentų pareiškė, kad greičiausiai prašys DI balsavimo patarimo, o dar 13 proc. teigė, kad galbūt juo naudosis; kadangi Nyderlanduose daugiau nei trečdalis jauniausių rinkėjų pareiškė, kad greičiausiai prašys DI balsavimo patarimo arba kad galbūt juo naudosis; kadangi ši tendencija atitinka valstybėse narėse ir visame pasaulyje nustatytus faktus; kadangi neseniai Nyderlandų duomenų apsaugos institucijos atliktas tyrimas rodo, kad DI pokalbių robotų parengtos balsavimo rekomendacijos dažnai atspindi labai iškreiptą ir poliarizuotą požiūrį į politinę aplinką; </w:t>
            </w:r>
            <w:r>
              <w:rPr>
                <w:b/>
                <w:i/>
              </w:rPr>
              <w:t>kadangi investicijos į atvirojo kodo didžiuosius kalbos modelius, pvz., Prancūzijos „Mistral“, kūrimą yra vienas iš būdų sumažinti susirūpinimą dėl paslėpto šališkumo, užpakalinių durų ar netinkamo duomenų naudojimo DI pokalbių robotuose;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R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kadangi labai didelės interneto platformos ir paieškos sistemos de facto tapo viešosios erdvės prieigos valdytojais ir pagrindiniais prieigos prie informacijos tarpininkais, taip darydamos didelę įtaką tam, su kokia informacija susiduria piliečiai, kaip nustatomi jos prioritetai ir kokiomis sąlygomis ji platinama;</w:t>
            </w:r>
            <w:r>
              <w:t xml:space="preserve"> </w:t>
            </w:r>
            <w:r>
              <w:rPr>
                <w:b/>
                <w:i/>
              </w:rPr>
              <w:t>kadangi algoritminio reitingavimo sistemos, rekomendavimo sistemos, neskaidri turinio moderavimo praktika ir dalyvavimu grindžiami monetizavimo modeliai gali tyčia ar netyčia iškraipyti informacinę aplinką, suskaidyti viešąją erdvę ir pakenkti veiksmingai piliečių teisei gauti tikslią ir pliuralistinę informaciją;</w:t>
            </w:r>
            <w:r>
              <w:t xml:space="preserve"> </w:t>
            </w:r>
            <w:r>
              <w:rPr>
                <w:b/>
                <w:i/>
              </w:rPr>
              <w:t>kadangi platformų skaidrumo, atskaitomybės ir rizikos mažinimo užtikrinimas pagal Skaitmeninių paslaugų aktą yra labai svarbus siekiant apsaugoti viešosios erdvės vientisumą ir galimybes visiems piliečiams naudotis teise į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R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pabrėžia, kad dirbtinio intelekto sukurtos balsavimo rekomendacijos ir reklama turėtų būti skaidrios, nefinansuojamos ir nepaveiktos siekiant skatinti konkrečius politinius interesus ir visapusiškai atitikti ES skaitmeninių paslaugų aktą, kad būtų užkirstas kelias manipuliavimui ir būtų apsaugotas piliečių demokratinių pasirinkimų sąžiningumas;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R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kadangi, remiantis nevyriausybinės organizacijos „Investigace.cz“ atliktu tyrimu, Rusija aktyviai kišosi į 2025 m. Vokietijos federalinius rinkimus, nusitaikydama į proeuropietiškas politines partijas, t. y. CDU, SPD ir Žaliuosius ir netrukdydama partijoms AfD, BSW ir „Die Linke“;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kovos su FIMI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kovos su FIMI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 </w:t>
            </w:r>
            <w:r>
              <w:rPr>
                <w:b/>
                <w:i/>
              </w:rPr>
              <w:t>kadangi į Komisijos metinę teisinės valstybės principo taikymo ataskaitą įtrauktas specialus žiniasklaidos laisvės ir žiniasklaidos pliuralizmo ramstis, taip pripažįstant esminį teisinės valstybės padėties, nepriklausomos žurnalistikos apsaugos ir informacinės aplinkos atsparumo ryšį;</w:t>
            </w:r>
            <w:r>
              <w:t xml:space="preserve"> </w:t>
            </w:r>
            <w:r>
              <w:rPr>
                <w:b/>
                <w:i/>
              </w:rPr>
              <w:t>kadangi teisinės valstybės stebėsenos mechanizmų ir politikos, kuria siekiama kovoti su dezinformacija, sąveikos stiprinimas sustiprintų Sąjungos gebėjimą aptikti ankstyvojo perspėjimo signalus, spręsti struktūrinio pažeidžiamumo problemas ir stiprinti demokratines apsaugos priemones visose valstybėse narėse;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w:t>
            </w:r>
            <w:r>
              <w:rPr>
                <w:b/>
                <w:i/>
              </w:rPr>
              <w:t>ir</w:t>
            </w:r>
            <w:r>
              <w:t xml:space="preserve"> principinga kovos su FIMI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w:t>
            </w:r>
            <w:r>
              <w:rPr>
                <w:b/>
                <w:i/>
              </w:rPr>
              <w:t>ir tam, kad ja būtų visapusiškai naudojamasi, ji turi apimti kuo didesnę laisvę atvirai reikšti pozicijas, prieštaraujančias bendrai pripažįstamoms pozicijoms (vyraujančiai pozicijai)</w:t>
            </w:r>
            <w:r>
              <w:t xml:space="preserve">; kadangi ES įsipareigojimas užtikrinti saviraiškos laisvę yra </w:t>
            </w:r>
            <w:r>
              <w:rPr>
                <w:b/>
                <w:i/>
              </w:rPr>
              <w:t>esminė Sąjungos demokratinio gyvybingumo priemonė ir</w:t>
            </w:r>
            <w:r>
              <w:t xml:space="preserve"> nuosekli </w:t>
            </w:r>
            <w:r>
              <w:rPr>
                <w:b/>
                <w:i/>
              </w:rPr>
              <w:t>bei</w:t>
            </w:r>
            <w:r>
              <w:t xml:space="preserve"> principinga kovos su FIMI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kovos su FIMI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kovos su FIMI strategija, aiškiai prieštaraujanti apribojimams, kuriuos autoritariniai subjektai sistemingai taiko savo gyventojams; kadangi </w:t>
            </w:r>
            <w:r>
              <w:rPr>
                <w:b/>
                <w:i/>
              </w:rPr>
              <w:t>pliuralizmo ir spaudos laisvės trūkumas tam tikrose šalyse kandidatėse kenkia ne tik vietos gyventojams, bet ir Sąjungai, nes žiniasklaida dažnai manipuliuojama siekiant skleisti dezinformaciją;</w:t>
            </w:r>
            <w:r>
              <w:t xml:space="preserve"> </w:t>
            </w:r>
            <w:r>
              <w:rPr>
                <w:b/>
                <w:i/>
              </w:rPr>
              <w:t>kadangi</w:t>
            </w:r>
            <w:r>
              <w:t xml:space="preserve"> žiniasklaidos laisvė ir pliuralizmas, taip pat gyvybingos pilietinės erdvės buvimas įgalina visuomenes demokratinio svarstymo būdu aptikti, atskleisti ir atmesti manipuliacinius naratyvus;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w:t>
            </w:r>
            <w:r>
              <w:rPr>
                <w:b/>
                <w:i/>
              </w:rPr>
              <w:t>kovos su FIMI strategija</w:t>
            </w:r>
            <w:r>
              <w:t>,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w:t>
            </w:r>
            <w:r>
              <w:rPr>
                <w:b/>
                <w:i/>
              </w:rPr>
              <w:t>žodžio be baimės būti nubaustam už savo paskelbtą nuomonę laisvė</w:t>
            </w:r>
            <w:r>
              <w:t xml:space="preserve">,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 </w:t>
            </w:r>
            <w:r>
              <w:rPr>
                <w:b/>
                <w:i/>
              </w:rPr>
              <w:t>kadangi tai taip pat apima laisvę turėti savo įsitikinimus ir gauti bei skleisti informaciją be kišimosi;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kovos su FIMI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c>
          <w:tcPr>
            <w:tcW w:w="4876" w:type="dxa"/>
            <w:tcBorders>
              <w:top w:val="nil"/>
              <w:left w:val="nil"/>
              <w:bottom w:val="nil"/>
              <w:right w:val="nil"/>
            </w:tcBorders>
          </w:tcPr>
          <w:p>
            <w:pPr>
              <w:pStyle w:val="Normal6a"/>
            </w:pPr>
            <w:r>
              <w:t>S.</w:t>
            </w:r>
            <w:r>
              <w:tab/>
            </w:r>
            <w:r>
              <w:t xml:space="preserve">kadangi pagrindinė teisė į saviraiškos ir informacijos laisvę, įtvirtinta </w:t>
            </w:r>
            <w:r>
              <w:rPr>
                <w:b/>
                <w:i/>
              </w:rPr>
              <w:t>Visuotinės žmogaus teisių deklaracijos 19 straipsnyje,</w:t>
            </w:r>
            <w:r>
              <w:t xml:space="preserve"> Europos Sąjungos pagrindinių teisių chartijos 11 straipsnyje ir Europos žmogaus teisių konvencijos 10 straipsnyje, yra demokratijos kertinis akmuo; kadangi ES įsipareigojimas užtikrinti saviraiškos laisvę yra nuosekli ir principinga kovos su FIMI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kovos su </w:t>
            </w:r>
            <w:r>
              <w:rPr>
                <w:b/>
                <w:i/>
              </w:rPr>
              <w:t>FIMI</w:t>
            </w:r>
            <w:r>
              <w:t xml:space="preserve">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c>
          <w:tcPr>
            <w:tcW w:w="4876" w:type="dxa"/>
            <w:tcBorders>
              <w:top w:val="nil"/>
              <w:left w:val="nil"/>
              <w:bottom w:val="nil"/>
              <w:right w:val="nil"/>
            </w:tcBorders>
          </w:tcPr>
          <w:p>
            <w:pPr>
              <w:pStyle w:val="Normal6a"/>
            </w:pPr>
            <w:r>
              <w:t>S.</w:t>
            </w:r>
            <w:r>
              <w:tab/>
            </w:r>
            <w:r>
              <w:t xml:space="preserve">kadangi pagrindinė teisė į saviraiškos ir informacijos laisvę, įtvirtinta Europos Sąjungos pagrindinių teisių chartijos 11 straipsnyje ir Europos žmogaus teisių konvencijos 10 straipsnyje, yra demokratijos kertinis akmuo; kadangi ES įsipareigojimas užtikrinti saviraiškos laisvę yra nuosekli ir principinga kovos su </w:t>
            </w:r>
            <w:r>
              <w:rPr>
                <w:b/>
                <w:i/>
              </w:rPr>
              <w:t>manipuliavimu</w:t>
            </w:r>
            <w:r>
              <w:t xml:space="preserve"> strategija, aiškiai prieštaraujanti apribojimams, kuriuos autoritariniai subjektai sistemingai taiko savo gyventojams; kadangi žiniasklaidos laisvė ir pliuralizmas, taip pat gyvybingos pilietinės erdvės buvimas įgalina visuomenes demokratinio svarstymo būdu aptikti, atskleisti ir atmesti manipuliacinius naratyvus;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atsižvelgdamas į 1976 m. gruodžio 7 d. Europos Žmogaus Teisių Teismo sprendimą byloje Handy side / Jungtinė Karalystė, kuriame nustatyta, kad saviraiškos laisvė yra vienas iš esminių demokratinės visuomenės pagrindų ir taikoma ne tik „informacijai“ ar „idėjoms“, kurios priimamos ir vertinamos kaip neįžeidžiančios ar nekeliančioms jokių emocijų, bet ir toms, kurios įžeidžia, šokiruoja ar trikdo valdžios institucijas ar bet kurį gyventojų sluoksnį;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kadangi Skaitmeninių paslaugų akto neteisminio ginčų sprendimo sistema apima platų platformų sprendimų rinkinį, o procesinių išlaidų paskirstymas gali paskatinti platformas vengti ginčų patenkinant prašymus dėl pašalinimo ir (arba) apribojimo net ir tais atvejais, kai turinys yra ginčijamas, taip galimai de facto apribojant teisėtą kalbą dėl išlaidų ir rizikos asimetrijos, o ne dėl teisminių sprendimų;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S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kadangi 2025 m. spalio 24 d. Europos Komisija paskelbė preliminarias išvadas, iš kurių matyti, kad bendrovės „Meta“ platformos galėjo pažeisti tam tikras skaidrumo ir naudotojų apsaugos pareigas pagal Skaitmeninių paslaugų aktą, visų pirma susijusias su tinkamos prieigos prie viešųjų duomenų suteikimu tyrėjams ir mechanizmų, skirtų pranešti apie neteisėtą turinį ir užginčyti sprendimus dėl turinio moderavimo, užtikrinimu;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kadangi saviraiškos ir informacijos laisvė yra pagrindinė teisė, kuria siekiama apsaugoti žmones, o ne mašinas, interneto botus ir DI;</w:t>
            </w:r>
          </w:p>
        </w:tc>
        <w:tc>
          <w:tcPr>
            <w:tcW w:w="4876" w:type="dxa"/>
            <w:tcBorders>
              <w:top w:val="nil"/>
              <w:left w:val="nil"/>
              <w:bottom w:val="nil"/>
              <w:right w:val="nil"/>
            </w:tcBorders>
          </w:tcPr>
          <w:p>
            <w:pPr>
              <w:pStyle w:val="Normal6a"/>
            </w:pPr>
            <w:r>
              <w:t>T.</w:t>
            </w:r>
            <w:r>
              <w:tab/>
            </w:r>
            <w:r>
              <w:t xml:space="preserve">kadangi saviraiškos ir informacijos laisvė yra pagrindinė teisė, kuria siekiama apsaugoti žmones, o ne mašinas, interneto botus ir DI; </w:t>
            </w:r>
            <w:r>
              <w:rPr>
                <w:b/>
                <w:i/>
              </w:rPr>
              <w:t>kadangi Europos Sąjunga tebėra tvirtai ir nedviprasmiškai įsipareigojusi saugoti saviraiškos laisvę kaip pagrindinę demokratinę vertybę ir savo konstitucinės tvarkos ramstį;</w:t>
            </w:r>
            <w:r>
              <w:t xml:space="preserve"> </w:t>
            </w:r>
            <w:r>
              <w:rPr>
                <w:b/>
                <w:i/>
              </w:rPr>
              <w:t>kadangi šis įsipareigojimas turi būti papildytas aiškia reguliavimo sistema, kuria būtų užtikrinama, kad naudojimasis šia laisve nebūtų pretekstas platinti neteisėtą turinį, vykdyti koordinuotą manipuliavimą ar kitą neteisėtą veiklą ir kad būtų taikomos tinkamos apsaugos priemonės ir proporcingi priežiūros mechanizmai siekiant apsaugoti pagrindines teises, viešąją tvarką ir demokratinio diskurso vientisumą;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kadangi saviraiškos ir informacijos laisvė yra pagrindinė teisė, kuria siekiama apsaugoti žmones, o ne mašinas, interneto botus </w:t>
            </w:r>
            <w:r>
              <w:rPr>
                <w:b/>
                <w:i/>
              </w:rPr>
              <w:t>ir DI;</w:t>
            </w:r>
          </w:p>
        </w:tc>
        <w:tc>
          <w:tcPr>
            <w:tcW w:w="4876" w:type="dxa"/>
            <w:tcBorders>
              <w:top w:val="nil"/>
              <w:left w:val="nil"/>
              <w:bottom w:val="nil"/>
              <w:right w:val="nil"/>
            </w:tcBorders>
          </w:tcPr>
          <w:p>
            <w:pPr>
              <w:pStyle w:val="Normal6a"/>
            </w:pPr>
            <w:r>
              <w:t>T.</w:t>
            </w:r>
            <w:r>
              <w:tab/>
            </w:r>
            <w:r>
              <w:t xml:space="preserve">kadangi saviraiškos ir informacijos laisvė yra pagrindinė teisė, kuria siekiama apsaugoti žmones, o ne mašinas, interneto botus </w:t>
            </w:r>
            <w:r>
              <w:rPr>
                <w:b/>
                <w:i/>
              </w:rPr>
              <w:t>ar automatizuotas sistemas, įskaitant DI;</w:t>
            </w:r>
            <w:r>
              <w:t xml:space="preserve"> </w:t>
            </w:r>
            <w:r>
              <w:rPr>
                <w:b/>
                <w:i/>
              </w:rPr>
              <w:t>kadangi tai yra viena iš svarbiausių pagrindinių teisių ir vertybių, kuriomis yra grindžiama ES ir kuriomis taip pat grindžiamos valstybių narių konstitucinės tradicijos;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kadangi saviraiškos ir informacijos laisvė yra pagrindinė teisė, kuria siekiama apsaugoti žmones, o ne mašinas, interneto botus ir DI;</w:t>
            </w:r>
          </w:p>
        </w:tc>
        <w:tc>
          <w:tcPr>
            <w:tcW w:w="4876" w:type="dxa"/>
            <w:tcBorders>
              <w:top w:val="nil"/>
              <w:left w:val="nil"/>
              <w:bottom w:val="nil"/>
              <w:right w:val="nil"/>
            </w:tcBorders>
          </w:tcPr>
          <w:p>
            <w:pPr>
              <w:pStyle w:val="Normal6a"/>
            </w:pPr>
            <w:r>
              <w:t>T.</w:t>
            </w:r>
            <w:r>
              <w:tab/>
            </w:r>
            <w:r>
              <w:t xml:space="preserve">kadangi saviraiškos ir informacijos laisvė yra pagrindinė teisė, kuria siekiama apsaugoti žmones, o ne mašinas, interneto botus ir DI; </w:t>
            </w:r>
            <w:r>
              <w:rPr>
                <w:b/>
                <w:i/>
              </w:rPr>
              <w:t>visomis pastangomis reguliuoti DI turėtų būti užtikrinta, kad tokiomis priemonėmis nebūtų ribojama žmogaus teisė į saviraiškos laisvę, kartu visapusiškai gerbiant žmogaus orumą;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kadangi saviraiškos ir informacijos laisvė yra pagrindinė teisė, kuria siekiama apsaugoti žmones, o ne mašinas, interneto botus ir DI;</w:t>
            </w:r>
          </w:p>
        </w:tc>
        <w:tc>
          <w:tcPr>
            <w:tcW w:w="4876" w:type="dxa"/>
            <w:tcBorders>
              <w:top w:val="nil"/>
              <w:left w:val="nil"/>
              <w:bottom w:val="nil"/>
              <w:right w:val="nil"/>
            </w:tcBorders>
          </w:tcPr>
          <w:p>
            <w:pPr>
              <w:pStyle w:val="Normal6a"/>
            </w:pPr>
            <w:r>
              <w:t>T.</w:t>
            </w:r>
            <w:r>
              <w:tab/>
            </w:r>
            <w:r>
              <w:t>kadangi saviraiškos ir informacijos laisvė yra pagrindinė teisė, kuria siekiama apsaugoti žmones, o ne mašinas, interneto botus ir DI</w:t>
            </w:r>
            <w:r>
              <w:rPr>
                <w:b/>
                <w:i/>
              </w:rPr>
              <w:t>, ir jos negalima riboti neskaidriu ar neteisėtu būdu, taip pat be tinkamos demokratinės kontrolės ir atskaitomybės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kadangi saviraiškos ir informacijos laisvė yra pagrindinė teisė, kuria siekiama apsaugoti žmones, </w:t>
            </w:r>
            <w:r>
              <w:rPr>
                <w:b/>
                <w:i/>
              </w:rPr>
              <w:t>o ne</w:t>
            </w:r>
            <w:r>
              <w:t xml:space="preserve"> mašinas, interneto botus ir DI;</w:t>
            </w:r>
          </w:p>
        </w:tc>
        <w:tc>
          <w:tcPr>
            <w:tcW w:w="4876" w:type="dxa"/>
            <w:tcBorders>
              <w:top w:val="nil"/>
              <w:left w:val="nil"/>
              <w:bottom w:val="nil"/>
              <w:right w:val="nil"/>
            </w:tcBorders>
          </w:tcPr>
          <w:p>
            <w:pPr>
              <w:pStyle w:val="Normal6a"/>
            </w:pPr>
            <w:r>
              <w:t>T.</w:t>
            </w:r>
            <w:r>
              <w:tab/>
            </w:r>
            <w:r>
              <w:t xml:space="preserve">kadangi saviraiškos ir informacijos laisvė yra pagrindinė teisė, kuria siekiama apsaugoti žmones, </w:t>
            </w:r>
            <w:r>
              <w:rPr>
                <w:b/>
                <w:i/>
              </w:rPr>
              <w:t>įskaitant žmogaus veiksmais valdomas</w:t>
            </w:r>
            <w:r>
              <w:t xml:space="preserve"> mašinas, interneto botus ir 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kadangi saviraiškos ir informacijos laisvė yra pagrindinė teisė, kuria siekiama apsaugoti žmones, o ne mašinas, interneto botus ir DI;</w:t>
            </w:r>
          </w:p>
        </w:tc>
        <w:tc>
          <w:tcPr>
            <w:tcW w:w="4876" w:type="dxa"/>
            <w:tcBorders>
              <w:top w:val="nil"/>
              <w:left w:val="nil"/>
              <w:bottom w:val="nil"/>
              <w:right w:val="nil"/>
            </w:tcBorders>
          </w:tcPr>
          <w:p>
            <w:pPr>
              <w:pStyle w:val="Normal6a"/>
            </w:pPr>
            <w:r>
              <w:t>T.</w:t>
            </w:r>
            <w:r>
              <w:tab/>
            </w:r>
            <w:r>
              <w:t xml:space="preserve">kadangi saviraiškos ir informacijos laisvė yra pagrindinė teisė, kuria siekiama apsaugoti žmones, o ne mašinas, </w:t>
            </w:r>
            <w:r>
              <w:rPr>
                <w:b/>
                <w:i/>
              </w:rPr>
              <w:t>rekomendavimo sistemas,</w:t>
            </w:r>
            <w:r>
              <w:t xml:space="preserve"> interneto botus ir 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kadangi „tiesos“ nustatymas iš esmės yra subjektyvus ir istorinė patirtis rodo, kad mažumos nuomonė ar informacija, kurią valdžios institucijos iš pradžių pavadino melaginga, pavojinga ar „dezinformacija“, laikui bėgant dažnai pasitvirtina kaip faktiškai teisinga;</w:t>
            </w:r>
            <w:r>
              <w:t xml:space="preserve"> </w:t>
            </w:r>
            <w:r>
              <w:rPr>
                <w:b/>
                <w:i/>
              </w:rPr>
              <w:t>kadangi tam tikrais atvejais interneto platformos nepagrįstai apribojo arba pašalino teisėtus pranešimus, be kita ko, dėl išorės spaudimo, ir tik vėliau patikrino ir nustatė, kad jie yra autentiški;</w:t>
            </w:r>
            <w:r>
              <w:t xml:space="preserve"> </w:t>
            </w:r>
            <w:r>
              <w:rPr>
                <w:b/>
                <w:i/>
              </w:rPr>
              <w:t>kadangi tai rodo, jog kyla pavojus, kad valdžios institucijoms ar viešosiomis lėšomis finansuojamoms įstaigoms bus suteiktas tiesos arbitrų vaidmuo, o tai gali lemti cenzūrą ir pakenkti saviraiškos laisvei bei demokratiniam pliuralizmui;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kadangi automatizuotos ir pusiau automatizuotos sistemos vis dažniau naudojamos teisėtame žurnalistikos darbe, įskaitant duomenimis grindžiamus reportažus, pvz., finansines naujienas, orų prognozes ir sporto renginių transliacijas, todėl gali patekti į žiniasklaidos laisvės ir saviraiškos laisvės taikymo sritį tais atvejais, kai jie atspindi žmogaus redakcinius ketinimus ir dizainą;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kadangi atviros demokratinės informacinės erdvės struktūriškai yra pažeidžiamesnės manipuliavimui nei uždaros autoritarinės sistemos, kurios gali riboti ir filtruoti išorės turinį, kartu išnaudodamos Vakarų platformų atvirumą, o tai sukuria asimetriją, kurią reikia šalinti imantis sustiprintų ir koordinuotų ES veiksmų informavimo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T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kadangi minties, sąžinės ir religijos laisvė, saugoma pagal Europos Sąjungos pagrindinių teisių chartijos 10 ir 22 straipsnius, įskaitant laisvę skelbti religiją ar tikėjimą viešajame diskurse, yra pagrindinė demokratinio pliuralizmo ir atsparumo sudedamoji dalis ir neturi būti netiesiogiai ribojama priemonėmis, kuriomis siekiama kovoti su dezinformacija ar užsienio vykdomu manipuliavimu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U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kadangi FIMI subjektai naudoja technologijas koordinuotoms neautentiškoms dezinformacijos kampanijoms organizuoti; kadangi šios technologijos, visų pirma interneto botai ir DI grindžiamos programinės įrangos programos, gali rodyti savarankišką elgesį ir vėliau iškreipti ir sunaikinti tikrą viešąjį diskursą, užgožiant tikrų asmenų išraišką neautentišku turiniu;</w:t>
            </w:r>
          </w:p>
        </w:tc>
        <w:tc>
          <w:tcPr>
            <w:tcW w:w="4876" w:type="dxa"/>
            <w:tcBorders>
              <w:top w:val="nil"/>
              <w:left w:val="nil"/>
              <w:bottom w:val="nil"/>
              <w:right w:val="nil"/>
            </w:tcBorders>
          </w:tcPr>
          <w:p>
            <w:pPr>
              <w:pStyle w:val="Normal6a"/>
            </w:pPr>
            <w:r>
              <w:t>U.</w:t>
            </w:r>
            <w:r>
              <w:tab/>
            </w:r>
            <w:r>
              <w:t xml:space="preserve">kadangi FIMI subjektai naudoja technologijas koordinuotoms neautentiškoms dezinformacijos kampanijoms organizuoti; kadangi šios technologijos, visų pirma interneto botai ir DI grindžiamos programinės įrangos programos, gali rodyti savarankišką elgesį ir vėliau iškreipti ir sunaikinti tikrą viešąjį diskursą, užgožiant tikrų asmenų išraišką neautentišku turiniu; </w:t>
            </w:r>
            <w:r>
              <w:rPr>
                <w:b/>
                <w:i/>
              </w:rPr>
              <w:t>kadangi nereguliuojamas neautentiškas turinys ir dezinformacija neskatina tikro žmonių bendravimo ir veda prie „nebegyvo interneto“;</w:t>
            </w:r>
            <w:r>
              <w:t xml:space="preserve"> </w:t>
            </w:r>
            <w:r>
              <w:rPr>
                <w:b/>
                <w:i/>
              </w:rPr>
              <w:t>kadangi 2024 m. bendrovės „Imperva Threat Research“ ataskaitoje atskleidžiama, kad beveik 50 proc. interneto srauto gaunama iš ne žmogaus šaltinių, o kenksmingi botai sugeneruoja beveik trečdalį viso interneto srauto;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U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kadangi FIMI subjektai naudoja technologijas koordinuotoms </w:t>
            </w:r>
            <w:r>
              <w:rPr>
                <w:b/>
                <w:i/>
              </w:rPr>
              <w:t>neautentiškoms</w:t>
            </w:r>
            <w:r>
              <w:t xml:space="preserve"> dezinformacijos kampanijoms organizuoti; </w:t>
            </w:r>
            <w:r>
              <w:rPr>
                <w:b/>
                <w:i/>
              </w:rPr>
              <w:t>kadangi šios technologijos, visų pirma interneto botai ir DI grindžiamos programinės įrangos programos, gali rodyti savarankišką elgesį ir vėliau iškreipti ir sunaikinti tikrą viešąjį diskursą, užgožiant tikrų asmenų išraišką neautentišku turiniu;</w:t>
            </w:r>
          </w:p>
        </w:tc>
        <w:tc>
          <w:tcPr>
            <w:tcW w:w="4876" w:type="dxa"/>
            <w:tcBorders>
              <w:top w:val="nil"/>
              <w:left w:val="nil"/>
              <w:bottom w:val="nil"/>
              <w:right w:val="nil"/>
            </w:tcBorders>
          </w:tcPr>
          <w:p>
            <w:pPr>
              <w:pStyle w:val="Normal6a"/>
            </w:pPr>
            <w:r>
              <w:t>U.</w:t>
            </w:r>
            <w:r>
              <w:tab/>
            </w:r>
            <w:r>
              <w:t>kadangi FIMI subjektai naudoja technologijas koordinuotoms dezinformacijos kampanijoms organizuoti;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U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kadangi FIMI subjektai naudoja technologijas koordinuotoms neautentiškoms dezinformacijos kampanijoms organizuoti; kadangi šios technologijos, visų pirma interneto botai ir DI grindžiamos programinės įrangos programos, gali rodyti savarankišką elgesį ir vėliau iškreipti ir sunaikinti tikrą viešąjį diskursą, užgožiant tikrų asmenų išraišką neautentišku turiniu;</w:t>
            </w:r>
          </w:p>
        </w:tc>
        <w:tc>
          <w:tcPr>
            <w:tcW w:w="4876" w:type="dxa"/>
            <w:tcBorders>
              <w:top w:val="nil"/>
              <w:left w:val="nil"/>
              <w:bottom w:val="nil"/>
              <w:right w:val="nil"/>
            </w:tcBorders>
          </w:tcPr>
          <w:p>
            <w:pPr>
              <w:pStyle w:val="Normal6a"/>
            </w:pPr>
            <w:r>
              <w:t>U.</w:t>
            </w:r>
            <w:r>
              <w:tab/>
            </w:r>
            <w:r>
              <w:t xml:space="preserve">kadangi FIMI subjektai naudoja technologijas koordinuotoms neautentiškoms dezinformacijos kampanijoms organizuoti; kadangi šios technologijos, visų pirma interneto botai ir DI grindžiamos programinės įrangos programos, gali rodyti savarankišką elgesį ir vėliau iškreipti ir sunaikinti tikrą viešąjį diskursą, užgožiant tikrų asmenų išraišką neautentišku turiniu; </w:t>
            </w:r>
            <w:r>
              <w:rPr>
                <w:b/>
                <w:i/>
              </w:rPr>
              <w:t>kadangi kompetentingos nacionalinės institucijos ir pačios technologijų platformos imasi priemonių, kad užkirstų kelią tokiam kišimuisi;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U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kadangi FIMI subjektai naudoja technologijas </w:t>
            </w:r>
            <w:r>
              <w:rPr>
                <w:b/>
                <w:i/>
              </w:rPr>
              <w:t>koordinuotoms neautentiškoms</w:t>
            </w:r>
            <w:r>
              <w:t xml:space="preserve"> dezinformacijos kampanijoms organizuoti; kadangi šios technologijos, visų pirma interneto botai ir DI grindžiamos programinės įrangos programos, gali rodyti savarankišką elgesį ir vėliau iškreipti ir sunaikinti tikrą viešąjį diskursą</w:t>
            </w:r>
            <w:r>
              <w:rPr>
                <w:b/>
                <w:i/>
              </w:rPr>
              <w:t>, užgožiant</w:t>
            </w:r>
            <w:r>
              <w:t xml:space="preserve"> tikrų asmenų </w:t>
            </w:r>
            <w:r>
              <w:rPr>
                <w:b/>
                <w:i/>
              </w:rPr>
              <w:t>išraišką</w:t>
            </w:r>
            <w:r>
              <w:t xml:space="preserve"> neautentišku turiniu;</w:t>
            </w:r>
          </w:p>
        </w:tc>
        <w:tc>
          <w:tcPr>
            <w:tcW w:w="4876" w:type="dxa"/>
            <w:tcBorders>
              <w:top w:val="nil"/>
              <w:left w:val="nil"/>
              <w:bottom w:val="nil"/>
              <w:right w:val="nil"/>
            </w:tcBorders>
          </w:tcPr>
          <w:p>
            <w:pPr>
              <w:pStyle w:val="Normal6a"/>
            </w:pPr>
            <w:r>
              <w:t>U.</w:t>
            </w:r>
            <w:r>
              <w:tab/>
            </w:r>
            <w:r>
              <w:t xml:space="preserve">kadangi FIMI subjektai naudoja technologijas </w:t>
            </w:r>
            <w:r>
              <w:rPr>
                <w:b/>
                <w:i/>
              </w:rPr>
              <w:t>koordinuotam neautentiškam elgesiui ir klaidingos informacijos ar</w:t>
            </w:r>
            <w:r>
              <w:t xml:space="preserve"> dezinformacijos kampanijoms organizuoti; kadangi šios technologijos, visų pirma interneto botai ir DI grindžiamos programinės įrangos programos, gali rodyti savarankišką elgesį ir vėliau iškreipti ir sunaikinti tikrą viešąjį diskursą </w:t>
            </w:r>
            <w:r>
              <w:rPr>
                <w:b/>
                <w:i/>
              </w:rPr>
              <w:t>perpildant</w:t>
            </w:r>
            <w:r>
              <w:t xml:space="preserve"> tikrų asmenų </w:t>
            </w:r>
            <w:r>
              <w:rPr>
                <w:b/>
                <w:i/>
              </w:rPr>
              <w:t>internetinę erdvę ir komunikacijos kanalus</w:t>
            </w:r>
            <w:r>
              <w:t xml:space="preserve"> neautentišku turiniu </w:t>
            </w:r>
            <w:r>
              <w:rPr>
                <w:b/>
                <w:i/>
              </w:rPr>
              <w:t>arba sukuriant netikras tikslines paskyras interneto aplinkoje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U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kadangi piktavališki užsienio subjektai piktnaudžiauja atviru įrenginių pažeidžiamumu, kad įsiskverbtų į asmeninę ar profesinę komunikaciją, ir kadangi pastaraisiais metais ne vienas atvejis parodė, kad ES nėra pasirengusi kovoti su šnipinėjimo programų įsiskverbimu į įrenginius;</w:t>
            </w:r>
            <w:r>
              <w:t xml:space="preserve"> </w:t>
            </w:r>
            <w:r>
              <w:rPr>
                <w:b/>
                <w:i/>
              </w:rPr>
              <w:t>kadangi užsienio subjektai naudoja šnipinėjimo programas tiek disidentams, tiek valstybės pareigūnams stebėti;</w:t>
            </w:r>
            <w:r>
              <w:t xml:space="preserve"> </w:t>
            </w:r>
            <w:r>
              <w:rPr>
                <w:b/>
                <w:i/>
              </w:rPr>
              <w:t>kadangi vis didesnis žmogaus teisių gynėjų sekimas turėtų būti laikomas tarpvalstybinių represijų arba „stebėjimu grindžiamos prievartos“ forma;</w:t>
            </w:r>
            <w:r>
              <w:t xml:space="preserve"> </w:t>
            </w:r>
            <w:r>
              <w:rPr>
                <w:b/>
                <w:i/>
              </w:rPr>
              <w:t>kadangi prekyba pažeidžiamumo spragomis tamsiajame tinkle išlieka ir su ja nėra veiksmingai kovojama, todėl skaitmeninė komunikacija, sistemos ir įrenginiai yra pažeidžiami užsienio kišimuisi ir tam neturima jokių sprendimų;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U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kadangi piktavališki užsienio subjektai piktnaudžiauja atviru įrenginių pažeidžiamumu, kad įsiskverbtų į asmeninę ar profesinę komunikaciją, ir kadangi pastaraisiais metais ne vienas atvejis parodė, kad ES nėra pasirengusi kovoti su šnipinėjimo programų įsiskverbimu į įrenginius;</w:t>
            </w:r>
            <w:r>
              <w:t xml:space="preserve"> </w:t>
            </w:r>
            <w:r>
              <w:rPr>
                <w:b/>
                <w:i/>
              </w:rPr>
              <w:t>kadangi užsienio subjektai naudoja šnipinėjimo programas tiek disidentams, tiek valstybės pareigūnams stebėti;</w:t>
            </w:r>
            <w:r>
              <w:t xml:space="preserve"> </w:t>
            </w:r>
            <w:r>
              <w:rPr>
                <w:b/>
                <w:i/>
              </w:rPr>
              <w:t>kadangi vis didesnis žmogaus teisių gynėjų sekimas turėtų būti laikomas tarpvalstybinių represijų arba „stebėjimu grindžiamos prievartos“ forma;</w:t>
            </w:r>
            <w:r>
              <w:t xml:space="preserve"> </w:t>
            </w:r>
            <w:r>
              <w:rPr>
                <w:b/>
                <w:i/>
              </w:rPr>
              <w:t>kadangi prekyba pažeidžiamumo spragomis tamsiajame tinkle išlieka ir su ja nėra veiksmingai kovojama, todėl skaitmeninė komunikacija, sistemos ir įrenginiai yra pažeidžiami užsienio kišimuisi ir tam neturima jokių sprendimų;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784.367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178</w:t>
    </w:r>
    <w:r>
      <w:fldChar w:fldCharType="end"/>
    </w:r>
    <w:r>
      <w:tab/>
    </w:r>
    <w:r>
      <w:rPr>
        <w:rStyle w:val="HideTWBExt"/>
      </w:rPr>
      <w:t>&lt;PathFdR&gt;</w:t>
    </w:r>
    <w:r>
      <w:t>AM\1337209LT.docx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AM\1337209LT.docx</w:t>
    </w:r>
    <w:r>
      <w:rPr>
        <w:rStyle w:val="HideTWBExt"/>
      </w:rPr>
      <w:t>&lt;/PathFdR&gt;</w:t>
    </w:r>
    <w:r>
      <w:tab/>
    </w:r>
    <w:r>
      <w:fldChar w:fldCharType="begin"/>
    </w:r>
    <w:r>
      <w:instrText xml:space="preserve"> PAGE </w:instrText>
    </w:r>
    <w:r>
      <w:fldChar w:fldCharType="separate"/>
    </w:r>
    <w:r>
      <w:t>177</w:t>
    </w:r>
    <w:r>
      <w:fldChar w:fldCharType="end"/>
    </w:r>
    <w:r>
      <w:t>/</w:t>
    </w:r>
    <w:r>
      <w:fldChar w:fldCharType="begin"/>
    </w:r>
    <w:r>
      <w:instrText xml:space="preserve"> NUMPAGES </w:instrText>
    </w:r>
    <w:r>
      <w:fldChar w:fldCharType="separate"/>
    </w:r>
    <w:r>
      <w:t>178</w:t>
    </w:r>
    <w:r>
      <w:fldChar w:fldCharType="end"/>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AM\1337209LT.docx</w:t>
    </w:r>
    <w:r>
      <w:rPr>
        <w:rStyle w:val="HideTWBExt"/>
      </w:rPr>
      <w:t>&lt;/PathFdR&gt;</w:t>
    </w:r>
    <w:r>
      <w:tab/>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178</Pages>
  <Words>34660</Words>
  <Characters>248256</Characters>
  <Application>Microsoft Office Word</Application>
  <DocSecurity>0</DocSecurity>
  <Lines>1</Lines>
  <Paragraphs>2827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420582</vt:lpwstr>
  </property>
  <property fmtid="{D5CDD505-2E9C-101B-9397-08002B2CF9AE}" pid="7" name="dmxml.render.traceId">
    <vt:lpwstr>69b3efa0556f55813a270f0d24174083</vt:lpwstr>
  </property>
  <property fmtid="{D5CDD505-2E9C-101B-9397-08002B2CF9AE}" pid="8" name="FooterPath">
    <vt:lpwstr>AM\1337209LT.docx</vt:lpwstr>
  </property>
  <property fmtid="{D5CDD505-2E9C-101B-9397-08002B2CF9AE}" pid="9" name="PE Number">
    <vt:lpwstr>784.367</vt:lpwstr>
  </property>
  <property fmtid="{D5CDD505-2E9C-101B-9397-08002B2CF9AE}" pid="10" name="UID">
    <vt:lpwstr>eu.europa.europarl-DIN1-2026-0000036096_01.00-lt-01.00_text-xml</vt:lpwstr>
  </property>
</Properties>
</file>