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Īpašā komiteja attiecībā uz Eiropas demokrātijas vairogu</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323</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Secinājumi un ieteikumi, ko sniegusi Īpašā komiteja attiecībā uz Eiropas demokrātijas vairogu</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priekšsēdētājas Urzulas fon der Leienas 2025. gada septembra runu par stāvokli Savienībā, kurā tika uzsvērts, ka ir svarīgi steidzami rīkoties, lai veicinātu demokrātisko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ņemot vērā Līgumu par Eiropas Savienību (LES) un jo īpaši tā 2. pantu par ES pamatvērtībām, 10. pantu par demokrātijas principiem un 21. pantu par ārējo darbību,</w:t>
            </w:r>
          </w:p>
        </w:tc>
        <w:tc>
          <w:tcPr>
            <w:tcW w:w="4876" w:type="dxa"/>
            <w:tcBorders>
              <w:top w:val="nil"/>
              <w:left w:val="nil"/>
              <w:bottom w:val="nil"/>
              <w:right w:val="nil"/>
            </w:tcBorders>
          </w:tcPr>
          <w:p>
            <w:pPr>
              <w:pStyle w:val="Normal6a"/>
            </w:pPr>
            <w:r>
              <w:t>–</w:t>
            </w:r>
            <w:r>
              <w:tab/>
            </w:r>
            <w:r>
              <w:t xml:space="preserve">ņemot vērā Līgumu par Eiropas Savienību (LES) un jo īpaši </w:t>
            </w:r>
            <w:r>
              <w:rPr>
                <w:b/>
                <w:i/>
              </w:rPr>
              <w:t>tā 5. pantu, kurā noteiktas Savienības kompetences robežas un kompetences piešķiršanas, subsidiaritātes un proporcionalitātes principi, kā arī</w:t>
            </w:r>
            <w:r>
              <w:t xml:space="preserve"> tā 2. pantu par ES pamatvērtībām, 10. pantu par demokrātijas principiem un 21. pantu par ārējo 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Apvienoto Nāciju Organizācijas Statūtus,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Vispārējo cilvēktiesību deklarāciju, jo īpaši tās 18. pantu, kurā garantētas tiesības uz domas, apziņas un reliģijas brīvību, un 19. pantu, kurā garantētas tiesības uz uzskatu un vārda brīvību,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Cilvēktiesību konvenciju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https://www.echr.coe.int/documents/d/echr/convention_lav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2024. gada Eiropas Kritiski svarīgo izejvielu aktu (CRMA),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kopīgo paziņojumu (2025/977) Eiropas Parlamentam un Padomei par ES ekonomiskās drošības stiprināšanu,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un Padomes 2024. gada 11. aprīļa Regulu (ES) 2024/1083, ar ko izveido vienotu satvaru mediju pakalpojumiem iekšējā tirgū un groza Direktīvu 2010/13/ES (Eiropas Mediju brīvības akts),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Padomes 2014. gada 31. jūlija Lēmumu 2014/512/KĀDP par ierobežojošiem pasākumiem saistībā ar Krievijas darbībām, kas destabilizē situāciju Ukrainā</w:t>
            </w:r>
            <w:r>
              <w:rPr>
                <w:b/>
                <w:i/>
                <w:vertAlign w:val="superscript"/>
              </w:rPr>
              <w:t>21</w:t>
            </w:r>
            <w:r>
              <w:rPr>
                <w:b/>
                <w:i/>
              </w:rPr>
              <w:t>, un Padomes 2014. gada 31. jūlija Regulu (ES) Nr. 833/2014 par ierobežojošiem pasākumiem saistībā ar Krievijas darbībām, kas destabilizē situāciju Ukrainā</w:t>
            </w:r>
            <w:r>
              <w:rPr>
                <w:b/>
                <w:i/>
                <w:vertAlign w:val="superscript"/>
              </w:rPr>
              <w:t>22</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OV L 229, 31.7.2014, 13. lpp., ELI:</w:t>
            </w:r>
            <w:r>
              <w:t xml:space="preserve"> </w:t>
            </w:r>
            <w:r>
              <w:rPr>
                <w:b/>
                <w:i/>
              </w:rPr>
              <w:t>http://data.europa.eu/eli/dec/2014/512/oj.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OV L 229, 31.7.2014, 1. lpp., ELI:</w:t>
            </w:r>
            <w:r>
              <w:t xml:space="preserve"> </w:t>
            </w:r>
            <w:r>
              <w:rPr>
                <w:b/>
                <w:i/>
              </w:rPr>
              <w:t>http://data.europa.eu/eli/reg/2014/833/oj.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Padomes 2022. gada 23. februāra Lēmumu (KĀDP) 2022/266 par ierobežojošiem pasākumiem, ar ko reaģē uz Ukrainas Doneckas un Luhanskas apgabalu valdības nekontrolēto teritoriju atzīšanu un rīkojumu izvietot Krievijas bruņotos spēkus minētajās teritorijās</w:t>
            </w:r>
            <w:r>
              <w:rPr>
                <w:b/>
                <w:i/>
                <w:vertAlign w:val="superscript"/>
              </w:rPr>
              <w:t>23</w:t>
            </w:r>
            <w:r>
              <w:rPr>
                <w:b/>
                <w:i/>
              </w:rPr>
              <w:t>, un Padomes 2022. gada 23. februāra Regulu (ES) 2022/263 ierobežojošiem pasākumiem, ar ko reaģē uz Ukrainas Doneckas un Luhanskas apgabalu valdības nekontrolēto teritoriju atzīšanu un rīkojumu izvietot Krievijas bruņotos spēkus minētajās teritorijās</w:t>
            </w:r>
            <w:r>
              <w:rPr>
                <w:b/>
                <w:i/>
                <w:vertAlign w:val="superscript"/>
              </w:rPr>
              <w:t>24</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OV L 42 I, 23.2.2022, 109. lpp., ELI:</w:t>
            </w:r>
            <w:r>
              <w:t xml:space="preserve"> </w:t>
            </w:r>
            <w:r>
              <w:rPr>
                <w:b/>
                <w:i/>
              </w:rPr>
              <w:t>http://data.europa.eu/eli/dec/2022/266/oj.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OV L 42 I, 23.2.2022, 77. lpp., ELI:</w:t>
            </w:r>
            <w:r>
              <w:t xml:space="preserve"> </w:t>
            </w:r>
            <w:r>
              <w:rPr>
                <w:b/>
                <w:i/>
              </w:rPr>
              <w:t>http://data.europa.eu/eli/reg/2022/263/oj.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Padomes 2012. gada 15. oktobra Lēmumu 2012/642/KĀDP par ierobežojošiem pasākumiem pret prezidentu Lukašenko un dažām Baltkrievijas amatpersonām</w:t>
            </w:r>
            <w:r>
              <w:rPr>
                <w:b/>
                <w:i/>
                <w:vertAlign w:val="superscript"/>
              </w:rPr>
              <w:t>25</w:t>
            </w:r>
            <w:r>
              <w:rPr>
                <w:b/>
                <w:i/>
              </w:rPr>
              <w:t>, un Padomes 2006. gada 18. maija Regulu (EK) Nr. 765/2006 par ierobežojošiem pasākumiem pret prezidentu Lukašenko un dažām Baltkrievijas amatpersonām</w:t>
            </w:r>
            <w:r>
              <w:rPr>
                <w:b/>
                <w:i/>
                <w:vertAlign w:val="superscript"/>
              </w:rPr>
              <w:t>26</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OV L 285, 17.10.2012, 1. lpp., ELI:</w:t>
            </w:r>
            <w:r>
              <w:t xml:space="preserve"> </w:t>
            </w:r>
            <w:r>
              <w:rPr>
                <w:b/>
                <w:i/>
              </w:rPr>
              <w:t>http://data.europa.eu/eli/dec/2012/642/oj.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OV L 134, 20.5.2006, 1. lpp., ELI:</w:t>
            </w:r>
            <w:r>
              <w:t xml:space="preserve"> </w:t>
            </w:r>
            <w:r>
              <w:rPr>
                <w:b/>
                <w:i/>
              </w:rPr>
              <w:t>http://data.europa.eu/eli/reg/2006/765/oj.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Padomes 2023. gada 20. jūlija Lēmumu (KĀDP) 2023/1532 par ierobežojošiem pasākumiem sakarā ar Irānas militāro atbalstu Krievijas agresijas karam pret Ukrainu</w:t>
            </w:r>
            <w:r>
              <w:rPr>
                <w:b/>
                <w:i/>
                <w:vertAlign w:val="superscript"/>
              </w:rPr>
              <w:t>27</w:t>
            </w:r>
            <w:r>
              <w:rPr>
                <w:b/>
                <w:i/>
              </w:rPr>
              <w:t>un Padomes 2023. gada 20. jūlija Regulu (ES) 2023/1529 par ierobežojošiem pasākumiem sakarā ar Irānas militāro atbalstu Krievijas agresijas karam pret Ukrainu</w:t>
            </w:r>
            <w:r>
              <w:rPr>
                <w:b/>
                <w:i/>
                <w:vertAlign w:val="superscript"/>
              </w:rPr>
              <w:t>28</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OV L 186, 25.7.2023, 20. lpp., ELI:</w:t>
            </w:r>
            <w:r>
              <w:t xml:space="preserve"> </w:t>
            </w:r>
            <w:r>
              <w:rPr>
                <w:b/>
                <w:i/>
              </w:rPr>
              <w:t>http://data.europa.eu/eli/dec/2023/1532/oj.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OV L 186, 25.7.2023, 1. lpp., ELI:</w:t>
            </w:r>
            <w:r>
              <w:t xml:space="preserve"> </w:t>
            </w:r>
            <w:r>
              <w:rPr>
                <w:b/>
                <w:i/>
              </w:rPr>
              <w:t>http://data.europa.eu/eli/reg/2023/1529/oj.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Padomes 2024. gada 31. maija Lēmumu (KĀDP) 2024/1603, ar ko groza Lēmumu (KĀDP) 2016/849 par ierobežojošiem pasākumiem pret Korejas Tautas Demokrātisko Republiku</w:t>
            </w:r>
            <w:r>
              <w:rPr>
                <w:b/>
                <w:i/>
                <w:vertAlign w:val="superscript"/>
              </w:rPr>
              <w:t>29</w:t>
            </w:r>
            <w:r>
              <w:rPr>
                <w:b/>
                <w:i/>
              </w:rPr>
              <w:t>, un Padomes 2024. gada 31. maija Regulu (ES) 2024/1602, ar ko īsteno Regulu (ES) 2017/1509 par ierobežojošiem pasākumiem pret Korejas Tautas Demokrātisko Republiku</w:t>
            </w:r>
            <w:r>
              <w:rPr>
                <w:b/>
                <w:i/>
                <w:vertAlign w:val="superscript"/>
              </w:rPr>
              <w:t>30</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OV L, 2024/1603, 31.5.2024, ELI:</w:t>
            </w:r>
            <w:r>
              <w:t xml:space="preserve"> </w:t>
            </w:r>
            <w:r>
              <w:rPr>
                <w:b/>
                <w:i/>
              </w:rPr>
              <w:t>http://data.europa.eu/eli/dec/2024/1603/oj.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OV L, 2024/1602, 31.5.2024, ELI:</w:t>
            </w:r>
            <w:r>
              <w:t xml:space="preserve"> </w:t>
            </w:r>
            <w:r>
              <w:rPr>
                <w:b/>
                <w:i/>
              </w:rPr>
              <w:t>http://data.europa.eu/eli/reg_impl/2024/1602/oj.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Parlamenta 2026. gada 22. janvāra rezolūciju par mēģinājumu pārņemt kontroli pār Lietuvas sabiedrisko raidorganizāciju un demokrātijas apdraudējumu Lietuvā,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29.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tā 2025. gada 9. oktobra rezolūciju par vienotu atbildes reakciju uz nesenajiem Krievijas pārkāpumiem attiecībā uz ES dalībvalstu gaisa telpu un kritisko infrastruktūru</w:t>
            </w:r>
            <w:r>
              <w:rPr>
                <w:b/>
                <w:i/>
                <w:vertAlign w:val="superscript"/>
              </w:rPr>
              <w:t>32</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Pieņemtie teksti, P10_TA(2025)0230.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29.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ņemot vērā </w:t>
            </w:r>
            <w:r>
              <w:rPr>
                <w:b/>
                <w:i/>
              </w:rPr>
              <w:t>tā</w:t>
            </w:r>
            <w:r>
              <w:t xml:space="preserve"> 2025. gada 9. oktobra rezolūciju par vienotu atbildes reakciju uz nesenajiem Krievijas pārkāpumiem attiecībā uz ES dalībvalstu gaisa telpu un kritisko infrastruktūru</w:t>
            </w:r>
            <w:r>
              <w:rPr>
                <w:vertAlign w:val="superscript"/>
              </w:rPr>
              <w:t>32</w:t>
            </w:r>
            <w:r>
              <w:t>,</w:t>
            </w:r>
          </w:p>
        </w:tc>
        <w:tc>
          <w:tcPr>
            <w:tcW w:w="4876" w:type="dxa"/>
            <w:tcBorders>
              <w:top w:val="nil"/>
              <w:left w:val="nil"/>
              <w:bottom w:val="nil"/>
              <w:right w:val="nil"/>
            </w:tcBorders>
          </w:tcPr>
          <w:p>
            <w:pPr>
              <w:pStyle w:val="Normal6a"/>
            </w:pPr>
            <w:r>
              <w:t>–</w:t>
            </w:r>
            <w:r>
              <w:tab/>
            </w:r>
            <w:r>
              <w:t xml:space="preserve">ņemot vērā </w:t>
            </w:r>
            <w:r>
              <w:rPr>
                <w:b/>
                <w:i/>
              </w:rPr>
              <w:t>iepriekšējās rezolūcijas par Krievijas Federāciju un tās agresiju pret Ukrainu, kā arī tās naidīgajām darbībām pret dalībvalstīm, tostarp</w:t>
            </w:r>
            <w:r>
              <w:t xml:space="preserve"> 2025. gada 9. oktobra rezolūciju par vienotu atbildes reakciju uz nesenajiem Krievijas pārkāpumiem attiecībā uz ES dalībvalstu gaisa telpu un kritisko infrastruktūru</w:t>
            </w:r>
            <w:r>
              <w:rPr>
                <w:vertAlign w:val="superscript"/>
              </w:rPr>
              <w:t>32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Pieņemtie teksti, P10_TA(2025)0230.</w:t>
            </w:r>
          </w:p>
        </w:tc>
        <w:tc>
          <w:tcPr>
            <w:tcW w:w="4876" w:type="dxa"/>
            <w:tcBorders>
              <w:top w:val="nil"/>
              <w:left w:val="nil"/>
              <w:bottom w:val="nil"/>
              <w:right w:val="nil"/>
            </w:tcBorders>
          </w:tcPr>
          <w:p>
            <w:pPr>
              <w:pStyle w:val="Normal6a"/>
            </w:pPr>
            <w:r>
              <w:rPr>
                <w:vertAlign w:val="superscript"/>
              </w:rPr>
              <w:t>32</w:t>
            </w:r>
            <w:r>
              <w:t xml:space="preserve"> </w:t>
            </w:r>
            <w:r>
              <w:t>Pieņemtie teksti, P10_TA(2025)0230.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30.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2025. gada 18. jūnija rezolūciju par Komisijas 2024. gada ziņojumu par tiesiskumu</w:t>
            </w:r>
            <w:r>
              <w:rPr>
                <w:b/>
                <w:i/>
                <w:vertAlign w:val="superscript"/>
              </w:rPr>
              <w:t>33</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OV C, C/2025/6259, 19.12.2025, ELI:</w:t>
            </w:r>
            <w:r>
              <w:t xml:space="preserve"> </w:t>
            </w:r>
            <w:r>
              <w:rPr>
                <w:b/>
                <w:i/>
              </w:rPr>
              <w:t>http://data.europa.eu/eli/C/2025/6259/oj.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20. janvāra rezolūciju par Krievijas īstenoto dezinformāciju un vēstures falsificēšanu, lai attaisnotu savu agresijas karu pret Ukrainu</w:t>
            </w:r>
            <w:r>
              <w:rPr>
                <w:b/>
                <w:i/>
                <w:vertAlign w:val="superscript"/>
              </w:rPr>
              <w:t>34a</w:t>
            </w:r>
            <w:r>
              <w:rPr>
                <w:b/>
                <w:i/>
              </w:rPr>
              <w:t>, un ņemot vērā 2025. gada 22. oktobra rezolūciju par Padomes nostāju attiecībā uz Eiropas Savienības 2026. finanšu gada vispārējā budžeta projektu</w:t>
            </w:r>
            <w:r>
              <w:rPr>
                <w:b/>
                <w:i/>
                <w:vertAlign w:val="superscript"/>
              </w:rPr>
              <w:t>34b</w:t>
            </w:r>
            <w:r>
              <w:rPr>
                <w:b/>
                <w:i/>
              </w:rPr>
              <w:t>, kurā minēts piemiņas memoriāla Briselē projekts,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34a</w:t>
            </w:r>
            <w:r>
              <w:t xml:space="preserve"> </w:t>
            </w:r>
            <w:r>
              <w:rPr>
                <w:b/>
                <w:i/>
              </w:rPr>
              <w:t>Pieņemtie teksti,</w:t>
            </w:r>
            <w:r>
              <w:t xml:space="preserve"> </w:t>
            </w:r>
            <w:r>
              <w:rPr>
                <w:b/>
                <w:i/>
              </w:rPr>
              <w:t>P10_TA(2025)0006.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34b</w:t>
            </w:r>
            <w:r>
              <w:t xml:space="preserve"> </w:t>
            </w:r>
            <w:r>
              <w:rPr>
                <w:b/>
                <w:i/>
              </w:rPr>
              <w:t>Pieņemtie teksti,</w:t>
            </w:r>
            <w:r>
              <w:t xml:space="preserve"> </w:t>
            </w:r>
            <w:r>
              <w:rPr>
                <w:b/>
                <w:i/>
              </w:rPr>
              <w:t>P10_TA(2025)0244.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23. janvāra rezolūciju par Krievijas īstenoto dezinformāciju un vēstures falsificēšanu, lai attaisnotu savu agresijas karu pret Ukrainu,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13. novembra rezolūciju par cilvēktiesību aizstāvju transnacionālu represiju problēmas risināšanu,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2026. gada 21. janvāra rezolūciju par vēršanos pret nesodāmību ar ES sankcijām, tostarp ar ES globālo cilvēktiesību sankciju režīmu (tā dēvēto ES Magņitska likumu),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33.a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to, ka ASV Pārstāvju palātas Tieslietu komitejas starpposma novērtējuma ziņojumā "The Foreign Censorship Threat, Part II:</w:t>
            </w:r>
            <w:r>
              <w:t xml:space="preserve"> </w:t>
            </w:r>
            <w:r>
              <w:rPr>
                <w:b/>
                <w:i/>
              </w:rPr>
              <w:t>Europe´s decade-long campaign to censor the Global Internet and how it harms American speech in the United States" (Ārvalstu cenzūras apdraudējums, II daļa: desmit gadus ilgā Eiropas kampaņa, kuras mērķis ir cenzēt globālo internetu, un tās kaitējums runas brīvībai Amerikas Savienotajās Valstīs) ir konstatēta nopietna Eiropas Komisijas iejaukšanās dalībvalstu vēlēšanās un konsekventi kartēti regulatīvie centieni cenzēt vārda brīvību,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Priekšsēdētāju konferences 2023. gada 8. februārī pieņemtos pasākumus integritātes, neatkarības un pārskatatbildības stiprināšanai</w:t>
            </w:r>
            <w:r>
              <w:rPr>
                <w:b/>
                <w:i/>
                <w:vertAlign w:val="superscript"/>
              </w:rPr>
              <w:t>37a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37a</w:t>
            </w:r>
            <w:r>
              <w:t xml:space="preserve"> </w:t>
            </w:r>
            <w:r>
              <w:rPr>
                <w:b/>
                <w:i/>
              </w:rPr>
              <w:t>PV CPG 08.02.2023. https://www.europarl.europa.eu/RegData/organes/conf_pres_groupes/proces_verbal/2023/02-08/CPG_PV(2023)02-08_LV.pdf.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35.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tā 2022. gada 23. novembra rezolūciju par Krievijas Federācijas atzīšanu par valsti, kas atbalsta terorismu</w:t>
            </w:r>
            <w:r>
              <w:rPr>
                <w:b/>
                <w:i/>
                <w:vertAlign w:val="superscript"/>
              </w:rPr>
              <w:t>38</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38</w:t>
            </w:r>
            <w:r>
              <w:t xml:space="preserve"> </w:t>
            </w:r>
            <w:r>
              <w:rPr>
                <w:b/>
                <w:i/>
              </w:rPr>
              <w:t>OV C 167, 11.5.2023, 18. lpp.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50.a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Balto grāmatu par Eiropas aizsardzības gatavību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Andrey Kovatchev</w:t>
      </w:r>
      <w:r>
        <w:rPr>
          <w:rStyle w:val="HideTWBExt"/>
          <w:b w:val="0"/>
        </w:rPr>
        <w:t>&lt;/Members&gt;</w:t>
      </w:r>
    </w:p>
    <w:p>
      <w:r>
        <w:rPr>
          <w:rStyle w:val="HideTWBExt"/>
          <w:b w:val="0"/>
        </w:rPr>
        <w:t>&lt;AuNomDe&gt;</w:t>
      </w:r>
      <w:r>
        <w:rPr>
          <w:rStyle w:val="HideTWBInt"/>
        </w:rPr>
        <w:t>{PPE}</w:t>
      </w:r>
      <w:r>
        <w:t>PPE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novembrī publicēto ASV Nacionālo drošības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Komisijas priekšsēdētājas Ursula von der Leyen 2024. gada 18. jūlijā izklāstītās politikas pamatnostādnes nākamajai Eiropas Komisijai (2024−2029) "Eiropas izvēle",</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53.a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2026. gada 6. februāra sākotnējos konstatējumus par to, ka uzņēmums "TikTok" neievēro Digitālo pakalpojumu aktu attiecībā uz riska novērtējumiem saistībā ar tā ieteikumu sistēmām un atkarību izraisošām dizaina iezīmēm,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54.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ņemot vērā </w:t>
            </w:r>
            <w:r>
              <w:rPr>
                <w:b/>
                <w:i/>
              </w:rPr>
              <w:t>ES</w:t>
            </w:r>
            <w:r>
              <w:t xml:space="preserve"> Rīcības kodeksu </w:t>
            </w:r>
            <w:r>
              <w:rPr>
                <w:b/>
                <w:i/>
              </w:rPr>
              <w:t>par dezinformāciju</w:t>
            </w:r>
            <w:r>
              <w:t>,</w:t>
            </w:r>
          </w:p>
        </w:tc>
        <w:tc>
          <w:tcPr>
            <w:tcW w:w="4876" w:type="dxa"/>
            <w:tcBorders>
              <w:top w:val="nil"/>
              <w:left w:val="nil"/>
              <w:bottom w:val="nil"/>
              <w:right w:val="nil"/>
            </w:tcBorders>
          </w:tcPr>
          <w:p>
            <w:pPr>
              <w:pStyle w:val="Normal6a"/>
            </w:pPr>
            <w:r>
              <w:t>–</w:t>
            </w:r>
            <w:r>
              <w:tab/>
            </w:r>
            <w:r>
              <w:t xml:space="preserve">ņemot vērā Rīcības kodeksu </w:t>
            </w:r>
            <w:r>
              <w:rPr>
                <w:b/>
                <w:i/>
              </w:rPr>
              <w:t>dezinformācijus jomā (2018. gads</w:t>
            </w:r>
            <w:r>
              <w:t xml:space="preserve">, </w:t>
            </w:r>
            <w:r>
              <w:rPr>
                <w:b/>
                <w:i/>
              </w:rPr>
              <w:t>atjaunināts 2022. gadā), ko Eiropas Komisija un Eiropas Digitālo pakalpojumu padome apstiprināja 2025. gada 13. februārī kā rīcības kodeksu saskaņā ar Regulas (ES) 2022/2065 (Digitālo pakalpojumu akts) 45. pantu, un pārveidotie noteikumi stājās spēkā 2025. gada 1. jūlijā,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Somijas Republikas bijušā prezidenta Sauli Niinistö 2024. gada 30. oktobra ziņojumu "Drošāk kopā — Eiropas civilās un militārās sagatavotības un gatavības stiprināšana", kas sniegts, pildot Eiropas Komisijas priekšsēdētājas īpašā padomnieka pienākumus,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13. februāra atzinumu par Rīcības kodeksa dezinformācijas jomā novērtējumu Regulas (ES) 2022/2065 45. panta nozīmē,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"The Foreign Censorship Threat, Part II:</w:t>
            </w:r>
            <w:r>
              <w:t xml:space="preserve"> </w:t>
            </w:r>
            <w:r>
              <w:rPr>
                <w:b/>
                <w:i/>
              </w:rPr>
              <w:t>Europe´s decade-long campaign to censor the Global Internet and how it harms American speech in the United States" (Ārvalstu cenzūras apdraudējums, II daļa: desmit gadus ilgā Eiropas kampaņa, kuras mērķis ir cenzēt globālo internetu, un tās kaitējums runas brīvībai Amerikas Savienotajās Valstīs), ASV Pārstāvju palātas Tieslietu komitejas starpposma novērtējuma ziņojums, kas publicēts 2026. gada 3. februārī</w:t>
            </w:r>
            <w:r>
              <w:rPr>
                <w:b/>
                <w:i/>
                <w:vertAlign w:val="superscript"/>
              </w:rPr>
              <w:t>49a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49a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77.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Parlamenta Īpašās komitejas Eiropas demokrātijas vairoga jautājumos pieprasīto pētījumu "Noturības stiprināšana — virzība uz Eiropas demokrātijas vairogu", ko 2025. gada oktobrī publicēja tā Pilsoņu tiesību, tiesiskuma un institucionālo lietu ģenerāldirektorāts</w:t>
            </w:r>
            <w:r>
              <w:rPr>
                <w:b/>
                <w:i/>
                <w:vertAlign w:val="superscript"/>
              </w:rPr>
              <w:t>51</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ņemot vērā pētījumu "Noturības stiprināšana — ceļā uz Eiropas demokrātijas vairogu" (Eiropas Parlaments, Pilsoņu tiesību, tiesiskuma un institucionālo lietu ģenerāldirektorāts, Tiesiskuma, pilsonisko brīvību un institucionālo lietu politikas departaments, 2025. gada oktobris).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77.a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Eirobarometra 2025. gada novembra aptauju, kura apliecina, ka Eiropas iedzīvotāji par visnopietnākajām demokrātijas problēmām uzskata pieaugošo neuzticēšanos demokrātiskām iestādēm (49 %), ārvalstu īstenotu informācijas manipulāciju un dezinformāciju, tostarp vēlēšanu kontekstā (42 %), kā arī MI virzīta politiskā satura pārredzamības trūkumu tiešsaistē (32 %), un turklāt liecina, ka precīza un pieejama informācija tiek uzskatīta par visbūtiskāko brīvu un godīgu vēlēšanu elementu (53 %), un pastāv bažas par to, ka vēlētāji paļaujas uz dezinformāciju (79 %), par kiberuzbrukumiem (71 %) un par ārvalstu iejaukšanos (70 %);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78.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ņemot vērā Eiropas </w:t>
            </w:r>
            <w:r>
              <w:rPr>
                <w:b/>
                <w:i/>
              </w:rPr>
              <w:t>Ārējās darbības dienesta (EĀDD) 1., 2. un 3.</w:t>
            </w:r>
            <w:r>
              <w:t xml:space="preserve"> ziņojumu </w:t>
            </w:r>
            <w:r>
              <w:rPr>
                <w:b/>
                <w:i/>
              </w:rPr>
              <w:t>par ārvalstu informācijas manipulācijām un iejaukšanās draudiem,</w:t>
            </w:r>
          </w:p>
        </w:tc>
        <w:tc>
          <w:tcPr>
            <w:tcW w:w="4876" w:type="dxa"/>
            <w:tcBorders>
              <w:top w:val="nil"/>
              <w:left w:val="nil"/>
              <w:bottom w:val="nil"/>
              <w:right w:val="nil"/>
            </w:tcBorders>
          </w:tcPr>
          <w:p>
            <w:pPr>
              <w:pStyle w:val="Normal6a"/>
            </w:pPr>
            <w:r>
              <w:t>–</w:t>
            </w:r>
            <w:r>
              <w:tab/>
            </w:r>
            <w:r>
              <w:t xml:space="preserve">ņemot vērā Eiropas </w:t>
            </w:r>
            <w:r>
              <w:rPr>
                <w:b/>
                <w:i/>
              </w:rPr>
              <w:t>Padomes</w:t>
            </w:r>
            <w:r>
              <w:t xml:space="preserve"> ziņojumu </w:t>
            </w:r>
            <w:r>
              <w:rPr>
                <w:b/>
                <w:i/>
              </w:rPr>
              <w:t>“Safety of Journalists platform 2024 report: serious concern about the use of spyware against journalists, abusive lawsuits and journalists in exile" (Žurnālistu drošības platformas 2024. gada ziņojums: nopietnas bažas par spiegprogrammatūras izmantošanu pret žurnālistiem, ļaunprātīgām tiesas prāvām un trimdā esošiem žurnālistiem);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Parlamentā notiekošās diskusijas par ietekmes veidotāju sociālajos medijos ietekmi uz sabiedrību,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konstatējumus Polijas Valsts komisijas ziņojumā, kurā izvērtēta Krievijas ietekme uz Polijas Republikas iekšējo drošību 2007.–2022. gadā,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Somijas Mediapooli 2020. gadā izstrādāto rokasgrāmatu ietekmētājiem,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Somijas Mediapooli 2020. gadā izstrādāto rokasgrāmatu ietekmētājiem,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86.a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5. decembrī publicēto Amerikas Savienoto Valstu Nacionālo drošības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88.a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novembrī publicēto Amerikas Savienoto Valstu Nacionālo drošības stratēģiju un 2026. gada janvārī publicēto Nacionālo aizsardzības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88.a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ASV 2025. gada Nacionālo drošības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89.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organizācijas "Reporteri bez robežām" 2025. gada 25. septembra ziņojumu "Propagandas monitors: Krievija",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90.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Mediju plurālisma un brīvības centra 2025. gada 1. novembrī Eiropas Universitātes institūtā publicēto rakstu "Ietekmētāji kā ziņu veidotāji:</w:t>
            </w:r>
            <w:r>
              <w:t xml:space="preserve"> </w:t>
            </w:r>
            <w:r>
              <w:rPr>
                <w:b/>
                <w:i/>
              </w:rPr>
              <w:t>ietekme uz mediju regulējumu",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AlgoSoc Consortium 2025. gada 28. oktobrī publicēto rakstu "1 no 10 Nīderlandes pilsoņiem, iespējams, lūgs mākslīgajam intelektam padomu saistībā ar vēlēšanām.</w:t>
            </w:r>
            <w:r>
              <w:t xml:space="preserve"> </w:t>
            </w:r>
            <w:r>
              <w:rPr>
                <w:b/>
                <w:i/>
              </w:rPr>
              <w:t>Kāpēc tā nevajadzētu darīt",</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93.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NewsGuard 2025. gada 6. marta īpašo ziņojumu "Labi finansēts globāls "ziņu" tīkls no Maskavas ir inficējis Rietumu mākslīgo intelektu ar Krievijas propagandu",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NATO Stratēģiskās komunikācijas izcilības centra analīzi un ieteikumus,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Norman Lewis ziņojumu „A Shield Against Democracy:</w:t>
            </w:r>
            <w:r>
              <w:t xml:space="preserve"> </w:t>
            </w:r>
            <w:r>
              <w:rPr>
                <w:b/>
                <w:i/>
              </w:rPr>
              <w:t>The European Democracy Shield and the Future of Free Speech" (Vairogs pret demokrātiju. Eiropas demokrātijas vairogs un vārda brīvības nākotne), MCC, 2025. gads,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Ārējās darbības dienesta iniciatīvas "EUvsDisinfo" analīzi un ieteikumus,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ASV Pārstāvju palātas Tieslietu komitejas vairākuma ziņojumu "The Digital Services Act and the Transatlantic Threat to Free Speech" (Digitālo pakalpojumu akts un transatlantiskais apdraudējums vārda brīvībai), 2025. gads,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Polijas Nacionālās drošības fonda (Fundacja Bezpieczeństwa Narodowego) ziņojumu par vēlēšanām Polijā,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95.c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ASV Pārstāvju palātas Tieslietu komitejas vairākuma ziņojumu "The Foreign Censorship Threat to Free Speech" (Ārvalstu cenzūras draudi vārda brīvībai), II daļa, 2026. gads,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VSquare, Delfi Estonia un partnerorganizāciju 2024. gada 26. februārī publicēto izmeklēšanas ziņojumu "Kremļa noplūdes:</w:t>
            </w:r>
            <w:r>
              <w:t xml:space="preserve"> </w:t>
            </w:r>
            <w:r>
              <w:rPr>
                <w:b/>
                <w:i/>
              </w:rPr>
              <w:t>slepeni dokumenti atklāj, kā Putins noorganizēja savu pārvēlēšanu",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VSquare, Delfi Estonia un partnerorganizāciju 2024. gada 26. februārī publicēto izmeklēšanas ziņojumu "Kremļa noplūdes:</w:t>
            </w:r>
            <w:r>
              <w:t xml:space="preserve"> </w:t>
            </w:r>
            <w:r>
              <w:rPr>
                <w:b/>
                <w:i/>
              </w:rPr>
              <w:t>slepeni dokumenti atklāj, kā Putins noorganizēja savu pārvēlēšanu",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97.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Aspen institūta Vācijā 2024. gadā publicēto ētikas kodeksu sociālo mediju ietekmētājiem un satura veidotājiem,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97.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Aspen institūta Vācijā 2024. gadā publicēto ētikas kodeksu sociālo mediju ietekmētājiem un satura veidotājiem,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98.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Debunk.org 2023. gada 4. maijā publicēto rakstu "Kremlis pagājušajā gadā propagandai iztērējis 1,9 miljardus ASV dolāru, budžets pārsniegts par ceturtdaļu",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98.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Debunk.org 2023. gada 4. maijā publicēto rakstu "Kremlis pagājušajā gadā propagandai iztērējis 1,9 miljardus ASV dolāru, budžets pārsniegts par ceturtdaļu",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99.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Krievijas Federācijas Ārlietu ministrijas 2024. gada 28. decembra paziņojumu par pasākumiem, reaģējot uz ES 15. sankciju paketi pret Krieviju, kurā tā paziņoja par to ES amatpersonu un pilsoņu saraksta paplašināšanu, kuriem aizliegts ieceļot valstī,</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Krievijas ziņu aģentūras TASS 2024. gada 28. decembra rakstu "Krievija, reaģējot uz sankcijām, ievērojami paplašina ES amatpersonu melno sarakstu – Ārlietu ministrija",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2023. gada 18. decembra paziņojumu presei par oficiālas procedūras sākšanu saskaņā ar Digitālo pakalpojumu aktu pret platformu "X", lai novērtētu iespējamos tā pienākumu pārkāpumus, jo īpaši attiecībā uz to sistēmisko risku mazināšanu, kas saistīti ar uzņēmuma ieteikumu sistēmu izstrādi un darbību, kā arī pienākumiem, kas saistīti ar riska novērtēšanu, satura moderāciju, reklāmas pārredzamību un pētnieku piekļuvi 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martā publicēto Prama et al. ziņojumu “Political Biases on X before the 2025 German Federal Elections” (Politiskie apsvērumi attiecībā uz X pirms 2025. gada Vācijas federālajām vēlēšanām),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2024. gada 30. aprīļa paziņojumu presei par oficiālas procedūras sākšanu saskaņā ar Digitālo pakalpojumu aktu pret "Meta" platformām, jo īpaši attiecībā uz politiskā satura apstrādi un mazināšanu tās tiešsaistes platformās,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martā publicēto Prama, Vishal un Grabowicz ziņojumu “Algorithmic Biases on X before the 2025 Polish Presidential Election” (Algoritmiskie apsvērumi attiecībā uz X pirms 2025. gada Polijas prezidenta vēlēšanām),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janvārī publicēto Weinmann, Denkovski un Giannaccini ziņojumu “Filtered for You: Algorithmic Bias on TikTok and Instagram in Germany” (Filtrētu rezultātu saņemšana: algoritmiskie modeļi TikTok un Instagram darbībā Vācijā),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organizācijas “Global Witness” 2025. gada janvārī publicēto ziņojumu “TikTok and X Recommend Pro-AfD Content to Non-Partisan Users Ahead of the German Elections” (TikTok un X iesaka uz partiju AfD orientētu saturu nepartejiskiem lietotājiem pirms Vācijas vēlēšanām),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100.e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organizācijas “Global Witness” 2025. gada februārī publicēto ziņojumu “TikTok Algorithm Continues to Push Multiple Times More Far-Right Content to Users Ahead of Romanian Election” (TikTok algoritms joprojām daudz lielākā mērā veicina galēji labēju saturu pirms vēlēšanām Rumānijā),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100.f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Verwiebe et al. 2025. gada janvārī publicēto ziņojumu “Digitalisiert, politisiert, polarisiert? Eine Analyse von Social-Media-Feeds junger Menschen zur Bundestagswahl 2025 auf TikTok, YouTube, Instagram und X” (Digitalizēts, politizēts, polarizēts? Analīze par jauniešu sociālo mediju ziņu plūsmu platformās TikTok, YouTube, Instagram un X pirms 2025. gada Bundestāga vēlēšanām),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100.g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Katzy-Reinshagen et al. 2025. gada februārī publicēto ziņojumu “Wahlkampf im Feed? Wie TikTok mit parteipolitischen Inhalten im Vorfeld der Bundestagswahl 2025 umgeht” (Vēlēšanu kampaņa ziņu plūsmā. Kā TikTok apstrādā partiju politisko saturu pirms 2025. gada Bundestāga vēlēšanām),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100.h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Matlach et al. 2025. gada februārī publicēto ziņojumu “Recommending Hate: How TikTok’s Search Engine Algorithms Reproduce Societal Bias” (Naida ieteikumi. Kā TikTok meklētājprogrammu algoritmi atspoguļo sabiedrības aizspriedumus),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TikTok 2024. gada decembra paziņojumu par TikTok integritātes aizsardzības turpināšanu Rumānijas vēlēšanu laikā,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2024. gada jauniešu apsekojumu par jauniešu (vecumā no 16 līdz 30 gadiem) viedokļiem un prioritātēm visā ES, galveno uzmanību pievēršot viņu politiskajām prioritātēm, attieksmei pret Eiropas Savienību, informācijas avotiem, dezinformācijas ietekmei, politiskajai iesaistei un līdzdalībai 2024. gada Eiropas vēlēšanās,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Eiropas Savienības Padomes, Eiropas Komisijas, Eiropas Savienības Tiesas, Eiropas Centrālās bankas, Eiropas Revīzijas palātas, Eiropas Ekonomikas un sociālo lietu komitejas un Eiropas Reģionu komitejas nolīgumu, ar ko izveido Starpiestāžu ētikas normu struktūru to iestāžu un padomdevēju struktūru locekļiem, kuras minētas Līguma par Eiropas Savienību 13. pantā,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102.a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lēmumu Budžeta kontroles komitejā izveidot NVO finansēšanas kontroles darba grupu,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Balto grāmatu par Eiropas aizsardzības gatavību 2030 un Padomes 2025. gada 27. maija Regulu (ES) 2025/1106, ar ko izveido instrumentu “Rīcība Eiropas drošības labā, stiprinot Eiropas aizsardzības industriju” (SAFE),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102.b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2017. gada 14. septembra rezolūciju par pārredzamību, pārskatatbildību un integritāti ES iestādēs,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2025. gada 17. decembra rezolūciju par Līgumā noteikto subsidiaritātes un proporcionalitātes principu piemērošanu un valstu parlamentu lomu ES likumdošanas procesā (2025/2042(INI)),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5. decembrī publicēto 2025. gada ASV Nacionālo drošības politiku, kuras dēļ ir jāīsteno steidzami un vērienīgi Eiropas atbildes pasākumi,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Līguma par Eiropas Savienību (LES) 5. pantu, jo īpaši kompetences piešķiršanas, subsidiaritātes un proporcionalitātes principus,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Revīzijas palātas ziņojumus un ieteikumus, jo sevišķi Īpašo ziņojumu 11/2025</w:t>
            </w:r>
            <w:r>
              <w:t xml:space="preserve"> </w:t>
            </w:r>
            <w:r>
              <w:rPr>
                <w:b/>
                <w:i/>
              </w:rPr>
              <w:t>"NVO piešķirtā ES finansējuma pārredzamība";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priekšsēdētājas Urzulas fon der Leienas 2025. gada septembra runu par stāvokli Savienībā, kurā tika uzsvērts, ka ir svarīgi steidzami rīkoties, lai sekmētu demokrātijas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Meta Platforms Inc. 2025. gada 7. janvāra paziņojumu “More Speech and Fewer Mistakes” (Vairāk runas brīvības un mazāk kļūdu), kurā paziņots par trešo personu faktu pārbaudes programmas izbeigšanu, pamatojoties uz to, ka tā izraisījusi pārmērīgu satura izņemšanu un likumīgu publisko debašu cenzūru,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Padomes 2025. gada 28. novembra secinājumus par piekļuvi uzticamām ziņām kā Eiropas demokrātijas vairoga sastāvdaļu,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attiecīgos pētījumus un Komisijas darbības attiecībā uz digitālās reklāmas ietekmi un tiešsaistes satura izmantošanu MI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104.e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Parlamenta darbu autortiesību un ģeneratīvā mākslīgā intelekta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tā kā 2025. gada 12. novembrī Komisija un Savienības Augstā pārstāve ārlietās un drošības politikas jautājumos sniedza kopīgu paziņojumu par Eiropas demokrātijas vairoga izveidi, kurā izklāstīti vairāki pasākumi, lai visā ES nodrošinātu iespējas spēcīgām un noturīgām demokrātijām, tās aizsargātu un veicinātu;</w:t>
            </w:r>
          </w:p>
        </w:tc>
        <w:tc>
          <w:tcPr>
            <w:tcW w:w="4876" w:type="dxa"/>
            <w:tcBorders>
              <w:top w:val="nil"/>
              <w:left w:val="nil"/>
              <w:bottom w:val="nil"/>
              <w:right w:val="nil"/>
            </w:tcBorders>
          </w:tcPr>
          <w:p>
            <w:pPr>
              <w:pStyle w:val="Normal6a"/>
            </w:pPr>
            <w:r>
              <w:t>A.</w:t>
            </w:r>
            <w:r>
              <w:tab/>
            </w:r>
            <w:r>
              <w:t xml:space="preserve">tā kā 2025. gada 12. novembrī Komisija un Savienības Augstā pārstāve ārlietās un drošības politikas jautājumos </w:t>
            </w:r>
            <w:r>
              <w:rPr>
                <w:b/>
                <w:i/>
              </w:rPr>
              <w:t>pēc būtiskas novilcināšanas</w:t>
            </w:r>
            <w:r>
              <w:t xml:space="preserve"> sniedza kopīgu paziņojumu par Eiropas demokrātijas vairoga izveidi, kurā izklāstīti vairāki pasākumi, lai visā ES nodrošinātu iespējas spēcīgām un noturīgām demokrātijām, tās aizsargātu un veicinātu; </w:t>
            </w:r>
            <w:r>
              <w:rPr>
                <w:b/>
                <w:i/>
              </w:rPr>
              <w:t>tā kā daži Komisijas ierosinājumi var veicināt pilnvaru turpmāku centralizāciju ES līmenī uz dalībvalstu demokrātisko prerogatīvu rēķina;</w:t>
            </w:r>
            <w:r>
              <w:t xml:space="preserve"> </w:t>
            </w:r>
            <w:r>
              <w:rPr>
                <w:b/>
                <w:i/>
              </w:rPr>
              <w:t>tā kā ierosinātie pasākumi neatspoguļo pastāvošos demokrātijas trūkumus, uzraudzības nepilnības, nesenos skandālus, dubultstandartus un acīmredzamu objektivitātes trūkumu ES iestādēs;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demokrātiskā noturība un Eiropas drošība kļūst arvien nedalāmākas;</w:t>
            </w:r>
            <w:r>
              <w:t xml:space="preserve"> </w:t>
            </w:r>
            <w:r>
              <w:rPr>
                <w:b/>
                <w:i/>
              </w:rPr>
              <w:t>tā kā hibrīddraudi, ārvalstu iejaukšanās un dezinformācija tiek apzināti izmantoti kā karadarbības un piespiešanas instrumenti;</w:t>
            </w:r>
            <w:r>
              <w:t xml:space="preserve"> </w:t>
            </w:r>
            <w:r>
              <w:rPr>
                <w:b/>
                <w:i/>
              </w:rPr>
              <w:t>tā kā Eiropas demokrātijas vairoga stiprināšana tādējādi arī veicina Savienības drošības un aizsardzības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ārvalstu īstenotas informācijas manipulācijas kampaņas bieži vien tiek īstenotas ar zemu izmaksu, zemas intensitātes un pastāvīgu darbību taktiku;</w:t>
            </w:r>
            <w:r>
              <w:t xml:space="preserve"> </w:t>
            </w:r>
            <w:r>
              <w:rPr>
                <w:b/>
                <w:i/>
              </w:rPr>
              <w:t>tā kā reaģēšanai uz šādām darbībām arī turpmāk jābūt samērīgai, balstītai uz pierādījumiem un stingri balstītai uz tiesiskumu, lai izvairītos no pastāvīgas ārkārtas iejaukšanās informācijas telpā;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Vispārējās cilvēktiesību deklarācijas 19. pantā ir apstiprināts, ka ikvienam ir tiesības uz uzskatu un vārda brīvību;</w:t>
            </w:r>
            <w:r>
              <w:t xml:space="preserve"> </w:t>
            </w:r>
            <w:r>
              <w:rPr>
                <w:b/>
                <w:i/>
              </w:rPr>
              <w:t>tā kā šīs tiesības ietver brīvību netraucēti palikt pie saviem uzskatiem un brīvību meklēt, saņemt un izplatīt informāciju un idejas ar jebkuriem līdzekļiem neatkarīgi no valstu robežām;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demokrātijas vairogs sniedz unikālu iespēju veidot efektīvu visas sabiedrības aizsardzību attiecībā uz Eiropas demokrātiju, brīvību, konkurētspēju un labklājību;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tā kā Eiropas Cilvēktiesību konvencijas 10. pants garantē ikvienam tiesības uz vārda brīvību, tostarp uzskatu brīvību un brīvību saņemt un izplatīt informāciju vai idejas bez valsts iestāžu iejaukšanās un neatkarīgi no valstu robežām;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tā kā Eiropas Komisija nav ievērojusi Eiropas Parlamenta aicinājumus savā gada ziņojumā par tiesiskumu iekļaut īpašu nodaļu, kurā novērtēta situācija pašās ES iestādēs;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w:t>
            </w:r>
            <w:r>
              <w:rPr>
                <w:b/>
                <w:i/>
              </w:rPr>
              <w:t>Eiropas Demokrātiskās noturības centrs ir centrālais</w:t>
            </w:r>
            <w:r>
              <w:t xml:space="preserve"> Eiropas demokrātijas vairoga elements; tā kā abas Parlamenta īpašās komitejas, kas skata jautājumus saistībā ar ārvalstu iejaukšanos visos Eiropas Savienības demokrātiskajos procesos, tostarp dezinformāciju (INGE un INGE 2), jau bija aicinājušas </w:t>
            </w:r>
            <w:r>
              <w:rPr>
                <w:b/>
                <w:i/>
              </w:rPr>
              <w:t>izveidot</w:t>
            </w:r>
            <w:r>
              <w:t xml:space="preserve"> ES struktūru</w:t>
            </w:r>
            <w:r>
              <w:rPr>
                <w:b/>
                <w:i/>
              </w:rPr>
              <w:t>, lai cīnītos</w:t>
            </w:r>
            <w:r>
              <w:t xml:space="preserve"> pret ārvalstu īstenotu informācijas manipulāciju un iejaukšanos (FIMI);</w:t>
            </w:r>
          </w:p>
        </w:tc>
        <w:tc>
          <w:tcPr>
            <w:tcW w:w="4876" w:type="dxa"/>
            <w:tcBorders>
              <w:top w:val="nil"/>
              <w:left w:val="nil"/>
              <w:bottom w:val="nil"/>
              <w:right w:val="nil"/>
            </w:tcBorders>
          </w:tcPr>
          <w:p>
            <w:pPr>
              <w:pStyle w:val="Normal6a"/>
            </w:pPr>
            <w:r>
              <w:t>B.</w:t>
            </w:r>
            <w:r>
              <w:tab/>
            </w:r>
            <w:r>
              <w:t xml:space="preserve">tā kā Eiropas demokrātijas vairoga </w:t>
            </w:r>
            <w:r>
              <w:rPr>
                <w:b/>
                <w:i/>
              </w:rPr>
              <w:t>centrālais</w:t>
            </w:r>
            <w:r>
              <w:t xml:space="preserve"> elements </w:t>
            </w:r>
            <w:r>
              <w:rPr>
                <w:b/>
                <w:i/>
              </w:rPr>
              <w:t>ir brīvas sabiedrības un neviena Briseles iestāde nevar aizstāt vai ietekmēt demokrātiskos procesus dalībvalstīs</w:t>
            </w:r>
            <w:r>
              <w:t xml:space="preserve">; tā kā abas Parlamenta īpašās komitejas, kas skata jautājumus saistībā ar ārvalstu iejaukšanos visos Eiropas Savienības demokrātiskajos procesos, tostarp dezinformāciju (INGE un INGE 2), jau bija aicinājušas </w:t>
            </w:r>
            <w:r>
              <w:rPr>
                <w:b/>
                <w:i/>
              </w:rPr>
              <w:t>stiprināt</w:t>
            </w:r>
            <w:r>
              <w:t xml:space="preserve"> ES struktūru </w:t>
            </w:r>
            <w:r>
              <w:rPr>
                <w:b/>
                <w:i/>
              </w:rPr>
              <w:t>cīņai</w:t>
            </w:r>
            <w:r>
              <w:t xml:space="preserve"> pret ārvalstu īstenotu informācijas manipulāciju un iejaukšanos (FIMI)</w:t>
            </w:r>
            <w:r>
              <w:rPr>
                <w:b/>
                <w:i/>
              </w:rPr>
              <w:t>, kurai vajadzētu būt pienācīgi izvietotai EĀDD kopā ar tādām sen izveidotām struktūrām kā Austrumu Stratēģiskās komunikācijas operatīvā grupa, kurām ir labi izstrādāta darba metodika un kuras gadiem ilgi ir sekmīgi sadarbojušās ar Eiropas Parlamentu, Komisiju, dalībvalstīm, partnerorganizācijām un ekspertu kopienu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Eiropas Demokrātiskās noturības </w:t>
            </w:r>
            <w:r>
              <w:rPr>
                <w:b/>
                <w:i/>
              </w:rPr>
              <w:t>centrs ir centrālais Eiropas demokrātijas vairoga elements</w:t>
            </w:r>
            <w:r>
              <w:t>;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p>
        </w:tc>
        <w:tc>
          <w:tcPr>
            <w:tcW w:w="4876" w:type="dxa"/>
            <w:tcBorders>
              <w:top w:val="nil"/>
              <w:left w:val="nil"/>
              <w:bottom w:val="nil"/>
              <w:right w:val="nil"/>
            </w:tcBorders>
          </w:tcPr>
          <w:p>
            <w:pPr>
              <w:pStyle w:val="Normal6a"/>
            </w:pPr>
            <w:r>
              <w:t>B.</w:t>
            </w:r>
            <w:r>
              <w:tab/>
            </w:r>
            <w:r>
              <w:t xml:space="preserve">tā kā </w:t>
            </w:r>
            <w:r>
              <w:rPr>
                <w:b/>
                <w:i/>
              </w:rPr>
              <w:t>kopīgajā paziņojumā par Eiropas demokrātijas vairogu ir ietverti vairāki pozitīvi ieteikumi un priekšlikumi, piemēram, par</w:t>
            </w:r>
            <w:r>
              <w:t xml:space="preserve"> Eiropas Demokrātiskās noturības </w:t>
            </w:r>
            <w:r>
              <w:rPr>
                <w:b/>
                <w:i/>
              </w:rPr>
              <w:t>centra izveidi, tā darbības jomas paplašināšanu, iekļaujot pievienošanās valstis un ES kaimiņvalstis, un galveno ES tiesību aktu pilnīgu izpildi</w:t>
            </w:r>
            <w:r>
              <w:t xml:space="preserve">; tā kā abas Parlamenta īpašās komitejas, kas skata jautājumus saistībā ar ārvalstu iejaukšanos visos Eiropas Savienības demokrātiskajos procesos, tostarp dezinformāciju (INGE un INGE 2), jau bija aicinājušas izveidot ES struktūru, </w:t>
            </w:r>
            <w:r>
              <w:rPr>
                <w:b/>
                <w:i/>
              </w:rPr>
              <w:t>kas līdzīga ierosinātajam Eiropas Demokrātiskās noturības centram,</w:t>
            </w:r>
            <w:r>
              <w:t xml:space="preserve"> lai cīnītos pret ārvalstu īstenotu informācijas manipulāciju un iejaukšanos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Eiropas Demokrātiskās noturības centrs ir centrālais Eiropas demokrātijas vairoga elements;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p>
        </w:tc>
        <w:tc>
          <w:tcPr>
            <w:tcW w:w="4876" w:type="dxa"/>
            <w:tcBorders>
              <w:top w:val="nil"/>
              <w:left w:val="nil"/>
              <w:bottom w:val="nil"/>
              <w:right w:val="nil"/>
            </w:tcBorders>
          </w:tcPr>
          <w:p>
            <w:pPr>
              <w:pStyle w:val="Normal6a"/>
            </w:pPr>
            <w:r>
              <w:t>B.</w:t>
            </w:r>
            <w:r>
              <w:tab/>
            </w:r>
            <w:r>
              <w:t>tā kā Eiropas Demokrātiskās noturības centrs ir centrālais Eiropas demokrātijas vairoga elements</w:t>
            </w:r>
            <w:r>
              <w:rPr>
                <w:b/>
                <w:i/>
              </w:rPr>
              <w:t>, bet tas rada šaubas par dalībvalstu nacionālās identitātes ievērošanu, kā paredzēts LES 4. panta 1. punktā, un dalībvalstu ekskluzīvo atbildību par valsts drošību, kā noteikts LES 4. panta 2. punktā</w:t>
            </w:r>
            <w:r>
              <w:t>;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Eiropas Demokrātiskās noturības centrs ir centrālais Eiropas demokrātijas vairoga elements;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p>
        </w:tc>
        <w:tc>
          <w:tcPr>
            <w:tcW w:w="4876" w:type="dxa"/>
            <w:tcBorders>
              <w:top w:val="nil"/>
              <w:left w:val="nil"/>
              <w:bottom w:val="nil"/>
              <w:right w:val="nil"/>
            </w:tcBorders>
          </w:tcPr>
          <w:p>
            <w:pPr>
              <w:pStyle w:val="Normal6a"/>
            </w:pPr>
            <w:r>
              <w:t>B.</w:t>
            </w:r>
            <w:r>
              <w:tab/>
            </w:r>
            <w:r>
              <w:t xml:space="preserve">tā kā Eiropas Demokrātiskās noturības centrs ir centrālais Eiropas demokrātijas vairoga elements;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 </w:t>
            </w:r>
            <w:r>
              <w:rPr>
                <w:b/>
                <w:i/>
              </w:rPr>
              <w:t>tā kā šādai struktūrai nevajadzētu dublēt esošos instrumentus, spējas un kompetences, bet gan apvienot tās vienā struktūrā ar skaidru redzējumu, kompetences jomu, reālām pilnvarām un finansējumu;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Eiropas Demokrātiskās noturības centrs </w:t>
            </w:r>
            <w:r>
              <w:rPr>
                <w:b/>
                <w:i/>
              </w:rPr>
              <w:t>ir centrālais Eiropas demokrātijas vairoga elements;</w:t>
            </w:r>
            <w:r>
              <w:t xml:space="preserve"> </w:t>
            </w:r>
            <w:r>
              <w:rPr>
                <w:b/>
                <w:i/>
              </w:rPr>
              <w:t>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r>
              <w:t>;</w:t>
            </w:r>
          </w:p>
        </w:tc>
        <w:tc>
          <w:tcPr>
            <w:tcW w:w="4876" w:type="dxa"/>
            <w:tcBorders>
              <w:top w:val="nil"/>
              <w:left w:val="nil"/>
              <w:bottom w:val="nil"/>
              <w:right w:val="nil"/>
            </w:tcBorders>
          </w:tcPr>
          <w:p>
            <w:pPr>
              <w:pStyle w:val="Normal6a"/>
            </w:pPr>
            <w:r>
              <w:t>B.</w:t>
            </w:r>
            <w:r>
              <w:tab/>
            </w:r>
            <w:r>
              <w:t xml:space="preserve">tā kā Eiropas Demokrātiskās noturības centrs </w:t>
            </w:r>
            <w:r>
              <w:rPr>
                <w:b/>
                <w:i/>
              </w:rPr>
              <w:t>tiek popularizēts kā satvars apmaiņai un operatīvai sadarbībai un koordinācijai starp iesaistītajām dalībvalstīm, ES kandidātvalstīm un potenciālajām kandidātvalstīm, kā arī ES iestādēm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tā kā </w:t>
            </w:r>
            <w:r>
              <w:rPr>
                <w:b/>
                <w:i/>
              </w:rPr>
              <w:t>Eiropas Demokrātiskās noturības centrs ir centrālais</w:t>
            </w:r>
            <w:r>
              <w:t xml:space="preserve"> Eiropas demokrātijas </w:t>
            </w:r>
            <w:r>
              <w:rPr>
                <w:b/>
                <w:i/>
              </w:rPr>
              <w:t>vairoga elements;</w:t>
            </w:r>
            <w:r>
              <w:t xml:space="preserve"> </w:t>
            </w:r>
            <w:r>
              <w:rPr>
                <w:b/>
                <w:i/>
              </w:rPr>
              <w:t>tā kā abas Parlamenta īpašās komitejas, kas skata jautājumus saistībā ar ārvalstu iejaukšanos visos Eiropas</w:t>
            </w:r>
            <w:r>
              <w:t xml:space="preserve"> Savienības </w:t>
            </w:r>
            <w:r>
              <w:rPr>
                <w:b/>
                <w:i/>
              </w:rPr>
              <w:t>demokrātiskajos procesos, tostarp dezinformāciju (INGE un INGE 2), jau bija aicinājušas izveidot ES</w:t>
            </w:r>
            <w:r>
              <w:t xml:space="preserve"> struktūru</w:t>
            </w:r>
            <w:r>
              <w:rPr>
                <w:b/>
                <w:i/>
              </w:rPr>
              <w:t>, lai cīnītos pret ārvalstu īstenotu informācijas manipulāciju un iejaukšanos (FIMI)</w:t>
            </w:r>
            <w:r>
              <w:t>;</w:t>
            </w:r>
          </w:p>
        </w:tc>
        <w:tc>
          <w:tcPr>
            <w:tcW w:w="4876" w:type="dxa"/>
            <w:tcBorders>
              <w:top w:val="nil"/>
              <w:left w:val="nil"/>
              <w:bottom w:val="nil"/>
              <w:right w:val="nil"/>
            </w:tcBorders>
          </w:tcPr>
          <w:p>
            <w:pPr>
              <w:pStyle w:val="Normal6a"/>
            </w:pPr>
            <w:r>
              <w:t>B.</w:t>
            </w:r>
            <w:r>
              <w:tab/>
            </w:r>
            <w:r>
              <w:t xml:space="preserve">tā kā Eiropas demokrātijas </w:t>
            </w:r>
            <w:r>
              <w:rPr>
                <w:b/>
                <w:i/>
              </w:rPr>
              <w:t>vairogam būtu jāpapildina, nevis jādublē vai jāaizstāj dalībvalstu drošības un izlūkošanas dienestu un tiesībaizsardzības iestāžu, kā arī attiecīgo</w:t>
            </w:r>
            <w:r>
              <w:t xml:space="preserve"> Savienības struktūru </w:t>
            </w:r>
            <w:r>
              <w:rPr>
                <w:b/>
                <w:i/>
              </w:rPr>
              <w:t>un iestāžu darbs šajā jomā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Eiropas Demokrātiskās noturības centrs ir centrālais Eiropas demokrātijas vairoga elements;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p>
        </w:tc>
        <w:tc>
          <w:tcPr>
            <w:tcW w:w="4876" w:type="dxa"/>
            <w:tcBorders>
              <w:top w:val="nil"/>
              <w:left w:val="nil"/>
              <w:bottom w:val="nil"/>
              <w:right w:val="nil"/>
            </w:tcBorders>
          </w:tcPr>
          <w:p>
            <w:pPr>
              <w:pStyle w:val="Normal6a"/>
            </w:pPr>
            <w:r>
              <w:t>B.</w:t>
            </w:r>
            <w:r>
              <w:tab/>
            </w:r>
            <w:r>
              <w:t>tā kā Eiropas Demokrātiskās noturības centrs ir centrālais Eiropas demokrātijas vairoga elements; tā kā abas Parlamenta īpašās komitejas, kas skata jautājumus saistībā ar ārvalstu iejaukšanos visos Eiropas Savienības demokrātiskajos procesos, tostarp dezinformāciju (INGE un INGE 2), jau bija aicinājušas izveidot ES struktūru, lai cīnītos pret ārvalstu īstenotu informācijas manipulāciju un iejaukšanos (FIMI)</w:t>
            </w:r>
            <w:r>
              <w:rPr>
                <w:b/>
                <w:i/>
              </w:rPr>
              <w:t>, kā arī dezinformāciju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brīvprātīga dalība priekšlikumā, kas ir Eiropas Demokrātiskās noturības centra pamatā, var radīt strukturālus ierobežojumus un praktiskus šķēršļus tā efektīvai darbībai, apdraudot centra spēju rīkoties un koordinēt reaģēšanu, saskaroties ar draudiem demokrātiskajiem procesiem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Jaroslav Bžoch,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Parlamenta divas īpašās komitejas, kas skata jautājumus saistībā ar ārvalstu iejaukšanos visos Eiropas Savienības demokrātiskajos procesos, tostarp dezinformāciju (INGE un INGE 2), jau iepriekš aicināja izveidot ES struktūru, lai cīnītos pret ārvalstu īstenotu informācijas manipulāciju un iejaukšanos (FIMI);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Komisija savā paziņojumā neatrada juridisko pamatu centra izveidei;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gandrīz trīs gadus pēc Eiropas Parlamenta 2023. gada 15. jūnija ieteikuma Padomei un Komisijai pieņemšanas lielākā daļa minēto ieteikumu vēl nav īstenoti, neraugoties uz to būtisko nozīmi pamattiesību, demokrātijas un tiesiskuma aizsardzībā pret spiegprogrammatūras un intruzīvu novērošanas tehnoloģiju ļaunprātīgu izmantošanu;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EĀDD jau gadiem ilgi ir veicis efektīvus pasākumus, lai uzraudzītu Krieviju un Ķīnu kā FIMI dalībnieces un vērstos pret tām sadarbībā ar NATO un G7 iestādēm, tostarp veicot darbības, kas saistītas ar informācijas atklāšanu, politisko attiecināšanu un sankciju pieņemšanu;</w:t>
            </w:r>
            <w:r>
              <w:t xml:space="preserve"> </w:t>
            </w:r>
            <w:r>
              <w:rPr>
                <w:b/>
                <w:i/>
              </w:rPr>
              <w:t>tā kā Komisijai šajā jomā ir ierobežota kompetence;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tā kā ES aizbildnībā jau darbojas Eiropas Izcilības centrs hibrīddraudu novēršanai;</w:t>
            </w:r>
            <w:r>
              <w:t xml:space="preserve"> </w:t>
            </w:r>
            <w:r>
              <w:rPr>
                <w:b/>
                <w:i/>
              </w:rPr>
              <w:t>tā kā NATO Stratēģiskās komunikācijas izcilības centrs jau vairākus gadus ir veicis ļoti efektīvu darbu šajā jomā;</w:t>
            </w:r>
            <w:r>
              <w:t xml:space="preserve"> </w:t>
            </w:r>
            <w:r>
              <w:rPr>
                <w:b/>
                <w:i/>
              </w:rPr>
              <w:t>tā kā Komisija saņem šo iestāžu sagatavotos analītiskos produktus un vajadzības gadījumā var pieprasīt no tām papildu analīzes;</w:t>
            </w:r>
            <w:r>
              <w:t xml:space="preserve"> </w:t>
            </w:r>
            <w:r>
              <w:rPr>
                <w:b/>
                <w:i/>
              </w:rPr>
              <w:t>tā kā tādēļ nav nepieciešams izveidot papildu struktūras, kas dublētu esošās spējas vai atņemtu jau sen izveidotām struktūrām to kompetenci, lai pakļautu šādas darbības Komisijai, kurai nav attiecīgu pilnvaru;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w:t>
            </w:r>
            <w:r>
              <w:rPr>
                <w:b/>
                <w:i/>
              </w:rPr>
              <w:t>ir galvenais</w:t>
            </w:r>
            <w:r>
              <w:t xml:space="preserve"> naidīgu informācijas manipulācijas kampaņu mērķis; tā kā ES </w:t>
            </w:r>
            <w:r>
              <w:rPr>
                <w:b/>
                <w:i/>
              </w:rPr>
              <w:t>ir sadrumstalota pieeja</w:t>
            </w:r>
            <w:r>
              <w:t xml:space="preserve"> FIMI un dezinformācijas apkarošanai</w:t>
            </w:r>
            <w:r>
              <w:rPr>
                <w:b/>
                <w:i/>
              </w:rPr>
              <w:t>, turklāt ievērojami atšķiras</w:t>
            </w:r>
            <w:r>
              <w:t xml:space="preserve"> dalībvalstu spējas un nav </w:t>
            </w:r>
            <w:r>
              <w:rPr>
                <w:b/>
                <w:i/>
              </w:rPr>
              <w:t>visaptveroša</w:t>
            </w:r>
            <w:r>
              <w:t xml:space="preserve">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w:t>
            </w:r>
            <w:r>
              <w:rPr>
                <w:b/>
                <w:i/>
              </w:rPr>
              <w:t>nav</w:t>
            </w:r>
            <w:r>
              <w:t xml:space="preserve"> naidīgu informācijas manipulācijas kampaņu mērķis</w:t>
            </w:r>
            <w:r>
              <w:rPr>
                <w:b/>
                <w:i/>
              </w:rPr>
              <w:t>, jo naidīgas darbības, kas tiek veiktas izsmalcinātā un individuāli pielāgotā veidā, apzināti ir vērstas pret dalībvalstu sabiedrību;</w:t>
            </w:r>
            <w:r>
              <w:t xml:space="preserve"> </w:t>
            </w:r>
            <w:r>
              <w:rPr>
                <w:b/>
                <w:i/>
              </w:rPr>
              <w:t>tā kā centralizēta ES struktūra nevar novērst šādus sarežģītus uzbrukumus</w:t>
            </w:r>
            <w:r>
              <w:t xml:space="preserve">; tā kā ES </w:t>
            </w:r>
            <w:r>
              <w:rPr>
                <w:b/>
                <w:i/>
              </w:rPr>
              <w:t>necieš no sadrumstalotas pieejas</w:t>
            </w:r>
            <w:r>
              <w:t xml:space="preserve"> FIMI un dezinformācijas apkarošanai</w:t>
            </w:r>
            <w:r>
              <w:rPr>
                <w:b/>
                <w:i/>
              </w:rPr>
              <w:t>;</w:t>
            </w:r>
            <w:r>
              <w:t xml:space="preserve"> </w:t>
            </w:r>
            <w:r>
              <w:rPr>
                <w:b/>
                <w:i/>
              </w:rPr>
              <w:t>tā kā, ņemot vērā dalībvalstu dažādību, ir vajadzīgas būtiski atšķirīgas dalībvalstu spējās;</w:t>
            </w:r>
            <w:r>
              <w:t xml:space="preserve"> </w:t>
            </w:r>
            <w:r>
              <w:rPr>
                <w:b/>
                <w:i/>
              </w:rPr>
              <w:t>tā kā Komisijai nav pilnvaru aizstāt</w:t>
            </w:r>
            <w:r>
              <w:t xml:space="preserve"> dalībvalstu spējas</w:t>
            </w:r>
            <w:r>
              <w:rPr>
                <w:b/>
                <w:i/>
              </w:rPr>
              <w:t>, pārkāpjot subsidiaritātes principu;</w:t>
            </w:r>
            <w:r>
              <w:t xml:space="preserve"> </w:t>
            </w:r>
            <w:r>
              <w:rPr>
                <w:b/>
                <w:i/>
              </w:rPr>
              <w:t>tā kā apgalvojums, ka trūkst visaptverošu stratēģisko satvaru</w:t>
            </w:r>
            <w:r>
              <w:t xml:space="preserve"> un nav stratēģiska satvara, kas saistītu operatīvo reaģēšanu ar draudu izlūkdatiem </w:t>
            </w:r>
            <w:r>
              <w:rPr>
                <w:b/>
                <w:i/>
              </w:rPr>
              <w:t>un būtu pamats bīstamai Komisijas kompetenču paplašināšanai, nav patiess</w:t>
            </w:r>
            <w:r>
              <w:t xml:space="preserve">; </w:t>
            </w:r>
            <w:r>
              <w:rPr>
                <w:b/>
                <w:i/>
              </w:rPr>
              <w:t>tā kā šādas darbības var efektīvi īstenot, sadarbojoties dalībvalstīm, EĀDD, NATO, dažādiem partneriem, tostarp pilsoniskajai sabiedrībai, un šajā kontekstā Komisijai var būt atbalsta loma tai piešķirto kompetenču robežās;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nesenie EĀDD ziņojumi par FIMI </w:t>
            </w:r>
            <w:r>
              <w:rPr>
                <w:b/>
                <w:i/>
              </w:rPr>
              <w:t>draudiem</w:t>
            </w:r>
            <w:r>
              <w:t xml:space="preserve">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w:t>
            </w:r>
            <w:r>
              <w:rPr>
                <w:b/>
                <w:i/>
              </w:rPr>
              <w:t>ES institucionālā saikne</w:t>
            </w:r>
            <w:r>
              <w:t xml:space="preserve"> ir galvenais naidīgu informācijas manipulācijas kampaņu mērķis; tā kā ES ir sadrumstalota pieeja FIMI un dezinformācijas apkarošanai, turklāt ievērojami atšķiras dalībvalstu spējas un nav visaptveroša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w:t>
            </w:r>
            <w:r>
              <w:rPr>
                <w:b/>
                <w:i/>
              </w:rPr>
              <w:t>uzbrukumiem</w:t>
            </w:r>
            <w:r>
              <w:t xml:space="preserve"> apliecina arvien detalizētāku izpratni par ļaunprātīgu dalībnieku metodēm, tehnisko infrastruktūru un iecerētajiem naratīviem, taču šāda situācijas izpratne nav pārveidota ilgtspējīgos operatīvos mehānismos, kas ļautu </w:t>
            </w:r>
            <w:r>
              <w:rPr>
                <w:b/>
                <w:i/>
              </w:rPr>
              <w:t>dalībvalstīm un</w:t>
            </w:r>
            <w:r>
              <w:t xml:space="preserve"> ES veikt savlaicīgus un koordinētus pretpasākumus; tā kā </w:t>
            </w:r>
            <w:r>
              <w:rPr>
                <w:b/>
                <w:i/>
              </w:rPr>
              <w:t>dalībvalstu un Eiropas mērogas vēlēšanas</w:t>
            </w:r>
            <w:r>
              <w:t xml:space="preserve"> ir galvenais naidīgu informācijas manipulācijas kampaņu mērķis</w:t>
            </w:r>
            <w:r>
              <w:rPr>
                <w:b/>
                <w:i/>
              </w:rPr>
              <w:t>;</w:t>
            </w:r>
            <w:r>
              <w:t xml:space="preserve"> </w:t>
            </w:r>
            <w:r>
              <w:rPr>
                <w:b/>
                <w:i/>
              </w:rPr>
              <w:t>tā kā šīs kampaņas nomelno konkrētus kandidātus vai politiskās partijas, mēģina diskreditēt pašu vēlēšanu procesu, instrumentalizē šķeltnieciskas problēmas un mēģina diskreditēt tradicionālos medijus;</w:t>
            </w:r>
            <w:r>
              <w:t xml:space="preserve"> </w:t>
            </w:r>
            <w:r>
              <w:rPr>
                <w:b/>
                <w:i/>
              </w:rPr>
              <w:t>tā kā notiek arī intensīvi uzbrukumi ES un dalībvalstu iestādēm</w:t>
            </w:r>
            <w:r>
              <w:t>; tā kā ES ir sadrumstalota pieeja FIMI un dezinformācijas apkarošanai, turklāt ievērojami atšķiras dalībvalstu spējas un nav visaptveroša stratēģiska satvara, kas saistītu operatīvo reaģēšanu ar draudu izlūkdatiem;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galvenais naidīgu informācijas manipulācijas kampaņu mērķis; tā kā ES ir sadrumstalota pieeja FIMI un dezinformācijas apkarošanai, turklāt ievērojami atšķiras dalībvalstu spējas un nav visaptveroša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galvenais naidīgu informācijas manipulācijas kampaņu mērķis; tā kā ES ir sadrumstalota pieeja FIMI un dezinformācijas apkarošanai, turklāt ievērojami atšķiras dalībvalstu spējas un nav visaptveroša stratēģiska satvara </w:t>
            </w:r>
            <w:r>
              <w:rPr>
                <w:b/>
                <w:i/>
              </w:rPr>
              <w:t>vai funkcionējošu pārvalstistisku un/vai Eiropas mērogas sadarbības mehānismu</w:t>
            </w:r>
            <w:r>
              <w:t>, kas saistītu operatīvo reaģēšanu ar draudu izlūkdatiem;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galvenais naidīgu informācijas manipulācijas kampaņu mērķis; tā kā ES ir sadrumstalota pieeja FIMI un dezinformācijas apkarošanai, turklāt ievērojami atšķiras dalībvalstu spējas un nav visaptveroša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galvenais naidīgu informācijas manipulācijas kampaņu </w:t>
            </w:r>
            <w:r>
              <w:rPr>
                <w:b/>
                <w:i/>
              </w:rPr>
              <w:t>un citu veidu ļaunprātīgu uzbrukumu</w:t>
            </w:r>
            <w:r>
              <w:t xml:space="preserve"> mērķis; tā kā ES ir sadrumstalota pieeja FIMI un dezinformācijas apkarošanai, turklāt ievērojami atšķiras dalībvalstu spējas un nav visaptveroša stratēģiska satvara, kas saistītu operatīvo reaģēšanu ar draudu izlūkdatiem;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galvenais naidīgu informācijas manipulācijas kampaņu mērķis; tā kā ES ir sadrumstalota pieeja FIMI un dezinformācijas apkarošanai, turklāt ievērojami atšķiras dalībvalstu spējas un nav visaptveroša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w:t>
            </w:r>
            <w:r>
              <w:rPr>
                <w:b/>
                <w:i/>
              </w:rPr>
              <w:t>paredzēt, novērst, atklāt šādas darbības un</w:t>
            </w:r>
            <w:r>
              <w:t xml:space="preserve"> veikt savlaicīgus un koordinētus pretpasākumus; tā kā ES institucionālā saikne ir galvenais naidīgu informācijas manipulācijas kampaņu mērķis; tā kā ES ir sadrumstalota pieeja FIMI un dezinformācijas apkarošanai, turklāt ievērojami atšķiras dalībvalstu spējas un nav visaptveroša stratēģiska satvara, kas saistītu operatīvo reaģēšanu ar draudu izlūkdatiem;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w:t>
            </w:r>
            <w:r>
              <w:rPr>
                <w:b/>
                <w:i/>
              </w:rPr>
              <w:t>galvenais</w:t>
            </w:r>
            <w:r>
              <w:t xml:space="preserve"> naidīgu informācijas manipulācijas kampaņu </w:t>
            </w:r>
            <w:r>
              <w:rPr>
                <w:b/>
                <w:i/>
              </w:rPr>
              <w:t>mērķis</w:t>
            </w:r>
            <w:r>
              <w:t xml:space="preserve">; tā kā ES </w:t>
            </w:r>
            <w:r>
              <w:rPr>
                <w:b/>
                <w:i/>
              </w:rPr>
              <w:t>ir sadrumstalota pieeja</w:t>
            </w:r>
            <w:r>
              <w:t xml:space="preserve"> FIMI un dezinformācijas apkarošanai, turklāt ievērojami atšķiras dalībvalstu spējas un nav </w:t>
            </w:r>
            <w:r>
              <w:rPr>
                <w:b/>
                <w:i/>
              </w:rPr>
              <w:t>visaptveroša</w:t>
            </w:r>
            <w:r>
              <w:t xml:space="preserve"> stratēģiska satvara, kas saistītu operatīvo reaģēšanu ar draudu izlūkdatiem;</w:t>
            </w:r>
          </w:p>
        </w:tc>
        <w:tc>
          <w:tcPr>
            <w:tcW w:w="4876" w:type="dxa"/>
            <w:tcBorders>
              <w:top w:val="nil"/>
              <w:left w:val="nil"/>
              <w:bottom w:val="nil"/>
              <w:right w:val="nil"/>
            </w:tcBorders>
          </w:tcPr>
          <w:p>
            <w:pPr>
              <w:pStyle w:val="Normal6a"/>
            </w:pPr>
            <w:r>
              <w:t>C.</w:t>
            </w:r>
            <w:r>
              <w:tab/>
            </w:r>
            <w:r>
              <w:t xml:space="preserve">tā kā nesenie EĀDD ziņojumi par FIMI draudiem apliecina arvien detalizētāku izpratni par ļaunprātīgu dalībnieku metodēm, tehnisko infrastruktūru un iecerētajiem naratīviem, taču šāda situācijas izpratne nav pārveidota ilgtspējīgos operatīvos mehānismos, kas ļautu ES veikt savlaicīgus un koordinētus pretpasākumus; tā kā ES institucionālā saikne ir </w:t>
            </w:r>
            <w:r>
              <w:rPr>
                <w:b/>
                <w:i/>
              </w:rPr>
              <w:t>viena no</w:t>
            </w:r>
            <w:r>
              <w:t xml:space="preserve"> naidīgu informācijas manipulācijas kampaņu </w:t>
            </w:r>
            <w:r>
              <w:rPr>
                <w:b/>
                <w:i/>
              </w:rPr>
              <w:t>mērķiem</w:t>
            </w:r>
            <w:r>
              <w:t xml:space="preserve">; tā kā ES </w:t>
            </w:r>
            <w:r>
              <w:rPr>
                <w:b/>
                <w:i/>
              </w:rPr>
              <w:t>trūkst saskaņotas pieejas</w:t>
            </w:r>
            <w:r>
              <w:t xml:space="preserve"> FIMI un dezinformācijas apkarošanai, turklāt ievērojami atšķiras dalībvalstu spējas un nav </w:t>
            </w:r>
            <w:r>
              <w:rPr>
                <w:b/>
                <w:i/>
              </w:rPr>
              <w:t>ieteicama</w:t>
            </w:r>
            <w:r>
              <w:t xml:space="preserve"> stratēģiska satvara, kas saistītu operatīvo reaģēšanu ar draudu izlūkdatiem;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vēlēšanu organizēšana un norise, tostarp politiskās runas un mediju vides regulēšana, joprojām ir dalībvalstu kompetencē saskaņā ar LES 4. panta 2. punktu un 5. pantu;</w:t>
            </w:r>
            <w:r>
              <w:t xml:space="preserve"> </w:t>
            </w:r>
            <w:r>
              <w:rPr>
                <w:b/>
                <w:i/>
              </w:rPr>
              <w:t>tā kā Savienības rīcībai šajā jomā arī turpmāk ir jāattiecas tikai uz ārvalstu virzītu iejaukšanos un to nedrīkst attiecināt uz iekšzemes demokrātiskā diskursa pārvaldību;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Eiropas Parlamentam ir galvenā loma demokrātijas aizsardzībā un veicināšanā gan Eiropas Savienībā, gan ārpus tās;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ECNE, ātrās reaģēšanas sistēma un Eiropas Digitālo mediju observatorija (EDMO) ir vērtīgi elementi ES vispārējā noturībā pret FIMI un dezinformāciju,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ECNE, ātrās reaģēšanas sistēma un Eiropas Digitālo mediju observatorija (EDMO) ir vērtīgi elementi ES vispārējā noturībā pret FIMI un dezinformāciju,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ECNE, ātrās reaģēšanas sistēma un Eiropas Digitālo mediju observatorija (EDMO) ir vērtīgi elementi ES vispārējā noturībā pret FIMI un dezinformāciju</w:t>
            </w:r>
            <w:r>
              <w:rPr>
                <w:b/>
                <w:i/>
              </w:rPr>
              <w:t>,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r>
              <w:t>;</w:t>
            </w:r>
          </w:p>
        </w:tc>
        <w:tc>
          <w:tcPr>
            <w:tcW w:w="4876" w:type="dxa"/>
            <w:tcBorders>
              <w:top w:val="nil"/>
              <w:left w:val="nil"/>
              <w:bottom w:val="nil"/>
              <w:right w:val="nil"/>
            </w:tcBorders>
          </w:tcPr>
          <w:p>
            <w:pPr>
              <w:pStyle w:val="Normal6a"/>
            </w:pPr>
            <w:r>
              <w:t>D.</w:t>
            </w:r>
            <w:r>
              <w:tab/>
            </w:r>
            <w:r>
              <w:t>tā kā ECNE, ātrās reaģēšanas sistēma un Eiropas Digitālo mediju observatorija (EDMO) ir vērtīgi elementi ES vispārējā noturībā pret FIMI un dezinformāciju;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tā kā ECNE, ātrās reaģēšanas sistēma un Eiropas Digitālo mediju observatorija (EDMO) ir vērtīgi elementi ES vispārējā noturībā pret FIMI un dezinformāciju</w:t>
            </w:r>
            <w:r>
              <w:rPr>
                <w:b/>
                <w:i/>
              </w:rPr>
              <w:t>,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r>
              <w:t>;</w:t>
            </w:r>
          </w:p>
        </w:tc>
        <w:tc>
          <w:tcPr>
            <w:tcW w:w="4876" w:type="dxa"/>
            <w:tcBorders>
              <w:top w:val="nil"/>
              <w:left w:val="nil"/>
              <w:bottom w:val="nil"/>
              <w:right w:val="nil"/>
            </w:tcBorders>
          </w:tcPr>
          <w:p>
            <w:pPr>
              <w:pStyle w:val="Normal6a"/>
            </w:pPr>
            <w:r>
              <w:t>D.</w:t>
            </w:r>
            <w:r>
              <w:tab/>
            </w:r>
            <w:r>
              <w:t>tā kā ECNE, ātrās reaģēšanas sistēma un Eiropas Digitālo mediju observatorija (EDMO) ir vērtīgi elementi ES vispārējā noturībā pret FIMI un dezinformāciju;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ECNE, ātrās reaģēšanas sistēma un Eiropas Digitālo mediju observatorija (EDMO) </w:t>
            </w:r>
            <w:r>
              <w:rPr>
                <w:b/>
                <w:i/>
              </w:rPr>
              <w:t>ir vērtīgi</w:t>
            </w:r>
            <w:r>
              <w:t xml:space="preserve"> elementi ES vispārējā noturībā pret FIMI un dezinformāciju</w:t>
            </w:r>
            <w:r>
              <w:rPr>
                <w:b/>
                <w:i/>
              </w:rPr>
              <w:t>,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r>
              <w:t>;</w:t>
            </w:r>
          </w:p>
        </w:tc>
        <w:tc>
          <w:tcPr>
            <w:tcW w:w="4876" w:type="dxa"/>
            <w:tcBorders>
              <w:top w:val="nil"/>
              <w:left w:val="nil"/>
              <w:bottom w:val="nil"/>
              <w:right w:val="nil"/>
            </w:tcBorders>
          </w:tcPr>
          <w:p>
            <w:pPr>
              <w:pStyle w:val="Normal6a"/>
            </w:pPr>
            <w:r>
              <w:t>D.</w:t>
            </w:r>
            <w:r>
              <w:tab/>
            </w:r>
            <w:r>
              <w:t>tā kā ECNE, ātrās reaģēšanas sistēma un Eiropas Digitālo mediju observatorija (EDMO) </w:t>
            </w:r>
            <w:r>
              <w:rPr>
                <w:b/>
                <w:i/>
              </w:rPr>
              <w:t>jau pastāv kā</w:t>
            </w:r>
            <w:r>
              <w:t xml:space="preserve"> elementi ES vispārējā noturībā pret FIMI un dezinformāciju </w:t>
            </w:r>
            <w:r>
              <w:rPr>
                <w:b/>
                <w:i/>
              </w:rPr>
              <w:t>un sniedz konsultatīvu atbalstu dalībvalstu kompetentajām iestādēm, kā arī attiecīgajām Savienības struktūrām un iestādēm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ECNE, ātrās reaģēšanas sistēma un Eiropas Digitālo mediju observatorija (EDMO) ir vērtīgi elementi ES vispārējā noturībā pret FIMI un dezinformāciju, taču to efektivitāti ievērojami mazina tas, ka nav īpašas ES operatīvās struktūras, kurai būtu pilnvaras </w:t>
            </w:r>
            <w:r>
              <w:rPr>
                <w:b/>
                <w:i/>
              </w:rPr>
              <w:t>koordinēt</w:t>
            </w:r>
            <w:r>
              <w:t xml:space="preserve"> noturības veidošanas darbības un ātrās reaģēšanas un eskalācijas mehānismus, kas savienotu valstu operatīvās spējas ar ES līmeņa </w:t>
            </w:r>
            <w:r>
              <w:rPr>
                <w:b/>
                <w:i/>
              </w:rPr>
              <w:t>koordināciju</w:t>
            </w:r>
            <w:r>
              <w:t>;</w:t>
            </w:r>
          </w:p>
        </w:tc>
        <w:tc>
          <w:tcPr>
            <w:tcW w:w="4876" w:type="dxa"/>
            <w:tcBorders>
              <w:top w:val="nil"/>
              <w:left w:val="nil"/>
              <w:bottom w:val="nil"/>
              <w:right w:val="nil"/>
            </w:tcBorders>
          </w:tcPr>
          <w:p>
            <w:pPr>
              <w:pStyle w:val="Normal6a"/>
            </w:pPr>
            <w:r>
              <w:t>D.</w:t>
            </w:r>
            <w:r>
              <w:tab/>
            </w:r>
            <w:r>
              <w:t xml:space="preserve">tā kā ECNE, ātrās reaģēšanas sistēma un Eiropas Digitālo mediju observatorija (EDMO) ir vērtīgi elementi ES vispārējā noturībā pret FIMI un dezinformāciju, taču to efektivitāti ievērojami mazina tas, ka nav īpašas ES operatīvās struktūras, kurai būtu pilnvaras </w:t>
            </w:r>
            <w:r>
              <w:rPr>
                <w:b/>
                <w:i/>
              </w:rPr>
              <w:t>uzlabot paraugprakses apmaiņu, apmācību, kapacitātes un</w:t>
            </w:r>
            <w:r>
              <w:t xml:space="preserve"> noturības veidošanas darbības un ātrās reaģēšanas un eskalācijas mehānismus, kas savienotu valstu operatīvās spējas ar ES līmeņa </w:t>
            </w:r>
            <w:r>
              <w:rPr>
                <w:b/>
                <w:i/>
              </w:rPr>
              <w:t>saskaņošanu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ECNE, ātrās reaģēšanas sistēma un Eiropas Digitālo mediju observatorija (EDMO) </w:t>
            </w:r>
            <w:r>
              <w:rPr>
                <w:b/>
                <w:i/>
              </w:rPr>
              <w:t>ir</w:t>
            </w:r>
            <w:r>
              <w:t xml:space="preserve"> vērtīgi elementi ES vispārējā noturībā pret FIMI un dezinformāciju,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p>
        </w:tc>
        <w:tc>
          <w:tcPr>
            <w:tcW w:w="4876" w:type="dxa"/>
            <w:tcBorders>
              <w:top w:val="nil"/>
              <w:left w:val="nil"/>
              <w:bottom w:val="nil"/>
              <w:right w:val="nil"/>
            </w:tcBorders>
          </w:tcPr>
          <w:p>
            <w:pPr>
              <w:pStyle w:val="Normal6a"/>
            </w:pPr>
            <w:r>
              <w:t>D.</w:t>
            </w:r>
            <w:r>
              <w:tab/>
            </w:r>
            <w:r>
              <w:t xml:space="preserve">tā kā ECNE, ātrās reaģēšanas sistēma un Eiropas Digitālo mediju observatorija (EDMO) </w:t>
            </w:r>
            <w:r>
              <w:rPr>
                <w:b/>
                <w:i/>
              </w:rPr>
              <w:t>var būt</w:t>
            </w:r>
            <w:r>
              <w:t xml:space="preserve"> vērtīgi elementi ES vispārējā noturībā pret FIMI un dezinformāciju, taču to efektivitāti ievērojami mazina tas, ka nav īpašas ES operatīvās struktūras, kurai būtu pilnvaras koordinēt noturības veidošanas darbības un ātrās reaģēšanas un eskalācijas mehānismus, kas savienotu valstu operatīvās spējas ar ES līmeņa koordināciju;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konkrēti starptautiski dalībnieki, it sevišķi autoritāras valstis, apdraud Eiropas drošību un stabilitāti, izmantojot visdažādākās hibrīdtaktikas, kuras cita starpā ietver kiberuzbrukumus, kritiskās infrastruktūras sabotāžu, ekonomisko spiedienu, pārtikas un enerģētisko šantāžu, graujošu politisko ietekmi un koordinētus, nepārtrauktus mēģinājumus iejaukties mūsu valstu demokrātiskajā darbībā, no ārvalstīm īstenojot informācijas manipulācijas un iejaukšanās darbības, it sevišķi attiecībā uz vēlēšanu procesiem;</w:t>
            </w:r>
            <w:r>
              <w:t xml:space="preserve"> </w:t>
            </w:r>
            <w:r>
              <w:rPr>
                <w:b/>
                <w:i/>
              </w:rPr>
              <w:t>tā kā šo hibrīdo taktiku izmantošana no ļaunprātīgu ārvalstu subjektu puses rada pilnvērtīgu drošības apdraudējumu Eiropas Savienībai un tās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uzskata, ka jebkurā demokrātiskā struktūrā būtu jāiekļauj opozīcijas partiju pārstāvji vismaz kā novērotāji;</w:t>
            </w:r>
            <w:r>
              <w:br/>
            </w:r>
            <w:r>
              <w:br/>
            </w:r>
            <w:r>
              <w:rPr>
                <w:b/>
                <w:i/>
              </w:rPr>
              <w:t>norāda, ka projektos attiecībā uz EDMO, ECNE vai Eiropas Demokrātiskās noturības centru tas nav minēts;</w:t>
            </w:r>
            <w:r>
              <w:t xml:space="preserve"> </w:t>
            </w:r>
            <w:r>
              <w:rPr>
                <w:b/>
                <w:i/>
              </w:rPr>
              <w:t>atgādina par praksi dažos parlamentos, kuros Finanšu komitejas vadība ir uzticēta opozīcijai;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 xml:space="preserve">tā kā ģeopolitiskā vide strauji mainās, ko apliecina dažu tradicionāli par sabiedrotajiem uzskatītu partneru arvien vairāk uz darījumiem orientēta un piespiedu nostāja; </w:t>
            </w:r>
            <w:r>
              <w:t xml:space="preserve"> </w:t>
            </w:r>
            <w:r>
              <w:rPr>
                <w:b/>
                <w:i/>
              </w:rPr>
              <w:t>tā kā atkārtota politiskā un ekonomiskā spiediena izmantošana, tostarp tarifu draudi un mēģinājumi uzspiest Amerikas Savienoto Valstu vienpusējas stratēģiskās prasības, grauj savstarpējo uzticēšanos un atklāj Savienības stratēģisko neaizsargātību;</w:t>
            </w:r>
            <w:r>
              <w:t xml:space="preserve"> </w:t>
            </w:r>
            <w:r>
              <w:rPr>
                <w:b/>
                <w:i/>
              </w:rPr>
              <w:t>tā kā šādas prakses dēļ Savienībai ir steidzami jāstiprina sava stratēģiskā autonomija un spēja jebkādos apstākļos aizsargāt savu suverenitāti, drošību un demokrātiskos lēmumu pieņemšanas procesus;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tā kā ASV Nacionālā drošības stratēģija (NSS), ar ko nāca klajā 2025. gada 4. decembrī, salīdzinājumā ar 2021. gada redakciju atspoguļo radikālas izmaiņas ilgi īstenotajā ASV ārpolitikā, piemēram, tās novērtējumā attiecībā uz agresorvalsts Krievijas un konkurentes Ķīnas radītajām problēmām, un ietver kritiskas atsauces uz iespējamām demokrātijas nepilnībām dažās ES dalībvalstīs, kā arī piemin darbības, kas līdzvērtīgas ārvalstu intervencei;</w:t>
            </w:r>
            <w:r>
              <w:t xml:space="preserve"> </w:t>
            </w:r>
            <w:r>
              <w:rPr>
                <w:b/>
                <w:i/>
              </w:rPr>
              <w:t>tā kā minēto Nacionālo drošības stratēģiju publiski atzinīgi novērtēja Kremļa runaspersona un ar bažām uzņēma vairākās ES dalībvalstu galvaspilsētās;</w:t>
            </w:r>
            <w:r>
              <w:t xml:space="preserve"> </w:t>
            </w:r>
            <w:r>
              <w:rPr>
                <w:b/>
                <w:i/>
              </w:rPr>
              <w:t>tā kā minētajā Nacionālajā drošības stratēģijā ES tiek nepamatoti vainota par to, ka tā bloķē ASV centienus izbeigt karu Ukrainā;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tā kā papildus demokrātijas aplūkošanai no drošības viedokļa un tādu jautājumu kā FIMI izvirzīšanai demokrātijas vairoga priekšplānā būtu vienlīdz jārisina, jānosaka par prioritāti un jānodrošina ar resursiem arī tādi jautājumi kā ES iekšējie draudi demokrātijai;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tā kā FIMI un dezinformācijas uzbrukumus veicina galvenās digitālās infrastruktūras, jo īpaši sociālo mediju pakalpojumu, strukturālā un uzņēmējdarbības modeļa neaizsargātība;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Df.</w:t>
            </w:r>
            <w:r>
              <w:tab/>
            </w:r>
            <w:r>
              <w:rPr>
                <w:b/>
                <w:i/>
              </w:rPr>
              <w:t>tā kā ārvalstu manipulācijas ar informāciju un iejaukšanās operācijas reti kad ir izolētas, bet parasti tiek izmantotas kopā ar citām naidīgām darbībām, piemēram, ekonomisku un politisku spiedienu vai pat militāriem draudiem, vai tiek izmantotas, lai veidotu stratēģisko vidi, gatavojoties citām ļaunprātīgām operācijām un darbībām;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Dg.</w:t>
            </w:r>
            <w:r>
              <w:tab/>
            </w:r>
            <w:r>
              <w:rPr>
                <w:b/>
                <w:i/>
              </w:rPr>
              <w:t>tā kā nabadzība, sociālekonomiskā nenodrošinātība un marginalizācija var atsevišķus sabiedrības slāņus padarīt īpaši pakļautus un neaizsargātus pret ārēju iejaukšanos un naidīgām informācijas operācijām;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tā kā FIMI un dezinformācijas radītie draudi sniedzas tālāk par atsevišķām dalībvalstīm un ir uzbrukums pašai Eiropas projekta būtībai;</w:t>
            </w:r>
            <w:r>
              <w:t xml:space="preserve"> </w:t>
            </w:r>
            <w:r>
              <w:rPr>
                <w:b/>
                <w:i/>
              </w:rPr>
              <w:t>tā kā FIMI operācijas sistemātiski ir vērstas pret LES 2. pantā noteiktajām demokrātiskajām pamatvērtībām un LES 1. pantā nostiprināto atklātu un pārredzamu lēmumu pieņemšanas procesu principu tādā veidā, kas nelabvēlīgi ietekmē ES intereses;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FIMI un dezinformācijas radītie draudi sniedzas tālāk par atsevišķām dalībvalstīm un ir uzbrukums pašai Eiropas projekta būtībai; tā kā FIMI operācijas sistemātiski ir vērstas pret LES 2. pantā noteiktajām demokrātiskajām pamatvērtībām un LES 1. pantā nostiprināto atklātu un pārredzamu lēmumu pieņemšanas procesu principu tādā veidā, kas nelabvēlīgi ietekmē ES intereses;</w:t>
            </w:r>
          </w:p>
        </w:tc>
        <w:tc>
          <w:tcPr>
            <w:tcW w:w="4876" w:type="dxa"/>
            <w:tcBorders>
              <w:top w:val="nil"/>
              <w:left w:val="nil"/>
              <w:bottom w:val="nil"/>
              <w:right w:val="nil"/>
            </w:tcBorders>
          </w:tcPr>
          <w:p>
            <w:pPr>
              <w:pStyle w:val="Normal6a"/>
            </w:pPr>
            <w:r>
              <w:t>E.</w:t>
            </w:r>
            <w:r>
              <w:tab/>
            </w:r>
            <w:r>
              <w:t xml:space="preserve">tā kā FIMI un dezinformācijas radītie draudi sniedzas tālāk par atsevišķām dalībvalstīm un ir uzbrukums pašai Eiropas projekta būtībai; tā kā FIMI operācijas sistemātiski ir vērstas pret LES 2. pantā noteiktajām demokrātiskajām pamatvērtībām un LES 1. pantā nostiprināto atklātu un pārredzamu lēmumu pieņemšanas procesu principu tādā veidā, kas nelabvēlīgi ietekmē ES intereses; </w:t>
            </w:r>
            <w:r>
              <w:rPr>
                <w:b/>
                <w:i/>
              </w:rPr>
              <w:t>tā kā Eiropas iedzīvotāji ir galvenie šādas prakses upuri, jo viņu piekļuve uzticamai informācijai, spēja veidot neatkarīgus viedokļus un jēgpilna līdzdalība demokrātiskajā dzīvē tiek tiešā veidā vājināta un vienlaikus tiek apdraudēta arī sabiedriskā drošība un sabiedrības stabilitāte;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FIMI un dezinformācijas radītie draudi sniedzas tālāk par atsevišķām dalībvalstīm un ir uzbrukums pašai Eiropas projekta būtībai; tā kā FIMI operācijas sistemātiski ir vērstas pret LES 2. pantā noteiktajām demokrātiskajām pamatvērtībām un LES 1. pantā nostiprināto atklātu un pārredzamu lēmumu pieņemšanas procesu principu tādā veidā, kas nelabvēlīgi ietekmē ES intereses;</w:t>
            </w:r>
          </w:p>
        </w:tc>
        <w:tc>
          <w:tcPr>
            <w:tcW w:w="4876" w:type="dxa"/>
            <w:tcBorders>
              <w:top w:val="nil"/>
              <w:left w:val="nil"/>
              <w:bottom w:val="nil"/>
              <w:right w:val="nil"/>
            </w:tcBorders>
          </w:tcPr>
          <w:p>
            <w:pPr>
              <w:pStyle w:val="Normal6a"/>
            </w:pPr>
            <w:r>
              <w:t>E.</w:t>
            </w:r>
            <w:r>
              <w:tab/>
            </w:r>
            <w:r>
              <w:t xml:space="preserve">tā kā FIMI un dezinformācijas radītie draudi </w:t>
            </w:r>
            <w:r>
              <w:rPr>
                <w:b/>
                <w:i/>
              </w:rPr>
              <w:t>bieži</w:t>
            </w:r>
            <w:r>
              <w:t xml:space="preserve"> sniedzas tālāk par atsevišķām dalībvalstīm un </w:t>
            </w:r>
            <w:r>
              <w:rPr>
                <w:b/>
                <w:i/>
              </w:rPr>
              <w:t>cita starpā</w:t>
            </w:r>
            <w:r>
              <w:t xml:space="preserve"> ir uzbrukums pašai Eiropas projekta būtībai</w:t>
            </w:r>
            <w:r>
              <w:rPr>
                <w:b/>
                <w:i/>
              </w:rPr>
              <w:t>, kā arī transatlantiskajai saiknei</w:t>
            </w:r>
            <w:r>
              <w:t xml:space="preserve">; tā kā FIMI operācijas sistemātiski ir vērstas pret LES 2. pantā noteiktajām demokrātiskajām pamatvērtībām un LES 1. pantā nostiprināto atklātu un pārredzamu lēmumu pieņemšanas procesu principu tādā veidā, kas nelabvēlīgi ietekmē ES intereses; </w:t>
            </w:r>
            <w:r>
              <w:rPr>
                <w:b/>
                <w:i/>
              </w:rPr>
              <w:t>tā kā šo problēmu dēļ Savienībai ir jāizdara secinājumi no savām kļūdām, nevis jāapspiež leģitīma kritika;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FIMI un dezinformācijas radītie draudi </w:t>
            </w:r>
            <w:r>
              <w:rPr>
                <w:b/>
                <w:i/>
              </w:rPr>
              <w:t>sniedzas</w:t>
            </w:r>
            <w:r>
              <w:t xml:space="preserve"> tālāk par atsevišķām dalībvalstīm un </w:t>
            </w:r>
            <w:r>
              <w:rPr>
                <w:b/>
                <w:i/>
              </w:rPr>
              <w:t>ir</w:t>
            </w:r>
            <w:r>
              <w:t xml:space="preserve"> uzbrukums </w:t>
            </w:r>
            <w:r>
              <w:rPr>
                <w:b/>
                <w:i/>
              </w:rPr>
              <w:t>pašai</w:t>
            </w:r>
            <w:r>
              <w:t xml:space="preserve"> Eiropas </w:t>
            </w:r>
            <w:r>
              <w:rPr>
                <w:b/>
                <w:i/>
              </w:rPr>
              <w:t>projekta</w:t>
            </w:r>
            <w:r>
              <w:t xml:space="preserve"> būtībai; tā kā FIMI operācijas sistemātiski ir vērstas pret LES 2. pantā noteiktajām demokrātiskajām pamatvērtībām un LES 1. pantā nostiprināto atklātu un pārredzamu lēmumu pieņemšanas procesu principu tādā veidā, kas nelabvēlīgi ietekmē ES intereses;</w:t>
            </w:r>
          </w:p>
        </w:tc>
        <w:tc>
          <w:tcPr>
            <w:tcW w:w="4876" w:type="dxa"/>
            <w:tcBorders>
              <w:top w:val="nil"/>
              <w:left w:val="nil"/>
              <w:bottom w:val="nil"/>
              <w:right w:val="nil"/>
            </w:tcBorders>
          </w:tcPr>
          <w:p>
            <w:pPr>
              <w:pStyle w:val="Normal6a"/>
            </w:pPr>
            <w:r>
              <w:t>E.</w:t>
            </w:r>
            <w:r>
              <w:tab/>
            </w:r>
            <w:r>
              <w:t xml:space="preserve">tā kā FIMI un dezinformācijas radītie draudi </w:t>
            </w:r>
            <w:r>
              <w:rPr>
                <w:b/>
                <w:i/>
              </w:rPr>
              <w:t>var sniegties</w:t>
            </w:r>
            <w:r>
              <w:t xml:space="preserve"> tālāk par atsevišķām dalībvalstīm un </w:t>
            </w:r>
            <w:r>
              <w:rPr>
                <w:b/>
                <w:i/>
              </w:rPr>
              <w:t>šādos gadījumos var būt</w:t>
            </w:r>
            <w:r>
              <w:t xml:space="preserve"> uzbrukums </w:t>
            </w:r>
            <w:r>
              <w:rPr>
                <w:b/>
                <w:i/>
              </w:rPr>
              <w:t>ES pamatā esošo</w:t>
            </w:r>
            <w:r>
              <w:t xml:space="preserve"> Eiropas </w:t>
            </w:r>
            <w:r>
              <w:rPr>
                <w:b/>
                <w:i/>
              </w:rPr>
              <w:t>vērtību</w:t>
            </w:r>
            <w:r>
              <w:t xml:space="preserve"> būtībai; tā kā FIMI operācijas sistemātiski </w:t>
            </w:r>
            <w:r>
              <w:rPr>
                <w:b/>
                <w:i/>
              </w:rPr>
              <w:t>bieži</w:t>
            </w:r>
            <w:r>
              <w:t xml:space="preserve"> ir vērstas pret LES 2. pantā noteiktajām demokrātiskajām pamatvērtībām un LES 1. pantā nostiprināto atklātu un pārredzamu lēmumu pieņemšanas procesu principu tādā veidā, kas nelabvēlīgi ietekmē ES </w:t>
            </w:r>
            <w:r>
              <w:rPr>
                <w:b/>
                <w:i/>
              </w:rPr>
              <w:t>un/vai tās dalībvalstu</w:t>
            </w:r>
            <w:r>
              <w:t xml:space="preserve"> intereses </w:t>
            </w:r>
            <w:r>
              <w:rPr>
                <w:b/>
                <w:i/>
              </w:rPr>
              <w:t>un vienlaikus sekmē trešo valstu intereses un mērķus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tā kā FIMI un dezinformācijas radītie draudi sniedzas tālāk par atsevišķām dalībvalstīm un ir uzbrukums pašai Eiropas projekta būtībai; tā kā FIMI operācijas sistemātiski ir vērstas pret LES 2. pantā noteiktajām demokrātiskajām pamatvērtībām un LES 1. pantā nostiprināto atklātu un pārredzamu lēmumu pieņemšanas procesu principu tādā veidā, kas nelabvēlīgi ietekmē ES intereses;</w:t>
            </w:r>
          </w:p>
        </w:tc>
        <w:tc>
          <w:tcPr>
            <w:tcW w:w="4876" w:type="dxa"/>
            <w:tcBorders>
              <w:top w:val="nil"/>
              <w:left w:val="nil"/>
              <w:bottom w:val="nil"/>
              <w:right w:val="nil"/>
            </w:tcBorders>
          </w:tcPr>
          <w:p>
            <w:pPr>
              <w:pStyle w:val="Normal6a"/>
            </w:pPr>
            <w:r>
              <w:t>E.</w:t>
            </w:r>
            <w:r>
              <w:tab/>
            </w:r>
            <w:r>
              <w:t xml:space="preserve">tā kā FIMI un dezinformācijas radītie draudi sniedzas tālāk par atsevišķām dalībvalstīm un ir uzbrukums pašai Eiropas projekta būtībai; tā kā FIMI operācijas sistemātiski ir vērstas pret LES 2. pantā noteiktajām demokrātiskajām pamatvērtībām un LES 1. pantā nostiprināto atklātu un pārredzamu lēmumu pieņemšanas procesu principu tādā veidā, kas nelabvēlīgi ietekmē ES intereses </w:t>
            </w:r>
            <w:r>
              <w:rPr>
                <w:b/>
                <w:i/>
              </w:rPr>
              <w:t>un demokrātiskos procesus tās dalībvalstīs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ārvalstu iejaukšanās Savienībā neaprobežojas tikai ar ārējām dezinformācijas kampaņām, bet ir arī izmantojusi iekšējās nepilnības ES iestādēs un dalībvalstīs, tostarp korupciju, interešu konfliktus, nepārredzamu lobēšanas praksi un nepietiekamus ētikas aizsardzības pasākumus, tādējādi apdraudot demokrātisko noturību no iekšpuses;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ne visi polarizācijas, pretrunīgas vai koordinētas politiskās komunikācijas veidi ir ārvalstu īstenota informācijas manipulācija un iejaukšanās, pat ja to izcelsme ir ārvalstīs;</w:t>
            </w:r>
            <w:r>
              <w:t xml:space="preserve"> </w:t>
            </w:r>
            <w:r>
              <w:rPr>
                <w:b/>
                <w:i/>
              </w:rPr>
              <w:t>tā kā demokrātiskām sabiedrībām pēc būtības ir raksturīga sāncensība, domstarpības un aktīvisms, tostarp plaša mēroga likumīga iesaiste un kampaņas;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dalībvalstu augstākā līmeņa politiskie vadītāji pēc amata atstāšanas ir ieņēmuši augsta līmeņa amatus naidīgu trešo valstu kontrolētos valsts uzņēmumos, piemēram, Krievijas enerģētikas nozarē, jo īpaši Gazprom, t. i., bijušā Vācijas kanclera Gerharda Šrēdera iecelšana amatā minētajā uzņēmumā pēc pilnvaru termiņa beigām Vācijā ir piemērs tā dēvētajam virpuļdurvju efektam, un tas rada nopietnas bažas par stratēģisko atkarību, ārvalstu ietekmi un politiskās vadības uzticamību dažās ietekmīgās dalībvalstīs;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dokumentētas sanāksmes un kontakti starp augstākajām ES amatpersonām, tostarp bijušo tiesiskuma komisāru Didjē Reindersu un personām, kas ir cieši saistītas ar Krievijas oligarhiem, kuriem piemēro sankcijas, piemēram, tuvu Putina sabiedroto Oļegu Deripasku, ir atklājuši nopietnus trūkumus ES iestāžu darbības pārredzamībā, ētiskajā uzraudzībā un riska apzināšanā, kuri radījuši iespējas nepamatotai ārvalstu ietekmei;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tā kā saskaņā ar notiekošo tiesas izmeklēšanu un plaši ziņotajiem mediju konstatējumiem Katargeitas korupcijas skandāls ir parādījis, ka trešā valsts, atbilstīgi apgalvotajam, ir spējusi iejaukties Eiropas Parlamenta darbībā, izmantojot finansiālus stimulus, starpniekus un slepenus tīklus, par ko liecina jo īpaši ietekmīgu EP deputātu un Komisijas MOVE ĢD direktora lietas; tā kā šīs norises ir atklājušas nopietnus strukturālus trūkumus Savienības iekšējās integritātes, ētikas un drošības sistēmās un parādījušas, ka ārvalstu iejaukšanās var notikt no pašu ES iestāžu iekšienē;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tā kā nopietni apgalvojumi, ko parasti dēvē par “Greengate” lietu, liecina, ka dažām nevalstiskajām organizācijām, kas saņem Savienības finansējumu, var būt uzdots īstenot nesamērīgu un nepārredzamu ietekmi uz likumdošanas procesiem;</w:t>
            </w:r>
            <w:r>
              <w:t xml:space="preserve"> </w:t>
            </w:r>
            <w:r>
              <w:rPr>
                <w:b/>
                <w:i/>
              </w:rPr>
              <w:t>tā kā publiskās debates un mediju ziņojumi ir radījuši arī jautājumus par Komisijas augstāko amatpersonu, tostarp bijušā priekšsēdētājas izpildvietnieka Fransa Timmermana, politisko atbildību attiecībā uz finansēšanas struktūrām un politikas koordināciju;</w:t>
            </w:r>
            <w:r>
              <w:t xml:space="preserve"> </w:t>
            </w:r>
            <w:r>
              <w:rPr>
                <w:b/>
                <w:i/>
              </w:rPr>
              <w:t>tā kā šīs norises rada bažas par institucionālo pārņemšanu, publisko līdzekļu ļaunprātīgu izmantošanu un netiešas ārvalstu vai ideoloģiskās iejaukšanās risku;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tā kā ziņojumi un parlamentārās iniciatīvas ir raisījušas nopietnas bažas par to, ka dažām organizācijām piešķirtie Savienības līdzekļi varētu būt tieši vai netieši novirzīti dalībniekiem, kas saistīti ar ekstrēmistu vai teroristu kustībām, tostarp “Hamās”, un uzsver būtiskus trūkumus finansējuma kontrolē, uzraudzības mehānismos un politiskajā pārskatatbildībā;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tā kā Savienības uzticamība cīņā pret ārvalstu īstenotu informācijas manipulāciju un iejaukšanos ir būtiski vājināta, ja uzmanība tiek pievērsta ārējiem draudiem, savukārt problēmām saistībā ar iekšējo neaizsargātību, korupciju, interešu konfliktiem un politiski sensitīviem skandāliem ES iestādēs netiek pievērsta pienācīga uzmanība, tās tiek ignorētas vai risinātas, piemērojot dubultstandartus;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Eh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tā kā Krievijas spiegošanas tīkla pastāvēšanu ir apstiprinājis tiesas spriedums bijušā EP deputāta Nathan Gill lietā, kurš, kā atklājuši Polijas dienesti, Eiropas Parlamentā uzstājās ar runām, ko bija rakstījuši Krievijas izlūkdienesti, un to darīja apmaiņā pret kukuļiem, kā arī piedalījās viņu organizētās iniciatīvās, piemēram, viltus vēlēšanu vai referendumu novērošanā Krievijas okupētajās teritorijās;</w:t>
            </w:r>
            <w:r>
              <w:t xml:space="preserve"> </w:t>
            </w:r>
            <w:r>
              <w:rPr>
                <w:b/>
                <w:i/>
              </w:rPr>
              <w:t>tā kā saskaņā ar konstatējumiem, ko izdarījuši Polijas dienesti, kuri iesniedza Parlamenta iestādēm informāciju par attiecīgo darbības shēmu un metodēm, Krievijas iestādes maksāja tīklam, kurā bija iesaistīti vairāki EP deputāti;</w:t>
            </w:r>
            <w:r>
              <w:t xml:space="preserve"> </w:t>
            </w:r>
            <w:r>
              <w:rPr>
                <w:b/>
                <w:i/>
              </w:rPr>
              <w:t>tā kā tādēļ EP deputātiem un augsta līmeņa ES amatpersonām ir jāpiemēro stingrāki integritātes noteikumi;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atsevišķas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w:t>
            </w:r>
          </w:p>
        </w:tc>
        <w:tc>
          <w:tcPr>
            <w:tcW w:w="4876" w:type="dxa"/>
            <w:tcBorders>
              <w:top w:val="nil"/>
              <w:left w:val="nil"/>
              <w:bottom w:val="nil"/>
              <w:right w:val="nil"/>
            </w:tcBorders>
          </w:tcPr>
          <w:p>
            <w:pPr>
              <w:pStyle w:val="Normal6a"/>
            </w:pPr>
            <w:r>
              <w:t>F.</w:t>
            </w:r>
            <w:r>
              <w:tab/>
            </w:r>
            <w:r>
              <w:t xml:space="preserve">tā kā atsevišķas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 </w:t>
            </w:r>
            <w:r>
              <w:rPr>
                <w:b/>
                <w:i/>
              </w:rPr>
              <w:t>tā kā katrai valstij ir savas īpatnības, kas izriet arī no vēsturiskiem apstākļiem, kuru dēļ dažas dalībvalstis, piemēram, Polija vai Baltijas valstis, izrāda lielāku noturību pret Krievijas dezinformāciju un vēstures manipulāciju nekā citas valstis, kas vēsturiski ir saglabājušas ciešāku sadarbību ar Krieviju;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atsevišķas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w:t>
            </w:r>
          </w:p>
        </w:tc>
        <w:tc>
          <w:tcPr>
            <w:tcW w:w="4876" w:type="dxa"/>
            <w:tcBorders>
              <w:top w:val="nil"/>
              <w:left w:val="nil"/>
              <w:bottom w:val="nil"/>
              <w:right w:val="nil"/>
            </w:tcBorders>
          </w:tcPr>
          <w:p>
            <w:pPr>
              <w:pStyle w:val="Normal6a"/>
            </w:pPr>
            <w:r>
              <w:t>F.</w:t>
            </w:r>
            <w:r>
              <w:tab/>
            </w:r>
            <w:r>
              <w:t xml:space="preserve">tā kā atsevišķas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 </w:t>
            </w:r>
            <w:r>
              <w:rPr>
                <w:b/>
                <w:i/>
              </w:rPr>
              <w:t>tā kā, lai gan šīs iestādes pēc pieprasījuma vai pēc savas iniciatīvas sniedz vērtīgu ieskatu, tās darbojas izolēti un nav pienācīgi savstarpēji saistītas, kā rezultātā to darbs ir sadrumstalots un līdz ar to trūkst sadarbības aizsardzībā pret iejaukšanās kampaņām;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w:t>
            </w:r>
            <w:r>
              <w:rPr>
                <w:b/>
                <w:i/>
              </w:rPr>
              <w:t>atsevišķas</w:t>
            </w:r>
            <w:r>
              <w:t xml:space="preserve">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w:t>
            </w:r>
          </w:p>
        </w:tc>
        <w:tc>
          <w:tcPr>
            <w:tcW w:w="4876" w:type="dxa"/>
            <w:tcBorders>
              <w:top w:val="nil"/>
              <w:left w:val="nil"/>
              <w:bottom w:val="nil"/>
              <w:right w:val="nil"/>
            </w:tcBorders>
          </w:tcPr>
          <w:p>
            <w:pPr>
              <w:pStyle w:val="Normal6a"/>
            </w:pPr>
            <w:r>
              <w:t>F.</w:t>
            </w:r>
            <w:r>
              <w:tab/>
            </w:r>
            <w:r>
              <w:t xml:space="preserve">tā kā </w:t>
            </w:r>
            <w:r>
              <w:rPr>
                <w:b/>
                <w:i/>
              </w:rPr>
              <w:t>dažas</w:t>
            </w:r>
            <w:r>
              <w:t xml:space="preserve"> dalībvalstis, kas ir ieguldījušas līdzekļus specializētās operatīvajās struktūrās, kurām ir skaidri statūti un pilnvaras, kā arī pietiekamu finansējumu un personālu, parāda, kas ir sasniedzams, jo īpaši Francijas VIGINUM un Zviedrijas Psiholoģiskās aizsardzības aģentūras gadījumā; </w:t>
            </w:r>
            <w:r>
              <w:rPr>
                <w:b/>
                <w:i/>
              </w:rPr>
              <w:t>tā kā šīs aģentūras īsteno stingri faktos balstītu, tehnisku un neitrālu pieeju;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tā kā atsevišķas dalībvalstis, kas ir ieguldījušas līdzekļus specializētās operatīvajās struktūrās, kurām ir skaidri statūti un pilnvaras, kā arī pietiekamu finansējumu un personālu, parāda, kas ir sasniedzams</w:t>
            </w:r>
            <w:r>
              <w:rPr>
                <w:b/>
                <w:i/>
              </w:rPr>
              <w:t>, jo īpaši Francijas VIGINUM un Zviedrijas Psiholoģiskās aizsardzības aģentūras gadījumā</w:t>
            </w:r>
            <w:r>
              <w:t>;</w:t>
            </w:r>
          </w:p>
        </w:tc>
        <w:tc>
          <w:tcPr>
            <w:tcW w:w="4876" w:type="dxa"/>
            <w:tcBorders>
              <w:top w:val="nil"/>
              <w:left w:val="nil"/>
              <w:bottom w:val="nil"/>
              <w:right w:val="nil"/>
            </w:tcBorders>
          </w:tcPr>
          <w:p>
            <w:pPr>
              <w:pStyle w:val="Normal6a"/>
            </w:pPr>
            <w:r>
              <w:t>F.</w:t>
            </w:r>
            <w:r>
              <w:tab/>
            </w:r>
            <w:r>
              <w:t>tā kā atsevišķas dalībvalstis, kas ir ieguldījušas līdzekļus specializētās operatīvajās struktūrās, kurām ir skaidri statūti un pilnvaras, kā arī pietiekamu finansējumu un personālu, parāda, kas ir sasniedzams;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tā kā atsevišķas dalībvalstis, kas ir ieguldījušas līdzekļus specializētās operatīvajās struktūrās, kurām ir skaidri statūti un pilnvaras, kā arī pietiekamu finansējumu un personālu, parāda, kas ir sasniedzams, </w:t>
            </w:r>
            <w:r>
              <w:rPr>
                <w:b/>
                <w:i/>
              </w:rPr>
              <w:t>jo īpaši</w:t>
            </w:r>
            <w:r>
              <w:t xml:space="preserve"> Francijas VIGINUM un Zviedrijas Psiholoģiskās aizsardzības </w:t>
            </w:r>
            <w:r>
              <w:rPr>
                <w:b/>
                <w:i/>
              </w:rPr>
              <w:t>aģentūras gadījumā</w:t>
            </w:r>
            <w:r>
              <w:t>;</w:t>
            </w:r>
          </w:p>
        </w:tc>
        <w:tc>
          <w:tcPr>
            <w:tcW w:w="4876" w:type="dxa"/>
            <w:tcBorders>
              <w:top w:val="nil"/>
              <w:left w:val="nil"/>
              <w:bottom w:val="nil"/>
              <w:right w:val="nil"/>
            </w:tcBorders>
          </w:tcPr>
          <w:p>
            <w:pPr>
              <w:pStyle w:val="Normal6a"/>
            </w:pPr>
            <w:r>
              <w:t>F.</w:t>
            </w:r>
            <w:r>
              <w:tab/>
            </w:r>
            <w:r>
              <w:t xml:space="preserve">tā kā atsevišķas dalībvalstis, kas ir ieguldījušas līdzekļus specializētās operatīvajās struktūrās, kurām ir skaidri statūti un pilnvaras, kā arī pietiekamu finansējumu un personālu, parāda, kas ir sasniedzams, </w:t>
            </w:r>
            <w:r>
              <w:rPr>
                <w:b/>
                <w:i/>
              </w:rPr>
              <w:t>piemēram,</w:t>
            </w:r>
            <w:r>
              <w:t xml:space="preserve"> Francijas VIGINUM un Zviedrijas Psiholoģiskās aizsardzības </w:t>
            </w:r>
            <w:r>
              <w:rPr>
                <w:b/>
                <w:i/>
              </w:rPr>
              <w:t>aģentūra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dezinformācija nedrīkst kalpot par ērtu ieganstu, lai slēptu apzināti īstenotu politiku, kas ir devusi labumu konkrētām galvaspilsētām un Krievijas Federācijai uz citu dalībvalstu svarīgu drošības interešu rēķina un kas ir kaitējusi Eiropas solidaritātei;</w:t>
            </w:r>
            <w:r>
              <w:t xml:space="preserve"> </w:t>
            </w:r>
            <w:r>
              <w:rPr>
                <w:b/>
                <w:i/>
              </w:rPr>
              <w:t>tā kā līdz šim ne Savienības, ne dalībvalstu līmenī nav izveidota neviena parlamentārā izmeklēšanas komiteja, lai noskaidrotu apstākļus, kas saistīti ar bēdīgi slaveno gāzes cauruļvadu Nord Stream 1 un Nord Stream 2 būvniecību;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gandrīz trīs gadus pēc Eiropas Parlamenta 2023. gada 15. jūnija ieteikuma Padomei un Komisijai pieņemšanas lielākā daļa šo ieteikumu vēl nav īstenoti, neraugoties uz to būtisko nozīmi pamattiesību, demokrātijas un tiesiskuma aizsardzībā pret spiegprogrammatūras un intruzīvu novērošanas tehnoloģiju ļaunprātīgu izmantošanu;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Fa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tā kā, lai novērstu šādu iniciatīvu atturošo ietekmi uz pamatbrīvību, piemēram, vārda brīvības un reliģijas brīvības, īstenošanu, ir jāveic rūpīgs ietekmes novērtējums;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tā kā mākslīgā intelekta (MI) un dziļviltojumu tehnoloģiju straujā attīstība apsteidz sadrumstaloto valsts iestāžu pielāgošanās spējas; tā kā bez koordinētas ES reakcijas</w:t>
            </w:r>
            <w:r>
              <w:rPr>
                <w:b/>
                <w:i/>
              </w:rPr>
              <w:t>, ilgtspējīgiem ieguldījumiem inovācijā, pētniecībā un tehnoloģiju attīstībā</w:t>
            </w:r>
            <w:r>
              <w:t xml:space="preserve"> un skaidrām operatīvajām spējām tehnoloģiskās priekšrocības arvien vairāk </w:t>
            </w:r>
            <w:r>
              <w:rPr>
                <w:b/>
                <w:i/>
              </w:rPr>
              <w:t>nāks par labu</w:t>
            </w:r>
            <w:r>
              <w:t xml:space="preserve"> uzbrucējiem, nevis aizstāvjiem; </w:t>
            </w:r>
            <w:r>
              <w:rPr>
                <w:b/>
                <w:i/>
              </w:rPr>
              <w:t>tā kā inovācija, tostarp uzticamu MI sistēmu, atklāšanas rīku un noturīgas digitālās infrastruktūras izstrāde, ir jāuzskata par Savienības aizsardzības un preventīvās stratēģijas centrālo komponentu;</w:t>
            </w:r>
            <w:r>
              <w:t xml:space="preserve"> </w:t>
            </w:r>
            <w:r>
              <w:rPr>
                <w:b/>
                <w:i/>
              </w:rPr>
              <w:t>tā kā jebkāda tiesiskā vai tehniskā regulējuma efektivitāte galu galā ir atkarīga no noturīgas politiskās gribas, konsekventas izpildes un dalībvalstu un Savienības iestāžu gatavības pārvērst saistības konkrētā un savlaicīgā rīcībā;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w:t>
            </w:r>
            <w:r>
              <w:rPr>
                <w:b/>
                <w:i/>
              </w:rPr>
              <w:t>sadrumstaloto valsts</w:t>
            </w:r>
            <w:r>
              <w:t xml:space="preserve"> iestāžu pielāgošanās spējas; tā kā bez </w:t>
            </w:r>
            <w:r>
              <w:rPr>
                <w:b/>
                <w:i/>
              </w:rPr>
              <w:t>koordinētas ES reakcijas un skaidrām operatīvajām spējām</w:t>
            </w:r>
            <w:r>
              <w:t xml:space="preserve">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w:t>
            </w:r>
            <w:r>
              <w:rPr>
                <w:b/>
                <w:i/>
              </w:rPr>
              <w:t>valstu un Eiropas</w:t>
            </w:r>
            <w:r>
              <w:t xml:space="preserve"> iestāžu pielāgošanās spējas</w:t>
            </w:r>
            <w:r>
              <w:rPr>
                <w:b/>
                <w:i/>
              </w:rPr>
              <w:t>, ņemot vērā to, ka bieži tiek pārkāpti tiesību akti</w:t>
            </w:r>
            <w:r>
              <w:t xml:space="preserve">; tā kā bez </w:t>
            </w:r>
            <w:r>
              <w:rPr>
                <w:b/>
                <w:i/>
              </w:rPr>
              <w:t>specializēta tehniskā aprīkojuma un rīkiem</w:t>
            </w:r>
            <w:r>
              <w:t xml:space="preserve"> tehnoloģiskās priekšrocības arvien vairāk </w:t>
            </w:r>
            <w:r>
              <w:rPr>
                <w:b/>
                <w:i/>
              </w:rPr>
              <w:t>nāks par labu</w:t>
            </w:r>
            <w:r>
              <w:t xml:space="preserve"> uzbrucējiem, nevis aizstāvjiem; </w:t>
            </w:r>
            <w:r>
              <w:rPr>
                <w:b/>
                <w:i/>
              </w:rPr>
              <w:t>tā kā galvenās MI tehnoloģijas ir tādu trešo valstu struktūru kontrolē, kurām ir vislielākā ietekme uz radīto saturu un to, kā MI sistēmas darbojas un rada rezultātus lietotājiem, un tā kā ES dalībvalstīm nav pašām savu suverēnu MI 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nāks par labu</w:t>
            </w:r>
            <w:r>
              <w:t xml:space="preserve"> uzbrucējiem, nevis aizstāvjiem; </w:t>
            </w:r>
            <w:r>
              <w:rPr>
                <w:b/>
                <w:i/>
              </w:rPr>
              <w:t>tā kā pienācīga reakcija uz šīm problēmām ir nevis vēl vienas ES līmeņa iestādes izveide, bet gan ciešāka sadarbība starp dalībvalstīm un to kompetentajiem dienestiem, sadarbība ar IT uzņēmumiem, kā arī ar līdzīgi domājošiem sabiedrotajiem NATO un G7 partnervalstīs, kas saskaras ar līdzīgiem draudiem;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w:t>
            </w:r>
            <w:r>
              <w:rPr>
                <w:b/>
                <w:i/>
              </w:rPr>
              <w:t>un pētniecības</w:t>
            </w:r>
            <w:r>
              <w:t xml:space="preserve"> spējām tehnoloģiskās priekšrocības arvien vairāk </w:t>
            </w:r>
            <w:r>
              <w:rPr>
                <w:b/>
                <w:i/>
              </w:rPr>
              <w:t>nāks par labu</w:t>
            </w:r>
            <w:r>
              <w:t xml:space="preserve"> uzbrucējiem, nevis aizstāvjiem; </w:t>
            </w:r>
            <w:r>
              <w:rPr>
                <w:b/>
                <w:i/>
              </w:rPr>
              <w:t>tā kā ar ES Mākslīgā intelekta aktu (MI akts) tiek ieviesti noteikumi, kas paredz, ka tiešsaistes platformām ir jāmarķē MI radīts saturs;</w:t>
            </w:r>
            <w:r>
              <w:t xml:space="preserve"> </w:t>
            </w:r>
            <w:r>
              <w:rPr>
                <w:b/>
                <w:i/>
              </w:rPr>
              <w:t>tā kā šo noteikumu izpildei būs nepieciešams, lai tiešsaistes platformas tos patiešām ievēro un lai tiek īstenota stingra ES uzraudzība;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nāks par labu</w:t>
            </w:r>
            <w:r>
              <w:t xml:space="preserve"> uzbrucējiem, nevis aizstāvjiem; </w:t>
            </w:r>
            <w:r>
              <w:rPr>
                <w:b/>
                <w:i/>
              </w:rPr>
              <w:t>tā kā MI uzņēmumi ir samazinājuši, nevis palielinājuši savus drošības pasākumus, lai novērstu dezinformācijas izplatīšanos un radīšanu savos pakalpojumos, un tā kā MI uzņēmumi nav novērsuši savos pakalpojumos “ datu saindēšanu”;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w:t>
            </w:r>
            <w:r>
              <w:rPr>
                <w:b/>
                <w:i/>
              </w:rPr>
              <w:t>bez koordinētas</w:t>
            </w:r>
            <w:r>
              <w:t xml:space="preserve">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tā kā mākslīgā intelekta (MI) un dziļviltojumu tehnoloģiju straujā attīstība apsteidz sadrumstaloto valsts iestāžu pielāgošanās spējas; tā kā</w:t>
            </w:r>
            <w:r>
              <w:rPr>
                <w:b/>
                <w:i/>
              </w:rPr>
              <w:t>, lai gan MI veicina dezinformācijas kampaņas, tas arī nodrošina rīku, ar ko uzlabot mūsu spēju tās atklāt, analizēt un apkarot;</w:t>
            </w:r>
            <w:r>
              <w:t xml:space="preserve"> </w:t>
            </w:r>
            <w:r>
              <w:rPr>
                <w:b/>
                <w:i/>
              </w:rPr>
              <w:t>tā kā bez saskaņotas</w:t>
            </w:r>
            <w:r>
              <w:t xml:space="preserve"> ES reakcijas un skaidrām operatīvajām spējām tehnoloģiskās priekšrocības arvien vairāk </w:t>
            </w:r>
            <w:r>
              <w:rPr>
                <w:b/>
                <w:i/>
              </w:rPr>
              <w:t>nāks par labu</w:t>
            </w:r>
            <w:r>
              <w:t xml:space="preserve"> uzbrucējiem, nevis aizstāvjiem;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tā kā bez koordinētas ES reakcijas un skaidrām operatīvajām spējām tehnoloģiskās priekšrocības arvien vairāk </w:t>
            </w:r>
            <w:r>
              <w:rPr>
                <w:b/>
                <w:i/>
              </w:rPr>
              <w:t>dos priekšrocības</w:t>
            </w:r>
            <w:r>
              <w:t xml:space="preserve"> uzbrucējiem, nevis aizstāvjiem;</w:t>
            </w:r>
          </w:p>
        </w:tc>
        <w:tc>
          <w:tcPr>
            <w:tcW w:w="4876" w:type="dxa"/>
            <w:tcBorders>
              <w:top w:val="nil"/>
              <w:left w:val="nil"/>
              <w:bottom w:val="nil"/>
              <w:right w:val="nil"/>
            </w:tcBorders>
          </w:tcPr>
          <w:p>
            <w:pPr>
              <w:pStyle w:val="Normal6a"/>
            </w:pPr>
            <w:r>
              <w:t>G.</w:t>
            </w:r>
            <w:r>
              <w:tab/>
            </w:r>
            <w:r>
              <w:t xml:space="preserve">tā kā mākslīgā intelekta (MI) un dziļviltojumu tehnoloģiju straujā attīstība apsteidz sadrumstaloto valsts iestāžu pielāgošanās spējas </w:t>
            </w:r>
            <w:r>
              <w:rPr>
                <w:b/>
                <w:i/>
              </w:rPr>
              <w:t>un padara novecojušus agrākos risinājumus, piemēram, pārredzamību vai pienākumu darīt visu iespējamo</w:t>
            </w:r>
            <w:r>
              <w:t xml:space="preserve">; tā kā bez koordinētas ES reakcijas un skaidrām operatīvajām spējām tehnoloģiskās priekšrocības arvien vairāk </w:t>
            </w:r>
            <w:r>
              <w:rPr>
                <w:b/>
                <w:i/>
              </w:rPr>
              <w:t>nāks par labu</w:t>
            </w:r>
            <w:r>
              <w:t xml:space="preserve"> uzbrucējiem, nevis aizstāvjiem</w:t>
            </w:r>
            <w:r>
              <w:rPr>
                <w:b/>
                <w:i/>
              </w:rPr>
              <w:t>, un tas apdraud mūsu demokrātiju pamatus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Ga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tā kā mākslīgā intelekta tehnoloģijas, tostarp dziļviltojumi, MI radīts saturs un automatizēti boti, ievērojami palielina dezinformācijas kampaņu mērogu, ātrumu un uzticamību;</w:t>
            </w:r>
            <w:r>
              <w:t xml:space="preserve"> </w:t>
            </w:r>
            <w:r>
              <w:rPr>
                <w:b/>
                <w:i/>
              </w:rPr>
              <w:t>tā kā, lai gan satura radīšanas izmaksas ir krasi samazinājušās, izplatīšana, izmantojot uz iesaisti balstītas ieteikumu sistēmas, joprojām ir izšķirošais faktors, lai panāktu plaša mēroga ietekmi uz sabiedrību;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un aizsargāt informācijas telpu</w:t>
            </w:r>
            <w:r>
              <w:t xml:space="preserve">; </w:t>
            </w:r>
            <w:r>
              <w:rPr>
                <w:b/>
                <w:i/>
              </w:rPr>
              <w:t>tā kā šā tiesiskā regulējuma efektivitāte ir atkarīga no minēto likumdošanas instrumentu pilnīgas, savlaicīgas un konsekventas ieviešanas;</w:t>
            </w:r>
            <w:r>
              <w:t xml:space="preserve"> </w:t>
            </w:r>
            <w:r>
              <w:rPr>
                <w:b/>
                <w:i/>
              </w:rPr>
              <w:t>tā kā nevienmērīga un novēlota īstenošana dalībvalstīs, jo īpaši attiecībā uz Eiropas Mediju brīvības aktu, var apdraudēt to kolektīvo ietekmi un vājināt Savienības spēju aizsargāt publiskās telpas integritāti un iedzīvotāju tiesības saņemt uzticamu un plurālistisku informāciju;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tā kā ir paredzēts uzlabot informācijas apmaiņu un savstarpējo palīdzību starp dalībvalstīm un Savienības iestādēm un struktūrām, tostarp tehnoloģisko rīku ieviešanā;</w:t>
            </w:r>
            <w:r>
              <w:t xml:space="preserve"> </w:t>
            </w:r>
            <w:r>
              <w:rPr>
                <w:b/>
                <w:i/>
              </w:rPr>
              <w:t>tā kā noteikumi būtu jāpārskata tā, lai būtu iespējams ievērot vārda brīvību un brīvību saņemt un izplatīt informāciju, kā noteikts Eiropas Savienības Pamattiesību hartā;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tā kā jebkādai šādai izpildei vajadzētu būt vērstai tikai uz dezinformācijas sistēmisko risku mazināšanu un tā nedrīkst ierobežot vārda brīvību vai apklusināt nepopulārus uzskatus vai politisko opozīciju;</w:t>
            </w:r>
            <w:r>
              <w:t xml:space="preserve"> </w:t>
            </w:r>
            <w:r>
              <w:rPr>
                <w:b/>
                <w:i/>
              </w:rPr>
              <w:t>tā kā jebkurā šādā izpildē izejas punktam ir jābūt tam, ka iedzīvotāji saglabā telpu un brīvību paši neatkarīgi novērtēt informāciju;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tā kā tādēļ ir īpaši svarīgi strukturēto atbalstu dalībvalstīm šo instrumentu efektīvā un savlaicīgā īstenošanā apvienot ar spēju ātri un samērīgi veikt korektīvus pasākumus, ja trūkumi, kavēšanās vai nepilnīga transponēšana var apdraudēt Savienības demokrātisko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tā kā ASV prezidenta administrācija izdara arvien lielāku spiedienu uz ES, tostarp izmantojot draudus par tarifiem, individuālām sankcijām pret ES amatpersonām un vīzu aizliegumiem, jo ES ievieš noteikumus, kuru mērķis ir radīt drošāku, pārredzamāku un atbildīgāku digitālo vidi;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tā kā Digitālo pakalpojumu akta, Digitālo tirgu akta, Mākslīgā intelekta akta un Eiropas Mediju brīvības akta īstenošanas sākumposmu sakritība rada iespēju izveidot visaptverošus FIMI aizsardzības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FIMI aizsardzības mehānismus </w:t>
            </w:r>
            <w:r>
              <w:rPr>
                <w:b/>
                <w:i/>
              </w:rPr>
              <w:t>un nekādā veidā nekalpo par aizbildinājumu vārda brīvības ierobežošanai publiskajā sfērā, tostarp tiešsaistē</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w:t>
            </w:r>
            <w:r>
              <w:rPr>
                <w:b/>
                <w:i/>
              </w:rPr>
              <w:t>īstenošanas sākumposmu sakritība rada</w:t>
            </w:r>
            <w:r>
              <w:t xml:space="preserve"> iespēju </w:t>
            </w:r>
            <w:r>
              <w:rPr>
                <w:b/>
                <w:i/>
              </w:rPr>
              <w:t>izveidot visaptverošus</w:t>
            </w:r>
            <w:r>
              <w:t xml:space="preserve"> FIMI aizsardzības </w:t>
            </w:r>
            <w:r>
              <w:rPr>
                <w:b/>
                <w:i/>
              </w:rPr>
              <w:t>mehānismus</w:t>
            </w:r>
            <w:r>
              <w:t>;</w:t>
            </w:r>
          </w:p>
        </w:tc>
        <w:tc>
          <w:tcPr>
            <w:tcW w:w="4876" w:type="dxa"/>
            <w:tcBorders>
              <w:top w:val="nil"/>
              <w:left w:val="nil"/>
              <w:bottom w:val="nil"/>
              <w:right w:val="nil"/>
            </w:tcBorders>
          </w:tcPr>
          <w:p>
            <w:pPr>
              <w:pStyle w:val="Normal6a"/>
            </w:pPr>
            <w:r>
              <w:t>H.</w:t>
            </w:r>
            <w:r>
              <w:tab/>
            </w:r>
            <w:r>
              <w:t>tā kā Digitālo pakalpojumu akta, Digitālo tirgu akta, Mākslīgā intelekta akta</w:t>
            </w:r>
            <w:r>
              <w:rPr>
                <w:b/>
                <w:i/>
              </w:rPr>
              <w:t>, Politisko reklāmu regulas</w:t>
            </w:r>
            <w:r>
              <w:t xml:space="preserve"> un Eiropas Mediju brīvības akta </w:t>
            </w:r>
            <w:r>
              <w:rPr>
                <w:b/>
                <w:i/>
              </w:rPr>
              <w:t>īstenošana daudzos gadījumos ir bijusi lēna, radot</w:t>
            </w:r>
            <w:r>
              <w:t xml:space="preserve"> iespēju </w:t>
            </w:r>
            <w:r>
              <w:rPr>
                <w:b/>
                <w:i/>
              </w:rPr>
              <w:t>ļaunprātīgiem dalībniekiem izmantot</w:t>
            </w:r>
            <w:r>
              <w:t xml:space="preserve"> FIMI aizsardzības </w:t>
            </w:r>
            <w:r>
              <w:rPr>
                <w:b/>
                <w:i/>
              </w:rPr>
              <w:t>pasākumu trūkumu Eiropas tiesību aktos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H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w:t>
            </w:r>
            <w:r>
              <w:rPr>
                <w:b/>
                <w:i/>
              </w:rPr>
              <w:t>FIMI aizsardzības</w:t>
            </w:r>
            <w:r>
              <w:t xml:space="preserve"> mehānismus;</w:t>
            </w:r>
          </w:p>
        </w:tc>
        <w:tc>
          <w:tcPr>
            <w:tcW w:w="4876" w:type="dxa"/>
            <w:tcBorders>
              <w:top w:val="nil"/>
              <w:left w:val="nil"/>
              <w:bottom w:val="nil"/>
              <w:right w:val="nil"/>
            </w:tcBorders>
          </w:tcPr>
          <w:p>
            <w:pPr>
              <w:pStyle w:val="Normal6a"/>
            </w:pPr>
            <w:r>
              <w:t>H.</w:t>
            </w:r>
            <w:r>
              <w:tab/>
            </w:r>
            <w:r>
              <w:t xml:space="preserve">tā kā Digitālo pakalpojumu akta, Digitālo tirgu akta, Mākslīgā intelekta akta un Eiropas Mediju brīvības akta īstenošanas sākumposmu sakritība rada iespēju izveidot visaptverošus </w:t>
            </w:r>
            <w:r>
              <w:rPr>
                <w:b/>
                <w:i/>
              </w:rPr>
              <w:t>hibrīdaizsardzības</w:t>
            </w:r>
            <w:r>
              <w:t xml:space="preserve"> mehānismus;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mērķtiecīgi izstrādātas, lai veicinātu iesaistīšanos, izmantojot polarizāciju;</w:t>
            </w:r>
          </w:p>
        </w:tc>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mērķtiecīgi izstrādātas, lai veicinātu iesaistīšanos, izmantojot polarizāciju; </w:t>
            </w:r>
            <w:r>
              <w:rPr>
                <w:b/>
                <w:i/>
              </w:rPr>
              <w:t>tā kā šie draudi nav jauni un pēdējo desmit gadu laikā dalībvalstis, tiešsaistes platformas, eksperti un pašas sabiedrības ir izstrādājuši virkni instrumentu, kas spēj efektīvi novērst šādus draudus;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w:t>
            </w:r>
            <w:r>
              <w:rPr>
                <w:b/>
                <w:i/>
              </w:rPr>
              <w:t>un</w:t>
            </w:r>
            <w:r>
              <w:t xml:space="preserve"> (g) ieteikumu sistēmas, kas mērķtiecīgi izstrādātas, lai veicinātu iesaistīšanos, izmantojot polarizāciju;</w:t>
            </w:r>
          </w:p>
        </w:tc>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w:t>
            </w:r>
            <w:r>
              <w:rPr>
                <w:b/>
                <w:i/>
              </w:rPr>
              <w:t>un monetizāciju</w:t>
            </w:r>
            <w:r>
              <w:t>, (f) sintētiska satura, piemēram, dziļviltojumu un cita mākslīgā intelekta ģenerēta satura, izmantošanu</w:t>
            </w:r>
            <w:r>
              <w:rPr>
                <w:b/>
                <w:i/>
              </w:rPr>
              <w:t>,</w:t>
            </w:r>
            <w:r>
              <w:t xml:space="preserve"> (g) ieteikumu sistēmas, kas mērķtiecīgi izstrādātas, lai veicinātu iesaistīšanos, izmantojot polarizāciju</w:t>
            </w:r>
            <w:r>
              <w:rPr>
                <w:b/>
                <w:i/>
              </w:rPr>
              <w:t>, un (h) lielo valodas modeļu iedraudzināšanu, t. i., ļaunprātīgi "barojot" lielos valodas modeļus ar tendencioziem, krāpnieciskiem vai nepatiesiem naratīviem nolūkā ietekmēt to apmācību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w:t>
            </w:r>
            <w:r>
              <w:rPr>
                <w:b/>
                <w:i/>
              </w:rPr>
              <w:t>un (g)</w:t>
            </w:r>
            <w:r>
              <w:t xml:space="preserve"> ieteikumu sistēmas, kas mērķtiecīgi izstrādātas, lai veicinātu iesaistīšanos, izmantojot polarizāciju;</w:t>
            </w:r>
          </w:p>
        </w:tc>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w:t>
            </w:r>
            <w:r>
              <w:rPr>
                <w:b/>
                <w:i/>
              </w:rPr>
              <w:t>un pastāvīgi mainīgu</w:t>
            </w:r>
            <w:r>
              <w:t xml:space="preserve">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w:t>
            </w:r>
            <w:r>
              <w:rPr>
                <w:b/>
                <w:i/>
              </w:rPr>
              <w:t>, (g) dezinformējošu naratīvu izplatīšana, izraisot tā dēvēto MI modeļu datu saindēšanu, un (h)</w:t>
            </w:r>
            <w:r>
              <w:t xml:space="preserve"> ieteikumu sistēmas, kas mērķtiecīgi izstrādātas, lai veicinātu iesaistīšanos, izmantojot polarizāciju;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w:t>
            </w:r>
            <w:r>
              <w:rPr>
                <w:b/>
                <w:i/>
              </w:rPr>
              <w:t>sociālo</w:t>
            </w:r>
            <w:r>
              <w:t xml:space="preserve">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w:t>
            </w:r>
            <w:r>
              <w:rPr>
                <w:b/>
                <w:i/>
              </w:rPr>
              <w:t>un (g) ieteikumu sistēmas, kas mērķtiecīgi izstrādātas, lai veicinātu iesaistīšanos, izmantojot polarizāciju</w:t>
            </w:r>
            <w:r>
              <w:t>;</w:t>
            </w:r>
          </w:p>
        </w:tc>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w:t>
            </w:r>
            <w:r>
              <w:rPr>
                <w:b/>
                <w:i/>
              </w:rPr>
              <w:t>un mērķtiecīgi izveidotus</w:t>
            </w:r>
            <w:r>
              <w:t xml:space="preserve">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w:t>
            </w:r>
            <w:r>
              <w:rPr>
                <w:b/>
                <w:i/>
              </w:rPr>
              <w:t>mērķtiecīgi</w:t>
            </w:r>
            <w:r>
              <w:t xml:space="preserve"> izstrādātas, lai veicinātu iesaistīšanos, izmantojot polarizāciju;</w:t>
            </w:r>
          </w:p>
        </w:tc>
        <w:tc>
          <w:tcPr>
            <w:tcW w:w="4876" w:type="dxa"/>
            <w:tcBorders>
              <w:top w:val="nil"/>
              <w:left w:val="nil"/>
              <w:bottom w:val="nil"/>
              <w:right w:val="nil"/>
            </w:tcBorders>
          </w:tcPr>
          <w:p>
            <w:pPr>
              <w:pStyle w:val="Normal6a"/>
            </w:pPr>
            <w:r>
              <w:t>I.</w:t>
            </w:r>
            <w:r>
              <w:tab/>
            </w:r>
            <w:r>
              <w:t>tā kā demokrātiskās sabiedrības ES arvien vairāk tiek pakļautas hibrīddraudiem,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izstrādātas, lai veicinātu iesaistīšanos, izmantojot polarizāciju;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tā kā demokrātiskās sabiedrības ES arvien vairāk tiek pakļautas </w:t>
            </w:r>
            <w:r>
              <w:rPr>
                <w:b/>
                <w:i/>
              </w:rPr>
              <w:t>hibrīddraudiem,</w:t>
            </w:r>
            <w:r>
              <w:t xml:space="preserve">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mērķtiecīgi izstrādātas, lai veicinātu iesaistīšanos, izmantojot polarizāciju;</w:t>
            </w:r>
          </w:p>
        </w:tc>
        <w:tc>
          <w:tcPr>
            <w:tcW w:w="4876" w:type="dxa"/>
            <w:tcBorders>
              <w:top w:val="nil"/>
              <w:left w:val="nil"/>
              <w:bottom w:val="nil"/>
              <w:right w:val="nil"/>
            </w:tcBorders>
          </w:tcPr>
          <w:p>
            <w:pPr>
              <w:pStyle w:val="Normal6a"/>
            </w:pPr>
            <w:r>
              <w:t>I.</w:t>
            </w:r>
            <w:r>
              <w:tab/>
            </w:r>
            <w:r>
              <w:t>tā kā demokrātiskās sabiedrības ES arvien vairāk tiek pakļautas dezinformācijai un FIMI, kas īpaši intensīvi notiek digitālajā jomā; tā kā tiešsaistes telpa veicina jaunu manipulācijas metožu izplatīšanos, tostarp: (a) sociālo mediju neautentisku izmantošanu, izmantojot automatizētas programmatūras, viltotus sociālo mediju kontus un troļļu fabrikas, kā arī plašu izvēršanu un iesaistīšanos, izmantojot botus, (b) astroturfinga un pārpludināšanas metožu izmantošanu, lai ietekmētu sabiedrības debates tiešsaistē, (c) personalizēšanu, izsekošanu un mikromērķauditorijas atlasīšanu, (d) tīmekļa vietņu veidošanu, kas izskatās pēc oficiāliem avotiem, (e) sabiedrību šķeļoša satura mākslīgu pavairošanu, (f) sintētiska satura, piemēram, dziļviltojumu un cita mākslīgā intelekta ģenerēta satura, izmantošanu un (g) ieteikumu sistēmas, kas mērķtiecīgi izstrādātas, lai veicinātu iesaistīšanos, izmantojot polarizāciju;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saskaņā ar jaunāko Eirobarometra 2025. gada rudens aptauju iedzīvotāji pauž ļoti lielas bažas par dezinformāciju (69 %), naida runu (68 %), mākslīgā intelekta (MI) radītu viltus saturu, piemēram, dziļviltojumu videomateriāliem vai nepatiesu informāciju (68 %), personas datu aizsardzību tiešsaistē (68 %) un vārda brīvības apdraudējumiem (67 %);</w:t>
            </w:r>
            <w:r>
              <w:t xml:space="preserve"> </w:t>
            </w:r>
            <w:r>
              <w:rPr>
                <w:b/>
                <w:i/>
              </w:rPr>
              <w:t>tā kā dažu lielu uzņēmumu kontrole pār sociālajiem medijiem rada nopietnas bažas visā Eiropas Savienībā un 64 % respondentu apgalvo, ka ir “ļoti nobažījušies” par 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kopīgas pieejas, metodikas, datu modeļi un taksonomija attiecībā uz informācijas manipulācijas taktiku, metodēm, apdraudētājiem un naratīviem var nodrošināt efektīvu plaša mēroga sadarbību starp demokrātijas aizstāvjiem, lai traucētu FIMI, dezinformāciju un ietekmes operācijas;</w:t>
            </w:r>
            <w:r>
              <w:t xml:space="preserve"> </w:t>
            </w:r>
            <w:r>
              <w:rPr>
                <w:b/>
                <w:i/>
              </w:rPr>
              <w:t>tā kā, lai palielinātu noturību, būtu ievērojami jāpalielina atbalsts šādām kopīgām pieejām un sadarbībai starp publiskos avotos pieejamu izlūkdatu pētniekiem, faktu pārbaudītājiem, mediju dalībniekiem un politikas veidotājiem;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termina “hibrīddraudi” izmantošana var izraisīt migrantu, patvēruma meklētāju un bēgļu instrumentalizāciju, padarot neaizsargātas personas par instrumentiem vai draudiem, nevis par tiesību subjektiem, un tādējādi apdraudot viņu cieņu, drošību un Savienības saistības saskaņā ar starptautiskajām tiesībām un cilvēktiesībām;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ārvalstu iejaukšanās vēlēšanās, tostarp FIMI, algoritmiskā manipulācija un koordinēta neautentiska rīcība, ir attīstījusies no atsevišķiem incidentiem līdz sistēmiskiem draudiem vēlēšanu procesu integritātei un demokrātiskai pārvaldībai, par ko liecina nesenās vēlēšanas vairākās dalībvalstīs un kaimiņvalstīs;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automatizētu rīku un algoritmisko publicēšanas sistēmu izmantošana un MI atbalstīta satura radīšana arvien vairāk tiek integrēta medijos un pilsoniskajā saziņā;</w:t>
            </w:r>
            <w:r>
              <w:t xml:space="preserve"> </w:t>
            </w:r>
            <w:r>
              <w:rPr>
                <w:b/>
                <w:i/>
              </w:rPr>
              <w:t>tā kā izteikumi, kas tiek pausti, izmantojot šādus rīkus, var palikt aizsargāti, ja tie atspoguļo cilvēka nodomu, redakcionālo virzību vai uz noteikumiem balstītu struktūru;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demokrātijas vairogs sniedz unikālu iespēju veidot efektīvu visas sabiedrības aizsardzību saistībā ar Eiropas demokrātiju, brīvību, konkurētspēju un labklājību;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tā kā tas, ka trešās valstis slepeni finansē islāmistu grupējumus Savienībā, apdraud demokrātiskā procesa leģitimitāti;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Ib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tā kā valsts suverenitātes principa dēļ Eiropas Komisijai nevajadzētu noteikt dalībvalstīm pienākumu izmantot elektronisko balsošanu, pat tad, ja nolūks ir apkarot krāpšanu vēlēšanās;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rPr>
                <w:b/>
                <w:i/>
              </w:rPr>
              <w:t>tā kā platformu algoritmi ir defektīvi pēc noklusējuma, šķeļoši pēc būtības un tos var viegli manipulēt ļaunprātīgi spēki;</w:t>
            </w:r>
            <w:r>
              <w:t xml:space="preserve"> tā kā tiešsaistes platformas, lemjot par to, vai īpaši rādīt saturu lietotāja plūsmā, izmanto savas zināšanas par katra individuālā lietotāja vēlmēm un vājībām, tā kļūstot ietekmīgākas par tradicionālajiem izdevējiem; </w:t>
            </w:r>
            <w:r>
              <w:rPr>
                <w:b/>
                <w:i/>
              </w:rPr>
              <w:t>tā kā platformu īpašnieki un akcionāri var manipulēt ar platformas algoritmiem, lai izvirzītu priekšplānā noteiktu politisku saturu un apklusinātu opozīciju, tādējādi novēršot, mazinot vai kropļojot publikācijas redzamību;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izmanto savas zināšanas par katra individuālā lietotāja vēlmēm un vājībām, tā kļūstot ietekmīgākas par tradicionālajiem izdevējiem; </w:t>
            </w:r>
            <w:r>
              <w:rPr>
                <w:b/>
                <w:i/>
              </w:rPr>
              <w:t>tā kā šāda ietekme var īpaši kaitēt neaizsargātām grupām, tostarp bērniem un jauniešiem, kuri var būt mazāk sagatavoti, lai kritiski novērtētu uz pārliecināšanu orientētu vai manipulatīvu saturu, un tāpēc ir vairāk pakļauti maldinošas informācijas, kaitīgu vēstījumu un nepamatotas uzvedības riskam;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izmanto savas zināšanas par katra individuālā lietotāja vēlmēm un vājībām, tā kļūstot ietekmīgākas </w:t>
            </w:r>
            <w:r>
              <w:rPr>
                <w:b/>
                <w:i/>
              </w:rPr>
              <w:t>un bīstamākus</w:t>
            </w:r>
            <w:r>
              <w:t xml:space="preserve"> par tradicionālajiem izdevējiem</w:t>
            </w:r>
            <w:r>
              <w:rPr>
                <w:b/>
                <w:i/>
              </w:rPr>
              <w:t>, savukārt to uzņēmējdarbības modeļus lielā mērā virza uz uzmanību balstīta ekonomika un algoritmiskā pastiprināšana, radot strukturālus stimulus polarizācijai, sensacionālam saturam un lielākai neaizsargātībai pret manipulācijām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w:t>
            </w:r>
            <w:r>
              <w:rPr>
                <w:b/>
                <w:i/>
              </w:rPr>
              <w:t>ir izdevīgākā situācijā, jo tām ir piekļuve lietotāju tiešsaistes profiliem, un tādējādi tās </w:t>
            </w:r>
            <w:r>
              <w:t xml:space="preserve">izmanto savas zināšanas par katra individuālā lietotāja vēlmēm un vājībām, </w:t>
            </w:r>
            <w:r>
              <w:rPr>
                <w:b/>
                <w:i/>
              </w:rPr>
              <w:t>lai galvenokārt maksimāli palielinātu savu finansiālo ieguvumu,</w:t>
            </w:r>
            <w:r>
              <w:t xml:space="preserve"> tā kļūstot ietekmīgākas par tradicionālajiem izdevējiem;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w:t>
            </w:r>
            <w:r>
              <w:rPr>
                <w:b/>
                <w:i/>
              </w:rPr>
              <w:t>izmanto</w:t>
            </w:r>
            <w:r>
              <w:t xml:space="preserve">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t xml:space="preserve">tā kā tiešsaistes platformas </w:t>
            </w:r>
            <w:r>
              <w:rPr>
                <w:b/>
                <w:i/>
              </w:rPr>
              <w:t>acīmredzami ļaunprātīgi izmanto katra individuālā lietotāja vājības</w:t>
            </w:r>
            <w:r>
              <w:t xml:space="preserve">, lemjot par to, vai īpaši rādīt saturu lietotāja plūsmā, </w:t>
            </w:r>
            <w:r>
              <w:rPr>
                <w:b/>
                <w:i/>
              </w:rPr>
              <w:t>izmantojot</w:t>
            </w:r>
            <w:r>
              <w:t xml:space="preserve"> savas zināšanas par katra individuālā lietotāja vēlmēm un vājībām, tā kļūstot ietekmīgākas par tradicionālajiem izdevējiem;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w:t>
            </w:r>
            <w:r>
              <w:rPr>
                <w:b/>
                <w:i/>
              </w:rPr>
              <w:t>, tā kļūstot ietekmīgākas par tradicionālajiem izdevējiem</w:t>
            </w:r>
            <w:r>
              <w:t>;</w:t>
            </w:r>
          </w:p>
        </w:tc>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tā kā tiešsaistes platformas, lemjot par to, vai īpaši rādīt saturu lietotāja plūsmā, izmanto savas zināšanas par katra individuālā lietotāja vēlmēm un vājībām, tā kļūstot ietekmīgākas par tradicionālajiem izdevējiem;</w:t>
            </w:r>
          </w:p>
        </w:tc>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izmanto savas zināšanas par katra individuālā lietotāja vēlmēm un vājībām, tā kļūstot </w:t>
            </w:r>
            <w:r>
              <w:rPr>
                <w:b/>
                <w:i/>
              </w:rPr>
              <w:t>būtiski</w:t>
            </w:r>
            <w:r>
              <w:t xml:space="preserve"> ietekmīgākas par tradicionālajiem izdevējiem;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tā kā tiešsaistes platformas, lemjot par to, vai īpaši rādīt saturu lietotāja plūsmā, </w:t>
            </w:r>
            <w:r>
              <w:rPr>
                <w:b/>
                <w:i/>
              </w:rPr>
              <w:t>izmanto</w:t>
            </w:r>
            <w:r>
              <w:t xml:space="preserve"> savas zināšanas par </w:t>
            </w:r>
            <w:r>
              <w:rPr>
                <w:b/>
                <w:i/>
              </w:rPr>
              <w:t>katra individuālā</w:t>
            </w:r>
            <w:r>
              <w:t xml:space="preserve"> lietotāja vēlmēm </w:t>
            </w:r>
            <w:r>
              <w:rPr>
                <w:b/>
                <w:i/>
              </w:rPr>
              <w:t>un vājībām, tā kļūstot ietekmīgākas par tradicionālajiem izdevējiem</w:t>
            </w:r>
            <w:r>
              <w:t>;</w:t>
            </w:r>
          </w:p>
        </w:tc>
        <w:tc>
          <w:tcPr>
            <w:tcW w:w="4876" w:type="dxa"/>
            <w:tcBorders>
              <w:top w:val="nil"/>
              <w:left w:val="nil"/>
              <w:bottom w:val="nil"/>
              <w:right w:val="nil"/>
            </w:tcBorders>
          </w:tcPr>
          <w:p>
            <w:pPr>
              <w:pStyle w:val="Normal6a"/>
            </w:pPr>
            <w:r>
              <w:t>J.</w:t>
            </w:r>
            <w:r>
              <w:tab/>
            </w:r>
            <w:r>
              <w:t xml:space="preserve">tā kā tiešsaistes platformas </w:t>
            </w:r>
            <w:r>
              <w:rPr>
                <w:b/>
                <w:i/>
              </w:rPr>
              <w:t>acīmredzami ļaunprātīgi izmanto katra atsevišķā lietotāja vājības</w:t>
            </w:r>
            <w:r>
              <w:t xml:space="preserve">, lemjot par to, vai īpaši rādīt saturu lietotāja plūsmā, </w:t>
            </w:r>
            <w:r>
              <w:rPr>
                <w:b/>
                <w:i/>
              </w:rPr>
              <w:t>izmantojot</w:t>
            </w:r>
            <w:r>
              <w:t xml:space="preserve"> savas zināšanas par lietotāja vēlmēm;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informācijas ekosistēmas digitālā pārveide ir sadrumstalojusi un personalizējusi informācijas patēriņu, ko arvien vairāk veicina nepārredzamas algoritmiskās sistēmas, kas optimizētas iesaistei, nevis patiesībai vai sabiedrības interesēm;</w:t>
            </w:r>
            <w:r>
              <w:t xml:space="preserve"> </w:t>
            </w:r>
            <w:r>
              <w:rPr>
                <w:b/>
                <w:i/>
              </w:rPr>
              <w:t>tā kā arvien lielāka daļa jauniešu galvenokārt paļaujas uz digitālajām platformām kā svarīgāko informācijas avotu;</w:t>
            </w:r>
            <w:r>
              <w:t xml:space="preserve"> </w:t>
            </w:r>
            <w:r>
              <w:rPr>
                <w:b/>
                <w:i/>
              </w:rPr>
              <w:t>tā kā mākslīgais intelekts un algoritmiskās ieteikumu sistēmas attīstās ātrāk nekā demokrātiskie aizsardzības pasākumi un regulatīvā uzraudzība, tādējādi lielās tiešsaistes platformas un MI nodrošinātāji var īstenot strukturālu ietekmi uz politiskā diskursa redzamību un izplatīšanu, kas galu galā ietekmē demokrātiskos procesus;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saskaņā ar 2024. gada jauniešu apsekojumu 42 % jauniešu (vecumā no 16 līdz 30 gadiem) izmanto sociālos medijus kā galveno informācijas avotu par politiskiem un sociāliem jautājumiem;</w:t>
            </w:r>
            <w:r>
              <w:t xml:space="preserve"> </w:t>
            </w:r>
            <w:r>
              <w:rPr>
                <w:b/>
                <w:i/>
              </w:rPr>
              <w:t>tā kā ir jāuzlabo medijpratība iedzīvotāju līmenī, veicinot kritisko domāšanu un informācijas integritāti, kas ir būtisks instruments sabiedrības noturības veidošanai pret FIMI, jo īpaši, ja medijpratība tiek mācīta jau no agrīna vecuma;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Ja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tā kā jaunieši, sievietes un vecāka gadagājuma cilvēki ir īpaši neaizsargātas grupas tiešsaistes vidē;</w:t>
            </w:r>
            <w:r>
              <w:t xml:space="preserve"> </w:t>
            </w:r>
            <w:r>
              <w:rPr>
                <w:b/>
                <w:i/>
              </w:rPr>
              <w:t>tā kā jaunieši arvien vairāk veido savus politiskos uzskatus un vēlēšanu viedokļus tiešsaistē, jo īpaši sociālo mediju platformās, kur viņi biežāk ir pakļauti mērķtiecīgi veidotam saturam, algoritmiskai apmplifikācijai un manipulācijas metodēm;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w:t>
            </w:r>
            <w:r>
              <w:rPr>
                <w:b/>
                <w:i/>
              </w:rPr>
              <w:t>digitālās</w:t>
            </w:r>
            <w:r>
              <w:t xml:space="preserve"> platformas un aizsargātu demokrātiskos procesus, palielinātu pārredzamību un nodrošinātu vārda brīvību; tā kā to izpilde </w:t>
            </w:r>
            <w:r>
              <w:rPr>
                <w:b/>
                <w:i/>
              </w:rPr>
              <w:t>tomēr</w:t>
            </w:r>
            <w:r>
              <w:t xml:space="preserve"> joprojām ir </w:t>
            </w:r>
            <w:r>
              <w:rPr>
                <w:b/>
                <w:i/>
              </w:rPr>
              <w:t>problemātiska</w:t>
            </w:r>
            <w:r>
              <w:t>;</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w:t>
            </w:r>
            <w:r>
              <w:rPr>
                <w:b/>
                <w:i/>
              </w:rPr>
              <w:t>tiešsaistes</w:t>
            </w:r>
            <w:r>
              <w:t xml:space="preserve"> platformas un aizsargātu demokrātiskos procesus, palielinātu pārredzamību un nodrošinātu vārda brīvību; tā kā to izpilde joprojām ir </w:t>
            </w:r>
            <w:r>
              <w:rPr>
                <w:b/>
                <w:i/>
              </w:rPr>
              <w:t>pārāk lēna, un tas apgrūtina demokrātisko procesu aizsardzību</w:t>
            </w:r>
            <w:r>
              <w:t xml:space="preserve">; </w:t>
            </w:r>
            <w:r>
              <w:rPr>
                <w:b/>
                <w:i/>
              </w:rPr>
              <w:t>tā kā vienlaikus Komisija ir ierosinājusi vairākus Omnibus priekšlikumus, ar kuriem tiek atcelti daži aizsardzības pasākumi šajos tiesību aktos, jo īpaši Mākslīgā intelekta aktā un Vispārīgajā datu aizsardzības regulā, un tas liek apšaubīt Eiropas iedzīvotājiem nodrošināto aizsardzību, lai cīnītos pret ārvalstu iejaukšanos;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w:t>
            </w:r>
            <w:r>
              <w:rPr>
                <w:b/>
                <w:i/>
              </w:rPr>
              <w:t>pieņēmusi dažādus visaptverošus</w:t>
            </w:r>
            <w:r>
              <w:t xml:space="preserve"> tiesību </w:t>
            </w:r>
            <w:r>
              <w:rPr>
                <w:b/>
                <w:i/>
              </w:rPr>
              <w:t>aktu</w:t>
            </w:r>
            <w:r>
              <w:t>,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problemātiska;</w:t>
            </w:r>
          </w:p>
        </w:tc>
        <w:tc>
          <w:tcPr>
            <w:tcW w:w="4876" w:type="dxa"/>
            <w:tcBorders>
              <w:top w:val="nil"/>
              <w:left w:val="nil"/>
              <w:bottom w:val="nil"/>
              <w:right w:val="nil"/>
            </w:tcBorders>
          </w:tcPr>
          <w:p>
            <w:pPr>
              <w:pStyle w:val="Normal6a"/>
            </w:pPr>
            <w:r>
              <w:t>K.</w:t>
            </w:r>
            <w:r>
              <w:tab/>
            </w:r>
            <w:r>
              <w:t xml:space="preserve">tā kā </w:t>
            </w:r>
            <w:r>
              <w:rPr>
                <w:b/>
                <w:i/>
              </w:rPr>
              <w:t>dalībvalstīs un arī</w:t>
            </w:r>
            <w:r>
              <w:t xml:space="preserve"> ES nesen ir </w:t>
            </w:r>
            <w:r>
              <w:rPr>
                <w:b/>
                <w:i/>
              </w:rPr>
              <w:t>pieņemti dažādi visaptveroši</w:t>
            </w:r>
            <w:r>
              <w:t xml:space="preserve"> tiesību </w:t>
            </w:r>
            <w:r>
              <w:rPr>
                <w:b/>
                <w:i/>
              </w:rPr>
              <w:t>akti</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problemātiska; </w:t>
            </w:r>
            <w:r>
              <w:rPr>
                <w:b/>
                <w:i/>
              </w:rPr>
              <w:t>tā kā veids, kādā ir īstenoti daži noteikumi, ir izraisījis nopietnas domstarpības attiecībā uz vārda brīvību un pārredzamību;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 lai izveidotu</w:t>
            </w:r>
            <w:r>
              <w:t xml:space="preserve"> drošu un pārredzamu tiešsaistes telpu, tostarp Digitālo pakalpojumu aktu, Regulu par politiskās reklāmas pārredzamību un mērķauditorijas atlasi, kā arī Mākslīgā intelekta aktu; tā kā </w:t>
            </w:r>
            <w:r>
              <w:rPr>
                <w:b/>
                <w:i/>
              </w:rPr>
              <w:t>šie</w:t>
            </w:r>
            <w:r>
              <w:t xml:space="preserve"> tiesību </w:t>
            </w:r>
            <w:r>
              <w:rPr>
                <w:b/>
                <w:i/>
              </w:rPr>
              <w:t>akti ir nozīmīgs solis uz priekšu, lai sauktu pie atbildības digitālās platformas un aizsargātu demokrātiskos procesus, palielinātu pārredzamību un nodrošinātu</w:t>
            </w:r>
            <w:r>
              <w:t xml:space="preserve"> vārda brīvību; </w:t>
            </w:r>
            <w:r>
              <w:rPr>
                <w:b/>
                <w:i/>
              </w:rPr>
              <w:t>tā kā to izpilde tomēr joprojām ir problemātiska;</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 nolūkā izveidot</w:t>
            </w:r>
            <w:r>
              <w:t xml:space="preserve"> drošu un pārredzamu tiešsaistes telpu, tostarp Digitālo pakalpojumu aktu, Regulu par politiskās reklāmas pārredzamību un mērķauditorijas atlasi, kā arī Mākslīgā intelekta aktu; tā kā </w:t>
            </w:r>
            <w:r>
              <w:rPr>
                <w:b/>
                <w:i/>
              </w:rPr>
              <w:t>ir bijuši pastāvīgi mēģinājumi izmantot šos</w:t>
            </w:r>
            <w:r>
              <w:t xml:space="preserve"> tiesību </w:t>
            </w:r>
            <w:r>
              <w:rPr>
                <w:b/>
                <w:i/>
              </w:rPr>
              <w:t>aktus kā ieroci, lai uzspiestu mērķtiecīgu tiešsaistes cenzūru attiecībā uz</w:t>
            </w:r>
            <w:r>
              <w:t xml:space="preserve"> vārda brīvību;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 lai izveidotu drošu un pārredzamu tiešsaistes telpu</w:t>
            </w:r>
            <w:r>
              <w:t xml:space="preserve">, tostarp Digitālo pakalpojumu aktu, Regulu par politiskās reklāmas pārredzamību un mērķauditorijas atlasi, kā arī Mākslīgā intelekta aktu; tā kā </w:t>
            </w:r>
            <w:r>
              <w:rPr>
                <w:b/>
                <w:i/>
              </w:rPr>
              <w:t>šie tiesību akti ir nozīmīgs solis uz priekšu, lai sauktu pie atbildības digitālās platformas un aizsargātu demokrātiskos procesus, palielinātu pārredzamību un</w:t>
            </w:r>
            <w:r>
              <w:t xml:space="preserve"> nodrošinātu </w:t>
            </w:r>
            <w:r>
              <w:rPr>
                <w:b/>
                <w:i/>
              </w:rPr>
              <w:t>vārda brīvību;</w:t>
            </w:r>
            <w:r>
              <w:t xml:space="preserve"> </w:t>
            </w:r>
            <w:r>
              <w:rPr>
                <w:b/>
                <w:i/>
              </w:rPr>
              <w:t>tā kā to izpilde tomēr joprojām ir problemātiska</w:t>
            </w:r>
            <w:r>
              <w:t>;</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w:t>
            </w:r>
            <w:r>
              <w:t xml:space="preserve">, tostarp Digitālo pakalpojumu aktu, Regulu par politiskās reklāmas pārredzamību un mērķauditorijas atlasi, kā arī Mākslīgā intelekta aktu; tā kā </w:t>
            </w:r>
            <w:r>
              <w:rPr>
                <w:b/>
                <w:i/>
              </w:rPr>
              <w:t>tajā pašā laikā tiek sagaidīts, ka ES pārskatīs dažus noteikumus, lai</w:t>
            </w:r>
            <w:r>
              <w:t xml:space="preserve"> nodrošinātu </w:t>
            </w:r>
            <w:r>
              <w:rPr>
                <w:b/>
                <w:i/>
              </w:rPr>
              <w:t>Eiropas Savienības Pamattiesību hartā noteikto pamattiesību ievērošanu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w:t>
            </w:r>
            <w:r>
              <w:rPr>
                <w:b/>
                <w:i/>
              </w:rPr>
              <w:t>izpilde tomēr</w:t>
            </w:r>
            <w:r>
              <w:t xml:space="preserve"> joprojām ir </w:t>
            </w:r>
            <w:r>
              <w:rPr>
                <w:b/>
                <w:i/>
              </w:rPr>
              <w:t>problemātiska</w:t>
            </w:r>
            <w:r>
              <w:t>;</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w:t>
            </w:r>
            <w:r>
              <w:rPr>
                <w:b/>
                <w:i/>
              </w:rPr>
              <w:t>izpildes joma ģeopolitisku apsvērumu dēļ</w:t>
            </w:r>
            <w:r>
              <w:t xml:space="preserve"> joprojām ir </w:t>
            </w:r>
            <w:r>
              <w:rPr>
                <w:b/>
                <w:i/>
              </w:rPr>
              <w:t>ierobežota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w:t>
            </w:r>
            <w:r>
              <w:t xml:space="preserve">,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w:t>
            </w:r>
            <w:r>
              <w:rPr>
                <w:b/>
                <w:i/>
              </w:rPr>
              <w:t>problemātiska</w:t>
            </w:r>
            <w:r>
              <w:t>;</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w:t>
            </w:r>
            <w:r>
              <w:t>, lai izveidotu drošu un pārredzamu tiešsaistes telpu, tostarp Digitālo pakalpojumu aktu, Regulu par politiskās reklāmas pārredzamību un mērķauditorijas atlasi</w:t>
            </w:r>
            <w:r>
              <w:rPr>
                <w:b/>
                <w:i/>
              </w:rPr>
              <w:t>, Eiropas Mediju brīvības aktu</w:t>
            </w:r>
            <w:r>
              <w:t xml:space="preserve">,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w:t>
            </w:r>
            <w:r>
              <w:rPr>
                <w:b/>
                <w:i/>
              </w:rPr>
              <w:t>nepietiekama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w:t>
            </w:r>
            <w:r>
              <w:t>, lai izveidotu drošu un pārredzamu tiešsaistes telpu, tostarp Digitālo pakalpojumu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problemātiska;</w:t>
            </w:r>
          </w:p>
        </w:tc>
        <w:tc>
          <w:tcPr>
            <w:tcW w:w="4876" w:type="dxa"/>
            <w:tcBorders>
              <w:top w:val="nil"/>
              <w:left w:val="nil"/>
              <w:bottom w:val="nil"/>
              <w:right w:val="nil"/>
            </w:tcBorders>
          </w:tcPr>
          <w:p>
            <w:pPr>
              <w:pStyle w:val="Normal6a"/>
            </w:pPr>
            <w:r>
              <w:t>K.</w:t>
            </w:r>
            <w:r>
              <w:tab/>
            </w:r>
            <w:r>
              <w:t xml:space="preserve">tā kā ES nesen ir pieņēmusi dažādus visaptverošus tiesību </w:t>
            </w:r>
            <w:r>
              <w:rPr>
                <w:b/>
                <w:i/>
              </w:rPr>
              <w:t>aktus</w:t>
            </w:r>
            <w:r>
              <w:t xml:space="preserve">, lai izveidotu drošu un pārredzamu tiešsaistes telpu, tostarp Digitālo pakalpojumu </w:t>
            </w:r>
            <w:r>
              <w:rPr>
                <w:b/>
                <w:i/>
              </w:rPr>
              <w:t>aktu, Digitālo tirgu</w:t>
            </w:r>
            <w:r>
              <w:t xml:space="preserve"> aktu, Regulu par politiskās reklāmas pārredzamību un mērķauditorijas atlasi, kā arī Mākslīgā intelekta aktu; tā kā šie tiesību akti ir nozīmīgs solis uz priekšu, lai sauktu pie atbildības digitālās platformas un aizsargātu demokrātiskos procesus, palielinātu pārredzamību un nodrošinātu vārda brīvību; tā kā to izpilde tomēr joprojām ir problemātiska;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Digitālo pakalpojumu akts nav cenzūras instruments, bet gan kodificē sen iedibināto Eiropas tiesību principu, ka saturu, kas ir nelikumīgs bezsaistē, var ierobežot arī tiešsaistē, ievērojot pienācīgu procesu, tiesisko aizsardzību un proporcionalitāti, kā konsekventi apstiprināts Eiropas Savienības Tiesas judikatūrā;</w:t>
            </w:r>
            <w:r>
              <w:t xml:space="preserve"> </w:t>
            </w:r>
            <w:r>
              <w:rPr>
                <w:b/>
                <w:i/>
              </w:rPr>
              <w:t>tā kā šī pieeja nepārprotami kontrastē ar valstu virzītiem cenzūras mehānismiem, ko izmanto autoritāri režīmi, jo īpaši Krievijas Federācija, kur satura ierobežojumi tiek noteikti, neveicot likumības, viltošanas vai kaitējuma pamatotu juridisku novērtējumu;</w:t>
            </w:r>
            <w:r>
              <w:t xml:space="preserve"> </w:t>
            </w:r>
            <w:r>
              <w:rPr>
                <w:b/>
                <w:i/>
              </w:rPr>
              <w:t>tā kā Eiropas Cilvēktiesību tiesa savā nesenajā spriedumā par plašiem Krievijas naudas sodiem un politiski motivētiem izņemšanas rīkojumiem pret Google konstatēja, ka Krievijas iestādes nav pārbaudījušas, vai mērķorientētais saturs ir nepatiess vai kaitīgs, tā vietā pieņemot, ka jebkāda novirze no oficiālajiem vēstījumiem apdraud valsts intereses, un nesniedzot konkrētus pierādījumus par kaitējumu;</w:t>
            </w:r>
            <w:r>
              <w:t xml:space="preserve"> </w:t>
            </w:r>
            <w:r>
              <w:rPr>
                <w:b/>
                <w:i/>
              </w:rPr>
              <w:t>tā kā šī judikatūra ilustrē būtisko atšķirību starp Eiropas regulatīvo modeli, kura pamatā ir likumība, proporcionalitāte un pamattiesības, un Krievijas cenzūras praksi, kas izmanto satura kontroli, lai apspiestu opozīciju un politisko plurālismu;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ASV Pārstāvju palātas Tieslietu komitejas starpposma novērtējuma ziņojumā "The Foreign Censorship Threat, Part II: Europe’s Decade-Long Campaign to Censor the Global Internet and How It Harms American Speech in the United States"</w:t>
            </w:r>
            <w:r>
              <w:rPr>
                <w:b/>
                <w:i/>
                <w:vertAlign w:val="superscript"/>
              </w:rPr>
              <w:t>1a</w:t>
            </w:r>
            <w:r>
              <w:t xml:space="preserve"> </w:t>
            </w:r>
            <w:r>
              <w:rPr>
                <w:b/>
                <w:i/>
              </w:rPr>
              <w:t>(Ārvalstu cenzūras apdraudējums, II daļa: desmit gadus ilgā Eiropas kampaņa, kuras mērķis ir cenzēt globālo internetu, un tās kaitējums runas brīvībai Amerikas Savienotajās Valstīs) ir dokumentēta Eiropas publisko iestāžu, tostarp Komisijas, plaša mēroga iesaiste svarīgāko tiešsaistes platformu darbībā un regulatīvs spiediens nolūkā ietekmēt satura moderācijas metodes Savienībā un ārpus tās teritorijas;</w:t>
            </w:r>
            <w:r>
              <w:t xml:space="preserve"> </w:t>
            </w:r>
            <w:r>
              <w:rPr>
                <w:b/>
                <w:i/>
              </w:rPr>
              <w:t>tā kā ziņojumā paustas nopietnas bažas par to, ka ES tiesiskais regulējums, politikas instrumenti un neformāla izpildes prakse ir izmantoti, lai izdarītu eksteritoriālu spiedienu uz digitālo pakalpojumu sniedzējiem, kā rezultātā tiek izņemts, apspiests vai algoritmiskajā klasifikācijā pazemināts likumīgs saturs un politiskā runa, tostarp saturs, kura izcelsme ir trešās valstīs;</w:t>
            </w:r>
            <w:r>
              <w:t xml:space="preserve"> </w:t>
            </w:r>
            <w:r>
              <w:rPr>
                <w:b/>
                <w:i/>
              </w:rPr>
              <w:t>tā kā ziņojumā ir arī uzsvērts, ka šāda prakse var apdraudēt vārda brīvību, demokrātiskas debates un vēlēšanu procesus un var tikt uzskatīta par netiešu cenzūru, kas nav saderīga ar pamattiesībām un starptautiskajiem demokrātijas standartiem;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tiek ziņots, ka Komisijas lēmumi pret ASV lielajiem tehnoloģiju uzņēmumiem, piemēram, Google, ir novilcināti, lai neizjauktu attiecības ar ASV valdību tirdzniecības sarunu laikā;</w:t>
            </w:r>
            <w:r>
              <w:t xml:space="preserve"> </w:t>
            </w:r>
            <w:r>
              <w:rPr>
                <w:b/>
                <w:i/>
              </w:rPr>
              <w:t>tā kā pirmais naudas sods saskaņā ar Digitālo pakalpojumu aktu lietā pret platformu X tika uzlikts tikai 5. decembrī, proti, divus gadus pēc tam, kad tika sākta izmeklēšana pret šo ASV bāzēto sociālo mediju platformu, un saskaņā ar pieejamo informāciju tā mēnešiem ilgi tika novilcināta politisku iemeslu dēļ;</w:t>
            </w:r>
            <w:r>
              <w:t xml:space="preserve"> </w:t>
            </w:r>
            <w:r>
              <w:rPr>
                <w:b/>
                <w:i/>
              </w:rPr>
              <w:t>tā kā šo problēmu saasina ASV valdības un tehnoloģiju uzņēmumu rīcības saskaņotība;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tā kā regulatīvie pasākumi, kas ietekmē likumīga satura redzamību, sasniedzamību, ranžēšanu vai izplatīšanu, var būt iejaukšanās vārda brīvībā Hartas 11. panta nozīmē, un tāpēc uz tiem ir jāattiecina stingras tiesiskās garantijas, pārredzamība un pārskatīšanas iespējas tiesā;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tā kā pieejamie dati par satura moderācijas lēmumiem liecina, ka būtiska daļa izņemšanas lēmumu pēc tam tiek atcelti, izmantojot sūdzību un tiesiskās aizsardzības mehānismus, un tas norāda uz pārmērīgas izņemšanas strukturālajiem riskiem un atturošo ietekmi, kāda tam var būt uz likumīgām izpausmēm;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Kc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tā kā vēlēšanu organizēšana un norise joprojām ir dalībvalstu kompetencē un atbildībā saskaņā ar to tiesību aktiem un konstitucionālajām tradīcijām;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w:t>
            </w:r>
            <w:r>
              <w:rPr>
                <w:b/>
                <w:i/>
              </w:rPr>
              <w:t>mākslīgā intelekta izmantošana paver jaunas iespējas</w:t>
            </w:r>
            <w:r>
              <w:t xml:space="preserve"> vēlēšanu </w:t>
            </w:r>
            <w:r>
              <w:rPr>
                <w:b/>
                <w:i/>
              </w:rPr>
              <w:t>pārvaldības un uzraudzības stiprināšanai, piemēram, atklājot neparastu tiešsaistes darbību un koordinētu manipulatīvu rīcību</w:t>
            </w:r>
            <w:r>
              <w:t xml:space="preserve">; tā kā </w:t>
            </w:r>
            <w:r>
              <w:rPr>
                <w:b/>
                <w:i/>
              </w:rPr>
              <w:t>mākslīgā intelekta, tostarp ģeneratīvo modeļu un dziļviltojumu, izmantošana rada arī ievērojamas problēmas informācijas integritātei un</w:t>
            </w:r>
            <w:r>
              <w:t xml:space="preserve"> vēlēšanu </w:t>
            </w:r>
            <w:r>
              <w:rPr>
                <w:b/>
                <w:i/>
              </w:rPr>
              <w:t>procesiem;</w:t>
            </w:r>
            <w:r>
              <w:t xml:space="preserve"> </w:t>
            </w:r>
            <w:r>
              <w:rPr>
                <w:b/>
                <w:i/>
              </w:rPr>
              <w:t>tā kā ticami ziņojumi ir atklājuši Maskavā bāzēta dezinformācijas tīkla Pravda darbības, kas ir apzināti vērsies pret lieliem valodu modeļiem (LLM) un iefiltrējies tajos ar prokremliskiem naratīviem, kuru mērķis ir atdarināt neitrālus un uz faktiem balstītus rezultātus</w:t>
            </w:r>
            <w:r>
              <w:t xml:space="preserve">; </w:t>
            </w:r>
            <w:r>
              <w:rPr>
                <w:b/>
                <w:i/>
              </w:rPr>
              <w:t>tā kā šāda taktika atspoguļo bīstamu FIMI evolūciju, jo tā izmanto mākslīgā intelekta sistēmu necaurredzamību un mērogojamību, lai nemanāmi izplatītu nepatiesus vai maldinošus ģeopolitiskus vēstījumus, izmantojot autoritatīvu valodu;</w:t>
            </w:r>
            <w:r>
              <w:t xml:space="preserve"> </w:t>
            </w:r>
            <w:r>
              <w:rPr>
                <w:b/>
                <w:i/>
              </w:rPr>
              <w:t>tā kā šāda veida algoritmiskā manipulācija apdraud sabiedrības uzticēšanos mākslīgā intelekta tehnoloģijām, kropļo demokrātisko diskursu un saasina dezinformācijas riskus visā ES un pasaulē;</w:t>
            </w:r>
            <w:r>
              <w:t xml:space="preserve"> </w:t>
            </w:r>
            <w:r>
              <w:rPr>
                <w:b/>
                <w:i/>
              </w:rPr>
              <w:t>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w:t>
            </w:r>
            <w:r>
              <w:rPr>
                <w:b/>
                <w:i/>
              </w:rPr>
              <w:t>Līgumos Savienībai nav piešķirta vispārēja kompetence uzraudzīt, garantēt vai īstenot dalībvalstīs notiekošo</w:t>
            </w:r>
            <w:r>
              <w:t xml:space="preserve"> vēlēšanu </w:t>
            </w:r>
            <w:r>
              <w:rPr>
                <w:b/>
                <w:i/>
              </w:rPr>
              <w:t>godīgumu vai integritāti</w:t>
            </w:r>
            <w:r>
              <w:t xml:space="preserve">; tā kā </w:t>
            </w:r>
            <w:r>
              <w:rPr>
                <w:b/>
                <w:i/>
              </w:rPr>
              <w:t>Komisija pati ir apstiprinājusi, ka par</w:t>
            </w:r>
            <w:r>
              <w:t xml:space="preserve"> vēlēšanu </w:t>
            </w:r>
            <w:r>
              <w:rPr>
                <w:b/>
                <w:i/>
              </w:rPr>
              <w:t>organizēšanu un norisi joprojām ir atbildīgas dalībvalstis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w:t>
            </w:r>
            <w:r>
              <w:rPr>
                <w:b/>
                <w:i/>
              </w:rPr>
              <w:t>stiprināšanai</w:t>
            </w:r>
            <w:r>
              <w:t xml:space="preserve">,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vērsies pret</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w:t>
            </w:r>
            <w:r>
              <w:rPr>
                <w:b/>
                <w:i/>
              </w:rPr>
              <w:t>sekmēšanai</w:t>
            </w:r>
            <w:r>
              <w:t xml:space="preserve">, piemēram, atklājot </w:t>
            </w:r>
            <w:r>
              <w:rPr>
                <w:b/>
                <w:i/>
              </w:rPr>
              <w:t>aizdomīgu un</w:t>
            </w:r>
            <w:r>
              <w:t xml:space="preserve">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orientējies uz</w:t>
            </w:r>
            <w:r>
              <w:t xml:space="preserve"> lieliem valodu modeļiem (LLM) un iefiltrējies tajos ar prokremliskiem naratīviem, kuru mērķis ir atdarināt neitrālus un uz faktiem balstītus rezultātus</w:t>
            </w:r>
            <w:r>
              <w:rPr>
                <w:b/>
                <w:i/>
              </w:rPr>
              <w:t>;</w:t>
            </w:r>
            <w:r>
              <w:t xml:space="preserve"> </w:t>
            </w:r>
            <w:r>
              <w:rPr>
                <w:b/>
                <w:i/>
              </w:rPr>
              <w:t>tā kā parādās jauni pierādījumi par Ķīnas struktūru, tā sauktās Musulmaņu brālības un citu dalībnieku centieniem ietekmēt sabiedrisko domu un demokrātisko lēmumu pieņemšanu, un šādā veidā īstenot savas intereses un ģeopolitiskos mērķus</w:t>
            </w:r>
            <w:r>
              <w:t xml:space="preserve">;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 </w:t>
            </w:r>
            <w:r>
              <w:rPr>
                <w:b/>
                <w:i/>
              </w:rPr>
              <w:t>tā kā, ņemot vērā to, ka MI rezultāti var atspoguļot neobjektivitāti, kas ieviesta, cilvēkam veidojot šīs sistēmas, un ne vienmēr var paļauties uz atjauninātu vai pārbaudītu informāciju, tādēļ lietotājiem saskarē ar šādiem rezultātiem būtu jāsaglabā pienācīga uzmanība un kritisks vērtējums;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vērsies pret</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orientējies uz</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 </w:t>
            </w:r>
            <w:r>
              <w:rPr>
                <w:b/>
                <w:i/>
              </w:rPr>
              <w:t>tā kā ticami ziņojumi ir atklājuši Maskavā izvietotā dezinformācijas tīkla “Pravda” darbību, - tas apzināti orientējas uz informācijas ekosistēmām, tostarp lieliem valodu modeļiem, iepludinot tajos Kremli atbalstošus vēstījumus;</w:t>
            </w:r>
            <w:r>
              <w:t xml:space="preserve"> </w:t>
            </w:r>
            <w:r>
              <w:rPr>
                <w:b/>
                <w:i/>
              </w:rPr>
              <w:t>tā kā šādas darbības ir ārvalstu īstenotas informācijas manipulācijas un iejaukšanās veids, kura mērķis ir graut demokrātisko diskursu un uzticēšanos digitālajām tehnoloģijām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vērsies pret</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w:t>
            </w:r>
            <w:r>
              <w:rPr>
                <w:b/>
                <w:i/>
              </w:rPr>
              <w:t>lielākā daļa MI izstrādes notiek ārpus ES un ES atpaliek MI investīciju un apmācības ziņā;</w:t>
            </w:r>
            <w:r>
              <w:t xml:space="preserve"> </w:t>
            </w:r>
            <w:r>
              <w:rPr>
                <w:b/>
                <w:i/>
              </w:rPr>
              <w:t>tā kā</w:t>
            </w:r>
            <w:r>
              <w:t xml:space="preserve"> ticami ziņojumi ir atklājuši Maskavā bāzēta dezinformācijas tīkla Pravda darbības, kas ir apzināti </w:t>
            </w:r>
            <w:r>
              <w:rPr>
                <w:b/>
                <w:i/>
              </w:rPr>
              <w:t>orientējies uz</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r>
              <w:rPr>
                <w:b/>
                <w:i/>
              </w:rPr>
              <w:t>, palielināt LLM apmācības pārredzamību, kā arī pastāvīgu un pienācīgu pētniecības finansējumu, lai atklātu MI virzītus dezinformācijas tīklus un citus draudus informācijas integritātei, piemēram, veidotu labāku izpratni par ieteikumu sistēmām un MI radītu kaitējumu tiešsaistē</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vērsies pret</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w:t>
            </w:r>
            <w:r>
              <w:rPr>
                <w:b/>
                <w:i/>
              </w:rPr>
              <w:t>šādu ar vēlēšanām saistītu dziļviltojumu gadījumi cita starpā ir novēroti Slovākijā un Ungārijā;</w:t>
            </w:r>
            <w:r>
              <w:t xml:space="preserve"> </w:t>
            </w:r>
            <w:r>
              <w:rPr>
                <w:b/>
                <w:i/>
              </w:rPr>
              <w:t>tā kā</w:t>
            </w:r>
            <w:r>
              <w:t xml:space="preserve"> ticami ziņojumi ir atklājuši Maskavā bāzēta dezinformācijas tīkla Pravda darbības, kas ir apzināti </w:t>
            </w:r>
            <w:r>
              <w:rPr>
                <w:b/>
                <w:i/>
              </w:rPr>
              <w:t>orientējies uz</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vērsies pret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w:t>
            </w:r>
            <w:r>
              <w:rPr>
                <w:b/>
                <w:i/>
              </w:rPr>
              <w:t>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tā kā mākslīgā intelekta izmantošana paver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vērsies pret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tā kā mākslīgā intelekta izmantošana </w:t>
            </w:r>
            <w:r>
              <w:rPr>
                <w:b/>
                <w:i/>
              </w:rPr>
              <w:t>paver</w:t>
            </w:r>
            <w:r>
              <w:t xml:space="preserve">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vērsies pret</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c>
          <w:tcPr>
            <w:tcW w:w="4876" w:type="dxa"/>
            <w:tcBorders>
              <w:top w:val="nil"/>
              <w:left w:val="nil"/>
              <w:bottom w:val="nil"/>
              <w:right w:val="nil"/>
            </w:tcBorders>
          </w:tcPr>
          <w:p>
            <w:pPr>
              <w:pStyle w:val="Normal6a"/>
            </w:pPr>
            <w:r>
              <w:t>L.</w:t>
            </w:r>
            <w:r>
              <w:tab/>
            </w:r>
            <w:r>
              <w:t xml:space="preserve">tā kā mākslīgā intelekta izmantošana </w:t>
            </w:r>
            <w:r>
              <w:rPr>
                <w:b/>
                <w:i/>
              </w:rPr>
              <w:t>var pavērt</w:t>
            </w:r>
            <w:r>
              <w:t xml:space="preserve"> jaunas iespējas vēlēšanu pārvaldības un uzraudzības stiprināšanai, piemēram, atklājot neparastu tiešsaistes darbību un koordinētu manipulatīvu rīcību; tā kā mākslīgā intelekta, tostarp ģeneratīvo modeļu un dziļviltojumu, izmantošana rada arī ievērojamas problēmas informācijas integritātei un vēlēšanu procesiem; tā kā ticami ziņojumi ir atklājuši Maskavā bāzēta dezinformācijas tīkla Pravda darbības, kas ir apzināti </w:t>
            </w:r>
            <w:r>
              <w:rPr>
                <w:b/>
                <w:i/>
              </w:rPr>
              <w:t>orientējies uz</w:t>
            </w:r>
            <w:r>
              <w:t xml:space="preserve"> lieliem valodu modeļiem (LLM) un iefiltrējies tajos ar prokremliskiem naratīviem, kuru mērķis ir atdarināt neitrālus un uz faktiem balstītus rezultātus; tā kā šāda taktika atspoguļo bīstamu FIMI evolūciju, jo tā izmanto mākslīgā intelekta sistēmu necaurredzamību un mērogojamību, lai nemanāmi izplatītu nepatiesus vai maldinošus ģeopolitiskus vēstījumus, izmantojot autoritatīvu valodu; tā kā šāda veida algoritmiskā manipulācija apdraud sabiedrības uzticēšanos mākslīgā intelekta tehnoloģijām, kropļo demokrātisko diskursu un saasina dezinformācijas riskus visā ES un pasaulē; tā kā tas izceļ vajadzību stiprināt mākslīgā intelekta lietotprasmi izglītībā, darbā un sabiedrībā kopumā;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saskaņā ar “Europinion” ziņojumu</w:t>
            </w:r>
            <w:r>
              <w:rPr>
                <w:b/>
                <w:i/>
                <w:vertAlign w:val="superscript"/>
              </w:rPr>
              <w:t>51b</w:t>
            </w:r>
            <w:r>
              <w:t xml:space="preserve"> </w:t>
            </w:r>
            <w:r>
              <w:rPr>
                <w:b/>
                <w:i/>
              </w:rPr>
              <w:t>16–24 gadus veci cilvēki tiešsaistē pavada vidēji 7 stundas, no kurām 2–3 stundas — sociālajos medijos;</w:t>
            </w:r>
            <w:r>
              <w:t xml:space="preserve"> </w:t>
            </w:r>
            <w:r>
              <w:rPr>
                <w:b/>
                <w:i/>
              </w:rPr>
              <w:t>tā kā ziņojumā ir uzsvērts, ka 59 % cilvēku vecumā no 15 līdz 24 gadiem sociālos medijus izmanto kā galveno ziņu avotu;</w:t>
            </w:r>
            <w:r>
              <w:t xml:space="preserve"> </w:t>
            </w:r>
            <w:r>
              <w:rPr>
                <w:b/>
                <w:i/>
              </w:rPr>
              <w:t>tā kā sociālo mediju platformas, kuras visvairāk izmanto jaunieši, piemēram, TikTok, tiek uzskatītas par mazāk uzticamām;</w:t>
            </w:r>
            <w:r>
              <w:t xml:space="preserve"> </w:t>
            </w:r>
            <w:r>
              <w:rPr>
                <w:b/>
                <w:i/>
              </w:rPr>
              <w:t>tā kā viņu ziņu patēriņu raksturo sadrumstalotība, pasīvs un nejaušs patēriņš un vairāk izklaidējošas ziņas, nevis aktīvs politiskais saturs;</w:t>
            </w:r>
            <w:r>
              <w:t xml:space="preserve"> </w:t>
            </w:r>
            <w:r>
              <w:rPr>
                <w:b/>
                <w:i/>
              </w:rPr>
              <w:t>tā kā tas nozīmē, ka medijpratības apmācībai ir jāpielāgojas jauniešu patēriņa ieradumiem;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51b</w:t>
            </w:r>
            <w:r>
              <w:t xml:space="preserve"> </w:t>
            </w:r>
            <w:r>
              <w:rPr>
                <w:b/>
                <w:i/>
              </w:rPr>
              <w:t>Europinion LTD, “Navigating the information disorder:</w:t>
            </w:r>
            <w:r>
              <w:t xml:space="preserve"> </w:t>
            </w:r>
            <w:r>
              <w:rPr>
                <w:b/>
                <w:i/>
              </w:rPr>
              <w:t>European Youth in the age of digital disinformation” (Informācijas haosa apstākļi. Eiropas jaunatne digitālās dezinformācijas laikmetā), 2025. gada aprīlis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tiešsaistes platformu uzņēmējdarbības modeļa pamatā ir augsts iesaistes līmenis, kurā prioritāte tiek piešķirta sensacionālai, polarizējošai vai maldinošai informācijai;</w:t>
            </w:r>
            <w:r>
              <w:t xml:space="preserve"> </w:t>
            </w:r>
            <w:r>
              <w:rPr>
                <w:b/>
                <w:i/>
              </w:rPr>
              <w:t>tā kā tiešsaistes platformu algoritmiskā nepārredzamība joprojām ir problēma;</w:t>
            </w:r>
            <w:r>
              <w:t xml:space="preserve"> </w:t>
            </w:r>
            <w:r>
              <w:rPr>
                <w:b/>
                <w:i/>
              </w:rPr>
              <w:t>tā kā ar Digitālo pakalpojumu aktu ir ieviesti būtiski jauni noteikumi, lai palielinātu algoritmisko pārredzamību un pārskatatbildību;</w:t>
            </w:r>
            <w:r>
              <w:t xml:space="preserve"> </w:t>
            </w:r>
            <w:r>
              <w:rPr>
                <w:b/>
                <w:i/>
              </w:rPr>
              <w:t>tā kā lietotāji tagad var izvēlēties nepersonalizētu datu plūsmu, samazinot paļaušanos uz nepārredzamu algoritmisko virzīšanu;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Komisija ir apņēmusies ierosināt Digitālā taisnīguma aktu, kurš vērstos pret neētiskiem paņēmieniem un komercpraksi, kas saistīta ar maldinošām saskarnēm, sociālo mediju ietekmētāju tirgvedību, atkarību izraisošu digitālo produktu un pakalpojumu dizainu, kā arī profilēšanu tiešsaistē, jo īpaši gadījumos, kad patērētāju neaizsargātība tiek izmantota komerciālos nolūkos, attiecībā uz visiem patērētājiem;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transnacionālas represijas mūsu dalībvalstīs kļūst par aizvien lielāku ārvalstu iejaukšanās veidu, kas grauj demokrātiju, Eiropas suverenitāti un drošību un pašos pamatos pārkāpj to personu cilvēktiesības, pret kurām vērstas transnacionālas represijas, kā arī viņu drošību un aizsardzību pret represijām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tiešsaistes platformas kā daļu no sava uzņēmējdarbības modeļa sistemātiski izmanto algoritmiskās sistēmas, kuru pamatā ir izstrādes metodes, kas par prioritāti izvirza emocionālu vai ekstrēmu saturu, un kuras var izmantot arī, lai iejauktos vēlēšanās un manipulētu ar demokrātiskajiem procesiem;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tā kā plaša digitālā pratība un medijpratība apvienojumā ar sistemātisku kritiskās domāšanas veicināšanu visās vecuma grupās ir viens no efektīvākajiem aizsardzības pasākumiem pret ārvalstu īstenotu informācijas manipulāciju un mākslīgā intelekta ļaunprātīgu izmantošanu;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Lb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tā kā mākslīgā intelekta pakalpojumi ir būtisks inovācijas, konkurētspējas un sabiedrības progresa virzītājspēks, kas piedāvā vēl nepieredzētas iespējas paplašināt piekļuvi zināšanām, uzlabot produktivitāti un stimulēt jaunu digitālo pakalpojumu un nozaru attīstību;</w:t>
            </w:r>
            <w:r>
              <w:t xml:space="preserve"> </w:t>
            </w:r>
            <w:r>
              <w:rPr>
                <w:b/>
                <w:i/>
              </w:rPr>
              <w:t>tomēr uzsver, ka šādu sistēmu pieaugošā spēja radīt, apkopot un izplatīt ziņu saturam līdzīgu saturu bez skaidras redakcionālās pārskatatbildības prasa arī adaptīvus tirgus apstākļus un uz nākotni vērstas regulatīvās pieejas;</w:t>
            </w:r>
            <w:r>
              <w:t xml:space="preserve"> </w:t>
            </w:r>
            <w:r>
              <w:rPr>
                <w:b/>
                <w:i/>
              </w:rPr>
              <w:t>uzsver, ka inovācija pati par sevi ir jāuzskata par reaģēšanas centrālo daļu, jo īpaši investējot Eiropas pētniecībā, uzticamās MI ekosistēmās un tehnoloģiskajā suverenitātē;</w:t>
            </w:r>
            <w:r>
              <w:t xml:space="preserve"> </w:t>
            </w:r>
            <w:r>
              <w:rPr>
                <w:b/>
                <w:i/>
              </w:rPr>
              <w:t>uzsver, ka atbildīgas inovācijas un vienlīdzīgu konkurences apstākļu veicināšana starp MI balstītiem pakalpojumiem un redakcionālo mediju dalībniekiem ir būtiska, lai saglabātu sabiedrības uzticēšanos, aizsargātu piekļuvi uzticamai informācijai un nodrošinātu, ka tehnoloģiskais progress stiprina, nevis apdraud demokrātisko informācijas vidi;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tā kā tiešsaistes ietekmētājiem var būt svarīga loma sabiedrības digitālās noturības stiprināšanā, veicinot izpratni par medijpratību, demokrātiskām procedūrām vai piedaloties veselīgās politiskās debatēs;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w:t>
            </w:r>
            <w:r>
              <w:rPr>
                <w:b/>
                <w:i/>
              </w:rPr>
              <w:t>ietekmētājiem var būt svarīga loma sabiedrības digitālās noturības stiprināšanā, veicinot izpratni par</w:t>
            </w:r>
            <w:r>
              <w:t xml:space="preserve"> medijpratību, </w:t>
            </w:r>
            <w:r>
              <w:rPr>
                <w:b/>
                <w:i/>
              </w:rPr>
              <w:t>demokrātiskām procedūrām vai piedaloties veselīgās politiskās debatēs</w:t>
            </w:r>
            <w:r>
              <w:t>;</w:t>
            </w:r>
          </w:p>
        </w:tc>
        <w:tc>
          <w:tcPr>
            <w:tcW w:w="4876" w:type="dxa"/>
            <w:tcBorders>
              <w:top w:val="nil"/>
              <w:left w:val="nil"/>
              <w:bottom w:val="nil"/>
              <w:right w:val="nil"/>
            </w:tcBorders>
          </w:tcPr>
          <w:p>
            <w:pPr>
              <w:pStyle w:val="Normal6a"/>
            </w:pPr>
            <w:r>
              <w:t>M.</w:t>
            </w:r>
            <w:r>
              <w:tab/>
            </w:r>
            <w:r>
              <w:rPr>
                <w:b/>
                <w:i/>
              </w:rPr>
              <w:t>tā kā arvien lielāka iedzīvotāju daļa, jo īpaši nepilngadīgie, lielā mērā paļaujas uz sociālajiem tīkliem un video un satura koplietošanas pakalpojumiem kā vārtejām uz ziņām un aktuālo informāciju;</w:t>
            </w:r>
            <w:r>
              <w:t xml:space="preserve"> </w:t>
            </w:r>
            <w:r>
              <w:rPr>
                <w:b/>
                <w:i/>
              </w:rPr>
              <w:t>tā kā dominējošie šādu pakalpojumu ekonomiskie un iesaistes virzītie modeļi var stimulēt maldinošu, sensacionālu vai polarizējošu materiālu lielāku pamanāmību;</w:t>
            </w:r>
            <w:r>
              <w:t xml:space="preserve"> </w:t>
            </w:r>
            <w:r>
              <w:rPr>
                <w:b/>
                <w:i/>
              </w:rPr>
              <w:t>tā kā daudzi lietotāji pastāvīgi saskaras ar grūtībām reālistiski atšķirt pārbaudītu informāciju no nepatiesa vai manipulēta satura šajās vidēs;</w:t>
            </w:r>
            <w:r>
              <w:t xml:space="preserve"> tā kā tiešsaistes </w:t>
            </w:r>
            <w:r>
              <w:rPr>
                <w:b/>
                <w:i/>
              </w:rPr>
              <w:t>personības un ietekmētāji ir ieguvuši būtisku spēju veidot sabiedrisko domu un informācijas plūsmas, ne vienmēr ievērojot pārskatatbildības standartus, kas ir salīdzināmi ar tiem, kurus piemēro regulētiem mediju dalībniekiem;</w:t>
            </w:r>
            <w:r>
              <w:t xml:space="preserve"> </w:t>
            </w:r>
            <w:r>
              <w:rPr>
                <w:b/>
                <w:i/>
              </w:rPr>
              <w:t>tā kā regulatīvās pieejas attiecībā uz tiešsaistes ietekmētāju statusu, pārredzamības pienākumiem un redakcionālo atbildību visā Savienībā joprojām ir atšķirīgas;</w:t>
            </w:r>
            <w:r>
              <w:t xml:space="preserve"> </w:t>
            </w:r>
            <w:r>
              <w:rPr>
                <w:b/>
                <w:i/>
              </w:rPr>
              <w:t>tā kā ietekmētāji, ņemot vērā viņu plašo mērķauditoriju un tās uzticēšanos, ir arī būtisks mūsdienu informācijas ekosistēmas faktors un tie būtu jāmudina uzņemties lielāku atbildību un iesaistīties sabiedriskas nozīmes iniciatīvās, kuru mērķis ir uzlabot</w:t>
            </w:r>
            <w:r>
              <w:t xml:space="preserve"> medijpratību, </w:t>
            </w:r>
            <w:r>
              <w:rPr>
                <w:b/>
                <w:i/>
              </w:rPr>
              <w:t>demokrātisko izpratni un publisko debašu integritāti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ietekmētājiem var būt svarīga loma sabiedrības digitālās noturības stiprināšanā, </w:t>
            </w:r>
            <w:r>
              <w:rPr>
                <w:b/>
                <w:i/>
              </w:rPr>
              <w:t>veicinot</w:t>
            </w:r>
            <w:r>
              <w:t xml:space="preserve"> izpratni par medijpratību, demokrātiskām procedūrām </w:t>
            </w:r>
            <w:r>
              <w:rPr>
                <w:b/>
                <w:i/>
              </w:rPr>
              <w:t>vai piedaloties veselīgās politiskās debatēs</w:t>
            </w:r>
            <w:r>
              <w:t>;</w:t>
            </w:r>
          </w:p>
        </w:tc>
        <w:tc>
          <w:tcPr>
            <w:tcW w:w="4876" w:type="dxa"/>
            <w:tcBorders>
              <w:top w:val="nil"/>
              <w:left w:val="nil"/>
              <w:bottom w:val="nil"/>
              <w:right w:val="nil"/>
            </w:tcBorders>
          </w:tcPr>
          <w:p>
            <w:pPr>
              <w:pStyle w:val="Normal6a"/>
            </w:pPr>
            <w:r>
              <w:t>M.</w:t>
            </w:r>
            <w:r>
              <w:tab/>
            </w:r>
            <w:r>
              <w:rPr>
                <w:b/>
                <w:i/>
              </w:rPr>
              <w:t>tā kā tiešsaistes ietekmētājiem var būt svarīga loma mūsu sabiedrību digitālās noturības stiprināšanā, kad viņi pievēršas tādiem jautājumiem kā politiskās partijas, to pārstāvji un kandidāti, tostarp vēlēšanu programmas;</w:t>
            </w:r>
            <w:r>
              <w:t xml:space="preserve"> </w:t>
            </w:r>
            <w:r>
              <w:rPr>
                <w:b/>
                <w:i/>
              </w:rPr>
              <w:t>tā kā tādēļ ir nepieciešams, lai, risinot šādus jautājumus, viņu saturs palīdzētu palielināt informētību par medijpratību un demokrātiskām procedūrām vai veicinātu veselīgas politiskās debates;</w:t>
            </w:r>
            <w:r>
              <w:t xml:space="preserve"> tā kā tiešsaistes ietekmētājiem var būt svarīga loma sabiedrības digitālās noturības stiprināšanā, </w:t>
            </w:r>
            <w:r>
              <w:rPr>
                <w:b/>
                <w:i/>
              </w:rPr>
              <w:t>taču viņi aizvien vairāk ietekmē politiskos viedokļus, komentējot politiskās partijas, to pārstāvjus un kandidātus, tostarp vēlēšanu programmas;</w:t>
            </w:r>
            <w:r>
              <w:t xml:space="preserve"> </w:t>
            </w:r>
            <w:r>
              <w:rPr>
                <w:b/>
                <w:i/>
              </w:rPr>
              <w:t>tā kā, ņemot vērā viņu plašo mērķauditoriju un ietekmi, ir svarīgi, lai šāds saturs neapdraudētu demokrātiskās procedūras, bet gan veicinātu</w:t>
            </w:r>
            <w:r>
              <w:t xml:space="preserve"> izpratni par medijpratību, demokrātiskām procedūrām </w:t>
            </w:r>
            <w:r>
              <w:rPr>
                <w:b/>
                <w:i/>
              </w:rPr>
              <w:t>un veselīgām politiskām debatēm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w:t>
            </w:r>
            <w:r>
              <w:rPr>
                <w:b/>
                <w:i/>
              </w:rPr>
              <w:t>ietekmētājiem var būt svarīga loma sabiedrības digitālās noturības stiprināšanā, veicinot izpratni par medijpratību, demokrātiskām procedūrām vai piedaloties veselīgās politiskās debatēs</w:t>
            </w:r>
            <w:r>
              <w:t>;</w:t>
            </w:r>
          </w:p>
        </w:tc>
        <w:tc>
          <w:tcPr>
            <w:tcW w:w="4876" w:type="dxa"/>
            <w:tcBorders>
              <w:top w:val="nil"/>
              <w:left w:val="nil"/>
              <w:bottom w:val="nil"/>
              <w:right w:val="nil"/>
            </w:tcBorders>
          </w:tcPr>
          <w:p>
            <w:pPr>
              <w:pStyle w:val="Normal6a"/>
            </w:pPr>
            <w:r>
              <w:t>M.</w:t>
            </w:r>
            <w:r>
              <w:tab/>
            </w:r>
            <w:r>
              <w:t xml:space="preserve">tā kā </w:t>
            </w:r>
            <w:r>
              <w:rPr>
                <w:b/>
                <w:i/>
              </w:rPr>
              <w:t>iedzīvotāji, jo īpaši nepilngadīgie, masveidā lieto sociālos medijus, satura koplietošanas platformas un</w:t>
            </w:r>
            <w:r>
              <w:t xml:space="preserve"> tiešsaistes </w:t>
            </w:r>
            <w:r>
              <w:rPr>
                <w:b/>
                <w:i/>
              </w:rPr>
              <w:t>agregatorus, tostarp ziņu patēriņa nolūkā;</w:t>
            </w:r>
            <w:r>
              <w:t xml:space="preserve"> </w:t>
            </w:r>
            <w:r>
              <w:rPr>
                <w:b/>
                <w:i/>
              </w:rPr>
              <w:t>tā kā šādu platformu uzņēmējdarbības modeļa rezultātā ļoti bieži tiek dota priekšroka polarizējošam saturam;</w:t>
            </w:r>
            <w:r>
              <w:t xml:space="preserve"> </w:t>
            </w:r>
            <w:r>
              <w:rPr>
                <w:b/>
                <w:i/>
              </w:rPr>
              <w:t>tā kā daudziem šo platformu lietotājiem ir grūti nošķirt patiesu un nepatiesu informāciju;</w:t>
            </w:r>
            <w:r>
              <w:t xml:space="preserve"> </w:t>
            </w:r>
            <w:r>
              <w:rPr>
                <w:b/>
                <w:i/>
              </w:rPr>
              <w:t>tā kā personas un ietekmētāji, kas darbojas šajās tiešsaistes platformās, ir ieguvuši ievērojamu ietekmi publiskā diskursa veidošanā, ne vienmēr ievērojot tādus pašus standartus kā citi regulētie dalībnieki</w:t>
            </w:r>
            <w:r>
              <w:t xml:space="preserve">; </w:t>
            </w:r>
            <w:r>
              <w:rPr>
                <w:b/>
                <w:i/>
              </w:rPr>
              <w:t>tā kā ES pastāv sadrumstalotība attiecībā uz noteikumiem, kas attiecas uz tiešsaistes ietekmētāju darbību un viņu redakcionālo atbildību;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ietekmētājiem var būt svarīga loma sabiedrības digitālās noturības stiprināšanā, </w:t>
            </w:r>
            <w:r>
              <w:rPr>
                <w:b/>
                <w:i/>
              </w:rPr>
              <w:t>veicinot</w:t>
            </w:r>
            <w:r>
              <w:t xml:space="preserve"> izpratni par medijpratību, demokrātiskām procedūrām vai </w:t>
            </w:r>
            <w:r>
              <w:rPr>
                <w:b/>
                <w:i/>
              </w:rPr>
              <w:t>piedaloties</w:t>
            </w:r>
            <w:r>
              <w:t xml:space="preserve"> veselīgās politiskās debatēs;</w:t>
            </w:r>
          </w:p>
        </w:tc>
        <w:tc>
          <w:tcPr>
            <w:tcW w:w="4876" w:type="dxa"/>
            <w:tcBorders>
              <w:top w:val="nil"/>
              <w:left w:val="nil"/>
              <w:bottom w:val="nil"/>
              <w:right w:val="nil"/>
            </w:tcBorders>
          </w:tcPr>
          <w:p>
            <w:pPr>
              <w:pStyle w:val="Normal6a"/>
            </w:pPr>
            <w:r>
              <w:t>M.</w:t>
            </w:r>
            <w:r>
              <w:tab/>
            </w:r>
            <w:r>
              <w:t xml:space="preserve">tā kā tiešsaistes ietekmētājiem var būt svarīga loma sabiedrības digitālās noturības stiprināšanā, </w:t>
            </w:r>
            <w:r>
              <w:rPr>
                <w:b/>
                <w:i/>
              </w:rPr>
              <w:t>jo īpaši attiecībā uz jauniešiem un tiem, kas vēlēšanās piedalās pirmo reizi, jo šie ietekmētāji var veicināt</w:t>
            </w:r>
            <w:r>
              <w:t xml:space="preserve"> izpratni par medijpratību, demokrātiskām procedūrām vai </w:t>
            </w:r>
            <w:r>
              <w:rPr>
                <w:b/>
                <w:i/>
              </w:rPr>
              <w:t>dalību</w:t>
            </w:r>
            <w:r>
              <w:t xml:space="preserve"> veselīgās politiskās debatēs; </w:t>
            </w:r>
            <w:r>
              <w:rPr>
                <w:b/>
                <w:i/>
              </w:rPr>
              <w:t>tomēr pieaugošā paļaušanās uz apmaksātu sadarbību un sponsorētu saturu rada neaizsargātību, tāpēc šādai sadarbībai vajadzētu būt pārredzamai un tā būtu jāpublisko, jo šādas vienošanās var izmantot, lai izplatītu kaitīgus, maldinošus vai politiski manipulatīvus vēstījumus;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w:t>
            </w:r>
            <w:r>
              <w:rPr>
                <w:b/>
                <w:i/>
              </w:rPr>
              <w:t>ietekmētājiem</w:t>
            </w:r>
            <w:r>
              <w:t xml:space="preserve"> var būt svarīga loma sabiedrības digitālās noturības stiprināšanā, veicinot izpratni par medijpratību, demokrātiskām procedūrām vai piedaloties veselīgās politiskās debatēs;</w:t>
            </w:r>
          </w:p>
        </w:tc>
        <w:tc>
          <w:tcPr>
            <w:tcW w:w="4876" w:type="dxa"/>
            <w:tcBorders>
              <w:top w:val="nil"/>
              <w:left w:val="nil"/>
              <w:bottom w:val="nil"/>
              <w:right w:val="nil"/>
            </w:tcBorders>
          </w:tcPr>
          <w:p>
            <w:pPr>
              <w:pStyle w:val="Normal6a"/>
            </w:pPr>
            <w:r>
              <w:t>M.</w:t>
            </w:r>
            <w:r>
              <w:tab/>
            </w:r>
            <w:r>
              <w:t xml:space="preserve">tā kā tiešsaistes </w:t>
            </w:r>
            <w:r>
              <w:rPr>
                <w:b/>
                <w:i/>
              </w:rPr>
              <w:t>ietekmētājus var izmantot kā ārvalstu iejaukšanās instrumentu, kā tas bija Rumānijas prezidenta vēlēšanu laikā;</w:t>
            </w:r>
            <w:r>
              <w:t xml:space="preserve"> </w:t>
            </w:r>
            <w:r>
              <w:rPr>
                <w:b/>
                <w:i/>
              </w:rPr>
              <w:t>tā kā viņiem</w:t>
            </w:r>
            <w:r>
              <w:t xml:space="preserve"> var būt svarīga loma sabiedrības digitālās noturības stiprināšanā, veicinot izpratni par medijpratību, demokrātiskām procedūrām vai piedaloties veselīgās politiskās debatēs; </w:t>
            </w:r>
            <w:r>
              <w:rPr>
                <w:b/>
                <w:i/>
              </w:rPr>
              <w:t>tā kā ir centieni noteikt standartus atbildīgiem tiešsaistes ietekmētājiem, piemēram, Francijā reklāmas jomas regulatīvā iestāde izsniedz "Certificat de l’influence responsable" (sertifikāts par atbildīgu ietekmētāja darbību);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tā kā tiešsaistes ietekmētājiem var būt svarīga loma sabiedrības digitālās noturības stiprināšanā, veicinot izpratni par medijpratību, demokrātiskām procedūrām vai piedaloties veselīgās politiskās debatēs;</w:t>
            </w:r>
          </w:p>
        </w:tc>
        <w:tc>
          <w:tcPr>
            <w:tcW w:w="4876" w:type="dxa"/>
            <w:tcBorders>
              <w:top w:val="nil"/>
              <w:left w:val="nil"/>
              <w:bottom w:val="nil"/>
              <w:right w:val="nil"/>
            </w:tcBorders>
          </w:tcPr>
          <w:p>
            <w:pPr>
              <w:pStyle w:val="Normal6a"/>
            </w:pPr>
            <w:r>
              <w:t>M.</w:t>
            </w:r>
            <w:r>
              <w:tab/>
            </w:r>
            <w:r>
              <w:t xml:space="preserve">tā kā tiešsaistes ietekmētājiem var būt svarīga loma sabiedrības digitālās noturības stiprināšanā, veicinot izpratni par medijpratību, demokrātiskām procedūrām vai piedaloties veselīgās politiskās debatēs; </w:t>
            </w:r>
            <w:r>
              <w:rPr>
                <w:b/>
                <w:i/>
              </w:rPr>
              <w:t>tā kā šo ietekmētāju darbība būtu rūpīgi jāpārbauda arī tad, kad viņi izmanto savu digitālo ietekmi, lai izplatītu dezinformāciju, vai kad valstu valdības viņus nolīgst, lai popularizētu konkrētu partiju vēstījumus;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tā kā tiešsaistes ietekmētājiem var būt svarīga loma sabiedrības digitālās noturības stiprināšanā, veicinot izpratni par medijpratību, demokrātiskām procedūrām vai piedaloties veselīgās politiskās debatēs;</w:t>
            </w:r>
          </w:p>
        </w:tc>
        <w:tc>
          <w:tcPr>
            <w:tcW w:w="4876" w:type="dxa"/>
            <w:tcBorders>
              <w:top w:val="nil"/>
              <w:left w:val="nil"/>
              <w:bottom w:val="nil"/>
              <w:right w:val="nil"/>
            </w:tcBorders>
          </w:tcPr>
          <w:p>
            <w:pPr>
              <w:pStyle w:val="Normal6a"/>
            </w:pPr>
            <w:r>
              <w:t>M.</w:t>
            </w:r>
            <w:r>
              <w:tab/>
            </w:r>
            <w:r>
              <w:t xml:space="preserve">tā kā tiešsaistes ietekmētājiem var būt svarīga loma sabiedrības digitālās noturības stiprināšanā, veicinot izpratni par medijpratību, demokrātiskām procedūrām vai piedaloties veselīgās politiskās debatēs; </w:t>
            </w:r>
            <w:r>
              <w:rPr>
                <w:b/>
                <w:i/>
              </w:rPr>
              <w:t>tā kā, lai stimulētu tiešsaistes ietekmētājus veicināt uz faktiem balstītu, demokrātiju atbalstošu saturu, tiešsaistes platformām ir jāīsteno pārredzamas un konsekventas monetizācijas stratēģijas;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tā kā tiešsaistes ietekmētājiem var būt svarīga loma </w:t>
            </w:r>
            <w:r>
              <w:rPr>
                <w:b/>
                <w:i/>
              </w:rPr>
              <w:t>sabiedrības digitālās noturības stiprināšanā, veicinot izpratni par medijpratību, demokrātiskām procedūrām vai piedaloties veselīgās politiskās</w:t>
            </w:r>
            <w:r>
              <w:t xml:space="preserve"> debatēs;</w:t>
            </w:r>
          </w:p>
        </w:tc>
        <w:tc>
          <w:tcPr>
            <w:tcW w:w="4876" w:type="dxa"/>
            <w:tcBorders>
              <w:top w:val="nil"/>
              <w:left w:val="nil"/>
              <w:bottom w:val="nil"/>
              <w:right w:val="nil"/>
            </w:tcBorders>
          </w:tcPr>
          <w:p>
            <w:pPr>
              <w:pStyle w:val="Normal6a"/>
            </w:pPr>
            <w:r>
              <w:t>M.</w:t>
            </w:r>
            <w:r>
              <w:tab/>
            </w:r>
            <w:r>
              <w:t xml:space="preserve">tā kā tiešsaistes ietekmētājiem var būt svarīga loma </w:t>
            </w:r>
            <w:r>
              <w:rPr>
                <w:b/>
                <w:i/>
              </w:rPr>
              <w:t>demokrātiskajos procesos un politiskajās</w:t>
            </w:r>
            <w:r>
              <w:t xml:space="preserve"> debatēs</w:t>
            </w:r>
            <w:r>
              <w:rPr>
                <w:b/>
                <w:i/>
              </w:rPr>
              <w:t>, palielinot informētību vai popularizējot politisko saturu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tā kā politiskās elites iecelšana amatos un korumpēšana ir efektīva taktika, ko izmanto ļaunprātīgi spēki;</w:t>
            </w:r>
            <w:r>
              <w:t xml:space="preserve"> </w:t>
            </w:r>
            <w:r>
              <w:rPr>
                <w:b/>
                <w:i/>
              </w:rPr>
              <w:t>tā kā dokumentos, kas tika publicēti saistībā ar notiesāto pedofilu Džefriju Epstīnu, atklājās nepilnīgs saraksts ar augsta ranga Eiropas politiķiem, kas bija saistīti ar viņu;</w:t>
            </w:r>
            <w:r>
              <w:t xml:space="preserve"> </w:t>
            </w:r>
            <w:r>
              <w:rPr>
                <w:b/>
                <w:i/>
              </w:rPr>
              <w:t>tā kā tiek apgalvots, ka Džefrijs Epstīns sadarbojās ar ārvalstu slepenajiem dienestiem, tostarp Krievijas slepeno dienestu;</w:t>
            </w:r>
            <w:r>
              <w:t xml:space="preserve"> </w:t>
            </w:r>
            <w:r>
              <w:rPr>
                <w:b/>
                <w:i/>
              </w:rPr>
              <w:t>tā kā ievērojama daļa Eiropas politiskās elites varētu tikt kompromitēta un tādējādi ir pakļauta Krievijas un citu ārvalstu dienestu šantāžai;</w:t>
            </w:r>
            <w:r>
              <w:t xml:space="preserve"> </w:t>
            </w:r>
            <w:r>
              <w:rPr>
                <w:b/>
                <w:i/>
              </w:rPr>
              <w:t>tā kā Turbjēns Jaglands, būdams Eiropas Padomes ģenerālsekretārs, apsolīja veicināt Džefrija Epstīna tikšanos ar Krievijas ārlietu ministru Sergeju Lavrovu;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tā kā vairāki neatkarīgi pētījumi parādīja, ka algoritmiskās ieteikumu sistēmas lielākajās tiešsaistes platformās, tostarp X, TikTok un Instagram, sistemātiski pavairoja galēji labēju, polarizējošu vai ekstrēmistisku politisko saturu, gatavojoties valsts mēroga vēlēšanām vairākās dalībvalstīs, tostarp Vācijā, Polijā un Rumānijā, un tādējādi negatīvi ietekmēja demokrātisko politisko dalībnieku pamanāmību;</w:t>
            </w:r>
            <w:r>
              <w:t xml:space="preserve"> </w:t>
            </w:r>
            <w:r>
              <w:rPr>
                <w:b/>
                <w:i/>
              </w:rPr>
              <w:t>tā kā šāda prakse tieši vai netieši ietekmē vēlēšanu procesus un demokrātisko līdzdalību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tā kā sadarbības satvari, piemēram, brīvprātīgi kodeksi, ātrās reaģēšanas mehānismi un neformāla koordinācija ar platformām, var radīt de facto izpildes ietekmi dalībvalstīs pat bez īstenošanas valsts līmenī vai izpildāmām valsts pilnvarām;</w:t>
            </w:r>
            <w:r>
              <w:t xml:space="preserve"> </w:t>
            </w:r>
            <w:r>
              <w:rPr>
                <w:b/>
                <w:i/>
              </w:rPr>
              <w:t>tā kā šādai ietekmei ir nepieciešama pārredzamība, noteikti ierobežojumi un efektīvi tiesiskās aizsardzības līdzekļi;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tā kā, īstenojot spēcīgu politisko sāncensību kopā ar tā dēvēto digitālo vardarbību, var tikt ierobežota valsts amatpersonu un politisko dalībnieku likumīga demokrātiskā kontrole;</w:t>
            </w:r>
            <w:r>
              <w:t xml:space="preserve"> </w:t>
            </w:r>
            <w:r>
              <w:rPr>
                <w:b/>
                <w:i/>
              </w:rPr>
              <w:t>tā kā iejaukšanās apkarošanai paredzētiem rīkiem arī turpmāk jābūt vērstiem uz nelikumīgu saturu un piespiedu rīcību, nevis likumīgu kritiku vai opozīciju;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tā kā Francijas iestādes atklāja koordinētu kampaņu, kas saistīta ar Krievijas dezinformācijas tīklu, kurš nepatiesi saistīja prezidentu Emanuelu Makronu ar Epstīna skandālu;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Mc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tā kā daži projekti un instrumenti, kas raksturoti kā dezinformācijas apkarošanas pasākumi, ir vērsti uz preventīvu uzraudzību un prognozējošu iejaukšanos, tostarp ar mērķi neitralizēt vēstījumus, pirms tie nonāk vērā ņemamā apritē;</w:t>
            </w:r>
            <w:r>
              <w:t xml:space="preserve"> </w:t>
            </w:r>
            <w:r>
              <w:rPr>
                <w:b/>
                <w:i/>
              </w:rPr>
              <w:t>tā kā šādas pieejas var pārvirzīties no manipulācijas apkarošanas uz likumīga demokrātiska diskursa pārvaldību;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botus</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ārvalstu </w:t>
            </w:r>
            <w:r>
              <w:rPr>
                <w:b/>
                <w:i/>
              </w:rPr>
              <w:t>dalībnieku ietekmētāju</w:t>
            </w:r>
            <w:r>
              <w:t xml:space="preserve">, tostarp </w:t>
            </w:r>
            <w:r>
              <w:rPr>
                <w:b/>
                <w:i/>
              </w:rPr>
              <w:t>nanoietekmētāju un mikroietekmētāju</w:t>
            </w:r>
            <w:r>
              <w:t xml:space="preserve">, </w:t>
            </w:r>
            <w:r>
              <w:rPr>
                <w:b/>
                <w:i/>
              </w:rPr>
              <w:t>izmantošana</w:t>
            </w:r>
            <w:r>
              <w:t xml:space="preserve"> vēl vairāk izceļ </w:t>
            </w:r>
            <w:r>
              <w:rPr>
                <w:b/>
                <w:i/>
              </w:rPr>
              <w:t>to</w:t>
            </w:r>
            <w:r>
              <w:t>, ka mazpazīstami dalībnieki, kuri nerada lielas izmaksas, var tikt izmantoti kā ierocis, lai izvairītos no atklāšanas un ietekmētu sabiedrisko domu, pārkāpjot demokrātijas normas;</w:t>
            </w:r>
          </w:p>
        </w:tc>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w:t>
            </w:r>
            <w:r>
              <w:rPr>
                <w:b/>
                <w:i/>
              </w:rPr>
              <w:t>tas, ka</w:t>
            </w:r>
            <w:r>
              <w:t xml:space="preserve"> ārvalstu </w:t>
            </w:r>
            <w:r>
              <w:rPr>
                <w:b/>
                <w:i/>
              </w:rPr>
              <w:t>dalībnieki izmanto ietekmētājus</w:t>
            </w:r>
            <w:r>
              <w:t xml:space="preserve">, tostarp </w:t>
            </w:r>
            <w:r>
              <w:rPr>
                <w:b/>
                <w:i/>
              </w:rPr>
              <w:t>nanoietekmētājus un mikroietekmētājus</w:t>
            </w:r>
            <w:r>
              <w:t xml:space="preserve">, vēl vairāk izceļ </w:t>
            </w:r>
            <w:r>
              <w:rPr>
                <w:b/>
                <w:i/>
              </w:rPr>
              <w:t>faktu</w:t>
            </w:r>
            <w:r>
              <w:t xml:space="preserve">, ka mazpazīstami dalībnieki, kuri nerada lielas izmaksas, var tikt izmantoti kā ierocis, lai izvairītos no atklāšanas un ietekmētu sabiedrisko domu, pārkāpjot demokrātijas normas; </w:t>
            </w:r>
            <w:r>
              <w:rPr>
                <w:b/>
                <w:i/>
              </w:rPr>
              <w:t>tā kā pierādījumi liecina par diviem galvenajiem darbības modeļiem, proti, koordinētām manipulācijām ar ieteikumu algoritmiem, izmantojot sinhronizētu kontu tīklus, kas rada mākslīgu datplūsmu un tendenču pastiprināšanu, un satura radītāju, jo īpaši nanoietekmētāju un mikroietekmētāju, slēptu instrumentalizāciju, izmantojot slēptu atlīdzību vai partnerības metodes, kas izstrādātas, lai izvairītos no pārredzamības un atklāšanas;</w:t>
            </w:r>
            <w:r>
              <w:t xml:space="preserve"> </w:t>
            </w:r>
            <w:r>
              <w:rPr>
                <w:b/>
                <w:i/>
              </w:rPr>
              <w:t>tā kā šāda prakse parāda, kā mazpazīstami dalībnieki, kuri nerada lielas izmaksas, un tehnisko platformu dinamika var tikt izmantoti kā ierocis, lai ietekmētu sabiedrisko domu un apietu demokrātiskos aizsardzības pasākumus;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botus</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ārvalstu </w:t>
            </w:r>
            <w:r>
              <w:rPr>
                <w:b/>
                <w:i/>
              </w:rPr>
              <w:t>dalībnieku ietekmētāju</w:t>
            </w:r>
            <w:r>
              <w:t xml:space="preserve">, tostarp </w:t>
            </w:r>
            <w:r>
              <w:rPr>
                <w:b/>
                <w:i/>
              </w:rPr>
              <w:t>nanoietekmētāju un mikroietekmētāju</w:t>
            </w:r>
            <w:r>
              <w:t xml:space="preserve">, </w:t>
            </w:r>
            <w:r>
              <w:rPr>
                <w:b/>
                <w:i/>
              </w:rPr>
              <w:t>izmantošana</w:t>
            </w:r>
            <w:r>
              <w:t xml:space="preserve"> vēl vairāk izceļ </w:t>
            </w:r>
            <w:r>
              <w:rPr>
                <w:b/>
                <w:i/>
              </w:rPr>
              <w:t>to</w:t>
            </w:r>
            <w:r>
              <w:t>, ka mazpazīstami dalībnieki, kuri nerada lielas izmaksas, var tikt izmantoti kā ierocis, lai izvairītos no atklāšanas un ietekmētu sabiedrisko domu, pārkāpjot demokrātijas normas;</w:t>
            </w:r>
          </w:p>
        </w:tc>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w:t>
            </w:r>
            <w:r>
              <w:rPr>
                <w:b/>
                <w:i/>
              </w:rPr>
              <w:t>tas, ka</w:t>
            </w:r>
            <w:r>
              <w:t xml:space="preserve"> ārvalstu </w:t>
            </w:r>
            <w:r>
              <w:rPr>
                <w:b/>
                <w:i/>
              </w:rPr>
              <w:t>dalībnieki izmanto ietekmētājus</w:t>
            </w:r>
            <w:r>
              <w:t xml:space="preserve">, tostarp </w:t>
            </w:r>
            <w:r>
              <w:rPr>
                <w:b/>
                <w:i/>
              </w:rPr>
              <w:t>nanoietekmētājus un mikroietekmētājus</w:t>
            </w:r>
            <w:r>
              <w:t xml:space="preserve">, vēl vairāk izceļ </w:t>
            </w:r>
            <w:r>
              <w:rPr>
                <w:b/>
                <w:i/>
              </w:rPr>
              <w:t>faktu</w:t>
            </w:r>
            <w:r>
              <w:t xml:space="preserve">, ka mazpazīstami dalībnieki, kuri nerada lielas izmaksas, var tikt izmantoti kā ierocis, lai izvairītos no atklāšanas un ietekmētu sabiedrisko domu, pārkāpjot demokrātijas normas; </w:t>
            </w:r>
            <w:r>
              <w:rPr>
                <w:b/>
                <w:i/>
              </w:rPr>
              <w:t>tā kā šādu problēmu risināšanu nedrīkst izmantot kā attaisnojumu vārda brīvības ierobežošanai jebkādā veidā un plurālisma ierobežošanai vai nepamatotu ierobežojumu noteikšanai tiešsaistes platformu likumīgai darbībai;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w:t>
            </w:r>
            <w:r>
              <w:rPr>
                <w:b/>
                <w:i/>
              </w:rPr>
              <w:t>ticami</w:t>
            </w:r>
            <w:r>
              <w:t xml:space="preserve"> ziņojumi liecina par plašu viltus kontu, </w:t>
            </w:r>
            <w:r>
              <w:rPr>
                <w:b/>
                <w:i/>
              </w:rPr>
              <w:t>botus</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ārvalstu </w:t>
            </w:r>
            <w:r>
              <w:rPr>
                <w:b/>
                <w:i/>
              </w:rPr>
              <w:t>dalībnieku ietekmētāju</w:t>
            </w:r>
            <w:r>
              <w:t xml:space="preserve">, tostarp </w:t>
            </w:r>
            <w:r>
              <w:rPr>
                <w:b/>
                <w:i/>
              </w:rPr>
              <w:t>nanoietekmētāju un mikroietekmētāju</w:t>
            </w:r>
            <w:r>
              <w:t xml:space="preserve">, </w:t>
            </w:r>
            <w:r>
              <w:rPr>
                <w:b/>
                <w:i/>
              </w:rPr>
              <w:t>izmantošana</w:t>
            </w:r>
            <w:r>
              <w:t xml:space="preserve"> vēl vairāk izceļ </w:t>
            </w:r>
            <w:r>
              <w:rPr>
                <w:b/>
                <w:i/>
              </w:rPr>
              <w:t>to</w:t>
            </w:r>
            <w:r>
              <w:t>, ka mazpazīstami dalībnieki, kuri nerada lielas izmaksas, var tikt izmantoti kā ierocis, lai izvairītos no atklāšanas un ietekmētu sabiedrisko domu, pārkāpjot demokrātijas normas;</w:t>
            </w:r>
          </w:p>
        </w:tc>
        <w:tc>
          <w:tcPr>
            <w:tcW w:w="4876" w:type="dxa"/>
            <w:tcBorders>
              <w:top w:val="nil"/>
              <w:left w:val="nil"/>
              <w:bottom w:val="nil"/>
              <w:right w:val="nil"/>
            </w:tcBorders>
          </w:tcPr>
          <w:p>
            <w:pPr>
              <w:pStyle w:val="Normal6a"/>
            </w:pPr>
            <w:r>
              <w:t>N.</w:t>
            </w:r>
            <w:r>
              <w:tab/>
            </w:r>
            <w:r>
              <w:t xml:space="preserve">tā kā </w:t>
            </w:r>
            <w:r>
              <w:rPr>
                <w:b/>
                <w:i/>
              </w:rPr>
              <w:t>tiek apgalvots, ka</w:t>
            </w:r>
            <w:r>
              <w:t xml:space="preserve"> 2024. gada rudenī notikušās prezidenta vēlēšanas Rumānijā atklāja ievērojamas nepilnības tiešsaistes informācijas vidē, un ziņojumi liecina par plašu viltus kontu, </w:t>
            </w:r>
            <w:r>
              <w:rPr>
                <w:b/>
                <w:i/>
              </w:rPr>
              <w:t>botu</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w:t>
            </w:r>
            <w:r>
              <w:rPr>
                <w:b/>
                <w:i/>
              </w:rPr>
              <w:t>tas, ka</w:t>
            </w:r>
            <w:r>
              <w:t xml:space="preserve"> ārvalstu </w:t>
            </w:r>
            <w:r>
              <w:rPr>
                <w:b/>
                <w:i/>
              </w:rPr>
              <w:t>dalībnieki izmanto ietekmētājus</w:t>
            </w:r>
            <w:r>
              <w:t xml:space="preserve">, tostarp </w:t>
            </w:r>
            <w:r>
              <w:rPr>
                <w:b/>
                <w:i/>
              </w:rPr>
              <w:t>nanoietekmētājus un mikroietekmētājus</w:t>
            </w:r>
            <w:r>
              <w:t xml:space="preserve">, vēl vairāk izceļ </w:t>
            </w:r>
            <w:r>
              <w:rPr>
                <w:b/>
                <w:i/>
              </w:rPr>
              <w:t>faktu</w:t>
            </w:r>
            <w:r>
              <w:t xml:space="preserve">, ka mazpazīstami dalībnieki, kuri nerada lielas izmaksas, var tikt izmantoti kā ierocis, lai izvairītos no atklāšanas un ietekmētu sabiedrisko domu, pārkāpjot demokrātijas normas; </w:t>
            </w:r>
            <w:r>
              <w:rPr>
                <w:b/>
                <w:i/>
              </w:rPr>
              <w:t>tā kā pieejamie pierādījumi joprojām ir strīdīgi vai nepilnīgi;</w:t>
            </w:r>
            <w:r>
              <w:t xml:space="preserve"> </w:t>
            </w:r>
            <w:r>
              <w:rPr>
                <w:b/>
                <w:i/>
              </w:rPr>
              <w:t>tā kā šādas situācijas apliecina nepieciešamību pēc stingriem, pārredzamiem un pārbaudāmiem pierādījumu standartiem pirms politisku secinājumu izdarīšanas;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botus</w:t>
            </w:r>
            <w:r>
              <w:t xml:space="preserve"> un algoritmiski pastiprināta satura izmantošanu konkrētu politisku naratīvu popularizēšanai; tā kā TikTok, viena no visplašāk izmantotajām platformām gados jauno vēlētāju vidū, apgalvoja, ka pēcvēlēšanu apkopes darbu laikā ir bloķējusi vairāk nekā 116 000 surogātpasta kontu izveidi un izņēmusi 59 000 viltotu kontu; tā kā ārvalstu </w:t>
            </w:r>
            <w:r>
              <w:rPr>
                <w:b/>
                <w:i/>
              </w:rPr>
              <w:t>dalībnieku ietekmētāju</w:t>
            </w:r>
            <w:r>
              <w:t xml:space="preserve">, tostarp </w:t>
            </w:r>
            <w:r>
              <w:rPr>
                <w:b/>
                <w:i/>
              </w:rPr>
              <w:t>nanoietekmētāju un mikroietekmētāju</w:t>
            </w:r>
            <w:r>
              <w:t xml:space="preserve">, </w:t>
            </w:r>
            <w:r>
              <w:rPr>
                <w:b/>
                <w:i/>
              </w:rPr>
              <w:t>izmantošana</w:t>
            </w:r>
            <w:r>
              <w:t xml:space="preserve"> vēl vairāk izceļ </w:t>
            </w:r>
            <w:r>
              <w:rPr>
                <w:b/>
                <w:i/>
              </w:rPr>
              <w:t>to</w:t>
            </w:r>
            <w:r>
              <w:t xml:space="preserve">, ka mazpazīstami dalībnieki, kuri nerada lielas izmaksas, var tikt izmantoti kā ierocis, lai izvairītos no atklāšanas un ietekmētu sabiedrisko domu, pārkāpjot demokrātijas </w:t>
            </w:r>
            <w:r>
              <w:rPr>
                <w:b/>
                <w:i/>
              </w:rPr>
              <w:t>normas</w:t>
            </w:r>
            <w:r>
              <w:t>;</w:t>
            </w:r>
          </w:p>
        </w:tc>
        <w:tc>
          <w:tcPr>
            <w:tcW w:w="4876" w:type="dxa"/>
            <w:tcBorders>
              <w:top w:val="nil"/>
              <w:left w:val="nil"/>
              <w:bottom w:val="nil"/>
              <w:right w:val="nil"/>
            </w:tcBorders>
          </w:tcPr>
          <w:p>
            <w:pPr>
              <w:pStyle w:val="Normal6a"/>
            </w:pPr>
            <w:r>
              <w:t>N.</w:t>
            </w:r>
            <w:r>
              <w:tab/>
            </w:r>
            <w:r>
              <w:t xml:space="preserve">tā kā 2024. gada rudenī notikušās prezidenta vēlēšanas Rumānijā atklāja ievērojamas nepilnības tiešsaistes informācijas vidē, un ticami ziņojumi liecina par plašu viltus kontu, </w:t>
            </w:r>
            <w:r>
              <w:rPr>
                <w:b/>
                <w:i/>
              </w:rPr>
              <w:t>botu</w:t>
            </w:r>
            <w:r>
              <w:t xml:space="preserve"> un algoritmiski pastiprināta satura izmantošanu konkrētu politisku naratīvu popularizēšanai </w:t>
            </w:r>
            <w:r>
              <w:rPr>
                <w:b/>
                <w:i/>
              </w:rPr>
              <w:t>un vēlēšanu konkurences kropļošanai</w:t>
            </w:r>
            <w:r>
              <w:t>; tā kā TikTok, viena no visplašāk izmantotajām platformām gados jauno vēlētāju vidū, apgalvoja, ka pēcvēlēšanu apkopes darbu laikā ir bloķējusi vairāk nekā 116 000 surogātpasta kontu izveidi un izņēmusi 59 000 viltotu kontu</w:t>
            </w:r>
            <w:r>
              <w:rPr>
                <w:b/>
                <w:i/>
              </w:rPr>
              <w:t>, un tas liecina par koordinētas neautentiskas rīcības mērogu un platformu veikto reaģēšanas pasākumu nepietiekamību vēlēšanu periodā</w:t>
            </w:r>
            <w:r>
              <w:t xml:space="preserve">; tā kā </w:t>
            </w:r>
            <w:r>
              <w:rPr>
                <w:b/>
                <w:i/>
              </w:rPr>
              <w:t>tas, ka</w:t>
            </w:r>
            <w:r>
              <w:t xml:space="preserve"> ārvalstu </w:t>
            </w:r>
            <w:r>
              <w:rPr>
                <w:b/>
                <w:i/>
              </w:rPr>
              <w:t>dalībnieki izmanto ietekmētājus</w:t>
            </w:r>
            <w:r>
              <w:t xml:space="preserve">, tostarp </w:t>
            </w:r>
            <w:r>
              <w:rPr>
                <w:b/>
                <w:i/>
              </w:rPr>
              <w:t>nanoietekmētājus un mikroietekmētājus</w:t>
            </w:r>
            <w:r>
              <w:t xml:space="preserve">, vēl vairāk izceļ </w:t>
            </w:r>
            <w:r>
              <w:rPr>
                <w:b/>
                <w:i/>
              </w:rPr>
              <w:t>faktu</w:t>
            </w:r>
            <w:r>
              <w:t xml:space="preserve">, ka mazpazīstami dalībnieki, kuri nerada lielas izmaksas, var tikt </w:t>
            </w:r>
            <w:r>
              <w:rPr>
                <w:b/>
                <w:i/>
              </w:rPr>
              <w:t>apzināti</w:t>
            </w:r>
            <w:r>
              <w:t xml:space="preserve"> izmantoti kā ierocis, lai izvairītos no atklāšanas un ietekmētu sabiedrisko domu, pārkāpjot demokrātijas </w:t>
            </w:r>
            <w:r>
              <w:rPr>
                <w:b/>
                <w:i/>
              </w:rPr>
              <w:t>pamatnormas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tā kā 2024. gada rudenī notikušās prezidenta vēlēšanas Rumānijā atklāja </w:t>
            </w:r>
            <w:r>
              <w:rPr>
                <w:b/>
                <w:i/>
              </w:rPr>
              <w:t>ievērojamas</w:t>
            </w:r>
            <w:r>
              <w:t xml:space="preserve"> nepilnības tiešsaistes informācijas vidē, un </w:t>
            </w:r>
            <w:r>
              <w:rPr>
                <w:b/>
                <w:i/>
              </w:rPr>
              <w:t>ticami</w:t>
            </w:r>
            <w:r>
              <w:t xml:space="preserve"> ziņojumi liecina par plašu viltus kontu, </w:t>
            </w:r>
            <w:r>
              <w:rPr>
                <w:b/>
                <w:i/>
              </w:rPr>
              <w:t>botus</w:t>
            </w:r>
            <w:r>
              <w:t xml:space="preserve"> un algoritmiski pastiprināta satura izmantošanu konkrētu politisku naratīvu popularizēšanai; tā kā </w:t>
            </w:r>
            <w:r>
              <w:rPr>
                <w:b/>
                <w:i/>
              </w:rPr>
              <w:t>TikTok, viena no visplašāk izmantotajām platformām gados jauno vēlētāju vidū, apgalvoja, ka pēcvēlēšanu apkopes darbu laikā ir bloķējusi vairāk nekā 116 000 surogātpasta kontu izveidi un izņēmusi 59 000 viltotu kontu;</w:t>
            </w:r>
            <w:r>
              <w:t xml:space="preserve"> </w:t>
            </w:r>
            <w:r>
              <w:rPr>
                <w:b/>
                <w:i/>
              </w:rPr>
              <w:t>tā kā ārvalstu dalībnieku ietekmētāju</w:t>
            </w:r>
            <w:r>
              <w:t xml:space="preserve">, tostarp </w:t>
            </w:r>
            <w:r>
              <w:rPr>
                <w:b/>
                <w:i/>
              </w:rPr>
              <w:t>nanoietekmētāju un mikroietekmētāju</w:t>
            </w:r>
            <w:r>
              <w:t xml:space="preserve">, </w:t>
            </w:r>
            <w:r>
              <w:rPr>
                <w:b/>
                <w:i/>
              </w:rPr>
              <w:t>izmantošana</w:t>
            </w:r>
            <w:r>
              <w:t xml:space="preserve"> vēl vairāk izceļ </w:t>
            </w:r>
            <w:r>
              <w:rPr>
                <w:b/>
                <w:i/>
              </w:rPr>
              <w:t>to</w:t>
            </w:r>
            <w:r>
              <w:t>, ka mazpazīstami dalībnieki, kuri nerada lielas izmaksas, var tikt izmantoti kā ierocis, lai izvairītos no atklāšanas un ietekmētu sabiedrisko domu</w:t>
            </w:r>
            <w:r>
              <w:rPr>
                <w:b/>
                <w:i/>
              </w:rPr>
              <w:t>, pārkāpjot demokrātijas normas</w:t>
            </w:r>
            <w:r>
              <w:t>;</w:t>
            </w:r>
          </w:p>
        </w:tc>
        <w:tc>
          <w:tcPr>
            <w:tcW w:w="4876" w:type="dxa"/>
            <w:tcBorders>
              <w:top w:val="nil"/>
              <w:left w:val="nil"/>
              <w:bottom w:val="nil"/>
              <w:right w:val="nil"/>
            </w:tcBorders>
          </w:tcPr>
          <w:p>
            <w:pPr>
              <w:pStyle w:val="Normal6a"/>
            </w:pPr>
            <w:r>
              <w:t>N.</w:t>
            </w:r>
            <w:r>
              <w:tab/>
            </w:r>
            <w:r>
              <w:t xml:space="preserve">tā kā 2024. gada rudenī notikušās prezidenta vēlēšanas Rumānijā atklāja nepilnības tiešsaistes informācijas vidē, un ziņojumi liecina par plašu viltus kontu, </w:t>
            </w:r>
            <w:r>
              <w:rPr>
                <w:b/>
                <w:i/>
              </w:rPr>
              <w:t>botu</w:t>
            </w:r>
            <w:r>
              <w:t xml:space="preserve"> un algoritmiski pastiprināta satura izmantošanu konkrētu politisku naratīvu popularizēšanai; tā kā </w:t>
            </w:r>
            <w:r>
              <w:rPr>
                <w:b/>
                <w:i/>
              </w:rPr>
              <w:t>tas, ka trešo valstu dalībnieki izmanto ietekmētājus</w:t>
            </w:r>
            <w:r>
              <w:t xml:space="preserve">, tostarp </w:t>
            </w:r>
            <w:r>
              <w:rPr>
                <w:b/>
                <w:i/>
              </w:rPr>
              <w:t>nanoietekmētājus un mikroietekmētājus</w:t>
            </w:r>
            <w:r>
              <w:t xml:space="preserve">, vēl vairāk izceļ </w:t>
            </w:r>
            <w:r>
              <w:rPr>
                <w:b/>
                <w:i/>
              </w:rPr>
              <w:t>faktu</w:t>
            </w:r>
            <w:r>
              <w:t xml:space="preserve">, ka mazpazīstami dalībnieki, kuri nerada lielas izmaksas, var tikt izmantoti kā ierocis, lai izvairītos no atklāšanas un ietekmētu sabiedrisko domu </w:t>
            </w:r>
            <w:r>
              <w:rPr>
                <w:b/>
                <w:i/>
              </w:rPr>
              <w:t>to personu un/vai vienību interesēs, kuras viņiem maksā (tostarp veicot maksājumus natūrā vai sniedzot citus ieguvumus un priekšrocības) tieši vai ar subjektu ķēdes starpniecību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tā kā saskaņā ar ASV Pārstāvju palātas Tieslietu komitejas (kurā ir republikāņu vairākums) sniegto informāciju jauni publiski nepieejami dokumenti rada šaubas par apgalvojumiem attiecībā uz Krievijas iejaukšanos, kuru dēļ Rumānijas tiesa 2024. gada prezidenta vēlēšanu rezultātus atzina par spēkā neesošiem;</w:t>
            </w:r>
            <w:r>
              <w:rPr>
                <w:b/>
                <w:i/>
              </w:rPr>
              <w:t>tā kā TikTok informēja Komisiju, ka nav atradis “pierādījumus” par koordinētu Krievijas kampaņu par labu uzvarējušajam kandidātam Călin Georgescu - tā bija Rumānijas iestāžu galvenā apsūdzība -, un ir informējis Rumānijas iestādes par šo secinājumu;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tā kā kopš tā laika publiska informācija ir atklājusi, ka tā dēvēto Krievijas kampaņu platformā TikTok faktiski finansēja cita Rumānijas politiskā partija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https://x.com/JudiciaryGOP/status/2018683758006665352.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tā kā Polijas parlamenta vēlēšanas 2023. gadā un prezidenta vēlēšanas 2025. gadā ietekmēja Krievijas Federācijas iejaukšanās, kā arī tas, ka ES iestādes un citas valstu kontrolētas struktūras, tostarp fondi, kuri atbalsta konkrētus politiskos spēkus, veica nepārredzamas darbības;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tā kā par vēlēšanu organizēšanu un uzraudzību ir atbildīgas dalībvalstis;</w:t>
            </w:r>
            <w:r>
              <w:t xml:space="preserve"> </w:t>
            </w:r>
            <w:r>
              <w:rPr>
                <w:b/>
                <w:i/>
              </w:rPr>
              <w:t>tā kā jebkāda Savienības iesaistes paplašināšana, kas pārsniedz atbalstošu lomu, var apdraudēt valstu demokrātisko suverenitāti un kompetences piešķiršanas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tā kā ASV bāzētie tehnoloģiju oligarhi un galēji labējo spēku tīkli popularizē galēji labējās un pret ES vērstās partijas;</w:t>
            </w:r>
            <w:r>
              <w:t xml:space="preserve"> </w:t>
            </w:r>
            <w:r>
              <w:rPr>
                <w:b/>
                <w:i/>
              </w:rPr>
              <w:t>tā kā “Heritage Foundation” un tā sabiedrotie ir apsprieduši ES likvidēšanas stratēģijas;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tā kā Eiropas Padomes Venēcijas komisija ir aicinājusi ievērot lielāku piesardzību attiecībā uz vēlēšanu rezultātu atcelšanu;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tā kā tas vien, ka kandidāts gūst panākumus tiešsaistes kampaņā un ka sociālo mediju izmantošana var pastiprināt viņa vēstījumu, pārsniedzot to, ko atļauj drukātie un audiovizuālie mediji, nenozīmē, ka viņš ir pārkāpis noteikumus par kampaņas finansēšanu vai pārredzamību un tādējādi guvis nepamatotas priekšrocības;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tā kā daudzi augsta līmeņa labējie ietekmētāji, tostarp Tim Pool, Dave Rubin un Benny Johnson, ir apsūdzēti par gandrīz 10 miljonu USD saņemšanu no Krievijas valsts medijiem apmaiņā pret prokrievisku vēstījumu popularizēšanu, tostarp saistībā ar karu Ukrainā;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tā kā Krievijas Federācija, izmantojot platformu Telegram, ir savervējusi un apmaksājusi sabotāžas grupas, kuru uzdevums ir izplatīt vulgārus saukļus tiešsaistē un publiskajā telpā, vēršoties pret konservatīvo, pret Krieviju vērsto valdību, kā secināts galīgajos tiesas spriedumos;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tā kā pēc prezidenta vēlēšanu pirmās kārtas rezultātu bezprecedenta atcelšanas Rumānijā 2024. gada 6. decembrī komisāra Thierry Breton 2025. gada 9. janvāra paziņojums (“mēs to izdarījām Rumānijā, un acīmredzot mums tas nepieciešamības gadījumā būs jādara Vācijā”) pamatoti šokēja daudzus Eiropas iedzīvotājus;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tā kā parlamenta vēlēšanas Vācijā notika 2025. gada 23. februārī;</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tā kā ES iestādes arī nelikumīgi un ļaunprātīgi izmantoja savas kompetences, ieturot līdzekļus, kas likumīgi pienākas Polijai, un atbrīvojot tos tikai pēc valdības maiņas uz tādu valdību, kuras politiskā nostāja sakrīt ar to nostāju, bez izmaiņu veikšanas piemērojamajā tiesiskajā regulējumā, kā arī, neraugoties uz pastāvīgām darbībām, kas apdraud demokrātijas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Nc.</w:t>
            </w:r>
            <w:r>
              <w:tab/>
            </w:r>
            <w:r>
              <w:rPr>
                <w:b/>
                <w:i/>
              </w:rPr>
              <w:t>tā kā 2025. gadā Google izņēma gandrīz 11 000 YouTube kanālu un citu kontu, kas bija saistīti ar Ķīnas, Krievijas un citu ļaunprātīgu dalībnieku virzītām valstiskām propagandas kampaņām;</w:t>
            </w:r>
            <w:r>
              <w:t xml:space="preserve"> </w:t>
            </w:r>
            <w:r>
              <w:rPr>
                <w:b/>
                <w:i/>
              </w:rPr>
              <w:t>tā kā šādas darbības būtu sistemātiskāk jāveic visās tiešsaistes platformās, lai saglabātu tiešsaistes telpas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tā kā nevalstiskās organizācijas, kā arī valstu kontrolēti fondi nepārredzamā un bieži vien nelikumīgā veidā sniedza finansiālu atbalstu darbībām, kas bija atklāti vērstas pret demokrātiski ievēlēto Polijas valdību;</w:t>
            </w:r>
            <w:r>
              <w:t xml:space="preserve"> </w:t>
            </w:r>
            <w:r>
              <w:rPr>
                <w:b/>
                <w:i/>
              </w:rPr>
              <w:t>tā kā līdzīgas darbības notika arī pēdējās prezidenta kampaņas laikā, kad ārvalstu struktūras finansēja sociālo mediju kampaņas, kas bija vērstas pret konservatīvā bloka kandidātu;</w:t>
            </w:r>
            <w:r>
              <w:t xml:space="preserve"> </w:t>
            </w:r>
            <w:r>
              <w:rPr>
                <w:b/>
                <w:i/>
              </w:rPr>
              <w:t>tā kā saturs, kas tika pasniegts kā dalības vēlēšanās veicināšanas kampaņas, ietvēra tādu vulgāru un apmelojošu materiālu izplatīšanu, kuru mērķis bija atturēt vēlētājus no konservatīvā kandidāta atbalstīšanas;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tā kā AWS, Microsoft un Google nodrošina aptuveni 70 % no Eiropā gūtajiem mākoņpakalpojumu ieņēmumiem;</w:t>
            </w:r>
            <w:r>
              <w:t xml:space="preserve"> </w:t>
            </w:r>
            <w:r>
              <w:rPr>
                <w:b/>
                <w:i/>
              </w:rPr>
              <w:t>tā kā tiek uzskatīts, ka vismaz viena ceturtā daļa no VLOP neto ienākumiem nāk no Eiropas;</w:t>
            </w:r>
            <w:r>
              <w:t xml:space="preserve"> </w:t>
            </w:r>
            <w:r>
              <w:rPr>
                <w:b/>
                <w:i/>
              </w:rPr>
              <w:t>tā kā Meta globālie neto ienākumi ir aptuveni 60 miljardi EUR, taču tas iegulda tikai aptuveni 25 miljonus EUR (0,04 %) neatkarīgos faktu pārbaudītājos Eiropā;</w:t>
            </w:r>
            <w:r>
              <w:t xml:space="preserve"> </w:t>
            </w:r>
            <w:r>
              <w:rPr>
                <w:b/>
                <w:i/>
              </w:rPr>
              <w:t>tā kā kopienas piezīmes (community notes) ir noderīgs instruments, bet tas neaizstāj neatkarīgu, cilvēku veiktu faktu pārbaudīšanu, jo īpaši par strīdīgiem jautājumiem, kuros kopienu bieži vien nemotivē fakti, bet gan spēcīgi aizspriedumi;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Nd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Nd.</w:t>
            </w:r>
            <w:r>
              <w:tab/>
            </w:r>
            <w:r>
              <w:rPr>
                <w:b/>
                <w:i/>
              </w:rPr>
              <w:t>tā kā Komisija ir paudusi vēlmi atbilstīgi Digitālo pakalpojumu aktam iejaukties vēlēšanās ārpus Eiropas, par ko liecina komisāra Thierry Breton 2024. gada 12. augusta vēstule, kurā ASV platformai X tika draudēts ar regulatīvām sankcijām saistībā ar tiešsaistes interviju ar prezidentu Trampu ASV teritorijā 2024. gada augustā;</w:t>
            </w:r>
            <w:r>
              <w:t xml:space="preserve"> </w:t>
            </w:r>
            <w:r>
              <w:rPr>
                <w:b/>
                <w:i/>
              </w:rPr>
              <w:t>tā kā šo grotesko situāciju pastiprināja saikne ar nemieriem citā ārpussavienības valstī (Apvienotajā Karalistē);</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tā kā Telegram, ziņojumapmaiņas platforma ar pieaugošu lietotāju bāzi ES, </w:t>
            </w:r>
            <w:r>
              <w:rPr>
                <w:b/>
                <w:i/>
              </w:rPr>
              <w:t>arvien biežāk tiek apzīmēta kā dezinformācijas, ārvalstu iejaukšanās un nelikumīgu darbību, tostarp ekstrēmistiska satura un neizsekojamas politiskās propagandas, izplatīšanas kanāls;</w:t>
            </w:r>
            <w:r>
              <w:t xml:space="preserve"> </w:t>
            </w:r>
            <w:r>
              <w:rPr>
                <w:b/>
                <w:i/>
              </w:rPr>
              <w:t>tā kā tās izcelsme Krievijā un nozīmīgas satura moderācijas trūkums ir radījis pastāvīgas bažas par tās lomu demokrātiskā diskursa graušanā</w:t>
            </w:r>
            <w:r>
              <w:t xml:space="preserve">; tā kā Telegram </w:t>
            </w:r>
            <w:r>
              <w:rPr>
                <w:b/>
                <w:i/>
              </w:rPr>
              <w:t>ir kļuvis par galveno kanālu īslaicīgu aģentu vervēšanai un hibrīdoperāciju veikšanai</w:t>
            </w:r>
            <w:r>
              <w:t xml:space="preserve">; </w:t>
            </w:r>
            <w:r>
              <w:rPr>
                <w:b/>
                <w:i/>
              </w:rPr>
              <w:t>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w:t>
            </w:r>
            <w:r>
              <w:t xml:space="preserve"> </w:t>
            </w:r>
            <w:r>
              <w:rPr>
                <w:b/>
                <w:i/>
              </w:rPr>
              <w:t>tā kā ziņojumi liecina, ka Telegram atbilst lietotāju skaita slieksnim, lai to saskaņā ar DPA klasificētu kā ļoti lielu tiešsaistes platformu, kas nozīmētu, ka uz to attiecas stingrākas regulatīvās saistības un riska mazināšanas prasības;</w:t>
            </w:r>
          </w:p>
        </w:tc>
        <w:tc>
          <w:tcPr>
            <w:tcW w:w="4876" w:type="dxa"/>
            <w:tcBorders>
              <w:top w:val="nil"/>
              <w:left w:val="nil"/>
              <w:bottom w:val="nil"/>
              <w:right w:val="nil"/>
            </w:tcBorders>
          </w:tcPr>
          <w:p>
            <w:pPr>
              <w:pStyle w:val="Normal6a"/>
            </w:pPr>
            <w:r>
              <w:t>O.</w:t>
            </w:r>
            <w:r>
              <w:tab/>
            </w:r>
            <w:r>
              <w:t xml:space="preserve">tā kā Telegram, ziņojumapmaiņas platforma ar pieaugošu lietotāju bāzi ES, </w:t>
            </w:r>
            <w:r>
              <w:rPr>
                <w:b/>
                <w:i/>
              </w:rPr>
              <w:t>ir saglabājusi stingru nostāju pret politisko cenzūru</w:t>
            </w:r>
            <w:r>
              <w:t xml:space="preserve">; tā kā Telegram </w:t>
            </w:r>
            <w:r>
              <w:rPr>
                <w:b/>
                <w:i/>
              </w:rPr>
              <w:t>dibinātājs un izpilddirektors Pāvels Durovs ir apsūdzējis Francijas izlūkdienestus par mēģinājumu iejaukties platformas darbībās saistībā ar vēlēšanām Rumānijā un Moldovā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tā kā Telegram</w:t>
            </w:r>
            <w:r>
              <w:rPr>
                <w:b/>
                <w:i/>
              </w:rPr>
              <w:t>, ziņojumapmaiņas platforma ar pieaugošu lietotāju bāzi ES, arvien biežāk tiek apzīmēta kā dezinformācijas, ārvalstu iejaukšanās un nelikumīgu darbību, tostarp ekstrēmistiska satura un neizsekojamas politiskās propagandas, izplatīšanas kanāls</w:t>
            </w:r>
            <w:r>
              <w:t>; tā kā tās izcelsme Krievijā un nozīmīgas satura moderācijas trūkums ir radījis pastāvīgas bažas par tās lomu demokrātiskā diskursa graušanā</w:t>
            </w:r>
            <w:r>
              <w:rPr>
                <w:b/>
                <w:i/>
              </w:rPr>
              <w:t>;</w:t>
            </w:r>
            <w:r>
              <w:t xml:space="preserve"> </w:t>
            </w:r>
            <w:r>
              <w:rPr>
                <w:b/>
                <w:i/>
              </w:rPr>
              <w:t>tā kā Telegram ir kļuvis par galveno kanālu īslaicīgu aģentu vervēšanai un hibrīdoperāciju veikšanai;</w:t>
            </w:r>
            <w:r>
              <w:t xml:space="preserve"> </w:t>
            </w:r>
            <w:r>
              <w:rPr>
                <w:b/>
                <w:i/>
              </w:rPr>
              <w:t>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w:t>
            </w:r>
            <w:r>
              <w:t>; tā kā ziņojumi liecina, ka Telegram atbilst lietotāju skaita slieksnim, lai to saskaņā ar DPA klasificētu kā ļoti lielu tiešsaistes platformu, kas nozīmētu, ka uz to attiecas stingrākas regulatīvās saistības un riska mazināšanas prasības;</w:t>
            </w:r>
          </w:p>
        </w:tc>
        <w:tc>
          <w:tcPr>
            <w:tcW w:w="4876" w:type="dxa"/>
            <w:tcBorders>
              <w:top w:val="nil"/>
              <w:left w:val="nil"/>
              <w:bottom w:val="nil"/>
              <w:right w:val="nil"/>
            </w:tcBorders>
          </w:tcPr>
          <w:p>
            <w:pPr>
              <w:pStyle w:val="Normal6a"/>
            </w:pPr>
            <w:r>
              <w:t>O.</w:t>
            </w:r>
            <w:r>
              <w:tab/>
            </w:r>
            <w:r>
              <w:t xml:space="preserve">tā kā Telegram </w:t>
            </w:r>
            <w:r>
              <w:rPr>
                <w:b/>
                <w:i/>
              </w:rPr>
              <w:t>ir kļuvis par nozīmīgu saziņas un informācijas apmaiņas kanālu, jo tas ir šifrēts un atvērts, tādēļ nodrošina drošu un brīvu informācijas plūsmu</w:t>
            </w:r>
            <w:r>
              <w:t>; tā kā tās izcelsme Krievijā un nozīmīgas satura moderācijas trūkums ir radījis pastāvīgas bažas par tās lomu demokrātiskā diskursa graušanā; tā kā ziņojumi liecina, ka Telegram atbilst lietotāju skaita slieksnim, lai to saskaņā ar DPA klasificētu kā ļoti lielu tiešsaistes platformu, kas nozīmētu, ka uz to attiecas stingrākas regulatīvās saistības un riska mazināšanas prasības;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 un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ziņojumi liecina, ka Telegram atbilst lietotāju skaita slieksnim, lai to saskaņā ar DPA klasificētu kā ļoti lielu tiešsaistes platformu, kas nozīmētu, ka uz to attiecas stingrākas regulatīvās saistības un riska mazināšanas prasības;</w:t>
            </w:r>
          </w:p>
        </w:tc>
        <w:tc>
          <w:tcPr>
            <w:tcW w:w="4876" w:type="dxa"/>
            <w:tcBorders>
              <w:top w:val="nil"/>
              <w:left w:val="nil"/>
              <w:bottom w:val="nil"/>
              <w:right w:val="nil"/>
            </w:tcBorders>
          </w:tcPr>
          <w:p>
            <w:pPr>
              <w:pStyle w:val="Normal6a"/>
            </w:pPr>
            <w:r>
              <w:t>O.</w:t>
            </w:r>
            <w:r>
              <w:tab/>
            </w:r>
            <w:r>
              <w:t xml:space="preserve">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 un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ziņojumi liecina, ka Telegram atbilst lietotāju skaita slieksnim, lai to saskaņā ar DPA klasificētu kā ļoti lielu tiešsaistes platformu, kas nozīmētu, ka uz to attiecas stingrākas regulatīvās saistības un riska mazināšanas prasības; </w:t>
            </w:r>
            <w:r>
              <w:rPr>
                <w:b/>
                <w:i/>
              </w:rPr>
              <w:t>tā kā Telegram bieži izplata dezinformāciju saviem lietotājiem par notiekošo tiesvedību pret tās dibinātāju un par ES un valstu tiesību aktiem, un tas var ietekmēt platformas pārskatatbildību un atbildīgu rīcību, par ko liecina nesenā dezinformācijas kampaņa, kas tika īstenota, izmantojot ziņojumus lietotājiem Spānijā, par sociālo mediju aizliegumu personām, kuras jaunākas par 16 gadiem;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 un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ziņojumi </w:t>
            </w:r>
            <w:r>
              <w:rPr>
                <w:b/>
                <w:i/>
              </w:rPr>
              <w:t>liecina</w:t>
            </w:r>
            <w:r>
              <w:t>, ka Telegram atbilst lietotāju skaita slieksnim, lai to saskaņā ar DPA klasificētu kā ļoti lielu tiešsaistes platformu, kas nozīmētu, ka uz to attiecas stingrākas regulatīvās saistības un riska mazināšanas prasības;</w:t>
            </w:r>
          </w:p>
        </w:tc>
        <w:tc>
          <w:tcPr>
            <w:tcW w:w="4876" w:type="dxa"/>
            <w:tcBorders>
              <w:top w:val="nil"/>
              <w:left w:val="nil"/>
              <w:bottom w:val="nil"/>
              <w:right w:val="nil"/>
            </w:tcBorders>
          </w:tcPr>
          <w:p>
            <w:pPr>
              <w:pStyle w:val="Normal6a"/>
            </w:pPr>
            <w:r>
              <w:t>O.</w:t>
            </w:r>
            <w:r>
              <w:tab/>
            </w:r>
            <w:r>
              <w:t xml:space="preserve">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 un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w:t>
            </w:r>
            <w:r>
              <w:rPr>
                <w:b/>
                <w:i/>
              </w:rPr>
              <w:t>ticami</w:t>
            </w:r>
            <w:r>
              <w:t xml:space="preserve"> ziņojumi </w:t>
            </w:r>
            <w:r>
              <w:rPr>
                <w:b/>
                <w:i/>
              </w:rPr>
              <w:t>skaidri norāda</w:t>
            </w:r>
            <w:r>
              <w:t>, ka Telegram atbilst lietotāju skaita slieksnim, lai to saskaņā ar DPA klasificētu kā ļoti lielu tiešsaistes platformu, kas nozīmētu, ka uz to attiecas stingrākas regulatīvās saistības un riska mazināšanas prasības</w:t>
            </w:r>
            <w:r>
              <w:rPr>
                <w:b/>
                <w:i/>
              </w:rPr>
              <w:t>, un tā kā Komisija jau ilgu laiku izvērtē šo jautājumu, taču nav nonākusi pie secinājuma par turpmāko rīcību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 </w:t>
            </w:r>
            <w:r>
              <w:rPr>
                <w:b/>
                <w:i/>
              </w:rPr>
              <w:t>un</w:t>
            </w:r>
            <w:r>
              <w:t xml:space="preserve">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ziņojumi liecina, ka Telegram atbilst lietotāju skaita slieksnim, lai to saskaņā ar DPA klasificētu kā ļoti lielu tiešsaistes platformu, kas nozīmētu, ka uz to attiecas stingrākas regulatīvās saistības un riska mazināšanas prasības;</w:t>
            </w:r>
          </w:p>
        </w:tc>
        <w:tc>
          <w:tcPr>
            <w:tcW w:w="4876" w:type="dxa"/>
            <w:tcBorders>
              <w:top w:val="nil"/>
              <w:left w:val="nil"/>
              <w:bottom w:val="nil"/>
              <w:right w:val="nil"/>
            </w:tcBorders>
          </w:tcPr>
          <w:p>
            <w:pPr>
              <w:pStyle w:val="Normal6a"/>
            </w:pPr>
            <w:r>
              <w:t>O.</w:t>
            </w:r>
            <w:r>
              <w:tab/>
            </w:r>
            <w:r>
              <w:t>tā kā Telegram, ziņojumapmaiņas platforma ar pieaugošu lietotāju bāzi ES, arvien biežāk tiek apzīmēta kā dezinformācijas, ārvalstu iejaukšanās un nelikumīgu darbību, tostarp ekstrēmistiska satura un neizsekojamas politiskās propagandas, izplatīšanas kanāls; tā kā tās izcelsme Krievijā</w:t>
            </w:r>
            <w:r>
              <w:rPr>
                <w:b/>
                <w:i/>
              </w:rPr>
              <w:t>, nepārredzamas īpašumtiesību struktūras un kontrole pār tīkla infrastruktūru, kā arī</w:t>
            </w:r>
            <w:r>
              <w:t xml:space="preserve"> nozīmīgas satura moderācijas trūkums ir radījis pastāvīgas bažas par tās lomu demokrātiskā diskursa graušanā; tā kā Telegram ir kļuvis par galveno kanālu īslaicīgu aģentu vervēšanai un hibrīdoperāciju veikšanai; tā kā ir konstatēts, ka ļaunprātīgi valstiskie dalībnieki izmanto Telegram lietotāju, īpaši jauniešu, tehnoloģiskās prasmes, finansiālās vajadzības un naivumu, lai veiktu spiegošanas un sabotāžas operācijas ar minimālām izmaksām, vienlaikus saglabājot ticamas iespējas to noliegt; tā kā ziņojumi liecina, ka Telegram atbilst lietotāju skaita slieksnim, lai to saskaņā ar DPA klasificētu kā ļoti lielu tiešsaistes platformu, kas nozīmētu, ka uz to attiecas stingrākas regulatīvās saistības un riska mazināšanas prasības;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tā kā pret sievietēm, kas ir politiskās līderes, kandidātes un ievēlētas pārstāves, arvien biežāk tiek vērsta ar dzimumu saistīta dezinformācija, ļaunprātīga izmantošana un aizskaršana tiešsaistē, kā arī dziļviltošanas kampaņas, ko bieži koordinē ļaunprātīgi ārvalstu un iekšzemes spēki, lai apklusinātu viņu balsis, atturētu viņas no dalības politiskajā dzīvē un apdraudētu demokrātisko iestāžu integritāti un stabilitāti;</w:t>
            </w:r>
            <w:r>
              <w:t xml:space="preserve"> </w:t>
            </w:r>
            <w:r>
              <w:rPr>
                <w:b/>
                <w:i/>
              </w:rPr>
              <w:t>tā kā nesenie vēlēšanu procesi Moldovas Republikā ir parādījuši šādas prakses izmantošanu, lai deleģitimizētu prodemokrātiskas līderes, izmantojot seksualizētu manipulāciju, apmelojošu saturu un dezinformāciju;</w:t>
            </w:r>
            <w:r>
              <w:t xml:space="preserve"> </w:t>
            </w:r>
            <w:r>
              <w:rPr>
                <w:b/>
                <w:i/>
              </w:rPr>
              <w:t>tā kā ģeneratīvā mākslīgā intelekta rīku straujā izplatīšanās un pieejamība ir vēl vairāk saasinājusi šos riskus, par ko liecina pastāvīgās domstarpības saistībā ar MI sarunbotu Grok, kurš tika izmantots, lai radītu nekonsensuālus, seksualizētus un maldinošus politiķu sieviešu attēlus;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tā kā videospēles, videospēļu komunikācijas lietotnes un to forumi arvien vairāk tiek izmantoti, lai izplatītu labējo teroristu un ekstrēmistu propagandu un maskulīnistisku saturu[1];</w:t>
            </w:r>
            <w:r>
              <w:t xml:space="preserve"> </w:t>
            </w:r>
            <w:r>
              <w:rPr>
                <w:b/>
                <w:i/>
              </w:rPr>
              <w:t>tā kā turklāt videospēļu e-veikali un citi digitālie objekti tiek izmantoti, lai apietu sankcijas un nelikumīgi pārskaitītu naudu, un tā kā tas ir trūkums, kas jānovērš, lai ES spētu izsekot dezinformāciju un hibrīddraudus</w:t>
            </w:r>
            <w:r>
              <w:rPr>
                <w:b/>
                <w:i/>
                <w:vertAlign w:val="superscript"/>
              </w:rPr>
              <w:t>51c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51c</w:t>
            </w:r>
            <w:r>
              <w:t xml:space="preserve"> </w:t>
            </w:r>
            <w:r>
              <w:rPr>
                <w:b/>
                <w:i/>
              </w:rPr>
              <w:t>https://home-affairs.ec.europa.eu/system/files/2022-02/EUIF%20Technical%20Meeting%20on%20Video%20Gaming%20October%202021%20RAN%20Policy%20Support%20paper_en.pdf.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Oa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tā kā publisko dialogu digitālajā jomā arvien vairāk un galvenokārt veido korporatīvie dalībnieki gan platformu īpašumtiesību, gan politiskās izpildvaras tuvuma dēļ, kā, piemēram, tas ir Amerikas Savienotajās Valstīs;</w:t>
            </w:r>
            <w:r>
              <w:t xml:space="preserve"> </w:t>
            </w:r>
            <w:r>
              <w:rPr>
                <w:b/>
                <w:i/>
              </w:rPr>
              <w:t>tā kā “X” īpašnieks ir publiski un nepārprotami paudis savtīgu interesi atbalstīt galēji labējās politiskās partijas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 </w:t>
            </w:r>
            <w:r>
              <w:rPr>
                <w:b/>
                <w:i/>
              </w:rPr>
              <w:t>tā kā mākslīgā intelekta attīstība strauji pārveido globālo tehnoloģisko vidi, radot jaunu stratēģiskās konkurences posmu, kurā vadošie amati joprojām ir atvērti un tieši ietekmē ekonomisko spēku, informācijas drošību un demokrātijas noturību;</w:t>
            </w:r>
            <w:r>
              <w:t xml:space="preserve"> </w:t>
            </w:r>
            <w:r>
              <w:rPr>
                <w:b/>
                <w:i/>
              </w:rPr>
              <w:t>tā kā Savienība jau ir attīstījusi ievērojamas spējas svarīgu pamattehnoloģiju, tostarp augstas veiktspējas datošanas, progresīvas pētniecības infrastruktūras un nozarei specifisku MI lietojumu, jomā, apliecinot to, ka ilgtspējīgas publiskās investīcijas un koordinēta Eiropas politika var sniegt izmērāmas stratēģiskas priekšrocības;</w:t>
            </w:r>
            <w:r>
              <w:t xml:space="preserve"> </w:t>
            </w:r>
            <w:r>
              <w:rPr>
                <w:b/>
                <w:i/>
              </w:rPr>
              <w:t>tā kā mākslīgā intelekta arvien plašāka ieviešana Eiropas uzņēmumos dažādās nozarēs atspoguļo pozitīvu pāreju uz lielāku tehnoloģisko briedumu un ražīgumu, ko atbalsta augoša inovatīvu jaunuzņēmumu un augošu uzņēmumu ekosistēma, kas spēj konkurēt pasaules līmenī;</w:t>
            </w:r>
            <w:r>
              <w:t xml:space="preserve"> </w:t>
            </w:r>
            <w:r>
              <w:rPr>
                <w:b/>
                <w:i/>
              </w:rPr>
              <w:t>tā kā piekļuves uzlabošana datošanas jaudai, datu infrastruktūrai un liela mēroga testēšanas iekārtām, tostarp izmantojot publiskā un privātā sektora partnerības un īpašus inovācijas centrus, veicina ne tikai ekonomikas konkurētspēju, bet arī Savienības atvērto stratēģisko autonomiju digitālajā jomā;</w:t>
            </w:r>
            <w:r>
              <w:t xml:space="preserve"> </w:t>
            </w:r>
            <w:r>
              <w:rPr>
                <w:b/>
                <w:i/>
              </w:rPr>
              <w:t>tā kā uzlabotas digitālās spējas, suverēna infrastruktūra un tehnoloģiskā pašpaļāvība samazina strukturālo atkarību no ārējiem dalībniekiem un ierobežo naidīgas iejaukšanās, informācijas manipulācijas vai ekonomiskās piespiešanas iespējas;</w:t>
            </w:r>
            <w:r>
              <w:t xml:space="preserve"> </w:t>
            </w:r>
            <w:r>
              <w:rPr>
                <w:b/>
                <w:i/>
              </w:rPr>
              <w:t>tā kā šajā kontekstā Eiropas tehnoloģiskās bāzes stiprināšana ir Eiropas demokrātijas vairoga centrālais pīlārs un tās mērķis ir uzlabot Savienības spēju aizsargāt savu informācijas telpu, aizsargāt kritiski svarīgus digitālos aktīvus un nodrošināt, ka inovācija kalpo demokrātiskām vērtībām, sabiedrības noturībai un ilgtermiņa drošībai;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w:t>
            </w:r>
            <w:r>
              <w:rPr>
                <w:b/>
                <w:i/>
              </w:rPr>
              <w:t>MI sistēmu straujā izstrāde un ieviešana visā pasaulē, tostarp trešās valstīs, kurās regulatīvās pieejas var veidot īpaši reliģiski vai ideoloģiski satvari, tostarp islāma vērtības, var radīt bažas, ja šādi satvari nav pilnībā saderīgi ar Savienības pamattiesībām, tostarp domas, apziņas un reliģijas brīvību un vārda brīvību, kā noteikts Līgumos un Eiropas Savienības Pamattiesību hartā;</w:t>
            </w:r>
            <w:r>
              <w:t xml:space="preserve"> </w:t>
            </w:r>
            <w:r>
              <w:rPr>
                <w:b/>
                <w:i/>
              </w:rPr>
              <w:t>tā kā Eiropas tehniskās suverenitātes veidošana, tostarp attīstot Eiropas MI spējas un digitālās platformas visā to dzīves ciklā, kā arī</w:t>
            </w:r>
            <w:r>
              <w:t xml:space="preserve">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 </w:t>
            </w:r>
            <w:r>
              <w:rPr>
                <w:b/>
                <w:i/>
              </w:rPr>
              <w:t>tā kā stratēģiskie savienotības projekti, piemēram, dzelzceļa koridors “Austrumi / Vidusjūras austrumu daļa” (EMC), kas ir zemūdens un sauszemes datu pārraides sistēma, kura savieno Eiropu ar Āziju caur Grieķiju un Saūda Arābiju, palīdz dažādot datu maršrutus un stiprināt Savienības digitālo neatkarību;</w:t>
            </w:r>
            <w:r>
              <w:t xml:space="preserve"> </w:t>
            </w:r>
            <w:r>
              <w:rPr>
                <w:b/>
                <w:i/>
              </w:rPr>
              <w:t>tā kā ziņojumi par Turcijas iejaukšanos ar EMC projektu saistītajās apsekošanas darbībās liecina par ģeopolitiskiem riskiem kritiskajai digitālajai infrastruktūrai un nepieciešamību ES aizsargāt dalībvalstu stratēģiskās savienotības iniciatīvas;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w:t>
            </w:r>
            <w:r>
              <w:rPr>
                <w:b/>
                <w:i/>
              </w:rPr>
              <w:t>un</w:t>
            </w:r>
            <w:r>
              <w:t xml:space="preserve">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w:t>
            </w:r>
            <w:r>
              <w:rPr>
                <w:b/>
                <w:i/>
              </w:rPr>
              <w:t>,</w:t>
            </w:r>
            <w:r>
              <w:t xml:space="preserve"> sociālo mediju platformas</w:t>
            </w:r>
            <w:r>
              <w:rPr>
                <w:b/>
                <w:i/>
              </w:rPr>
              <w:t>, maksājumu risinājumi un IT programmatūra;</w:t>
            </w:r>
            <w:r>
              <w:t xml:space="preserve"> </w:t>
            </w:r>
            <w:r>
              <w:rPr>
                <w:b/>
                <w:i/>
              </w:rPr>
              <w:t>tā kā Komisijas atteikums attiecināt sertifikāciju, kas nodrošina visaugstāko stratēģisko datu aizsardzības līmeni, uz Eiropas mākoņdatošanas pakalpojumu sniedzējiem, izceļ ES pašreizējos ierobežojumus digitālās suverenitātes stiprināšanā</w:t>
            </w:r>
            <w:r>
              <w:t>;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w:t>
            </w:r>
            <w:r>
              <w:rPr>
                <w:b/>
                <w:i/>
              </w:rPr>
              <w:t>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w:t>
            </w:r>
            <w:r>
              <w:rPr>
                <w:b/>
                <w:i/>
              </w:rPr>
              <w:t>šo atkarību 2026. gadā no jauna ir apstiprinājusi ES Revīzijas palāta attiecībā uz kritiski svarīgām izejvielām</w:t>
            </w:r>
            <w:r>
              <w:rPr>
                <w:b/>
                <w:i/>
                <w:vertAlign w:val="superscript"/>
              </w:rPr>
              <w:t>51d</w:t>
            </w:r>
            <w:r>
              <w:rPr>
                <w:b/>
                <w:i/>
              </w:rPr>
              <w:t>;</w:t>
            </w:r>
            <w:r>
              <w:t xml:space="preserve"> </w:t>
            </w:r>
            <w:r>
              <w:rPr>
                <w:b/>
                <w:i/>
              </w:rPr>
              <w:t>tā kā</w:t>
            </w:r>
            <w:r>
              <w:t xml:space="preserve"> digitālās inovācijas saskaņošana ar demokrātiskajām vērtībām un pamattiesībām sniedz ES iespēju kļūt par pasaules līderi atbildīgu un uz cilvēku orientētu tehnoloģiju jomā;</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51d</w:t>
            </w:r>
            <w:r>
              <w:t xml:space="preserve"> </w:t>
            </w:r>
            <w:r>
              <w:rPr>
                <w:b/>
                <w:i/>
              </w:rPr>
              <w:t>Eiropas Revīzijas palāta, Īpašais ziņojums 04/2026 “Kritiskās izejvielas enerģētikas pārkārtošanai: nav stingras politikas", Eiropas Savienības Publikāciju birojs, 2026 https://www.eca.europa.eu/ECAPublications/SR-2026-04/SR-2026-04_LV.pdf.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 </w:t>
            </w:r>
            <w:r>
              <w:rPr>
                <w:b/>
                <w:i/>
              </w:rPr>
              <w:t>tā kā ES digitālo suverenitāti ir īpaši grūti panākt, ja ļoti lielas tiešsaistes platformas un ļoti lielas tiešsaistes meklētājprogrammas darbojas de facto oligopola situācijā;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w:t>
            </w:r>
            <w:r>
              <w:rPr>
                <w:b/>
                <w:i/>
              </w:rPr>
              <w:t>, taisnīgu un konkurētspējīgu digitālo tehnoloģiju tirgu nodrošināšana, digitālo noteikumu kopuma ieviešana</w:t>
            </w:r>
            <w:r>
              <w:t xml:space="preserve">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r>
              <w:rPr>
                <w:b/>
                <w:i/>
              </w:rPr>
              <w:t>, jo īpaši ņemot vērā to, ka tehnoloģiskā sacensība paātrinās un Eiropai nevajadzētu atpalikt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tā kā ārpus Eiropas esošo tehnoloģiju uzņēmumu, jo īpaši to, kas atrodas </w:t>
            </w:r>
            <w:r>
              <w:rPr>
                <w:b/>
                <w:i/>
              </w:rPr>
              <w:t>Amerikas Savienotajās</w:t>
            </w:r>
            <w:r>
              <w:t xml:space="preserve"> Valstīs </w:t>
            </w:r>
            <w:r>
              <w:rPr>
                <w:b/>
                <w:i/>
              </w:rPr>
              <w:t>un Ķīnā</w:t>
            </w:r>
            <w:r>
              <w:t>,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w:t>
            </w:r>
            <w:r>
              <w:rPr>
                <w:b/>
                <w:i/>
              </w:rPr>
              <w:t>Ķīnā un citās</w:t>
            </w:r>
            <w:r>
              <w:t xml:space="preserve"> valstīs </w:t>
            </w:r>
            <w:r>
              <w:rPr>
                <w:b/>
                <w:i/>
              </w:rPr>
              <w:t>ārpus NATO partnervalstīm un līdzīgi domājošām valstīm</w:t>
            </w:r>
            <w:r>
              <w:t>,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w:t>
            </w:r>
            <w:r>
              <w:rPr>
                <w:b/>
                <w:i/>
              </w:rPr>
              <w:t>sociālo mediju</w:t>
            </w:r>
            <w:r>
              <w:t xml:space="preserve"> platformas; tā kā vietējo inovāciju veicināšana, atbalsts Eiropas jaunuzņēmumiem un investīcijas suverēnā digitālajā infrastruktūrā ir būtiski </w:t>
            </w:r>
            <w:r>
              <w:rPr>
                <w:b/>
                <w:i/>
              </w:rPr>
              <w:t>soļi ceļā uz</w:t>
            </w:r>
            <w:r>
              <w:t xml:space="preserve">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 xml:space="preserve">tā kā ārpus Eiropas esošo tehnoloģiju uzņēmumu, jo īpaši to, kas atrodas Amerikas Savienotajās Valstīs un Ķīnā, pieaugošā ietekme ir parādījusi ES stratēģisko atkarību tādās kritiski svarīgās jomās kā datu infrastruktūra, mākoņpakalpojumi un </w:t>
            </w:r>
            <w:r>
              <w:rPr>
                <w:b/>
                <w:i/>
              </w:rPr>
              <w:t>tiešsaistes</w:t>
            </w:r>
            <w:r>
              <w:t xml:space="preserve"> platformas; tā kā vietējo inovāciju veicināšana, atbalsts Eiropas jaunuzņēmumiem un investīcijas suverēnā digitālajā infrastruktūrā ir būtiski </w:t>
            </w:r>
            <w:r>
              <w:rPr>
                <w:b/>
                <w:i/>
              </w:rPr>
              <w:t>un ir steidzami jāveic, lai panāktu tādas</w:t>
            </w:r>
            <w:r>
              <w:t xml:space="preserve"> konkurētspējīgas, drošas un noturīgas ES digitālās ekosistēmas izveidi</w:t>
            </w:r>
            <w:r>
              <w:rPr>
                <w:b/>
                <w:i/>
              </w:rPr>
              <w:t>, kas ir neatkarīga no ārvalstu interesēm</w:t>
            </w:r>
            <w:r>
              <w:t>;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c>
          <w:tcPr>
            <w:tcW w:w="4876" w:type="dxa"/>
            <w:tcBorders>
              <w:top w:val="nil"/>
              <w:left w:val="nil"/>
              <w:bottom w:val="nil"/>
              <w:right w:val="nil"/>
            </w:tcBorders>
          </w:tcPr>
          <w:p>
            <w:pPr>
              <w:pStyle w:val="Normal6a"/>
            </w:pPr>
            <w:r>
              <w:t>P.</w:t>
            </w:r>
            <w:r>
              <w:tab/>
            </w:r>
            <w:r>
              <w:t>tā kā ārpus Eiropas esošo tehnoloģiju uzņēmumu, jo īpaši to, kas atrodas Amerikas Savienotajās Valstīs un Ķīnā, pieaugošā ietekme ir parādījusi ES stratēģisko atkarību tādās kritiski svarīgās jomās kā datu infrastruktūra</w:t>
            </w:r>
            <w:r>
              <w:rPr>
                <w:b/>
                <w:i/>
              </w:rPr>
              <w:t>, satelītsakari</w:t>
            </w:r>
            <w:r>
              <w:t>, mākoņpakalpojumi un sociālo mediju platformas; tā kā vietējo inovāciju veicināšana, atbalsts Eiropas jaunuzņēmumiem un investīcijas suverēnā digitālajā infrastruktūrā ir būtiski soļi ceļā uz konkurētspējīgas, drošas un noturīgas ES digitālās ekosistēmas izveidi; tā kā digitālās inovācijas saskaņošana ar demokrātiskajām vērtībām un pamattiesībām sniedz ES iespēju kļūt par pasaules līderi atbildīgu un uz cilvēku orientētu tehnoloģiju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tā kā Eiropas tehnoloģiskā suverenitāte un stratēģiskā autonomija sākas ar Savienības aizsardzības atkarības būtisku samazināšanu;</w:t>
            </w:r>
            <w:r>
              <w:t xml:space="preserve"> </w:t>
            </w:r>
            <w:r>
              <w:rPr>
                <w:b/>
                <w:i/>
              </w:rPr>
              <w:t>tā kā spēcīga un uzticama Eiropas aizsardzības nostāja ir pamatā Savienības demokrātisko sistēmu noturībai un tās spējai īstenot savu tiesisko regulējumu, tostarp Digitālo pakalpojumu aktu (DPA);</w:t>
            </w:r>
            <w:r>
              <w:t xml:space="preserve"> </w:t>
            </w:r>
            <w:r>
              <w:rPr>
                <w:b/>
                <w:i/>
              </w:rPr>
              <w:t>tā kā tāpēc Eiropas aizsardzības spēju stiprināšana ir priekšnoteikums, lai aizsargātu demokrātisko noturību un samazinātu stratēģisko atkarību citās kritiski svarīgās jomās;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tā kā publiski paziņojumi, politiski apstiprinājumi un Amerikas Savienoto Valstu administrācijas politiķu atkārtoti paustais atbalsts galēji labējām politiskajām partijām un līderiem Eiropas Savienībā ir politiskas iejaukšanās veids Savienības demokrātiskajā telpā, ciktāl to mērķis ir ietekmēt politisko diskursu, leģitimizēt galēji labējos dalībniekus un ietekmēt vēlēšanu dinamiku dalībvalstīs;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tā kā Ķīna kontrolē aptuveni 70 % no pasaules retzemju metālu ieguves un 90 % no pārstrādes, nodrošinot tai gandrīz monopolu uz dažiem kritiski svarīgiem elementiem, kas ir būtiski augsto tehnoloģiju, aizsardzības un zaļās enerģijas nozarēs;</w:t>
            </w:r>
            <w:r>
              <w:t xml:space="preserve"> </w:t>
            </w:r>
            <w:r>
              <w:rPr>
                <w:b/>
                <w:i/>
              </w:rPr>
              <w:t>tā kā Ķīna stratēģiski izmanto šo pozīciju, īstenojot eksporta kontroli, lai gūtu politiskas un ekonomiskas priekšrocības, kas padara ES autobūves un zaļo rūpniecību ļoti neaizsargātu pret šiem ierobežojumiem;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tā kā ģeoekonomiskā piespiešana, tostarp tādi instrumenti kā parāda slazdu prakse, mērķtiecīga eksporta kontrole un Eiropas uzņēmumu stratēģiska iegāde, ko veic dalībnieki no trešām valstīm, var apdraudēt Savienības un dalībvalstu lēmumu pieņemšanas suverenitāti un negatīvi ietekmēt demokrātisko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tā kā ārvalstu ietekme var rasties arī, izmantojot ilgtermiņa institucionālos kanālus, tostarp ar valsti saistītas organizācijas, fondus, reliģiskās struktūras, akadēmiskās partnerības un korporatīvo tīklu;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tā kā ārvalstu ietekmes operācijas neaprobežojas tikai ar dezinformācijas kampaņām tiešsaistē, bet var izpausties arī kā ilgtermiņa strukturāla iesaiste, izmantojot finansēšanas tīklus, kultūras un reliģiskās organizācijas, akadēmisko sadarbību, diasporas iesaisti un stratēģiskas partnerības;</w:t>
            </w:r>
            <w:r>
              <w:t xml:space="preserve"> </w:t>
            </w:r>
            <w:r>
              <w:rPr>
                <w:b/>
                <w:i/>
              </w:rPr>
              <w:t>tā kā šāda ietekme var notikt, izmantojot likumīgus kanālus, un tādēļ ir vajadzīga pārredzamība, nevis pieņēmums par nelikumību;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tā kā Ķīnas uzņēmumiem, kas ir cieši saistīti ar Ķīnas Komunistisko partiju, tagad pieder daļas vairāk nekā 30 Eiropas jūras ostu termināļos, kas bieži vien atrodas Eiropas militāro jūras spēku bāzu tiešā tuvumā;</w:t>
            </w:r>
            <w:r>
              <w:t xml:space="preserve"> </w:t>
            </w:r>
            <w:r>
              <w:rPr>
                <w:b/>
                <w:i/>
              </w:rPr>
              <w:t>tā kā ar Komisijas Balto grāmatu par Eiropas aizsardzības gatavību 2030 tika ieviesta ideja par stingrāku kontroli attiecībā uz ārvalstu īpašumā esošu kritisko transporta infrastruktūru;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tā kā atjaunīgo energoresursu enerģija ir būtisks atspēriena punkts Eiropas enerģētiskajai suverenitātei;</w:t>
            </w:r>
            <w:r>
              <w:t xml:space="preserve"> </w:t>
            </w:r>
            <w:r>
              <w:rPr>
                <w:b/>
                <w:i/>
              </w:rPr>
              <w:t>tā kā saskaņā ar Wood Mackenzie 2025. gada analīzi deviņi no desmit pasaules lielākajiem saules enerģijas iekārtu invertoru piegādātājiem atrodas Ķīnā;</w:t>
            </w:r>
            <w:r>
              <w:t xml:space="preserve"> </w:t>
            </w:r>
            <w:r>
              <w:rPr>
                <w:b/>
                <w:i/>
              </w:rPr>
              <w:t>tā kā Ķīnā ražotos saules enerģijas invertoros, ko izmanto Eiropā un Amerikas Savienotajās Valstīs, ir atklātas slēptas sakaru ierīces;</w:t>
            </w:r>
            <w:r>
              <w:t xml:space="preserve"> </w:t>
            </w:r>
            <w:r>
              <w:rPr>
                <w:b/>
                <w:i/>
              </w:rPr>
              <w:t>tā kā saskaņā ar Čehijas kiberdrošības biroja sniegto informāciju pastāv riski attiecībā uz datu aizsardzību un - ārkārtas gadījumos - attālinātām manipulācijām ar saules enerģijas invertoriem;</w:t>
            </w:r>
            <w:r>
              <w:t xml:space="preserve"> </w:t>
            </w:r>
            <w:r>
              <w:rPr>
                <w:b/>
                <w:i/>
              </w:rPr>
              <w:t>tā kā saules elektrostacijas, kas ir savstarpēji savienotas decentralizētā blīvā tīklā, ir vairāk pakļautas kiberuzbrukumiem un tādēļ tām ir vajadzīgs stingrāks regulējums un drošības pasākumi;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tā kā dažas trešās valstis aktīvi uztur strukturētas attiecības ar diasporas kopienām Savienībā, izmantojot ar valsti saistītas iestādes, reliģiskās pārvaldes iestādes un kultūras tīklus;</w:t>
            </w:r>
            <w:r>
              <w:t xml:space="preserve"> </w:t>
            </w:r>
            <w:r>
              <w:rPr>
                <w:b/>
                <w:i/>
              </w:rPr>
              <w:t>tā kā šāda iesaistīšanās, kas daudzos gadījumos ir likumīga, var kalpot arī par ietekmes, informācijas ietekmēšanas vai politiskās mobilizācijas līdzekli;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tā kā Spānija ir noslēgusi līgumu ar Huawei, kas piešķir tam tiesības pārvaldīt un glabāt tiesas apstiprinātas sarunu noklausīšanās materiālus, kurus izmanto gan tiesībaizsardzības, gan izlūkošanas dienesti;</w:t>
            </w:r>
            <w:r>
              <w:t xml:space="preserve"> </w:t>
            </w:r>
            <w:r>
              <w:rPr>
                <w:b/>
                <w:i/>
              </w:rPr>
              <w:t>tā kā Komisija drošības apsvērumu dēļ ir ierobežojusi Huawei piekļuvi 5G tīkliem visā Eiropas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tā kā apgalvojumiem par vainojamību ārvalstu īstenotās informācijas manipulācijas operācijās ir vajadzīgi augsti pierādījumu standarti un pārredzama metodika, ņemot vērā šādu apgalvojumu iespējamo ietekmi uz politisko stabilitāti, sabiedrības uzticēšanos un vēlēšanu leģitimitāti;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tā kā saskaņā ar Apvienotās Karalistes izlūkdienestu sniegto informāciju Krievija uzlauza tūkstošiem videonovērošanas kameru Ukrainā un Eiropas Savienībā, lai uzraudzītu ārvalstu piegādes Ukrainas bruņotajiem spēkiem;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tā kā Krievija ir pastiprinājusi hibrīdkaru pret Poliju un Baltijas valstīm, īstenojot kiberuzbrukumus, sabotāžu un dezinformāciju un attēlojot Polijas aizsardzības darbības kā provokācijas, lai saasinātu iekšzemes naratīvu;</w:t>
            </w:r>
            <w:r>
              <w:t xml:space="preserve"> </w:t>
            </w:r>
            <w:r>
              <w:rPr>
                <w:b/>
                <w:i/>
              </w:rPr>
              <w:t>tā kā Polijā pieaug pret Ukrainu vērsts noskaņojums;</w:t>
            </w:r>
            <w:r>
              <w:t xml:space="preserve"> </w:t>
            </w:r>
            <w:r>
              <w:rPr>
                <w:b/>
                <w:i/>
              </w:rPr>
              <w:t>tā kā saskaņā ar Polijas valdības sniegto informāciju Krievijas slepenie dienesti vadīja 2024. gada dedzināšanas uzbrukumu Varšavas iepirkšanās centram;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Pg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Pg.</w:t>
            </w:r>
            <w:r>
              <w:tab/>
            </w:r>
            <w:r>
              <w:rPr>
                <w:b/>
                <w:i/>
              </w:rPr>
              <w:t>tā kā Krievija un pats Putins aktīvi iesaistās vēstures revizionismā, noliedzot to valstu identitāti un suverenitāti, kuras kādreiz bija Krievijas valdījumā;</w:t>
            </w:r>
            <w:r>
              <w:t xml:space="preserve"> </w:t>
            </w:r>
            <w:r>
              <w:rPr>
                <w:b/>
                <w:i/>
              </w:rPr>
              <w:t>tā kā šos vēstījumus popularizē Krievijas propaganda Krievijā, ES dalībvalstīs un globālajos dienvidos, lai attaisnotu Krievijas iejaukšanos dažādās 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ab/>
            </w:r>
            <w:r>
              <w:rPr>
                <w:b/>
                <w:i/>
              </w:rPr>
              <w:t>tā kā pētījumi liecina par satraucošu tendenci tiešsaistes platformu ieņēmumu sadalīšanas programmās, atklājot, ka plašsaziņas līdzekļi, uz kuriem attiecas sankcijas, piemēram, Sputnik un Russia Today, vairākus mēnešus pēc ES sankciju ieviešanas pret Krieviju joprojām ir norādīti kā Facebook "partnerizdevēji", radot jautājumus par to, vai tie ir turpinājuši gūt finansiālu labumu;</w:t>
            </w:r>
            <w:r>
              <w:t xml:space="preserve"> </w:t>
            </w:r>
            <w:r>
              <w:rPr>
                <w:b/>
                <w:i/>
              </w:rPr>
              <w:t>tā kā šādi necaurredzami monetizācijas mehānismi ļauj ar ārvalstīm saistītiem valstiskajiem dalībniekiem gūt peļņu no dezinformācijas izplatīšanas un turpina destabilizēt ES informācijas telpu, neraugoties uz regulatīvajiem pasākumiem;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w:t>
            </w:r>
            <w:r>
              <w:tab/>
            </w:r>
            <w:r>
              <w:t>tā kā pētījumi liecina par satraucošu tendenci tiešsaistes platformu ieņēmumu sadalīšanas programmās, atklājot, ka plašsaziņas līdzekļi, uz kuriem attiecas sankcijas, piemēram, Sputnik un Russia Today, vairākus mēnešus pēc ES sankciju ieviešanas pret Krieviju joprojām ir norādīti kā Facebook "partnerizdevēji", radot jautājumus par to, vai tie ir turpinājuši gūt finansiālu labumu; tā kā šādi necaurredzami monetizācijas mehānismi ļauj ar ārvalstīm saistītiem valstiskajiem dalībniekiem gūt peļņu no dezinformācijas izplatīšanas un turpina destabilizēt ES informācijas telpu, neraugoties uz regulatīvajiem pasākumiem;</w:t>
            </w:r>
          </w:p>
        </w:tc>
        <w:tc>
          <w:tcPr>
            <w:tcW w:w="4876" w:type="dxa"/>
            <w:tcBorders>
              <w:top w:val="nil"/>
              <w:left w:val="nil"/>
              <w:bottom w:val="nil"/>
              <w:right w:val="nil"/>
            </w:tcBorders>
          </w:tcPr>
          <w:p>
            <w:pPr>
              <w:pStyle w:val="Normal6a"/>
            </w:pPr>
            <w:r>
              <w:rPr>
                <w:b/>
                <w:i/>
              </w:rPr>
              <w:t>Q</w:t>
            </w:r>
            <w:r>
              <w:t>.</w:t>
            </w:r>
            <w:r>
              <w:tab/>
            </w:r>
            <w:r>
              <w:t xml:space="preserve">tā kā pētījumi liecina par satraucošu tendenci tiešsaistes platformu ieņēmumu sadalīšanas programmās, atklājot, ka plašsaziņas līdzekļi, uz kuriem attiecas sankcijas, piemēram, Sputnik un Russia Today, vairākus mēnešus pēc ES sankciju ieviešanas pret Krieviju joprojām ir norādīti kā Facebook "partnerizdevēji", radot jautājumus par to, vai tie ir turpinājuši gūt finansiālu labumu; tā kā šādi necaurredzami monetizācijas mehānismi ļauj ar ārvalstīm saistītiem valstiskajiem dalībniekiem gūt peļņu no dezinformācijas izplatīšanas un turpina destabilizēt ES informācijas telpu, neraugoties uz regulatīvajiem pasākumiem; </w:t>
            </w:r>
            <w:r>
              <w:rPr>
                <w:b/>
                <w:i/>
              </w:rPr>
              <w:t>tā kā Meta ir vienīgais lielais tehnoloģiju uzņēmums, kas regulāri publicē savus monetizācijas datus, sniedzot minimālu informāciju, taču citas tiešsaistes platformas joprojām ir pilnībā nepārredzamas;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J</w:t>
            </w:r>
            <w:r>
              <w:t>.</w:t>
            </w:r>
            <w:r>
              <w:tab/>
            </w:r>
            <w:r>
              <w:t>tā kā pētījumi liecina par satraucošu tendenci tiešsaistes platformu ieņēmumu sadalīšanas programmās, atklājot, ka plašsaziņas līdzekļi, uz kuriem attiecas sankcijas, piemēram, Sputnik un Russia Today, vairākus mēnešus pēc ES sankciju ieviešanas pret Krieviju joprojām ir norādīti kā Facebook "partnerizdevēji", radot jautājumus par to, vai tie ir turpinājuši gūt finansiālu labumu; tā kā šādi necaurredzami monetizācijas mehānismi ļauj ar ārvalstīm saistītiem valstiskajiem dalībniekiem gūt peļņu no dezinformācijas izplatīšanas un turpina destabilizēt ES informācijas telpu, neraugoties uz regulatīvajiem pasākumiem;</w:t>
            </w:r>
          </w:p>
        </w:tc>
        <w:tc>
          <w:tcPr>
            <w:tcW w:w="4876" w:type="dxa"/>
            <w:tcBorders>
              <w:top w:val="nil"/>
              <w:left w:val="nil"/>
              <w:bottom w:val="nil"/>
              <w:right w:val="nil"/>
            </w:tcBorders>
          </w:tcPr>
          <w:p>
            <w:pPr>
              <w:pStyle w:val="Normal6a"/>
            </w:pPr>
            <w:r>
              <w:rPr>
                <w:b/>
                <w:i/>
              </w:rPr>
              <w:t>Q</w:t>
            </w:r>
            <w:r>
              <w:t>.</w:t>
            </w:r>
            <w:r>
              <w:tab/>
            </w:r>
            <w:r>
              <w:t xml:space="preserve">tā kā pētījumi liecina par satraucošu tendenci tiešsaistes platformu ieņēmumu sadalīšanas programmās, atklājot, ka plašsaziņas līdzekļi, uz kuriem attiecas sankcijas, piemēram, Sputnik un Russia Today, vairākus mēnešus pēc ES sankciju ieviešanas pret Krieviju joprojām ir norādīti kā Facebook "partnerizdevēji", radot jautājumus par to, vai tie ir turpinājuši gūt finansiālu labumu; tā kā šādi necaurredzami monetizācijas mehānismi ļauj ar ārvalstīm saistītiem valstiskajiem dalībniekiem gūt peļņu no dezinformācijas izplatīšanas un turpina destabilizēt ES </w:t>
            </w:r>
            <w:r>
              <w:rPr>
                <w:b/>
                <w:i/>
              </w:rPr>
              <w:t>un tās dalībvalstu</w:t>
            </w:r>
            <w:r>
              <w:t xml:space="preserve"> informācijas telpu, neraugoties uz regulatīvajiem pasākumiem;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tā kā Izraēla ir kļuvusi par nozīmīgu dalībnieku novērošanas un digitālās drošības infrastruktūras nodrošināšanā vairākām ES dalībvalstīm, neraugoties uz pastāvīgajām bažām par ierobežoto pārredzamību un uzraudzību;</w:t>
            </w:r>
            <w:r>
              <w:t xml:space="preserve"> </w:t>
            </w:r>
            <w:r>
              <w:rPr>
                <w:b/>
                <w:i/>
              </w:rPr>
              <w:t>tā kā pieaugošā tehnoloģiskā atkarība no Izraēlas var apdraudēt Eiropas stratēģisko suverenitāti un mazināt dalībvalstu spēju saglabāt pilnīgu un autonomu kontroli pār saviem kiberdrošības rīkiem;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tā kā tiešsaistes reklāmas pakalpojumu sniedzēju sarežģītā ķēde ik gadu nodrošina miljardiem euro, sākot no likumīgiem zīmoliem līdz tīmekļa vietnēm, par kurām ir zināms, ka tās publicē maldinošu informāciju un dezinformāciju;</w:t>
            </w:r>
            <w:r>
              <w:t xml:space="preserve"> </w:t>
            </w:r>
            <w:r>
              <w:rPr>
                <w:b/>
                <w:i/>
              </w:rPr>
              <w:t>tā kā šī ieņēmumu plūsma ir būtiska tādu tīmekļa vietņu finansiālai izdzīvošanai, kas maskējas kā vietējās ziņas, polarizē kopienas un mazina uzticēšanos kvalitatīvai žurnālistikai;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tā kā vēlēšanu process ir katras dalībvalsts suverenitātes pamatelements un tam jāpaliek galvenokārt valsts iestāžu kompetencē saskaņā ar to konstitucionālajām tradīcijām un tiesisko regulējumu;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Qb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tā kā Izraēla klasificē spiegprogrammatūru un citas digitālās ielaušanās tehnoloģijas kā kiberaizsardzības aprīkojumu, uz kuru attiecas tās Aizsardzības ministrijas izdotas eksporta licences, un tādējādi ir izveidota cieša saikne starp valsts aizsardzības industriju, izlūkdienestiem un diplomātisko aparātu;</w:t>
            </w:r>
            <w:r>
              <w:t xml:space="preserve"> </w:t>
            </w:r>
            <w:r>
              <w:rPr>
                <w:b/>
                <w:i/>
              </w:rPr>
              <w:t>tā kā tādiem uzņēmumiem kā NSO Group, Candiru, Paragon un Cognyte, kurus dibinājuši vai kuru darbinieki ir bijušie Izraēlas izlūkdienestu darbinieki, ir būtiska nozīme šajā ekosistēmā un uzraudzības un ielaušanās instrumentu eksportā valdībām visā pasaulē, tostarp vairākām valdībām Eiropas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w:t>
            </w:r>
          </w:p>
        </w:tc>
        <w:tc>
          <w:tcPr>
            <w:tcW w:w="4876" w:type="dxa"/>
            <w:tcBorders>
              <w:top w:val="nil"/>
              <w:left w:val="nil"/>
              <w:bottom w:val="nil"/>
              <w:right w:val="nil"/>
            </w:tcBorders>
          </w:tcPr>
          <w:p>
            <w:pPr>
              <w:pStyle w:val="Normal6a"/>
            </w:pPr>
            <w:r>
              <w:t>R.</w:t>
            </w:r>
            <w:r>
              <w:tab/>
            </w:r>
            <w:r>
              <w:t xml:space="preserve">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 </w:t>
            </w:r>
            <w:r>
              <w:rPr>
                <w:b/>
                <w:i/>
              </w:rPr>
              <w:t>tā kā tas apliecina izglītības, medijpratības un kritiski svarīgo digitālo prasmju izšķirošo nozīmi, ļaujot iedzīvotājiem, jo īpaši jauniešiem un pirmreizējiem vēlētājiem, identificēt aizspriedumus, manipulācijas un propagandu un izdarīt uz informāciju balstītu demokrātisku izvēli;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w:t>
            </w:r>
          </w:p>
        </w:tc>
        <w:tc>
          <w:tcPr>
            <w:tcW w:w="4876" w:type="dxa"/>
            <w:tcBorders>
              <w:top w:val="nil"/>
              <w:left w:val="nil"/>
              <w:bottom w:val="nil"/>
              <w:right w:val="nil"/>
            </w:tcBorders>
          </w:tcPr>
          <w:p>
            <w:pPr>
              <w:pStyle w:val="Normal6a"/>
            </w:pPr>
            <w:r>
              <w:t>R.</w:t>
            </w:r>
            <w:r>
              <w:tab/>
            </w:r>
            <w:r>
              <w:t>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w:t>
            </w:r>
            <w:r>
              <w:rPr>
                <w:b/>
                <w:i/>
              </w:rPr>
              <w:t>, un to var uzskatīt par norādi uz šādu sistēmu pārredzamības trūkumu un iespējamo neuzticamību, jo īpaši ņemot vērā to, ka MI izmantošana pieaug un cilvēki arvien vairāk vēršas pie MI, lai saņemtu konsultācijas par lēmumiem ar lielu ietekmi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w:t>
            </w:r>
          </w:p>
        </w:tc>
        <w:tc>
          <w:tcPr>
            <w:tcW w:w="4876" w:type="dxa"/>
            <w:tcBorders>
              <w:top w:val="nil"/>
              <w:left w:val="nil"/>
              <w:bottom w:val="nil"/>
              <w:right w:val="nil"/>
            </w:tcBorders>
          </w:tcPr>
          <w:p>
            <w:pPr>
              <w:pStyle w:val="Normal6a"/>
            </w:pPr>
            <w:r>
              <w:t>R.</w:t>
            </w:r>
            <w:r>
              <w:tab/>
            </w:r>
            <w:r>
              <w:t xml:space="preserve">tā kā aptaujā, kas veikta pirms 2025. gada parlamenta vēlēšanām Nīderlandē, viens no desmit respondentiem norādīja, ka, visticamāk, lūgs mākslīgajam intelektam padomu balsošanā, savukārt vēl 13 % norādīja, ka, iespējams, to izmantos; tā kā Nīderlandē gados jaunāko vēlētāju kopējais skaits pārsniedz vienu trešdaļu no visiem vēlētājiem; tā kā šī tendence atbilst konstatējumiem visās dalībvalstīs un pasaulē; tā kā nesens Nīderlandes datu aizsardzības iestādes pētījums liecina, ka mākslīgā intelekta sarunbotu ģenerētie balsošanas ieteikumi bieži vien sniedz ļoti sagrozītu un polarizētu priekšstatu par politisko ainu; </w:t>
            </w:r>
            <w:r>
              <w:rPr>
                <w:b/>
                <w:i/>
              </w:rPr>
              <w:t>tā kā ieguldījumi atklātā pirmkoda LLM, piemēram, Francijas Mistral, izstrādē ir viens no veidiem, kā mazināt bažas par slēptiem aizspriedumiem, aizmugursistēmām vai datu ļaunprātīgu izmantošanu MI sarunbotos;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tā kā ļoti lielas tiešsaistes platformas un meklētājprogrammas ir kļuvušas par publiskās telpas de facto vārtziņiem un galvenajiem starpniekiem attiecībā uz piekļuvi informācijai, tādējādi būtiski ietekmējot to, ar kādu informāciju iedzīvotāji saskaras, kā tā tiek prioritizēta un ar kādiem nosacījumiem tā tiek izplatīta;</w:t>
            </w:r>
            <w:r>
              <w:t xml:space="preserve"> </w:t>
            </w:r>
            <w:r>
              <w:rPr>
                <w:b/>
                <w:i/>
              </w:rPr>
              <w:t>tā kā algoritmiskās ranžēšanas sistēmas, ieteikumu sistēmas, nepārredzama satura moderācijas prakse un monetizācijas modeļi, kuru pamatā ir iesaiste, var tīši vai netīši izkropļot informācijas vidi, sadrumstalot publisko telpu un apdraudēt iedzīvotāju faktiskās tiesības saņemt precīzu un plurālistisku informāciju;</w:t>
            </w:r>
            <w:r>
              <w:t xml:space="preserve"> </w:t>
            </w:r>
            <w:r>
              <w:rPr>
                <w:b/>
                <w:i/>
              </w:rPr>
              <w:t>tā kā pārredzamības, pārskatatbildības un riska mazināšanas nodrošināšana platformās saskaņā ar Digitālo pakalpojumu aktu ir būtiska, lai aizsargātu publiskās telpas integritāti un visu iedzīvotāju tiesību uz informāciju efektīvu īstenošanu;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uzsver, ka MI ģenerētiem balsošanas ieteikumiem un reklāmām vajadzētu būt pārredzamām, nefinansētām un neietekmētām, lai veicinātu konkrētas politiskās intereses, un ir pilnībā jāievēro ES Digitālo pakalpojumu akts nolūkā novērst manipulācijas un aizsargāt iedzīvotāju demokrātisko izvēļu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Ra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tā kā saskaņā ar Investigace.cz veikto izmeklēšanu Krievija aktīvi iejaucās 2025. gada Vācijas federālajās vēlēšanās, vēršoties pret proeiropeiskām politiskajām partijām, proti, CDU, SPD un Greens, taču ne pret AfD, BSW un Die Linke;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 </w:t>
            </w:r>
            <w:r>
              <w:rPr>
                <w:b/>
                <w:i/>
              </w:rPr>
              <w:t>tā kā Komisijas gada ziņojumā par tiesiskumu ir iekļauts īpašs pīlārs attiecībā uz mediju brīvību un mediju plurālismu, tādējādi atzīstot ciešo saikni starp tiesiskuma stāvokli, neatkarīgas žurnālistikas aizsardzību un informācijas vides noturību;</w:t>
            </w:r>
            <w:r>
              <w:t xml:space="preserve"> </w:t>
            </w:r>
            <w:r>
              <w:rPr>
                <w:b/>
                <w:i/>
              </w:rPr>
              <w:t>tā kā mijiedarbības stiprināšana starp tiesiskuma uzraudzības mehānismiem un politiku, kuras mērķis ir apkarot dezinformāciju, uzlabotu Savienības spēju atklāt agrīnās brīdināšanas signālus, novērst strukturālo neaizsargātību un pastiprināt demokrātiskos aizsardzības pasākumus visās dalībvalstīs;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w:t>
            </w:r>
            <w:r>
              <w:rPr>
                <w:b/>
                <w:i/>
              </w:rPr>
              <w:t>nozīmē</w:t>
            </w:r>
            <w:r>
              <w:t xml:space="preserve">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w:t>
            </w:r>
            <w:r>
              <w:rPr>
                <w:b/>
                <w:i/>
              </w:rPr>
              <w:t>un, lai tās tiktu pilnībā īstenotas, tām ir jāietver maksimāla brīvība atklāti paust nostāju, kas ir pretrunā vispārpieņemtajai nostājai (mainstream)</w:t>
            </w:r>
            <w:r>
              <w:t xml:space="preserve">; tā kā ES apņemšanās ievērot vārda brīvību </w:t>
            </w:r>
            <w:r>
              <w:rPr>
                <w:b/>
                <w:i/>
              </w:rPr>
              <w:t>ir būtisks instruments, ar kuru sekmē Savienības demokrātisko vitalitāti un</w:t>
            </w:r>
            <w:r>
              <w:t xml:space="preserve">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w:t>
            </w:r>
            <w:r>
              <w:rPr>
                <w:b/>
                <w:i/>
              </w:rPr>
              <w:t>plurālisma un preses brīvības trūkums dažās kandidātvalstīs kaitē ne tikai vietējiem iedzīvotājiem, bet arī Savienībai, ņemot vērā biežās mediju manipulācijas, lai izplatītu dezinformāciju;</w:t>
            </w:r>
            <w:r>
              <w:t xml:space="preserve"> </w:t>
            </w:r>
            <w:r>
              <w:rPr>
                <w:b/>
                <w:i/>
              </w:rPr>
              <w:t>tā kā</w:t>
            </w:r>
            <w:r>
              <w:t xml:space="preserve"> mediju brīvība un plurālisms, kā arī dinamiskas pilsoniskās telpas pastāvēšana sniedz sabiedrībai iespēju atklāt, atmaskot un noraidīt manipulatīvus naratīvus, izmantojot demokrātisku apspriešanu;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w:t>
            </w:r>
            <w:r>
              <w:rPr>
                <w:b/>
                <w:i/>
              </w:rPr>
              <w:t>pret FIMI vērstu stratēģiju, kas</w:t>
            </w:r>
            <w:r>
              <w:t xml:space="preserve">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w:t>
            </w:r>
            <w:r>
              <w:rPr>
                <w:b/>
                <w:i/>
              </w:rPr>
              <w:t>runas brīvību, nebaidoties no soda par publiskoto viedokli, un tas</w:t>
            </w:r>
            <w:r>
              <w:t xml:space="preserve">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 </w:t>
            </w:r>
            <w:r>
              <w:rPr>
                <w:b/>
                <w:i/>
              </w:rPr>
              <w:t>tā kā tas ietver arī uzskatu brīvību un brīvību saņemt un izplatīt informāciju bez iejaukšanās;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w:t>
            </w:r>
            <w:r>
              <w:rPr>
                <w:b/>
                <w:i/>
              </w:rPr>
              <w:t>Vispārējās cilvēktiesību deklarācijas 19. pantā,</w:t>
            </w:r>
            <w:r>
              <w:t xml:space="preserve"> Eiropas Savienības Pamattiesību hartas 11. pantā un Eiropas Cilvēktiesību konvencijas 10. pantā, ir demokrātijas stūrakmens; tā kā ES apņemšanās ievērot vārda brīvību nozīmē saskaņotu un principiālu pret FIMI vērstu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w:t>
            </w:r>
            <w:r>
              <w:rPr>
                <w:b/>
                <w:i/>
              </w:rPr>
              <w:t>pret FIMI vērstu</w:t>
            </w:r>
            <w:r>
              <w:t xml:space="preserve">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c>
          <w:tcPr>
            <w:tcW w:w="4876" w:type="dxa"/>
            <w:tcBorders>
              <w:top w:val="nil"/>
              <w:left w:val="nil"/>
              <w:bottom w:val="nil"/>
              <w:right w:val="nil"/>
            </w:tcBorders>
          </w:tcPr>
          <w:p>
            <w:pPr>
              <w:pStyle w:val="Normal6a"/>
            </w:pPr>
            <w:r>
              <w:t>S.</w:t>
            </w:r>
            <w:r>
              <w:tab/>
            </w:r>
            <w:r>
              <w:t xml:space="preserve">tā kā pamattiesības uz vārda un informācijas brīvību, kas noteiktas Eiropas Savienības Pamattiesību hartas 11. pantā un Eiropas Cilvēktiesību konvencijas 10. pantā, ir demokrātijas stūrakmens; tā kā ES apņemšanās ievērot vārda brīvību nozīmē saskaņotu un principiālu </w:t>
            </w:r>
            <w:r>
              <w:rPr>
                <w:b/>
                <w:i/>
              </w:rPr>
              <w:t>manipulāciju apkarošanas</w:t>
            </w:r>
            <w:r>
              <w:t xml:space="preserve"> stratēģiju, kas krasi atšķiras no ierobežojumiem, ko autoritārie spēki sistemātiski uzspiež saviem iedzīvotājiem; tā kā mediju brīvība un plurālisms, kā arī dinamiskas pilsoniskās telpas pastāvēšana sniedz sabiedrībai iespēju atklāt, atmaskot un noraidīt manipulatīvus naratīvus, izmantojot demokrātisku apspriešanu;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ņemot vērā Eiropas Cilvēktiesību tiesas 1976. gada 7. decembra spriedumu lietā Handyside pret Apvienoto Karalisti, kurā noteikts, ka vārda brīvība ir viens no demokrātiskas sabiedrības galvenajiem stūrakmeņiem un ir piemērojama ne tikai informācijai vai idejām, ko uztver labvēlīgi vai uzskata par neaizskarošām vai vienaldzīgām, bet arī tām, kas aizskar, šokē vai traucē valsti vai kādu sabiedrības daļu;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tā kā Digitālajā pakalpojumu aktā paredzētā ārpustiesas strīdu izšķiršanas kārtība aptver plašu platformu lēmumu kopumu un procesuālo izmaksu sadale var radīt stimulus platformām izvairīties no strīdiem, ievērojot izņemšanas/ierobežošanas prasības pat tad, ja apgalvojumi par saturu tiek apstrīdēti, tādējādi potenciāli radot de facto ierobežojumus likumīgai runai izmaksu riska asimetrijas, nevis tiesas konstatējumu dēļ;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Sa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tā kā Eiropas Komisija 2025. gada 24. oktobrī publicēja sākotnējos konstatējumus, kas liecina, ka Meta platformas, iespējams, ir pārkāpušas konkrētus Digitālo pakalpojumu aktā noteiktos pārredzamības un lietotāju aizsardzības pienākumus, jo īpaši attiecībā uz pienācīgas piekļuves publiskajiem datiem nodrošināšanu pētniekiem un tādu mehānismu nodrošināšanu, ar kuriem varētu ziņot par nelikumīgu saturu un apstrīdēt satura moderācijas lēmumus;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tā kā vārda un informācijas brīvība ir pamattiesības, kas paredzētas cilvēku, nevis mašīnu, botu vai mākslīgā intelekta aizsardzībai;</w:t>
            </w:r>
          </w:p>
        </w:tc>
        <w:tc>
          <w:tcPr>
            <w:tcW w:w="4876" w:type="dxa"/>
            <w:tcBorders>
              <w:top w:val="nil"/>
              <w:left w:val="nil"/>
              <w:bottom w:val="nil"/>
              <w:right w:val="nil"/>
            </w:tcBorders>
          </w:tcPr>
          <w:p>
            <w:pPr>
              <w:pStyle w:val="Normal6a"/>
            </w:pPr>
            <w:r>
              <w:t>T.</w:t>
            </w:r>
            <w:r>
              <w:tab/>
            </w:r>
            <w:r>
              <w:t xml:space="preserve">tā kā vārda un informācijas brīvība ir pamattiesības, kas paredzētas cilvēku, nevis mašīnu, botu vai mākslīgā intelekta aizsardzībai; </w:t>
            </w:r>
            <w:r>
              <w:rPr>
                <w:b/>
                <w:i/>
              </w:rPr>
              <w:t>tā kā Eiropas Savienība joprojām ir stingri un nepārprotami apņēmusies aizsargāt vārda brīvību kā demokrātijas pamatvērtību un konstitucionālās kārtības pīlāru;</w:t>
            </w:r>
            <w:r>
              <w:t xml:space="preserve"> </w:t>
            </w:r>
            <w:r>
              <w:rPr>
                <w:b/>
                <w:i/>
              </w:rPr>
              <w:t>tā kā šī apņemšanās ir jāpapildina ar skaidru tiesisko regulējumu, kas nodrošina, ka šīs brīvības izmantošana nav iegansts nelikumīga satura izplatīšanai, koordinētai manipulācijai vai citām nelikumīgām darbībām un ka ir ieviesti atbilstoši aizsardzības pasākumi un samērīgi uzraudzības mehānismi, lai aizsargātu pamattiesības, sabiedrisko kārtību un demokrātiskā diskursa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tā kā vārda un informācijas brīvība ir pamattiesības, kas paredzētas </w:t>
            </w:r>
            <w:r>
              <w:rPr>
                <w:b/>
                <w:i/>
              </w:rPr>
              <w:t>cilvēku</w:t>
            </w:r>
            <w:r>
              <w:t xml:space="preserve">, nevis mašīnu, botu vai </w:t>
            </w:r>
            <w:r>
              <w:rPr>
                <w:b/>
                <w:i/>
              </w:rPr>
              <w:t>mākslīgā intelekta</w:t>
            </w:r>
            <w:r>
              <w:t xml:space="preserve"> aizsardzībai;</w:t>
            </w:r>
          </w:p>
        </w:tc>
        <w:tc>
          <w:tcPr>
            <w:tcW w:w="4876" w:type="dxa"/>
            <w:tcBorders>
              <w:top w:val="nil"/>
              <w:left w:val="nil"/>
              <w:bottom w:val="nil"/>
              <w:right w:val="nil"/>
            </w:tcBorders>
          </w:tcPr>
          <w:p>
            <w:pPr>
              <w:pStyle w:val="Normal6a"/>
            </w:pPr>
            <w:r>
              <w:t>T.</w:t>
            </w:r>
            <w:r>
              <w:tab/>
            </w:r>
            <w:r>
              <w:t xml:space="preserve">tā kā vārda un informācijas brīvība ir pamattiesības, kas paredzētas </w:t>
            </w:r>
            <w:r>
              <w:rPr>
                <w:b/>
                <w:i/>
              </w:rPr>
              <w:t>personu</w:t>
            </w:r>
            <w:r>
              <w:t xml:space="preserve">, nevis mašīnu, botu vai </w:t>
            </w:r>
            <w:r>
              <w:rPr>
                <w:b/>
                <w:i/>
              </w:rPr>
              <w:t>automatizētu sistēmu, tostarp MI,</w:t>
            </w:r>
            <w:r>
              <w:t xml:space="preserve"> aizsardzībai; </w:t>
            </w:r>
            <w:r>
              <w:rPr>
                <w:b/>
                <w:i/>
              </w:rPr>
              <w:t>tā kā tās ir vienas no pamattiesībām un pamatvērtībām, uz kurām balstās ES un kuras ir arī dalībvalstu konstitucionālo tradīciju pamatā;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tā kā vārda un informācijas brīvība ir pamattiesības, kas paredzētas cilvēku, nevis mašīnu, botu vai mākslīgā intelekta aizsardzībai;</w:t>
            </w:r>
          </w:p>
        </w:tc>
        <w:tc>
          <w:tcPr>
            <w:tcW w:w="4876" w:type="dxa"/>
            <w:tcBorders>
              <w:top w:val="nil"/>
              <w:left w:val="nil"/>
              <w:bottom w:val="nil"/>
              <w:right w:val="nil"/>
            </w:tcBorders>
          </w:tcPr>
          <w:p>
            <w:pPr>
              <w:pStyle w:val="Normal6a"/>
            </w:pPr>
            <w:r>
              <w:t>T.</w:t>
            </w:r>
            <w:r>
              <w:tab/>
            </w:r>
            <w:r>
              <w:t xml:space="preserve">tā kā vārda un informācijas brīvība ir pamattiesības, kas paredzētas cilvēku, nevis mašīnu, botu vai mākslīgā intelekta aizsardzībai; </w:t>
            </w:r>
            <w:r>
              <w:rPr>
                <w:b/>
                <w:i/>
              </w:rPr>
              <w:t>tā kā visiem centieniem reglamentēt MI būtu jānodrošina, ka šādi pasākumi neierobežo cilvēktiesības uz vārda brīvību, vienlaikus pilnībā respektējot cilvēka cieņu;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tā kā vārda un informācijas brīvība ir pamattiesības, kas paredzētas cilvēku, nevis mašīnu, botu vai mākslīgā intelekta aizsardzībai;</w:t>
            </w:r>
          </w:p>
        </w:tc>
        <w:tc>
          <w:tcPr>
            <w:tcW w:w="4876" w:type="dxa"/>
            <w:tcBorders>
              <w:top w:val="nil"/>
              <w:left w:val="nil"/>
              <w:bottom w:val="nil"/>
              <w:right w:val="nil"/>
            </w:tcBorders>
          </w:tcPr>
          <w:p>
            <w:pPr>
              <w:pStyle w:val="Normal6a"/>
            </w:pPr>
            <w:r>
              <w:t>T.</w:t>
            </w:r>
            <w:r>
              <w:tab/>
            </w:r>
            <w:r>
              <w:t>tā kā vārda un informācijas brīvība ir pamattiesības, kas paredzētas cilvēku, nevis mašīnu, botu vai mākslīgā intelekta aizsardzībai</w:t>
            </w:r>
            <w:r>
              <w:rPr>
                <w:b/>
                <w:i/>
              </w:rPr>
              <w:t>, un tās nedrīkst ierobežot nepārredzamā vai nelikumīgā veidā, kā arī bez pienācīgas demokrātiskās kontroles un pārskatatbildības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tā kā vārda un informācijas brīvība ir pamattiesības, kas paredzētas cilvēku</w:t>
            </w:r>
            <w:r>
              <w:rPr>
                <w:b/>
                <w:i/>
              </w:rPr>
              <w:t>, nevis</w:t>
            </w:r>
            <w:r>
              <w:t xml:space="preserve"> mašīnu, botu vai mākslīgā intelekta </w:t>
            </w:r>
            <w:r>
              <w:rPr>
                <w:b/>
                <w:i/>
              </w:rPr>
              <w:t>aizsardzībai</w:t>
            </w:r>
            <w:r>
              <w:t>;</w:t>
            </w:r>
          </w:p>
        </w:tc>
        <w:tc>
          <w:tcPr>
            <w:tcW w:w="4876" w:type="dxa"/>
            <w:tcBorders>
              <w:top w:val="nil"/>
              <w:left w:val="nil"/>
              <w:bottom w:val="nil"/>
              <w:right w:val="nil"/>
            </w:tcBorders>
          </w:tcPr>
          <w:p>
            <w:pPr>
              <w:pStyle w:val="Normal6a"/>
            </w:pPr>
            <w:r>
              <w:t>T.</w:t>
            </w:r>
            <w:r>
              <w:tab/>
            </w:r>
            <w:r>
              <w:t xml:space="preserve">tā kā vārda un informācijas brīvība ir pamattiesības, kas paredzētas cilvēku </w:t>
            </w:r>
            <w:r>
              <w:rPr>
                <w:b/>
                <w:i/>
              </w:rPr>
              <w:t>aizsardzībai, cita starpā no cilvēka virzītu</w:t>
            </w:r>
            <w:r>
              <w:t xml:space="preserve"> mašīnu, botu vai mākslīgā intelekta </w:t>
            </w:r>
            <w:r>
              <w:rPr>
                <w:b/>
                <w:i/>
              </w:rPr>
              <w:t>darbībām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tā kā vārda un informācijas brīvība ir pamattiesības, kas paredzētas cilvēku, nevis mašīnu, botu vai mākslīgā intelekta aizsardzībai;</w:t>
            </w:r>
          </w:p>
        </w:tc>
        <w:tc>
          <w:tcPr>
            <w:tcW w:w="4876" w:type="dxa"/>
            <w:tcBorders>
              <w:top w:val="nil"/>
              <w:left w:val="nil"/>
              <w:bottom w:val="nil"/>
              <w:right w:val="nil"/>
            </w:tcBorders>
          </w:tcPr>
          <w:p>
            <w:pPr>
              <w:pStyle w:val="Normal6a"/>
            </w:pPr>
            <w:r>
              <w:t>T.</w:t>
            </w:r>
            <w:r>
              <w:tab/>
            </w:r>
            <w:r>
              <w:t xml:space="preserve">tā kā vārda un informācijas brīvība ir pamattiesības, kas paredzētas cilvēku, nevis mašīnu, </w:t>
            </w:r>
            <w:r>
              <w:rPr>
                <w:b/>
                <w:i/>
              </w:rPr>
              <w:t>ieteikuma sistēmu,</w:t>
            </w:r>
            <w:r>
              <w:t xml:space="preserve"> botu vai mākslīgā intelekta aizsardzībai;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tā kā patiesības noskaidrošana pēc būtības ir subjektīva un vēsturiskā pieredze liecina, ka mazākuma viedokļi vai informācija, ko iestādes sākotnēji atzinušas par nepatiesu, bīstamu vai dezinformāciju, laika gaitā bieži vien izrādās faktu ziņā pareiza;</w:t>
            </w:r>
            <w:r>
              <w:t xml:space="preserve"> </w:t>
            </w:r>
            <w:r>
              <w:rPr>
                <w:b/>
                <w:i/>
              </w:rPr>
              <w:t>tā kā tiešsaistes platformas dažos gadījumos ir nepamatoti ierobežojušas vai atcēlušas leģitīmu ziņošanu, tostarp ārēja spiediena dēļ, un tikai vēlākās pārbaudēs ziņotie fakti izrādās patiesi;</w:t>
            </w:r>
            <w:r>
              <w:t xml:space="preserve"> </w:t>
            </w:r>
            <w:r>
              <w:rPr>
                <w:b/>
                <w:i/>
              </w:rPr>
              <w:t>tā kā tas iezīmē raksturīgo risku, ka valsts iestādēm vai valsts finansētām struktūrām tiek piešķirta patiesības arbitru loma, kas var novest pie cenzūras un apdraudēt vārda brīvību un demokrātisko plurālismu;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tā kā automatizētas un daļēji automatizētas sistēmas arvien vairāk tiek izmantotas likumīgai žurnālistikai, tostarp uz datiem balstītai ziņošanai, piemēram, finanšu atjauninājumiem, laikapstākļu ziņojumiem un sporta atspoguļojumam, un tāpēc uz tām var attiekties mediju brīvības un vārda brīvības darbības joma, ja tās atspoguļo cilvēka redakcionālo nodomu un ziņas nolūku;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tā kā atvērtas demokrātiskas informācijas telpas ir strukturāli neaizsargātākas pret manipulācijām nekā slēgtas autoritāras sistēmas, kas var ierobežot un filtrēt ārējo saturu, vienlaikus izmantojot Rietumu platformu atvērtību, un tas rada asimetriju, kas jānovērš ar pastiprinātu un koordinētu ES rīcību informācijas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Tb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tā kā domas, apziņas un reliģijas brīvība, ko aizsargā Eiropas Savienības Pamattiesību hartas 10. un 22. pants, tostarp brīvība paust reliģiskus vai ticības uzskatus publiskajā diskursā, ir demokrātiskā plurālisma un noturības pamatkomponents un to nedrīkst netieši ierobežot pasākumi, kuru mērķis ir apkarot dezinformāciju vai ārvalstu īstenotu informācijas manipulāciju;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tā kā FIMI dalībnieki izmanto tehnoloģijas, lai organizētu koordinētas neautentiskas dezinformācijas kampaņas; tā kā šīs tehnoloģijas, jo īpaši boti un uz mākslīgo intelektu balstītas programmatūras, spēj izrādīt autonomu uzvedību un pēc tam kropļot un iznīcināt patiesu publisko diskursu, pārpludinot reālu personu izteikumus ar neautentisku saturu;</w:t>
            </w:r>
          </w:p>
        </w:tc>
        <w:tc>
          <w:tcPr>
            <w:tcW w:w="4876" w:type="dxa"/>
            <w:tcBorders>
              <w:top w:val="nil"/>
              <w:left w:val="nil"/>
              <w:bottom w:val="nil"/>
              <w:right w:val="nil"/>
            </w:tcBorders>
          </w:tcPr>
          <w:p>
            <w:pPr>
              <w:pStyle w:val="Normal6a"/>
            </w:pPr>
            <w:r>
              <w:t>U.</w:t>
            </w:r>
            <w:r>
              <w:tab/>
            </w:r>
            <w:r>
              <w:t xml:space="preserve">tā kā FIMI dalībnieki izmanto tehnoloģijas, lai organizētu koordinētas neautentiskas dezinformācijas kampaņas; tā kā šīs tehnoloģijas, jo īpaši boti un uz mākslīgo intelektu balstītas programmatūras, spēj izrādīt autonomu uzvedību un pēc tam kropļot un iznīcināt patiesu publisko diskursu, pārpludinot reālu personu izteikumus ar neautentisku saturu; </w:t>
            </w:r>
            <w:r>
              <w:rPr>
                <w:b/>
                <w:i/>
              </w:rPr>
              <w:t>tā kā neregulēts neautentisks saturs un dezinformācija attur no patiesas cilvēciskas mijiedarbības un noved pie “nedzīva interneta”;</w:t>
            </w:r>
            <w:r>
              <w:t xml:space="preserve"> </w:t>
            </w:r>
            <w:r>
              <w:rPr>
                <w:b/>
                <w:i/>
              </w:rPr>
              <w:t>tā kā 2024. gada "Imperva Threat Research" ziņojumā tika atklāts, ka gandrīz 50 % interneta datplūsmas nāk no avotiem, kas nav cilvēki, savukārt sliktie boti veido gandrīz vienu trešdaļu no visas datplūsmas;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tā kā FIMI dalībnieki izmanto tehnoloģijas, lai organizētu koordinētas </w:t>
            </w:r>
            <w:r>
              <w:rPr>
                <w:b/>
                <w:i/>
              </w:rPr>
              <w:t>neautentiskas</w:t>
            </w:r>
            <w:r>
              <w:t xml:space="preserve"> dezinformācijas kampaņas; </w:t>
            </w:r>
            <w:r>
              <w:rPr>
                <w:b/>
                <w:i/>
              </w:rPr>
              <w:t>tā kā šīs tehnoloģijas, jo īpaši boti un uz mākslīgo intelektu balstītas programmatūras, spēj izrādīt autonomu uzvedību un pēc tam kropļot un iznīcināt patiesu publisko diskursu, pārpludinot reālu personu izteikumus ar neautentisku saturu;</w:t>
            </w:r>
          </w:p>
        </w:tc>
        <w:tc>
          <w:tcPr>
            <w:tcW w:w="4876" w:type="dxa"/>
            <w:tcBorders>
              <w:top w:val="nil"/>
              <w:left w:val="nil"/>
              <w:bottom w:val="nil"/>
              <w:right w:val="nil"/>
            </w:tcBorders>
          </w:tcPr>
          <w:p>
            <w:pPr>
              <w:pStyle w:val="Normal6a"/>
            </w:pPr>
            <w:r>
              <w:t>U.</w:t>
            </w:r>
            <w:r>
              <w:tab/>
            </w:r>
            <w:r>
              <w:t>tā kā FIMI dalībnieki izmanto tehnoloģijas, lai organizētu koordinētas dezinformācijas kampaņas;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tā kā FIMI dalībnieki izmanto tehnoloģijas, lai organizētu koordinētas neautentiskas dezinformācijas kampaņas; tā kā šīs tehnoloģijas, jo īpaši boti un uz mākslīgo intelektu balstītas programmatūras, spēj izrādīt autonomu uzvedību un pēc tam kropļot un iznīcināt patiesu publisko diskursu, pārpludinot reālu personu izteikumus ar neautentisku saturu;</w:t>
            </w:r>
          </w:p>
        </w:tc>
        <w:tc>
          <w:tcPr>
            <w:tcW w:w="4876" w:type="dxa"/>
            <w:tcBorders>
              <w:top w:val="nil"/>
              <w:left w:val="nil"/>
              <w:bottom w:val="nil"/>
              <w:right w:val="nil"/>
            </w:tcBorders>
          </w:tcPr>
          <w:p>
            <w:pPr>
              <w:pStyle w:val="Normal6a"/>
            </w:pPr>
            <w:r>
              <w:t>U.</w:t>
            </w:r>
            <w:r>
              <w:tab/>
            </w:r>
            <w:r>
              <w:t xml:space="preserve">tā kā FIMI dalībnieki izmanto tehnoloģijas, lai organizētu koordinētas neautentiskas dezinformācijas kampaņas; tā kā šīs tehnoloģijas, jo īpaši boti un uz mākslīgo intelektu balstītas programmatūras, spēj izrādīt autonomu uzvedību un pēc tam kropļot un iznīcināt patiesu publisko diskursu, pārpludinot reālu personu izteikumus ar neautentisku saturu; </w:t>
            </w:r>
            <w:r>
              <w:rPr>
                <w:b/>
                <w:i/>
              </w:rPr>
              <w:t>tā kā kompetentās valsts iestādes, kā arī pašas tehnoloģiju platformas veic pasākumus, lai novērstu šādu iejaukšanos;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tā kā FIMI dalībnieki izmanto tehnoloģijas, lai organizētu koordinētas neautentiskas dezinformācijas kampaņas; tā kā šīs tehnoloģijas, jo īpaši boti un uz mākslīgo intelektu balstītas programmatūras, spēj izrādīt autonomu uzvedību un pēc tam kropļot un iznīcināt patiesu publisko diskursu, pārpludinot reālu personu </w:t>
            </w:r>
            <w:r>
              <w:rPr>
                <w:b/>
                <w:i/>
              </w:rPr>
              <w:t>izteikumus</w:t>
            </w:r>
            <w:r>
              <w:t xml:space="preserve"> ar neautentisku saturu;</w:t>
            </w:r>
          </w:p>
        </w:tc>
        <w:tc>
          <w:tcPr>
            <w:tcW w:w="4876" w:type="dxa"/>
            <w:tcBorders>
              <w:top w:val="nil"/>
              <w:left w:val="nil"/>
              <w:bottom w:val="nil"/>
              <w:right w:val="nil"/>
            </w:tcBorders>
          </w:tcPr>
          <w:p>
            <w:pPr>
              <w:pStyle w:val="Normal6a"/>
            </w:pPr>
            <w:r>
              <w:t>U.</w:t>
            </w:r>
            <w:r>
              <w:tab/>
            </w:r>
            <w:r>
              <w:t xml:space="preserve">tā kā FIMI dalībnieki izmanto tehnoloģijas, lai organizētu koordinētas neautentiskas </w:t>
            </w:r>
            <w:r>
              <w:rPr>
                <w:b/>
                <w:i/>
              </w:rPr>
              <w:t>uzvedības un maldinošas informācijas vai</w:t>
            </w:r>
            <w:r>
              <w:t xml:space="preserve"> dezinformācijas kampaņas; tā kā šīs tehnoloģijas, jo īpaši boti un uz mākslīgo intelektu balstītas programmatūras, spēj izrādīt autonomu uzvedību un pēc tam kropļot un iznīcināt patiesu publisko diskursu, pārpludinot </w:t>
            </w:r>
            <w:r>
              <w:rPr>
                <w:b/>
                <w:i/>
              </w:rPr>
              <w:t>tiešsaistes telpu un</w:t>
            </w:r>
            <w:r>
              <w:t xml:space="preserve"> reālu personu </w:t>
            </w:r>
            <w:r>
              <w:rPr>
                <w:b/>
                <w:i/>
              </w:rPr>
              <w:t>saziņas kanālus</w:t>
            </w:r>
            <w:r>
              <w:t xml:space="preserve"> ar neautentisku saturu </w:t>
            </w:r>
            <w:r>
              <w:rPr>
                <w:b/>
                <w:i/>
              </w:rPr>
              <w:t>vai tiešsaistes vidē izveidojot mērķorientētus neesošu personu kontus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tā kā ļaunprātīgi ārvalstu spēki ļaunprātīgi izmanto ierīcēs esošas atvērtās ievainojamības, lai iefiltrētos personīgajā vai profesionālajā saziņā, un tā kā vairāki gadījumi pēdējos gados ir parādījuši, ka ES nav sagatavota pret iefiltrēšanos ierīcēs ar spiegprogrammatūru;</w:t>
            </w:r>
            <w:r>
              <w:t xml:space="preserve"> </w:t>
            </w:r>
            <w:r>
              <w:rPr>
                <w:b/>
                <w:i/>
              </w:rPr>
              <w:t>tā kā ārvalstu spēki izmanto spiegprogrammatūru, lai novērotu gan disidentus, gan valsts amatpersonas;</w:t>
            </w:r>
            <w:r>
              <w:t xml:space="preserve"> </w:t>
            </w:r>
            <w:r>
              <w:rPr>
                <w:b/>
                <w:i/>
              </w:rPr>
              <w:t>tā kā pieaugošā cilvēktiesību aizstāvju novērošana būtu jāuzskata par transnacionālu represiju vai “uzraudzības iespējotas piespiešanas” veidu;</w:t>
            </w:r>
            <w:r>
              <w:t xml:space="preserve"> </w:t>
            </w:r>
            <w:r>
              <w:rPr>
                <w:b/>
                <w:i/>
              </w:rPr>
              <w:t>tā kā joprojām pastāv un netiek efektīvi risināta problēma, ka tumšajā tīklā notiek tirdzniecība ar sistēmu un ierīču nepilnībām, un tas pakļauj digitālos sakarus, sistēmas un ierīces ārvalstu iejaukšanās riskam bez iespējas aizsargāties;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Ua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tā kā ļaunprātīgi ārvalstu spēki ļaunprātīgi izmanto ierīcēs esošas atvērtās ievainojamības, lai iefiltrētos personīgajā vai profesionālajā saziņā, un tā kā vairāki gadījumi pēdējos gados ir parādījuši, ka ES nav sagatavota pret iefiltrēšanos ierīcēs ar spiegprogrammatūru;</w:t>
            </w:r>
            <w:r>
              <w:t xml:space="preserve"> </w:t>
            </w:r>
            <w:r>
              <w:rPr>
                <w:b/>
                <w:i/>
              </w:rPr>
              <w:t>tā kā ārvalstu spēki izmanto spiegprogrammatūru, lai novērotu gan disidentus, gan valsts amatpersonas;</w:t>
            </w:r>
            <w:r>
              <w:t xml:space="preserve"> </w:t>
            </w:r>
            <w:r>
              <w:rPr>
                <w:b/>
                <w:i/>
              </w:rPr>
              <w:t>tā kā pieaugošā cilvēktiesību aizstāvju novērošana būtu jāuzskata par transnacionālu represiju vai “uzraudzības iespējotas piespiešanas” veidu;</w:t>
            </w:r>
            <w:r>
              <w:t xml:space="preserve"> </w:t>
            </w:r>
            <w:r>
              <w:rPr>
                <w:b/>
                <w:i/>
              </w:rPr>
              <w:t>tā kā joprojām pastāv un netiek efektīvi risināta problēma, ka tumšajā tīklā notiek tirdzniecība ar sistēmu un ierīču nepilnībām, un tas pakļauj digitālos sakarus, sistēmas un ierīces ārvalstu iejaukšanās riskam bez iespējas aizsargāties;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784.367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175</w:t>
    </w:r>
    <w:r>
      <w:fldChar w:fldCharType="end"/>
    </w:r>
    <w:r>
      <w:tab/>
    </w:r>
    <w:r>
      <w:rPr>
        <w:rStyle w:val="HideTWBExt"/>
      </w:rPr>
      <w:t>&lt;PathFdR&gt;</w:t>
    </w:r>
    <w:r>
      <w:t>AM\1337209LV.docx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AM\1337209LV.docx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175</w:t>
    </w:r>
    <w:r>
      <w:fldChar w:fldCharType="end"/>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AM\1337209LV.docx</w:t>
    </w:r>
    <w:r>
      <w:rPr>
        <w:rStyle w:val="HideTWBExt"/>
      </w:rPr>
      <w:t>&lt;/PathFdR&gt;</w:t>
    </w:r>
    <w:r>
      <w:tab/>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175</Pages>
  <Words>34322</Words>
  <Characters>234393</Characters>
  <Application>Microsoft Office Word</Application>
  <DocSecurity>0</DocSecurity>
  <Lines>1</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420474</vt:lpwstr>
  </property>
  <property fmtid="{D5CDD505-2E9C-101B-9397-08002B2CF9AE}" pid="7" name="dmxml.render.traceId">
    <vt:lpwstr>69b3ec564c778b5d043317f56408cccf</vt:lpwstr>
  </property>
  <property fmtid="{D5CDD505-2E9C-101B-9397-08002B2CF9AE}" pid="8" name="FooterPath">
    <vt:lpwstr>AM\1337209LV.docx</vt:lpwstr>
  </property>
  <property fmtid="{D5CDD505-2E9C-101B-9397-08002B2CF9AE}" pid="9" name="PE Number">
    <vt:lpwstr>784.367</vt:lpwstr>
  </property>
  <property fmtid="{D5CDD505-2E9C-101B-9397-08002B2CF9AE}" pid="10" name="UID">
    <vt:lpwstr>eu.europa.europarl-DIN1-2026-0000036096_01.00-lv-01.00_text-xml</vt:lpwstr>
  </property>
</Properties>
</file>