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{EUDS}</w:t>
      </w:r>
      <w:r>
        <w:t>Bijzondere Commissie inzake het Europees schild voor de democratie</w:t>
      </w:r>
      <w:r>
        <w:rPr>
          <w:rStyle w:val="HideTWBExt"/>
        </w:rPr>
        <w:t>&lt;/Commission&gt;</w:t>
      </w:r>
    </w:p>
    <w:p>
      <w:pPr>
        <w:pStyle w:val="LineBottom"/>
      </w:pPr>
      <w:r>
        <w:t xml:space="preserve"> </w:t>
      </w:r>
    </w:p>
    <w:p>
      <w:pPr>
        <w:pStyle w:val="CoverReference"/>
      </w:pPr>
      <w:r>
        <w:rPr>
          <w:rStyle w:val="HideTWBExt"/>
        </w:rPr>
        <w:t>&lt;RefProc&gt;</w:t>
      </w:r>
      <w:r>
        <w:t>2025/2069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{12/02/2026}</w:t>
      </w:r>
      <w:r>
        <w:t>12.2.2026</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323</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Tomas Tobé</w:t>
      </w:r>
      <w:r>
        <w:rPr>
          <w:rStyle w:val="HideTWBExt"/>
        </w:rPr>
        <w:t>&lt;/Rapporteur&gt;</w:t>
      </w:r>
    </w:p>
    <w:p>
      <w:pPr>
        <w:pStyle w:val="CoverNormal24a"/>
      </w:pPr>
      <w:r>
        <w:rPr>
          <w:rStyle w:val="HideTWBExt"/>
        </w:rPr>
        <w:t>&lt;DocRefPE&gt;</w:t>
      </w:r>
      <w:r>
        <w:t>(PE775.431v01-00)</w:t>
      </w:r>
      <w:r>
        <w:rPr>
          <w:rStyle w:val="HideTWBExt"/>
        </w:rPr>
        <w:t>&lt;/DocRefPE&gt;</w:t>
      </w:r>
    </w:p>
    <w:p>
      <w:pPr>
        <w:pStyle w:val="CoverNormal"/>
      </w:pPr>
      <w:r>
        <w:rPr>
          <w:rStyle w:val="HideTWBExt"/>
        </w:rPr>
        <w:t>&lt;Titre&gt;</w:t>
      </w:r>
      <w:r>
        <w:t>Bevindingen en aanbevelingen van de Bijzondere Commissie inzake het Europees schild voor de democratie</w:t>
      </w:r>
      <w:r>
        <w:rPr>
          <w:rStyle w:val="HideTWBExt"/>
        </w:rPr>
        <w:t>&lt;/Titre&gt;</w:t>
      </w:r>
    </w:p>
    <w:p>
      <w:pPr>
        <w:pStyle w:val="CoverNormal24a"/>
      </w:pPr>
      <w:r>
        <w:rPr>
          <w:rStyle w:val="HideTWBExt"/>
        </w:rPr>
        <w:t>&lt;DocRef&gt;</w:t>
      </w:r>
      <w:r>
        <w:t>(2025/2069(INI))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toespraak van voorzitter Von der Leyen over de Staat van de Unie in september 2025, waarin werd benadrukt hoe belangrijk en dringend het is dat maatregelen worden genomen om de democratische veerkracht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gezien het Verdrag betreffende de Europese Unie (VEU), en met name artikel 2 over de fundamentele waarden van de EU, artikel 10 over het democratisch leven en artikel 21 over het extern optreden,</w:t>
            </w:r>
          </w:p>
        </w:tc>
        <w:tc>
          <w:tcPr>
            <w:tcW w:w="4876" w:type="dxa"/>
            <w:tcBorders>
              <w:top w:val="nil"/>
              <w:left w:val="nil"/>
              <w:bottom w:val="nil"/>
              <w:right w:val="nil"/>
            </w:tcBorders>
          </w:tcPr>
          <w:p>
            <w:pPr>
              <w:pStyle w:val="Normal6a"/>
            </w:pPr>
            <w:r>
              <w:t>–</w:t>
            </w:r>
            <w:r>
              <w:tab/>
            </w:r>
            <w:r>
              <w:t xml:space="preserve">gezien het Verdrag betreffende de Europese Unie (VEU), en met name </w:t>
            </w:r>
            <w:r>
              <w:rPr>
                <w:b/>
                <w:i/>
              </w:rPr>
              <w:t>artikel 5, waarin de grenzen van de bevoegdheden van de Unie worden afgebakend en de beginselen van bevoegdheidstoedeling, subsidiariteit en evenredigheid worden vastgelegd, alsook</w:t>
            </w:r>
            <w:r>
              <w:t xml:space="preserve"> artikel 2 over de fundamentele waarden van de EU, artikel 10 over het democratisch leven en artikel 21 over het extern optreden,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Handvest van de Verenigde Naties,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Universele Verklaring van de Rechten van de Mens, met name artikel 18, waarin het recht op vrijheid van gedachte, geweten en godsdienst wordt gewaarborgd, en artikel 19, waarin het recht op vrijheid van mening en meningsuiting wordt gewaarborgd,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4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Europees Verdrag voor de rechten van de mens</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https://www.echr.coe.int/documents/convention_nld.pdf.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Europese verordening kritieke grondstoffen van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gezamenlijke mededeling (2025/977) aan het Europees Parlement en de Raad over de versterking van de economische veiligheid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Verordening (EU) 2024/1083 van het Europees Parlement en de Raad van 11 april 2024 tot vaststelling van een gemeenschappelijk kader voor mediadiensten op de interne markt en tot wijziging van Richtlijn 2010/13/EU (Europese verordening mediavrijheid),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Besluit 2014/512/GBVB van de Raad van 31 juli 2014 betreffende beperkende maatregelen naar aanleiding van acties van Rusland die de situatie in Oekraïne destabiliseren</w:t>
            </w:r>
            <w:r>
              <w:rPr>
                <w:b/>
                <w:i/>
                <w:vertAlign w:val="superscript"/>
              </w:rPr>
              <w:t>21</w:t>
            </w:r>
            <w:r>
              <w:rPr>
                <w:b/>
                <w:i/>
              </w:rPr>
              <w:t>, en Verordening (EU) nr. 833/2014 van de Raad van 31 juli 2014 betreffende beperkende maatregelen naar aanleiding van de acties van Rusland die de situatie in Oekraïne destabiliseren</w:t>
            </w:r>
            <w:r>
              <w:rPr>
                <w:b/>
                <w:i/>
                <w:vertAlign w:val="superscript"/>
              </w:rPr>
              <w:t>22</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21</w:t>
            </w:r>
            <w:r>
              <w:t xml:space="preserve"> </w:t>
            </w:r>
            <w:r>
              <w:rPr>
                <w:b/>
                <w:i/>
              </w:rPr>
              <w:t>PB L 229 van 31.7.2014, blz. 13, ELI:</w:t>
            </w:r>
            <w:r>
              <w:t xml:space="preserve"> </w:t>
            </w:r>
            <w:r>
              <w:rPr>
                <w:b/>
                <w:i/>
              </w:rPr>
              <w:t>http://data.europa.eu/eli/dec/2014/512/oj.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PB L 229 van 31.7.2014, blz. 1, ELI:</w:t>
            </w:r>
            <w:r>
              <w:t xml:space="preserve"> </w:t>
            </w:r>
            <w:r>
              <w:rPr>
                <w:b/>
                <w:i/>
              </w:rPr>
              <w:t>http://data.europa.eu/eli/reg/2014/833/oj.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Besluit (GBVB) 2022/266 van de Raad van 23 februari 2022 betreffende beperkende maatregelen in antwoord op de erkenning van de niet onder regeringsgezag vallende gebieden van de oblasten Donetsk en Luhansk van Oekraïne en het sturen van Russische strijdkrachten naar die gebieden</w:t>
            </w:r>
            <w:r>
              <w:rPr>
                <w:b/>
                <w:i/>
                <w:vertAlign w:val="superscript"/>
              </w:rPr>
              <w:t>23</w:t>
            </w:r>
            <w:r>
              <w:rPr>
                <w:b/>
                <w:i/>
              </w:rPr>
              <w:t>, en Verordening (EU) 2022/263 van de Raad van 23 februari 2022 betreffende beperkende maatregelen naar aanleiding van de erkenning van de niet onder het gezag van de regering vallende gebieden in de oblasten Donetsk en Loehansk van Oekraïne en het bevel aan de Russische strijdkrachten om die gebieden binnen te trekken</w:t>
            </w:r>
            <w:r>
              <w:rPr>
                <w:b/>
                <w:i/>
                <w:vertAlign w:val="superscript"/>
              </w:rPr>
              <w:t>24</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23</w:t>
            </w:r>
            <w:r>
              <w:t xml:space="preserve"> </w:t>
            </w:r>
            <w:r>
              <w:rPr>
                <w:b/>
                <w:i/>
              </w:rPr>
              <w:t>PB L 42 I van 23.2.2022, blz. 109, ELI:</w:t>
            </w:r>
            <w:r>
              <w:t xml:space="preserve"> </w:t>
            </w:r>
            <w:r>
              <w:rPr>
                <w:b/>
                <w:i/>
              </w:rPr>
              <w:t>http://data.europa.eu/eli/dec/2022/266/oj.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24</w:t>
            </w:r>
            <w:r>
              <w:t xml:space="preserve"> </w:t>
            </w:r>
            <w:r>
              <w:rPr>
                <w:b/>
                <w:i/>
              </w:rPr>
              <w:t>PB L 42 I van 23.2.2022, blz. 77, ELI:</w:t>
            </w:r>
            <w:r>
              <w:t xml:space="preserve"> </w:t>
            </w:r>
            <w:r>
              <w:rPr>
                <w:b/>
                <w:i/>
              </w:rPr>
              <w:t>http://data.europa.eu/eli/reg/2022/263/oj.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Besluit 2012/642/GBVB van de Raad van 15 oktober 2012 betreffende beperkende maatregelen tegen Belarus</w:t>
            </w:r>
            <w:r>
              <w:rPr>
                <w:b/>
                <w:i/>
                <w:vertAlign w:val="superscript"/>
              </w:rPr>
              <w:t>25</w:t>
            </w:r>
            <w:r>
              <w:rPr>
                <w:b/>
                <w:i/>
              </w:rPr>
              <w:t>en Verordening (EG) nr. 765/2006 van de Raad van 18 mei 2006 betreffende beperkende maatregelen tegen president Loekasjenko en bepaalde functionarissen van Belarus</w:t>
            </w:r>
            <w:r>
              <w:rPr>
                <w:b/>
                <w:i/>
                <w:vertAlign w:val="superscript"/>
              </w:rPr>
              <w:t>26</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25</w:t>
            </w:r>
            <w:r>
              <w:t xml:space="preserve"> </w:t>
            </w:r>
            <w:r>
              <w:rPr>
                <w:b/>
                <w:i/>
              </w:rPr>
              <w:t>PB L 285 van 17.10.2012, blz. 1, ELI:</w:t>
            </w:r>
            <w:r>
              <w:t xml:space="preserve"> </w:t>
            </w:r>
            <w:r>
              <w:rPr>
                <w:b/>
                <w:i/>
              </w:rPr>
              <w:t>http://data.europa.eu/eli/dec/2012/642/oj.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PB L 134 van 20.5.2006, blz. 1, ELI:</w:t>
            </w:r>
            <w:r>
              <w:t xml:space="preserve"> </w:t>
            </w:r>
            <w:r>
              <w:rPr>
                <w:b/>
                <w:i/>
              </w:rPr>
              <w:t>http://data.europa.eu/eli/reg/2006/765/oj.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Besluit (GBVB) 2023/1532 van de Raad van 20 juli 2023 betreffende beperkende maatregelen in het licht van de militaire steun van Iran aan de Russische aanvalsoorlog tegen Oekraïne</w:t>
            </w:r>
            <w:r>
              <w:rPr>
                <w:b/>
                <w:i/>
                <w:vertAlign w:val="superscript"/>
              </w:rPr>
              <w:t>27</w:t>
            </w:r>
            <w:r>
              <w:rPr>
                <w:b/>
                <w:i/>
              </w:rPr>
              <w:t>, en Verordening (EU) 2023/1529 van de Raad van 20 juli 2023 betreffende beperkende maatregelen in het licht van de militaire steun van Iran aan de Russische aanvalsoorlog tegen Oekraïne</w:t>
            </w:r>
            <w:r>
              <w:rPr>
                <w:b/>
                <w:i/>
                <w:vertAlign w:val="superscript"/>
              </w:rPr>
              <w:t>28</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27</w:t>
            </w:r>
            <w:r>
              <w:t xml:space="preserve"> </w:t>
            </w:r>
            <w:r>
              <w:rPr>
                <w:b/>
                <w:i/>
              </w:rPr>
              <w:t>PB L 186 van 25.7.2023, blz. 20, ELI:</w:t>
            </w:r>
            <w:r>
              <w:t xml:space="preserve"> </w:t>
            </w:r>
            <w:r>
              <w:rPr>
                <w:b/>
                <w:i/>
              </w:rPr>
              <w:t>http://data.europa.eu/eli/dec/2023/1532/oj.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28</w:t>
            </w:r>
            <w:r>
              <w:t xml:space="preserve"> </w:t>
            </w:r>
            <w:r>
              <w:rPr>
                <w:b/>
                <w:i/>
              </w:rPr>
              <w:t>PB L 186 van 25.7.2023, blz. 1, ELI:</w:t>
            </w:r>
            <w:r>
              <w:t xml:space="preserve"> </w:t>
            </w:r>
            <w:r>
              <w:rPr>
                <w:b/>
                <w:i/>
              </w:rPr>
              <w:t>http://data.europa.eu/eli/reg/2023/1529/oj.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Besluit (GBVB) 2024/1603 van de Raad van 31 mei 2024 tot wijziging van Besluit (GBVB) 2016/849 betreffende beperkende maatregelen tegen de Democratische Volksrepubliek Korea</w:t>
            </w:r>
            <w:r>
              <w:rPr>
                <w:b/>
                <w:i/>
                <w:vertAlign w:val="superscript"/>
              </w:rPr>
              <w:t>29</w:t>
            </w:r>
            <w:r>
              <w:rPr>
                <w:b/>
                <w:i/>
              </w:rPr>
              <w:t>en Uitvoeringsverordening (EU) 2024/1602 van de Raad van 31 mei 2024 tot uitvoering van Verordening (EU) 2017/1509 betreffende beperkende maatregelen tegen de Democratische Volksrepubliek Korea</w:t>
            </w:r>
            <w:r>
              <w:rPr>
                <w:b/>
                <w:i/>
                <w:vertAlign w:val="superscript"/>
              </w:rPr>
              <w:t>30</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29</w:t>
            </w:r>
            <w:r>
              <w:t xml:space="preserve"> </w:t>
            </w:r>
            <w:r>
              <w:rPr>
                <w:b/>
                <w:i/>
              </w:rPr>
              <w:t>PB L, 2024/1603, 31.5.2024, ELI:</w:t>
            </w:r>
            <w:r>
              <w:t xml:space="preserve"> </w:t>
            </w:r>
            <w:r>
              <w:rPr>
                <w:b/>
                <w:i/>
              </w:rPr>
              <w:t>http://data.europa.eu/eli/dec/2024/1603/oj.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30</w:t>
            </w:r>
            <w:r>
              <w:t xml:space="preserve"> </w:t>
            </w:r>
            <w:r>
              <w:rPr>
                <w:b/>
                <w:i/>
              </w:rPr>
              <w:t>PB L, 2024/1602, 31.5.2024, ELI:</w:t>
            </w:r>
            <w:r>
              <w:t xml:space="preserve"> </w:t>
            </w:r>
            <w:r>
              <w:rPr>
                <w:b/>
                <w:i/>
              </w:rPr>
              <w:t>http://data.europa.eu/eli/reg_impl/2024/1602/oj.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Bart Groothuis,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resolutie van 22 januari 2026 over de poging tot overname van de publieke omroep van Litouwen en de bedreiging van de democratie in Litouwen,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zijn resolutie van 9 oktober 2025 over een eendrachtig antwoord op recente Russische schendingen van het luchtruim en bedreigingen van kritieke infrastructuur van de EU-lidstaten</w:t>
            </w:r>
            <w:r>
              <w:rPr>
                <w:b/>
                <w:i/>
                <w:vertAlign w:val="superscript"/>
              </w:rPr>
              <w:t>32</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32</w:t>
            </w:r>
            <w:r>
              <w:t xml:space="preserve"> </w:t>
            </w:r>
            <w:r>
              <w:rPr>
                <w:b/>
                <w:i/>
              </w:rPr>
              <w:t>Aangenomen teksten, P10_TA(2025)0230.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gezien zijn resolutie van 9 oktober 2025 over een eendrachtig antwoord op recente Russische schendingen van het luchtruim en bedreigingen van kritieke infrastructuur van de EU-lidstaten</w:t>
            </w:r>
            <w:r>
              <w:rPr>
                <w:vertAlign w:val="superscript"/>
              </w:rPr>
              <w:t>32</w:t>
            </w:r>
            <w:r>
              <w:t>,</w:t>
            </w:r>
          </w:p>
        </w:tc>
        <w:tc>
          <w:tcPr>
            <w:tcW w:w="4876" w:type="dxa"/>
            <w:tcBorders>
              <w:top w:val="nil"/>
              <w:left w:val="nil"/>
              <w:bottom w:val="nil"/>
              <w:right w:val="nil"/>
            </w:tcBorders>
          </w:tcPr>
          <w:p>
            <w:pPr>
              <w:pStyle w:val="Normal6a"/>
            </w:pPr>
            <w:r>
              <w:t>–</w:t>
            </w:r>
            <w:r>
              <w:tab/>
            </w:r>
            <w:r>
              <w:t xml:space="preserve">gezien </w:t>
            </w:r>
            <w:r>
              <w:rPr>
                <w:b/>
                <w:i/>
              </w:rPr>
              <w:t>zijn eerdere resoluties over de Russische Federatie en haar agressie tegen Oekraïne, alsook haar vijandige acties tegen de lidstaten, waaronder</w:t>
            </w:r>
            <w:r>
              <w:t xml:space="preserve"> zijn resolutie van 9 oktober 2025 over een eendrachtig antwoord op recente Russische schendingen van het luchtruim en bedreigingen van kritieke infrastructuur van de EU-lidstaten</w:t>
            </w:r>
            <w:r>
              <w:rPr>
                <w:vertAlign w:val="superscript"/>
              </w:rPr>
              <w:t>32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32</w:t>
            </w:r>
            <w:r>
              <w:t xml:space="preserve"> </w:t>
            </w:r>
            <w:r>
              <w:t>Aangenomen teksten, P10_TA(2025)0230.</w:t>
            </w:r>
          </w:p>
        </w:tc>
        <w:tc>
          <w:tcPr>
            <w:tcW w:w="4876" w:type="dxa"/>
            <w:tcBorders>
              <w:top w:val="nil"/>
              <w:left w:val="nil"/>
              <w:bottom w:val="nil"/>
              <w:right w:val="nil"/>
            </w:tcBorders>
          </w:tcPr>
          <w:p>
            <w:pPr>
              <w:pStyle w:val="Normal6a"/>
            </w:pPr>
            <w:r>
              <w:rPr>
                <w:vertAlign w:val="superscript"/>
              </w:rPr>
              <w:t>32</w:t>
            </w:r>
            <w:r>
              <w:t xml:space="preserve"> </w:t>
            </w:r>
            <w:r>
              <w:t>Aangenomen teksten, P10_TA(2025)0230.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zijn resolutie van 18 juni 2025 over het verslag 2024 van de Commissie over de rechtsstaat</w:t>
            </w:r>
            <w:r>
              <w:rPr>
                <w:b/>
                <w:i/>
                <w:vertAlign w:val="superscript"/>
              </w:rPr>
              <w:t>33</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33</w:t>
            </w:r>
            <w:r>
              <w:t xml:space="preserve"> </w:t>
            </w:r>
            <w:r>
              <w:rPr>
                <w:b/>
                <w:i/>
              </w:rPr>
              <w:t>PB C, C/2025/6259, 19.12.2025, ELI:</w:t>
            </w:r>
            <w:r>
              <w:t xml:space="preserve"> </w:t>
            </w:r>
            <w:r>
              <w:rPr>
                <w:b/>
                <w:i/>
              </w:rPr>
              <w:t>http://data.europa.eu/eli/C/2025/6259/oj.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Sandra Kalniete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resolutie van 20 januari 2025 over desinformatie en geschiedvervalsing door Rusland ter rechtvaardiging van zijn aanvalsoorlog tegen Oekraïne</w:t>
            </w:r>
            <w:r>
              <w:rPr>
                <w:b/>
                <w:i/>
                <w:vertAlign w:val="superscript"/>
              </w:rPr>
              <w:t>34 bis</w:t>
            </w:r>
            <w:r>
              <w:t xml:space="preserve"> </w:t>
            </w:r>
            <w:r>
              <w:rPr>
                <w:b/>
                <w:i/>
              </w:rPr>
              <w:t>en gezien zijn resolutie van 22 oktober 2025 over het standpunt van de Raad inzake het ontwerp van algemene begroting van de Europese Unie voor het begrotingsjaar 2026, waarin melding wordt gemaakt van het herdenkingsproject in Brussel</w:t>
            </w:r>
            <w:r>
              <w:rPr>
                <w:b/>
                <w:i/>
                <w:vertAlign w:val="superscript"/>
              </w:rPr>
              <w:t>34 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34 bis</w:t>
            </w:r>
            <w:r>
              <w:t xml:space="preserve"> </w:t>
            </w:r>
            <w:r>
              <w:rPr>
                <w:b/>
                <w:i/>
              </w:rPr>
              <w:t>Aangenomen teksten:</w:t>
            </w:r>
            <w:r>
              <w:t xml:space="preserve"> </w:t>
            </w:r>
            <w:r>
              <w:rPr>
                <w:b/>
                <w:i/>
              </w:rPr>
              <w:t>P10_TA(2025)0006.</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34 ter</w:t>
            </w:r>
            <w:r>
              <w:t xml:space="preserve"> </w:t>
            </w:r>
            <w:r>
              <w:rPr>
                <w:b/>
                <w:i/>
              </w:rPr>
              <w:t>Aangenomen teksten:</w:t>
            </w:r>
            <w:r>
              <w:t xml:space="preserve"> </w:t>
            </w:r>
            <w:r>
              <w:rPr>
                <w:b/>
                <w:i/>
              </w:rPr>
              <w:t>P10_TA(2025)0282.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Bart Groothuis,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resolutie van 23 januari 2025 over de desinformatie en geschiedvervalsing door Rusland om de aanvalsoorlog tegen Oekraïne te rechtvaardigen,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resolutie van 13 november 2025 over het aanpakken van grensoverschrijdende repressie ten aanzien van mensenrechtenverdedigers,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resolutie van 21 januari 2026 over het aanpakken van straffeloosheid door middel van EU-sancties, met inbegrip van de wereldwijde EU-sanctieregeling voor de mensenrechten (“EU-Magnitski-wet”),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António Tânger Corrêa,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tussentijdse beoordeling van het Amerikaanse Huis van Afgevaardigden, House Committee on the Judiciary, getiteld "The Foreign Censorship Threat, Part II:</w:t>
            </w:r>
            <w:r>
              <w:t xml:space="preserve"> </w:t>
            </w:r>
            <w:r>
              <w:rPr>
                <w:b/>
                <w:i/>
              </w:rPr>
              <w:t>Europe´s decade-long campaign to censor the Global Internet and how it harms American speech in the United States" waarin wordt gewezen op ernstige inmenging van de Europese Commissie in de verkiezingen van de lidstaten en waarin de regelgevingsinspanningen om de vrijheid van meningsuiting te censureren consequent in kaart worden gebracht,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maatregelen ter versterking van de integriteit, onafhankelijkheid en verantwoordingsplicht die op 8 februari 2023 door de Conferentie van voorzitters zijn aangenomen</w:t>
            </w:r>
            <w:r>
              <w:rPr>
                <w:b/>
                <w:i/>
                <w:vertAlign w:val="superscript"/>
              </w:rPr>
              <w:t>37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37 bis</w:t>
            </w:r>
            <w:r>
              <w:t xml:space="preserve"> </w:t>
            </w:r>
            <w:r>
              <w:rPr>
                <w:b/>
                <w:i/>
              </w:rPr>
              <w:t>PV CPG 08.02.2023 https://www.europarl.europa.eu/RegData/organes/conf_pres_groupes/proces_verbal/2023/02-08/CPG_PV(2023)02-08_EN.pdf.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zijn resolutie van 23 november 2022 over de aanmerking van de Russische Federatie als staatssponsor van terrorisme</w:t>
            </w:r>
            <w:r>
              <w:rPr>
                <w:b/>
                <w:i/>
                <w:vertAlign w:val="superscript"/>
              </w:rPr>
              <w:t>38</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38</w:t>
            </w:r>
            <w:r>
              <w:t xml:space="preserve"> </w:t>
            </w:r>
            <w:r>
              <w:rPr>
                <w:b/>
                <w:i/>
              </w:rPr>
              <w:t>PB C 167, 11.5.2023, blz. 18.</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50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witboek van de Commissie over de gereedheid van de Europese defensie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Andrey Kovatchev</w:t>
      </w:r>
      <w:r>
        <w:rPr>
          <w:rStyle w:val="HideTWBExt"/>
          <w:b w:val="0"/>
        </w:rPr>
        <w:t>&lt;/Members&gt;</w:t>
      </w:r>
    </w:p>
    <w:p>
      <w:r>
        <w:rPr>
          <w:rStyle w:val="HideTWBExt"/>
          <w:b w:val="0"/>
        </w:rPr>
        <w:t>&lt;AuNomDe&gt;</w:t>
      </w:r>
      <w:r>
        <w:rPr>
          <w:rStyle w:val="HideTWBInt"/>
        </w:rPr>
        <w:t>{PPE}</w:t>
      </w:r>
      <w:r>
        <w:t>namens de PPE-Fractie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51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in november 2025 gepubliceerde Amerikaanse Nationale Veiligheidsstrategie,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de politieke beleidslijnen voor de mandaatsperiode 2024-2029 van de Commissie, die op 18 juli 2024 door de voorzitter van de Commissie Ursula von der Leyen zijn gepresenteerd, getiteld “De keuze van Europa”,</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53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voorlopige bevindingen van de Commissie van 6 februari 2026 met betrekking tot de niet-naleving door TikTok van de digitaledienstenverordening wat betreft risicobeoordelingen met betrekking tot zijn aanbevelingssystemen en verslavende ontwerpkenmerken,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gezien de gedragscode betreffende desinformatie,</w:t>
            </w:r>
          </w:p>
        </w:tc>
        <w:tc>
          <w:tcPr>
            <w:tcW w:w="4876" w:type="dxa"/>
            <w:tcBorders>
              <w:top w:val="nil"/>
              <w:left w:val="nil"/>
              <w:bottom w:val="nil"/>
              <w:right w:val="nil"/>
            </w:tcBorders>
          </w:tcPr>
          <w:p>
            <w:pPr>
              <w:pStyle w:val="Normal6a"/>
            </w:pPr>
            <w:r>
              <w:t>–</w:t>
            </w:r>
            <w:r>
              <w:tab/>
            </w:r>
            <w:r>
              <w:t xml:space="preserve">gezien de gedragscode betreffende desinformatie </w:t>
            </w:r>
            <w:r>
              <w:rPr>
                <w:b/>
                <w:i/>
              </w:rPr>
              <w:t>(2018</w:t>
            </w:r>
            <w:r>
              <w:t xml:space="preserve">, </w:t>
            </w:r>
            <w:r>
              <w:rPr>
                <w:b/>
                <w:i/>
              </w:rPr>
              <w:t>versterkt in 2022), die op 13 februari 2025 door de Europese Commissie en de Europese Raad voor digitale diensten is goedgekeurd als gedragscode overeenkomstig artikel 45 van Verordening (EU) 2022/2065 (digitaledienstenverordening), en waarvan de omzetting op 1 juli 2025 van kracht is geworden,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56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rapport van 30 oktober 2024 van Sauli Niinistö, voormalig president van de Republiek Finland, in zijn hoedanigheid van speciaal adviseur van de voorzitter van de Europese Commissie, getiteld “Safer Together – Strengthening Europe’s Civilian and Military Preparedness and Readiness”,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61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advies van de Commissie van 13 februari 2025 over de beoordeling van de praktijkcode betreffende desinformatie in de zin van artikel 45 van Verordening (EU) 2022/2065,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"The Foreign Censorship Threat, Part II:</w:t>
            </w:r>
            <w:r>
              <w:t xml:space="preserve"> </w:t>
            </w:r>
            <w:r>
              <w:rPr>
                <w:b/>
                <w:i/>
              </w:rPr>
              <w:t>Europe’s decade-long Campaign to Censor the Global Internet and How It Harms American Speech in the United States, Interim Staff Report of the Committee on the Judiciary of the U.S. House of Representatives", gepubliceerd op 3 februari 2026</w:t>
            </w:r>
            <w:r>
              <w:rPr>
                <w:b/>
                <w:i/>
                <w:vertAlign w:val="superscript"/>
              </w:rPr>
              <w:t>49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49 bis</w:t>
            </w:r>
            <w:r>
              <w:t xml:space="preserve"> </w:t>
            </w:r>
            <w:r>
              <w:rPr>
                <w:b/>
                <w:i/>
              </w:rPr>
              <w:t>https://judiciary.house.gov/sites/evo-subsites/republicans-judiciary.house.gov/files/2026-02/THE-FOREIGN-CENSORSHIP-THREAT-PART-II-2-3-26.pdf.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de studie in opdracht van de Bijzondere Commissie inzake het Europees schild voor de democratie van het Parlement getiteld “Strengthening Resilience – Towards the European Democracy Shield”, gepubliceerd door zijn directoraat-generaal Rechten van de burger, Justitie en Institutionele Zaken in oktober 2025</w:t>
            </w:r>
            <w:r>
              <w:rPr>
                <w:b/>
                <w:i/>
                <w:vertAlign w:val="superscript"/>
              </w:rPr>
              <w:t>51</w:t>
            </w:r>
            <w:r>
              <w:rPr>
                <w:b/>
                <w:i/>
              </w:rPr>
              <w:t>,</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51</w:t>
            </w:r>
            <w:r>
              <w:t xml:space="preserve"> </w:t>
            </w:r>
            <w:r>
              <w:rPr>
                <w:b/>
                <w:i/>
              </w:rPr>
              <w:t>Studie – “Strengthening Resilience — Towards the European Democracy Shield”, Europees Parlement, directoraat-generaal Rechten van de burger, Justitie en Institutionele Zaken, beleidsondersteunende afdeling Justitie, Burgerlijke Vrijheden en Institutionele Zaken, oktober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77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Eurobarometer van november 2025, waaruit blijkt dat Europese burgers het groeiende wantrouwen jegens democratische instellingen (49 %), buitenlandse informatiemanipulatie en desinformatie, ook in het kader van verkiezingen (42 %) en het gebrek aan transparantie van door AI aangestuurde politieke online-inhoud (32 %) als de ernstigste uitdagingen voor de democratie beschouwen, en waaruit verder blijkt dat nauwkeurige en toegankelijke informatie wordt beschouwd als het meest essentiële element van vrije en eerlijke verkiezingen (53 %), naast bezorgdheid over kiezers die vertrouwen op desinformatie (79 %), cyberaanvallen (71 %) en buitenlandse inmenging (70 %),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78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 xml:space="preserve">gezien het </w:t>
            </w:r>
            <w:r>
              <w:rPr>
                <w:b/>
                <w:i/>
              </w:rPr>
              <w:t>eerste, tweede en derde</w:t>
            </w:r>
            <w:r>
              <w:t xml:space="preserve"> verslag van de </w:t>
            </w:r>
            <w:r>
              <w:rPr>
                <w:b/>
                <w:i/>
              </w:rPr>
              <w:t>Europese Dienst voor extern optreden (EDEO) in verband met dreigingen van buitenlandse informatiemanipulatie en inmenging</w:t>
            </w:r>
            <w:r>
              <w:t>,</w:t>
            </w:r>
          </w:p>
        </w:tc>
        <w:tc>
          <w:tcPr>
            <w:tcW w:w="4876" w:type="dxa"/>
            <w:tcBorders>
              <w:top w:val="nil"/>
              <w:left w:val="nil"/>
              <w:bottom w:val="nil"/>
              <w:right w:val="nil"/>
            </w:tcBorders>
          </w:tcPr>
          <w:p>
            <w:pPr>
              <w:pStyle w:val="Normal6a"/>
            </w:pPr>
            <w:r>
              <w:t>–</w:t>
            </w:r>
            <w:r>
              <w:tab/>
            </w:r>
            <w:r>
              <w:t xml:space="preserve">gezien het verslag van de </w:t>
            </w:r>
            <w:r>
              <w:rPr>
                <w:b/>
                <w:i/>
              </w:rPr>
              <w:t>Raad van Europa getiteld "Safety of Journalists platform 2024 report: serious concern about the use of spyware against journalists</w:t>
            </w:r>
            <w:r>
              <w:t xml:space="preserve">, </w:t>
            </w:r>
            <w:r>
              <w:rPr>
                <w:b/>
                <w:i/>
              </w:rPr>
              <w:t>abusive lawsuits and journalists in exile",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82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lopende discussie in het Parlement over de impact van social media influencers op het publiek,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84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bevindingen van het verslag van de Poolse staatscommissie voor het onderzoek naar de Russische invloed op de binnenlandse veiligheid van de Republiek Polen in de periode 2007-2022,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influencerhandboek dat in 2020 door het Finse Mediapooli is opgesteld,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influencerhandboek dat in 2020 door het Finse Mediapooli is opgesteld,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86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Amerikaanse Nationale Veiligheidsstrategie van 5 december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88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Amerikaanse Nationale Veiligheidsstrategie, gepubliceerd in november 2025, en de nationale defensiestrategie, gepubliceerd in januari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88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Amerikaanse Nationale Veiligheidsstrategie van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89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verslag van Verslaggevers zonder Grenzen van 25 september 2025 getiteld “The Propaganda Monitor: The Russian Edition”,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artikel van het Centrum voor mediapluralisme en mediavrijheid van het Europees Universitair Instituut, getiteld “Influencers as news creators: implications for media regulation”, gepubliceerd op 1 november 2025,</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artikel van het AlgoSoc-consortium getiteld “1 op de 10 Nederlanders overweegt AI om stemadvies te vragen, en dat is zorgelijk”, gepubliceerd op 28 oktober 2025,</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speciaal verslag van NewsGuard van 6 maart 2025 getiteld “A Well-funded Moscow-based Global “News” Network has Infected Western Artificial Intelligence with Russian Propaganda”,</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analyses en aanbevelingen van het NAVO-kenniscentrum voor strategische communicatie,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Norman Lewis, getiteld "A Shield Against Democracy:</w:t>
            </w:r>
            <w:r>
              <w:t xml:space="preserve"> </w:t>
            </w:r>
            <w:r>
              <w:rPr>
                <w:b/>
                <w:i/>
              </w:rPr>
              <w:t>The European Democracy Shield and the Future of Free Speech, MCC,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analyses en aanbevelingen van EUvsDisinfo van de Europese Dienst voor extern optreden,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het Amerikaanse Huis van Afgevaardigden, Committee on the Judiciary, Majority Staff Report, The Digital Services Act and the Transatlantic Threat to Free Speech,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de nationale veiligheidsstichting (Fundacja Bezpieczeństwa Narodowego) over de verkiezingen in Polen,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95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het Amerikaanse Huis van Afgevaardigden, Committee on the Judiciary, Majority Staff Report, The Foreign Censorship Threat to Free Speech – Part II,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onderzoeksverslag van VSquare, Delfi Estonia en partnermediaorganisaties getiteld “Kremlin Leaks: SECRET Files Reveal How Putin Pre-Rigged his reelection” gepubliceerd op 26 februari 2024,</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onderzoeksverslag van VSquare, Delfi Estonia en partnermediaorganisaties getiteld “Kremlin Leaks: SECRET Files Reveal How Putin Pre-Rigged his reelection” gepubliceerd op 26 februari 2024,</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de “Ethical Code of Conduct for Social Media Influencers and Content Creators”, gepubliceerd door het Aspen Institute Germany in 2024,</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de “Ethical Code of Conduct for Social Media Influencers and Content Creators”, gepubliceerd door het Aspen Institute Germany in 2024,</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artikel van Debunk.org getiteld “Kremlin spent 1.9 billion USD on propaganda last year, the budget exceeded by a quarter”, gepubliceerd op 4 mei 2023,</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artikel van Debunk.org getiteld “Kremlin spent 1.9 billion USD on propaganda last year, the budget exceeded by a quarter”, gepubliceerd op 4 mei 2023,</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99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de verklaring van het ministerie van Buitenlandse Zaken van de Russische Federatie van 28 december 2024 over maatregelen naar aanleiding van het 15e sanctiepakket van de EU tegen Rusland, waarin het ministerie de uitbreiding aankondigde van de lijst van EU-functionarissen en -burgers aan wie de toegang tot het land wordt ontzegd,</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het artikel van het Russische persbureau TASS van 28 december 2024 getiteld “Russia substantially expands blacklist of EU officials in response to sanctions – MFA”,</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persbericht van de Commissie van 18 december 2023 over de inleiding van een formele procedure in het kader van de digitaledienstenverordening tegen X om mogelijke inbreuken op haar verplichtingen te beoordelen, met name wat betreft de beperking van systeemrisico’s in verband met het ontwerp en de werking van haar aanbevelingssystemen, alsook verplichtingen in verband met risicobeoordeling, inhoudsmoderatie, transparantie van reclame en toegang tot gegevens voor onderzoekers,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Prama et al. getiteld “Political Biases on X before the 2025 German Federal Election”, gepubliceerd in maart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persbericht van de Commissie van 30 april 2024 over de inleiding van een formele procedure in het kader van de digitaledienstenverordening tegen Meta-platforms, met name wat betreft de verwerking en vermindering van politieke inhoud op onlineplatforms ervan,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Prama, Vishal and Grabowicz getiteld “Political Biases on X before the 2025 German Federal Election”, gepubliceerd in maart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100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Weinmann, Denkovski and Giannaccini getiteld "Filtered for You: Algorithmic Bias on TikTok and Instagram in Germany", gepubliceerd in januari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100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Global Witness getiteld “TikTok and X Recommend Pro-AfD Content to non-partisan Users Ahead of the German Elections”, gepubliceerd in januari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100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Global Witness getiteld “TikTok Algorithm Continues to Push Multiple Times More Far-Right Content to Users Ahead of Romanian Election”, gepubliceerd in februari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100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Verwiebe et al. getiteld "‘Digitalisiert, politisiert, polarisiert? Eine Analyse von Social-Media-Feeds junger Menschen zur Bundestagswahl 2025 auf TikTok, YouTube, Instagram und X", gepubliceerd in januari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100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Katzy-Reinshagen et al. getiteld "Wahlkampf im Feed? Wie TikTok mit parteipolitischen Inhalten im Vorfeld der Bundestagswahl 2025 umgeht", gepubliceerd in februari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100 nonies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verslag van Matlach et al. getiteld "Recommending Hate: How TikTok’s Search Engine Algorithms Reproduce Societal Bias", gepubliceerd in februari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gezien de verklaring van TikTok van december 2024 over het blijven beschermen van de integriteit van TikTok tijdens de Roemeense verkiezingen,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jongerenenquête van 2024 over de standpunten en prioriteiten van jongeren (16-30 jaar) in de hele EU, met bijzondere aandacht voor hun politieke prioriteiten, houding ten opzichte van de Europese Unie, informatiebronnen, blootstelling aan desinformatie, politieke betrokkenheid en stemgedrag bij de Europese verkiezingen van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Akkoord tussen het Europees Parlement, de Raad van de Europese Unie, de Europese Commissie, het Hof van Justitie van de Europese Unie, de Europese Centrale Bank, de Europese Rekenkamer, het Europees Economisch en Sociaal Comité en het Europees Comité van de Regio’s tot instelling van een interinstitutioneel orgaan voor ethische normen voor leden van de in artikel 13 van het Verdrag betreffende de Europese Unie genoemde instellingen en adviesorganen,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besluit van het Europees Parlement om binnen de Commissie begrotingscontrole een werkgroep voor toezicht op de financiering van ngo’s op te 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witboek over de gereedheid van de Europese defensie 2030 en Verordening (EU) 2025/1106 van de Raad van 27 mei 2025 tot vaststelling van het instrument “Optreden voor de veiligheid van Europa (SAFE) door middel van versterking van de Europese defensie-industrie”,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zijn resolutie van 14 september 2017 over transparantie, verantwoordelijkheid en integriteit in de EU-instellingen,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resolutie van het Europees Parlement van 17 december 2025 over de toepassing van de Verdragsbepalingen inzake de subsidiariteits- en evenredigheidsbeginselen en de rol van nationale parlementen in het EU-wetgevingsproces (2025/2042(INI)),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Lukas Mandl, Sandra Kalniete, Marta Wcisło,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nationale veiligheidsbeleid van de VS van 2025, gepubliceerd op 5 december 2025, waarop met dringend en ambitieus Europees optreden moet worden gereageerd,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artikel 5 van het Verdrag betreffende de Europese Unie, met name de beginselen van bevoegdheidstoedeling, subsidiariteit en evenredigheid,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verslagen en aanbevelingen van de Europese Rekenkamer, met name speciaal verslag 11/2025:</w:t>
            </w:r>
            <w:r>
              <w:t xml:space="preserve"> </w:t>
            </w:r>
            <w:r>
              <w:rPr>
                <w:b/>
                <w:i/>
              </w:rPr>
              <w:t>Transparantie van aan ngo’s toegekende EU-financiering,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Tomáš Zdechovský, Dan-Ştefan Motreanu, Lukas Mandl, Sandra Kalniete, Tomas Tobé, Mika Aaltola,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104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toespraak van voorzitter Von der Leyen over de Staat van de Unie in september 2025, waarin werd benadrukt hoe belangrijk en dringend het optreden is voor de democratische veerkracht,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104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verklaring van Meta Platforms, Inc. van 7 januari 2025 getiteld “More Speech and Fewer Mistakes”, waarin de organisatie aankondigt dat zij haar factcheckprogramma van derden beëindigt omdat dit heeft geleid tot buitensporige verwijdering van inhoud en censuur van het legitieme openbaar debat,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104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conclusies van de Raad van 28 november 2025 over toegang tot betrouwbaar nieuws in het kader van het Europees schild voor de democratie,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104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relevante studies en acties van de Commissie inzake de impact van digitale reclame en het gebruik van online-inhoud voor AI-doeleinden,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104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werkzaamheden van het Europees Parlement op het gebied van auteursrechten en generatieve artificiële intelligentie,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op 12 november 2025 de Commissie en de hoge vertegenwoordiger van de Unie voor buitenlandse zaken en veiligheidsbeleid een gezamenlijke mededeling over de instelling van het Europees schild voor de democratie hebben gepresenteerd, waarin een reeks maatregelen wordt uiteengezet om sterke en veerkrachtige democratieën in de hele EU te versterken, te beschermen en te bevorderen;</w:t>
            </w:r>
          </w:p>
        </w:tc>
        <w:tc>
          <w:tcPr>
            <w:tcW w:w="4876" w:type="dxa"/>
            <w:tcBorders>
              <w:top w:val="nil"/>
              <w:left w:val="nil"/>
              <w:bottom w:val="nil"/>
              <w:right w:val="nil"/>
            </w:tcBorders>
          </w:tcPr>
          <w:p>
            <w:pPr>
              <w:pStyle w:val="Normal6a"/>
            </w:pPr>
            <w:r>
              <w:t>A.</w:t>
            </w:r>
            <w:r>
              <w:tab/>
            </w:r>
            <w:r>
              <w:t>overwegende dat op 12 november 2025 de Commissie en de hoge vertegenwoordiger van de Unie voor buitenlandse zaken en veiligheidsbeleid</w:t>
            </w:r>
            <w:r>
              <w:rPr>
                <w:b/>
                <w:i/>
              </w:rPr>
              <w:t>, na aanzienlijke vertraging,</w:t>
            </w:r>
            <w:r>
              <w:t xml:space="preserve"> een gezamenlijke mededeling over de instelling van het Europees schild voor de democratie hebben gepresenteerd, waarin een reeks maatregelen wordt uiteengezet om sterke en veerkrachtige democratieën in de hele EU te versterken, te beschermen en te bevorderen; </w:t>
            </w:r>
            <w:r>
              <w:rPr>
                <w:b/>
                <w:i/>
              </w:rPr>
              <w:t>overwegende dat bepaalde suggesties van de Commissie kunnen bijdragen tot verdere centralisatie van bevoegdheden op EU-niveau ten koste van de democratische prerogatieven van de lidstaten;</w:t>
            </w:r>
            <w:r>
              <w:t xml:space="preserve"> </w:t>
            </w:r>
            <w:r>
              <w:rPr>
                <w:b/>
                <w:i/>
              </w:rPr>
              <w:t>overwegende dat de voorgestelde maatregelen geen rekening houden met de bestaande democratische tekortkomingen, tekortkomingen in het toezicht, recente schandalen, dubbele maatstaven en een duidelijk gebrek aan objectiviteit binnen de EU-instellingen;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democratische veerkracht en Europese veiligheid steeds meer onlosmakelijk met elkaar verbonden zijn;</w:t>
            </w:r>
            <w:r>
              <w:t xml:space="preserve"> </w:t>
            </w:r>
            <w:r>
              <w:rPr>
                <w:b/>
                <w:i/>
              </w:rPr>
              <w:t>overwegende dat hybride dreigingen, buitenlandse inmenging en desinformatie opzettelijk worden gebruikt als instrumenten van oorlogvoering en dwang;</w:t>
            </w:r>
            <w:r>
              <w:t xml:space="preserve"> </w:t>
            </w:r>
            <w:r>
              <w:rPr>
                <w:b/>
                <w:i/>
              </w:rPr>
              <w:t>overwegende dat de versterking van het Europees schild voor de democratie daarom ook bijdraagt tot de autonomie van de Unie op het gebied van veiligheid en defensie;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buitenlandse informatiemanipulatiecampagnes vaak worden gevoerd met goedkope, weinig intensieve en hardnekkige tactieken;</w:t>
            </w:r>
            <w:r>
              <w:t xml:space="preserve"> </w:t>
            </w:r>
            <w:r>
              <w:rPr>
                <w:b/>
                <w:i/>
              </w:rPr>
              <w:t>overwegende dat de respons op dergelijke activiteiten evenredig en empirisch onderbouwd moet blijven en stevig verankerd moet zijn in de rechtsstaat, om te voorkomen dat permanente noodinterventies in de informatieruimte worden genormaliseerd;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in artikel 19 van de Universele Verklaring van de Rechten van de Mens wordt bevestigd dat eenieder recht heeft op vrijheid van mening en meningsuiting;</w:t>
            </w:r>
            <w:r>
              <w:t xml:space="preserve"> </w:t>
            </w:r>
            <w:r>
              <w:rPr>
                <w:b/>
                <w:i/>
              </w:rPr>
              <w:t>overwegende dat dit recht de vrijheid omvat om zonder inmenging een mening te koesteren en om door alle middelen en ongeacht grenzen inlichtingen en denkbeelden op te sporen, te ontvangen en door te geven;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het schild voor de democratie een unieke kans biedt om een doeltreffende, maatschappijbrede verdediging van de democratie, de vrijheid, het concurrentievermogen en de welvaart van Europa op te bouwen;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overwegende dat artikel 10 van het Europees Verdrag tot bescherming van de rechten van de mens het recht op vrijheid van meningsuiting waarborgt, met inbegrip van de vrijheid om een mening te koesteren en de vrijheid om inlichtingen of denkbeelden te ontvangen of te verstrekken, zonder inmenging van enig openbaar gezag en ongeacht grenzen;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overwegende dat de Europese Commissie geen gehoor heeft gegeven aan verzoeken van het Europees Parlement om in haar jaarlijks verslag over de rechtsstaat een specifiek hoofdstuk op te nemen waarin de situatie binnen de EU-instellingen zelf wordt beoordeeld;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w:t>
            </w:r>
            <w:r>
              <w:rPr>
                <w:b/>
                <w:i/>
              </w:rPr>
              <w:t>het Europees Centrum voor democratische veerkracht</w:t>
            </w:r>
            <w:r>
              <w:t xml:space="preserve"> het middelpunt </w:t>
            </w:r>
            <w:r>
              <w:rPr>
                <w:b/>
                <w:i/>
              </w:rPr>
              <w:t>vormt</w:t>
            </w:r>
            <w:r>
              <w:t xml:space="preserve"> van het Europees schild voor de democratie; overwegende dat beide bijzondere commissies inzake buitenlandse inmenging in alle democratische processen in de Europese Unie, met inbegrip van desinformatie (INGE en INGE 2) van het Parlement reeds hadden opgeroepen tot de </w:t>
            </w:r>
            <w:r>
              <w:rPr>
                <w:b/>
                <w:i/>
              </w:rPr>
              <w:t>oprichting van een</w:t>
            </w:r>
            <w:r>
              <w:t xml:space="preserve"> EU-structuur om buitenlandse informatiemanipulatie en inmenging tegen te gaan;</w:t>
            </w:r>
          </w:p>
        </w:tc>
        <w:tc>
          <w:tcPr>
            <w:tcW w:w="4876" w:type="dxa"/>
            <w:tcBorders>
              <w:top w:val="nil"/>
              <w:left w:val="nil"/>
              <w:bottom w:val="nil"/>
              <w:right w:val="nil"/>
            </w:tcBorders>
          </w:tcPr>
          <w:p>
            <w:pPr>
              <w:pStyle w:val="Normal6a"/>
            </w:pPr>
            <w:r>
              <w:t>B.</w:t>
            </w:r>
            <w:r>
              <w:tab/>
            </w:r>
            <w:r>
              <w:t xml:space="preserve">overwegende dat </w:t>
            </w:r>
            <w:r>
              <w:rPr>
                <w:b/>
                <w:i/>
              </w:rPr>
              <w:t>de vrije samenlevingen</w:t>
            </w:r>
            <w:r>
              <w:t xml:space="preserve"> het middelpunt </w:t>
            </w:r>
            <w:r>
              <w:rPr>
                <w:b/>
                <w:i/>
              </w:rPr>
              <w:t>vormen</w:t>
            </w:r>
            <w:r>
              <w:t xml:space="preserve"> van het Europees schild voor de democratie </w:t>
            </w:r>
            <w:r>
              <w:rPr>
                <w:b/>
                <w:i/>
              </w:rPr>
              <w:t>en dat geen enkele Brusselse instelling democratische processen in de lidstaten kan vervangen of beïnvloeden</w:t>
            </w:r>
            <w:r>
              <w:t xml:space="preserve">; overwegende dat beide bijzondere commissies inzake buitenlandse inmenging in alle democratische processen in de Europese Unie, met inbegrip van desinformatie (INGE en INGE 2) van het Parlement reeds hadden opgeroepen tot de </w:t>
            </w:r>
            <w:r>
              <w:rPr>
                <w:b/>
                <w:i/>
              </w:rPr>
              <w:t>versterking van de</w:t>
            </w:r>
            <w:r>
              <w:t xml:space="preserve"> EU-structuur om buitenlandse informatiemanipulatie en inmenging tegen te gaan</w:t>
            </w:r>
            <w:r>
              <w:rPr>
                <w:b/>
                <w:i/>
              </w:rPr>
              <w:t>, die op passende wijze binnen de EDEO moet worden ondergebracht, naast reeds lang bestaande organen zoals de East StratCom Task Force, die over een beproefde werkmethode beschikken en jarenlang met succes hebben samengewerkt met het Europees Parlement, de Commissie, de lidstaten, partnerorganisaties en de deskundigengemeenschap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w:t>
            </w:r>
            <w:r>
              <w:rPr>
                <w:b/>
                <w:i/>
              </w:rPr>
              <w:t>het</w:t>
            </w:r>
            <w:r>
              <w:t xml:space="preserve"> Europees Centrum voor democratische veerkracht </w:t>
            </w:r>
            <w:r>
              <w:rPr>
                <w:b/>
                <w:i/>
              </w:rPr>
              <w:t>het middelpunt vormt</w:t>
            </w:r>
            <w:r>
              <w:t xml:space="preserve"> van het </w:t>
            </w:r>
            <w:r>
              <w:rPr>
                <w:b/>
                <w:i/>
              </w:rPr>
              <w:t>Europees schild voor de democratie</w:t>
            </w:r>
            <w:r>
              <w:t>; overwegende dat beide bijzondere commissies inzake buitenlandse inmenging in alle democratische processen in de Europese Unie, met inbegrip van desinformatie (INGE en INGE 2) van het Parlement reeds hadden opgeroepen tot de oprichting van een EU-structuur om buitenlandse informatiemanipulatie en inmenging tegen te gaan;</w:t>
            </w:r>
          </w:p>
        </w:tc>
        <w:tc>
          <w:tcPr>
            <w:tcW w:w="4876" w:type="dxa"/>
            <w:tcBorders>
              <w:top w:val="nil"/>
              <w:left w:val="nil"/>
              <w:bottom w:val="nil"/>
              <w:right w:val="nil"/>
            </w:tcBorders>
          </w:tcPr>
          <w:p>
            <w:pPr>
              <w:pStyle w:val="Normal6a"/>
            </w:pPr>
            <w:r>
              <w:t>B.</w:t>
            </w:r>
            <w:r>
              <w:tab/>
            </w:r>
            <w:r>
              <w:t xml:space="preserve">overwegende dat </w:t>
            </w:r>
            <w:r>
              <w:rPr>
                <w:b/>
                <w:i/>
              </w:rPr>
              <w:t>de gezamenlijke mededeling over het Europees schild voor de democratie verschillende positieve aanbevelingen en voorstellen bevat, zoals de oprichting van een</w:t>
            </w:r>
            <w:r>
              <w:t xml:space="preserve"> Europees Centrum voor democratische veerkracht</w:t>
            </w:r>
            <w:r>
              <w:rPr>
                <w:b/>
                <w:i/>
              </w:rPr>
              <w:t>, de uitbreiding</w:t>
            </w:r>
            <w:r>
              <w:t xml:space="preserve"> van het </w:t>
            </w:r>
            <w:r>
              <w:rPr>
                <w:b/>
                <w:i/>
              </w:rPr>
              <w:t>toepassingsgebied ervan tot toetredingslanden en buurlanden van de EU, of de volledige handhaving van belangrijke EU-wetgeving</w:t>
            </w:r>
            <w:r>
              <w:t>; overwegende dat beide bijzondere commissies inzake buitenlandse inmenging in alle democratische processen in de Europese Unie, met inbegrip van desinformatie (INGE en INGE 2) van het Parlement reeds hadden opgeroepen tot de oprichting van een EU-structuur</w:t>
            </w:r>
            <w:r>
              <w:rPr>
                <w:b/>
                <w:i/>
              </w:rPr>
              <w:t>, vergelijkbaar met het voorgestelde Europees Centrum voor democratische veerkracht,</w:t>
            </w:r>
            <w:r>
              <w:t xml:space="preserve"> om buitenlandse informatiemanipulatie en inmenging tegen te 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het Europees Centrum voor democratische veerkracht het middelpunt vormt van het Europees schild voor de democratie; overwegende dat beide bijzondere commissies inzake buitenlandse inmenging in alle democratische processen in de Europese Unie, met inbegrip van desinformatie (INGE en INGE 2) van het Parlement reeds hadden opgeroepen tot de oprichting van een EU-structuur om buitenlandse informatiemanipulatie en inmenging tegen te gaan;</w:t>
            </w:r>
          </w:p>
        </w:tc>
        <w:tc>
          <w:tcPr>
            <w:tcW w:w="4876" w:type="dxa"/>
            <w:tcBorders>
              <w:top w:val="nil"/>
              <w:left w:val="nil"/>
              <w:bottom w:val="nil"/>
              <w:right w:val="nil"/>
            </w:tcBorders>
          </w:tcPr>
          <w:p>
            <w:pPr>
              <w:pStyle w:val="Normal6a"/>
            </w:pPr>
            <w:r>
              <w:t>B.</w:t>
            </w:r>
            <w:r>
              <w:tab/>
            </w:r>
            <w:r>
              <w:t>overwegende dat het Europees Centrum voor democratische veerkracht het middelpunt vormt van het Europees schild voor de democratie</w:t>
            </w:r>
            <w:r>
              <w:rPr>
                <w:b/>
                <w:i/>
              </w:rPr>
              <w:t>, maar twijfels doet rijzen over de eerbiediging van de nationale identiteit van de lidstaten, zoals bepaald in artikel 4, lid 1, VEU, en de exclusieve verantwoordelijkheid van de lidstaten voor de nationale veiligheid, zoals bepaald in artikel 4, lid 2, VEU</w:t>
            </w:r>
            <w:r>
              <w:t>; overwegende dat beide bijzondere commissies inzake buitenlandse inmenging in alle democratische processen in de Europese Unie, met inbegrip van desinformatie (INGE en INGE 2) van het Parlement reeds hadden opgeroepen tot de oprichting van een EU-structuur om buitenlandse informatiemanipulatie en inmenging tegen te 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het Europees Centrum voor democratische veerkracht het middelpunt vormt van het Europees schild voor de democratie; overwegende dat beide bijzondere commissies inzake buitenlandse inmenging in alle democratische processen in de Europese Unie, met inbegrip van desinformatie (INGE en INGE 2) van het Parlement reeds hadden opgeroepen tot de oprichting van een EU-structuur om buitenlandse informatiemanipulatie en inmenging tegen te gaan;</w:t>
            </w:r>
          </w:p>
        </w:tc>
        <w:tc>
          <w:tcPr>
            <w:tcW w:w="4876" w:type="dxa"/>
            <w:tcBorders>
              <w:top w:val="nil"/>
              <w:left w:val="nil"/>
              <w:bottom w:val="nil"/>
              <w:right w:val="nil"/>
            </w:tcBorders>
          </w:tcPr>
          <w:p>
            <w:pPr>
              <w:pStyle w:val="Normal6a"/>
            </w:pPr>
            <w:r>
              <w:t>B.</w:t>
            </w:r>
            <w:r>
              <w:tab/>
            </w:r>
            <w:r>
              <w:t xml:space="preserve">overwegende dat het Europees Centrum voor democratische veerkracht het middelpunt vormt van het Europees schild voor de democratie; overwegende dat beide bijzondere commissies inzake buitenlandse inmenging in alle democratische processen in de Europese Unie, met inbegrip van desinformatie (INGE en INGE 2) van het Parlement reeds hadden opgeroepen tot de oprichting van een EU-structuur om buitenlandse informatiemanipulatie en inmenging tegen te gaan; </w:t>
            </w:r>
            <w:r>
              <w:rPr>
                <w:b/>
                <w:i/>
              </w:rPr>
              <w:t>overwegende dat een dergelijke structuur bestaande instrumenten, capaciteiten en competenties niet mag dupliceren, maar deze in plaats daarvan moet consolideren tot één entiteit met een duidelijke visie, een duidelijk mandaat, echte bevoegdheden en financiering;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het Europees Centrum voor democratische veerkracht </w:t>
            </w:r>
            <w:r>
              <w:rPr>
                <w:b/>
                <w:i/>
              </w:rPr>
              <w:t>het middelpunt vormt van het Europees schild voor de democratie;</w:t>
            </w:r>
            <w:r>
              <w:t xml:space="preserve"> </w:t>
            </w:r>
            <w:r>
              <w:rPr>
                <w:b/>
                <w:i/>
              </w:rPr>
              <w:t>overwegende dat beide bijzondere commissies inzake buitenlandse inmenging in alle democratische processen in de Europese Unie, met inbegrip van desinformatie (INGE en INGE 2) van het Parlement reeds hadden opgeroepen tot de oprichting van een EU-structuur om buitenlandse informatiemanipulatie en inmenging tegen te gaan</w:t>
            </w:r>
            <w:r>
              <w:t>;</w:t>
            </w:r>
          </w:p>
        </w:tc>
        <w:tc>
          <w:tcPr>
            <w:tcW w:w="4876" w:type="dxa"/>
            <w:tcBorders>
              <w:top w:val="nil"/>
              <w:left w:val="nil"/>
              <w:bottom w:val="nil"/>
              <w:right w:val="nil"/>
            </w:tcBorders>
          </w:tcPr>
          <w:p>
            <w:pPr>
              <w:pStyle w:val="Normal6a"/>
            </w:pPr>
            <w:r>
              <w:t>B.</w:t>
            </w:r>
            <w:r>
              <w:tab/>
            </w:r>
            <w:r>
              <w:t xml:space="preserve">overwegende dat het Europees Centrum voor democratische veerkracht </w:t>
            </w:r>
            <w:r>
              <w:rPr>
                <w:b/>
                <w:i/>
              </w:rPr>
              <w:t>wordt gepromoot als een kader voor uitwisseling en operationele samenwerking en coördinatie tussen deelnemende lidstaten, kandidaat-lidstaten en potentiële kandidaat-lidstaten van de EU, en EU-instellingen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w:t>
            </w:r>
            <w:r>
              <w:rPr>
                <w:b/>
                <w:i/>
              </w:rPr>
              <w:t>het Europees Centrum voor democratische veerkracht het middelpunt vormt van</w:t>
            </w:r>
            <w:r>
              <w:t xml:space="preserve"> het Europees schild voor de democratie</w:t>
            </w:r>
            <w:r>
              <w:rPr>
                <w:b/>
                <w:i/>
              </w:rPr>
              <w:t>;</w:t>
            </w:r>
            <w:r>
              <w:t xml:space="preserve"> </w:t>
            </w:r>
            <w:r>
              <w:rPr>
                <w:b/>
                <w:i/>
              </w:rPr>
              <w:t>overwegende dat beide bijzondere commissies inzake buitenlandse inmenging in alle democratische processen in de Europese Unie, met inbegrip van desinformatie (INGE en INGE 2) van het Parlement reeds hadden opgeroepen tot de oprichting van een EU-structuur om buitenlandse informatiemanipulatie en inmenging tegen te gaan</w:t>
            </w:r>
            <w:r>
              <w:t>;</w:t>
            </w:r>
          </w:p>
        </w:tc>
        <w:tc>
          <w:tcPr>
            <w:tcW w:w="4876" w:type="dxa"/>
            <w:tcBorders>
              <w:top w:val="nil"/>
              <w:left w:val="nil"/>
              <w:bottom w:val="nil"/>
              <w:right w:val="nil"/>
            </w:tcBorders>
          </w:tcPr>
          <w:p>
            <w:pPr>
              <w:pStyle w:val="Normal6a"/>
            </w:pPr>
            <w:r>
              <w:t>B.</w:t>
            </w:r>
            <w:r>
              <w:tab/>
            </w:r>
            <w:r>
              <w:t xml:space="preserve">overwegende dat het Europees schild voor de democratie </w:t>
            </w:r>
            <w:r>
              <w:rPr>
                <w:b/>
                <w:i/>
              </w:rPr>
              <w:t>het werk van de veiligheids- en inlichtingendiensten en rechtshandhavingsinstanties van de lidstaten, alsook van de relevante organen en instellingen van de Unie op dit gebied, moet aanvullen en niet dupliceren of vervangen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het Europees Centrum voor democratische veerkracht het middelpunt vormt van het Europees schild voor de democratie; overwegende dat beide bijzondere commissies inzake buitenlandse inmenging in alle democratische processen in de Europese Unie, met inbegrip van desinformatie (INGE en INGE 2) van het Parlement reeds hadden opgeroepen tot de oprichting van een EU-structuur om buitenlandse informatiemanipulatie en inmenging tegen te gaan;</w:t>
            </w:r>
          </w:p>
        </w:tc>
        <w:tc>
          <w:tcPr>
            <w:tcW w:w="4876" w:type="dxa"/>
            <w:tcBorders>
              <w:top w:val="nil"/>
              <w:left w:val="nil"/>
              <w:bottom w:val="nil"/>
              <w:right w:val="nil"/>
            </w:tcBorders>
          </w:tcPr>
          <w:p>
            <w:pPr>
              <w:pStyle w:val="Normal6a"/>
            </w:pPr>
            <w:r>
              <w:t>B.</w:t>
            </w:r>
            <w:r>
              <w:tab/>
            </w:r>
            <w:r>
              <w:t xml:space="preserve">overwegende dat het Europees Centrum voor democratische veerkracht het middelpunt vormt van het Europees schild voor de democratie; overwegende dat beide bijzondere commissies inzake buitenlandse inmenging in alle democratische processen in de Europese Unie, met inbegrip van desinformatie (INGE en INGE 2) van het Parlement reeds hadden opgeroepen tot de oprichting van een EU-structuur om buitenlandse informatiemanipulatie en inmenging </w:t>
            </w:r>
            <w:r>
              <w:rPr>
                <w:b/>
                <w:i/>
              </w:rPr>
              <w:t>en desinformatie</w:t>
            </w:r>
            <w:r>
              <w:t xml:space="preserve"> tegen te 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het vrijwillige karakter van deelname aan het voorstel dat ten grondslag ligt aan het Europees Centrum voor democratische veerkracht structurele beperkingen en praktische belemmeringen kan creëren voor de doeltreffende werking ervan, waardoor het vermogen van het Centrum om op te treden en de respons op bedreigingen voor democratische processen in de hele Unie te coördineren, wordt ondermijnd;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Jaroslav Bžoch,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de twee bijzondere commissies inzake buitenlandse inmenging in alle democratische processen in de Europese Unie, met inbegrip van desinformatie (INGE en INGE 2) van het Parlement al eerder hadden opgeroepen tot de oprichting van een EU-structuur om buitenlandse informatiemanipulatie en inmenging tegen te 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de Commissie in haar mededeling geen rechtsgrondslag heeft gevonden voor de oprichting van het Centrum;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overwegende dat bijna drie jaar na de goedkeuring van de aanbeveling van het Europees Parlement van 15 juni 2023 aan de Raad en de Commissie de overgrote meerderheid van die aanbevelingen nog niet is uitgevoerd, ondanks het centrale belang ervan voor de bescherming van de grondrechten, de democratie en de rechtsstaat tegen misbruik van spyware en indringende surveillancetechnologieën;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ter.</w:t>
            </w:r>
            <w:r>
              <w:tab/>
            </w:r>
            <w:r>
              <w:rPr>
                <w:b/>
                <w:i/>
              </w:rPr>
              <w:t>overwegende dat de EDEO al jaren doeltreffende maatregelen neemt om Rusland en China als FIMI-actoren te monitoren en aan te pakken, in samenwerking met de NAVO en de G7-instellingen, onder meer door middel van blootstellingsactiviteiten, politieke toeschrijving en de vaststelling van sancties;</w:t>
            </w:r>
            <w:r>
              <w:t xml:space="preserve"> </w:t>
            </w:r>
            <w:r>
              <w:rPr>
                <w:b/>
                <w:i/>
              </w:rPr>
              <w:t>overwegende dat de Commissie op dit gebied beperkte bevoegdheden heeft;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quater.</w:t>
            </w:r>
            <w:r>
              <w:tab/>
            </w:r>
            <w:r>
              <w:rPr>
                <w:b/>
                <w:i/>
              </w:rPr>
              <w:t>overwegende dat het Europees Kenniscentrum voor de bestrijding van hybride bedreigingen onder auspiciën van de EU reeds operationeel is;</w:t>
            </w:r>
            <w:r>
              <w:t xml:space="preserve"> </w:t>
            </w:r>
            <w:r>
              <w:rPr>
                <w:b/>
                <w:i/>
              </w:rPr>
              <w:t>overwegende dat het kenniscentrum voor strategische communicatie van de NAVO al enkele jaren zeer doeltreffend werk op dit gebied verricht;</w:t>
            </w:r>
            <w:r>
              <w:t xml:space="preserve"> </w:t>
            </w:r>
            <w:r>
              <w:rPr>
                <w:b/>
                <w:i/>
              </w:rPr>
              <w:t>overwegende dat de Commissie door deze instanties vervaardigde analytische producten ontvangt en zo nodig om aanvullende analyses kan verzoeken;</w:t>
            </w:r>
            <w:r>
              <w:t xml:space="preserve"> </w:t>
            </w:r>
            <w:r>
              <w:rPr>
                <w:b/>
                <w:i/>
              </w:rPr>
              <w:t>overwegende dat het daarom niet nodig is aanvullende structuren op te zetten die bestaande capaciteiten zouden dupliceren of reeds lang bestaande entiteiten hun bevoegdheden zouden ontnemen om dergelijke activiteiten ondergeschikt te maken aan de Commissie, die niet over het overeenkomstige mandaat beschikt;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recente verslagen van de EDEO over FIMI-dreigingen blijk geven van een steeds gedetailleerder inzicht in de methoden, technische infrastructuur en beoogde narratieven van kwaadwillige actoren, maar dat dit situationeel bewustzijn nog niet is vertaald in duurzame operationele mechanismen die de EU in staat stellen tijdig gecoördineerde tegenmaatregelen te nemen; overwegende dat de institutionele structuur van de EU </w:t>
            </w:r>
            <w:r>
              <w:rPr>
                <w:b/>
                <w:i/>
              </w:rPr>
              <w:t>een</w:t>
            </w:r>
            <w:r>
              <w:t xml:space="preserve"> belangrijk doelwit is van vijandige informatiemanipulatiecampagnes; overwegende dat de EU te kampen heeft met een versnipperde aanpak van de bestrijding van FIMI en desinformatie</w:t>
            </w:r>
            <w:r>
              <w:rPr>
                <w:b/>
                <w:i/>
              </w:rPr>
              <w:t>, met</w:t>
            </w:r>
            <w:r>
              <w:t xml:space="preserve"> aanzienlijke verschillen in de capaciteiten van de lidstaten </w:t>
            </w:r>
            <w:r>
              <w:rPr>
                <w:b/>
                <w:i/>
              </w:rPr>
              <w:t>en zonder overkoepelend</w:t>
            </w:r>
            <w:r>
              <w:t xml:space="preserve"> strategisch kader dat </w:t>
            </w:r>
            <w:r>
              <w:rPr>
                <w:b/>
                <w:i/>
              </w:rPr>
              <w:t>de</w:t>
            </w:r>
            <w:r>
              <w:t xml:space="preserve"> operationele respons koppelt aan dreigingsinformatie;</w:t>
            </w:r>
          </w:p>
        </w:tc>
        <w:tc>
          <w:tcPr>
            <w:tcW w:w="4876" w:type="dxa"/>
            <w:tcBorders>
              <w:top w:val="nil"/>
              <w:left w:val="nil"/>
              <w:bottom w:val="nil"/>
              <w:right w:val="nil"/>
            </w:tcBorders>
          </w:tcPr>
          <w:p>
            <w:pPr>
              <w:pStyle w:val="Normal6a"/>
            </w:pPr>
            <w:r>
              <w:t>C.</w:t>
            </w:r>
            <w:r>
              <w:tab/>
            </w:r>
            <w:r>
              <w:t xml:space="preserve">overwegende dat recente verslagen van de EDEO over FIMI-dreigingen blijk geven van een steeds gedetailleerder inzicht in de methoden, technische infrastructuur en beoogde narratieven van kwaadwillige actoren, maar dat dit situationeel bewustzijn nog niet is vertaald in duurzame operationele mechanismen die de EU in staat stellen tijdig gecoördineerde tegenmaatregelen te nemen; overwegende dat de institutionele structuur van de EU </w:t>
            </w:r>
            <w:r>
              <w:rPr>
                <w:b/>
                <w:i/>
              </w:rPr>
              <w:t>geen</w:t>
            </w:r>
            <w:r>
              <w:t xml:space="preserve"> belangrijk doelwit is van vijandige informatiemanipulatiecampagnes</w:t>
            </w:r>
            <w:r>
              <w:rPr>
                <w:b/>
                <w:i/>
              </w:rPr>
              <w:t>, aangezien vijandige acties, die op een geavanceerde en op maat gesneden manier worden uitgevoerd, doelbewust gericht zijn op de samenlevingen van de lidstaten;</w:t>
            </w:r>
            <w:r>
              <w:t xml:space="preserve"> </w:t>
            </w:r>
            <w:r>
              <w:rPr>
                <w:b/>
                <w:i/>
              </w:rPr>
              <w:t>overwegende dat dergelijke geavanceerde aanvallen niet kunnen worden tegengegaan door een gecentraliseerd EU-orgaan</w:t>
            </w:r>
            <w:r>
              <w:t xml:space="preserve">; overwegende dat de EU </w:t>
            </w:r>
            <w:r>
              <w:rPr>
                <w:b/>
                <w:i/>
              </w:rPr>
              <w:t>niet</w:t>
            </w:r>
            <w:r>
              <w:t xml:space="preserve"> te kampen heeft met een versnipperde aanpak van de bestrijding van FIMI en desinformatie</w:t>
            </w:r>
            <w:r>
              <w:rPr>
                <w:b/>
                <w:i/>
              </w:rPr>
              <w:t>;</w:t>
            </w:r>
            <w:r>
              <w:t xml:space="preserve"> </w:t>
            </w:r>
            <w:r>
              <w:rPr>
                <w:b/>
                <w:i/>
              </w:rPr>
              <w:t>overwegende dat</w:t>
            </w:r>
            <w:r>
              <w:t xml:space="preserve"> aanzienlijke verschillen in de capaciteiten van de lidstaten </w:t>
            </w:r>
            <w:r>
              <w:rPr>
                <w:b/>
                <w:i/>
              </w:rPr>
              <w:t>noodzakelijk zijn gezien de diversiteit van de lidstaten;</w:t>
            </w:r>
            <w:r>
              <w:t xml:space="preserve"> </w:t>
            </w:r>
            <w:r>
              <w:rPr>
                <w:b/>
                <w:i/>
              </w:rPr>
              <w:t>overwegende dat de Commissie geen mandaat heeft om de capaciteiten van de lidstaten te vervangen, hetgeen in strijd is met het subsidiariteitsbeginsel;</w:t>
            </w:r>
            <w:r>
              <w:t xml:space="preserve"> </w:t>
            </w:r>
            <w:r>
              <w:rPr>
                <w:b/>
                <w:i/>
              </w:rPr>
              <w:t>overwegende dat de bewering dat er een gebrek is aan overkoepelende strategische kaders en dat er geen</w:t>
            </w:r>
            <w:r>
              <w:t xml:space="preserve"> strategisch kader </w:t>
            </w:r>
            <w:r>
              <w:rPr>
                <w:b/>
                <w:i/>
              </w:rPr>
              <w:t>is</w:t>
            </w:r>
            <w:r>
              <w:t xml:space="preserve"> dat operationele respons koppelt aan dreigingsinformatie </w:t>
            </w:r>
            <w:r>
              <w:rPr>
                <w:b/>
                <w:i/>
              </w:rPr>
              <w:t>als basis voor een gevaarlijke uitbreiding van de bevoegdheden van de Commissie, niet waar is</w:t>
            </w:r>
            <w:r>
              <w:t xml:space="preserve">; </w:t>
            </w:r>
            <w:r>
              <w:rPr>
                <w:b/>
                <w:i/>
              </w:rPr>
              <w:t>overwegende dat dergelijke acties doeltreffend kunnen worden uitgevoerd door middel van samenwerking tussen de lidstaten, de EDEO, de NAVO en verschillende partners, waaronder het maatschappelijk middenveld, waarbij de Commissie een ondersteunende rol kan spelen binnen de grenzen van de haar verleende bevoegdheden;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recente verslagen van de EDEO over </w:t>
            </w:r>
            <w:r>
              <w:rPr>
                <w:b/>
                <w:i/>
              </w:rPr>
              <w:t>FIMI-dreigingen</w:t>
            </w:r>
            <w:r>
              <w:t xml:space="preserve"> blijk geven van een steeds gedetailleerder inzicht in de methoden, technische infrastructuur en beoogde narratieven van kwaadwillige actoren, maar dat dit situationeel bewustzijn nog niet is vertaald in duurzame operationele mechanismen die de EU in staat stellen tijdig gecoördineerde tegenmaatregelen te nemen; overwegende dat </w:t>
            </w:r>
            <w:r>
              <w:rPr>
                <w:b/>
                <w:i/>
              </w:rPr>
              <w:t>de institutionele structuur van de EU een belangrijk</w:t>
            </w:r>
            <w:r>
              <w:t xml:space="preserve"> doelwit </w:t>
            </w:r>
            <w:r>
              <w:rPr>
                <w:b/>
                <w:i/>
              </w:rPr>
              <w:t>is</w:t>
            </w:r>
            <w:r>
              <w:t xml:space="preserve"> van vijandige informatiemanipulatiecampagnes; overwegende dat de EU te kampen heeft met een versnipperde aanpak van de bestrijding van FIMI en desinformatie, met aanzienlijke verschillen in de capaciteiten van de lidstaten en zonder overkoepelend strategisch kader dat de operationele respons koppelt aan dreigingsinformatie;</w:t>
            </w:r>
          </w:p>
        </w:tc>
        <w:tc>
          <w:tcPr>
            <w:tcW w:w="4876" w:type="dxa"/>
            <w:tcBorders>
              <w:top w:val="nil"/>
              <w:left w:val="nil"/>
              <w:bottom w:val="nil"/>
              <w:right w:val="nil"/>
            </w:tcBorders>
          </w:tcPr>
          <w:p>
            <w:pPr>
              <w:pStyle w:val="Normal6a"/>
            </w:pPr>
            <w:r>
              <w:t>C.</w:t>
            </w:r>
            <w:r>
              <w:tab/>
            </w:r>
            <w:r>
              <w:t xml:space="preserve">overwegende dat recente verslagen van de EDEO over </w:t>
            </w:r>
            <w:r>
              <w:rPr>
                <w:b/>
                <w:i/>
              </w:rPr>
              <w:t>FIMI-aanvallen</w:t>
            </w:r>
            <w:r>
              <w:t xml:space="preserve"> blijk geven van een steeds gedetailleerder inzicht in de methoden, technische infrastructuur en beoogde narratieven van kwaadwillige actoren, maar dat dit situationeel bewustzijn nog niet is vertaald in duurzame operationele mechanismen die de </w:t>
            </w:r>
            <w:r>
              <w:rPr>
                <w:b/>
                <w:i/>
              </w:rPr>
              <w:t>lidstaten en de</w:t>
            </w:r>
            <w:r>
              <w:t xml:space="preserve"> EU in staat stellen tijdig gecoördineerde tegenmaatregelen te nemen; overwegende dat </w:t>
            </w:r>
            <w:r>
              <w:rPr>
                <w:b/>
                <w:i/>
              </w:rPr>
              <w:t>nationale en Europese verkiezingen het belangrijkste</w:t>
            </w:r>
            <w:r>
              <w:t xml:space="preserve"> doelwit </w:t>
            </w:r>
            <w:r>
              <w:rPr>
                <w:b/>
                <w:i/>
              </w:rPr>
              <w:t>zijn</w:t>
            </w:r>
            <w:r>
              <w:t xml:space="preserve"> van vijandige informatiemanipulatiecampagnes</w:t>
            </w:r>
            <w:r>
              <w:rPr>
                <w:b/>
                <w:i/>
              </w:rPr>
              <w:t>;</w:t>
            </w:r>
            <w:r>
              <w:t xml:space="preserve"> </w:t>
            </w:r>
            <w:r>
              <w:rPr>
                <w:b/>
                <w:i/>
              </w:rPr>
              <w:t>overwegende dat deze campagnes bepaalde kandidaten of politieke partijen in diskrediet brengen, proberen het verkiezingsproces zelf in diskrediet te brengen, verdeeldheid zaaiende kwesties instrumentaliseren en proberen traditionele media in diskrediet te brengen;</w:t>
            </w:r>
            <w:r>
              <w:t xml:space="preserve"> </w:t>
            </w:r>
            <w:r>
              <w:rPr>
                <w:b/>
                <w:i/>
              </w:rPr>
              <w:t>overwegende dat de instellingen van de EU en de lidstaten ook intensief worden aangevallen</w:t>
            </w:r>
            <w:r>
              <w:t>; overwegende dat de EU te kampen heeft met een versnipperde aanpak van de bestrijding van FIMI en desinformatie, met aanzienlijke verschillen in de capaciteiten van de lidstaten en zonder overkoepelend strategisch kader dat de operationele respons koppelt aan dreigingsinformatie;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recente verslagen van de EDEO over FIMI-dreigingen blijk geven van een steeds gedetailleerder inzicht in de methoden, technische infrastructuur en beoogde narratieven van kwaadwillige actoren, maar dat dit situationeel bewustzijn nog niet is vertaald in duurzame operationele mechanismen die de EU in staat stellen tijdig gecoördineerde tegenmaatregelen te nemen; overwegende dat de institutionele structuur van de EU een belangrijk doelwit is van vijandige informatiemanipulatiecampagnes; overwegende dat de EU te kampen heeft met een versnipperde aanpak van de bestrijding van FIMI en desinformatie, met aanzienlijke verschillen in de capaciteiten van de lidstaten en zonder overkoepelend strategisch kader </w:t>
            </w:r>
            <w:r>
              <w:rPr>
                <w:b/>
                <w:i/>
              </w:rPr>
              <w:t>dat</w:t>
            </w:r>
            <w:r>
              <w:t xml:space="preserve"> de operationele respons </w:t>
            </w:r>
            <w:r>
              <w:rPr>
                <w:b/>
                <w:i/>
              </w:rPr>
              <w:t>koppelt</w:t>
            </w:r>
            <w:r>
              <w:t xml:space="preserve"> aan dreigingsinformatie;</w:t>
            </w:r>
          </w:p>
        </w:tc>
        <w:tc>
          <w:tcPr>
            <w:tcW w:w="4876" w:type="dxa"/>
            <w:tcBorders>
              <w:top w:val="nil"/>
              <w:left w:val="nil"/>
              <w:bottom w:val="nil"/>
              <w:right w:val="nil"/>
            </w:tcBorders>
          </w:tcPr>
          <w:p>
            <w:pPr>
              <w:pStyle w:val="Normal6a"/>
            </w:pPr>
            <w:r>
              <w:t>C.</w:t>
            </w:r>
            <w:r>
              <w:tab/>
            </w:r>
            <w:r>
              <w:t xml:space="preserve">overwegende dat recente verslagen van de EDEO over FIMI-dreigingen blijk geven van een steeds gedetailleerder inzicht in de methoden, technische infrastructuur en beoogde narratieven van kwaadwillige actoren, maar dat dit situationeel bewustzijn nog niet is vertaald in duurzame operationele mechanismen die de EU in staat stellen tijdig gecoördineerde tegenmaatregelen te nemen; overwegende dat de institutionele structuur van de EU een belangrijk doelwit is van vijandige informatiemanipulatiecampagnes; overwegende dat de EU te kampen heeft met een versnipperde aanpak van de bestrijding van FIMI en desinformatie, met aanzienlijke verschillen in de capaciteiten van de lidstaten en zonder overkoepelend strategisch kader </w:t>
            </w:r>
            <w:r>
              <w:rPr>
                <w:b/>
                <w:i/>
              </w:rPr>
              <w:t>of functionerende transnationale en/of Europese samenwerkingsmechanismen die</w:t>
            </w:r>
            <w:r>
              <w:t xml:space="preserve"> de operationele respons </w:t>
            </w:r>
            <w:r>
              <w:rPr>
                <w:b/>
                <w:i/>
              </w:rPr>
              <w:t>koppelen</w:t>
            </w:r>
            <w:r>
              <w:t xml:space="preserve"> aan dreigingsinformatie;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recente verslagen van de EDEO over FIMI-dreigingen blijk geven van een steeds gedetailleerder inzicht in de methoden, technische infrastructuur en beoogde narratieven van kwaadwillige actoren, maar dat dit situationeel bewustzijn nog niet is vertaald in duurzame operationele mechanismen die de EU in staat stellen tijdig gecoördineerde tegenmaatregelen te nemen; overwegende dat de institutionele structuur van de EU een belangrijk doelwit is van vijandige informatiemanipulatiecampagnes; overwegende dat de EU te kampen heeft met een versnipperde aanpak van de bestrijding van FIMI en desinformatie, met aanzienlijke verschillen in de capaciteiten van de lidstaten en zonder overkoepelend strategisch kader dat de operationele respons koppelt aan dreigingsinformatie;</w:t>
            </w:r>
          </w:p>
        </w:tc>
        <w:tc>
          <w:tcPr>
            <w:tcW w:w="4876" w:type="dxa"/>
            <w:tcBorders>
              <w:top w:val="nil"/>
              <w:left w:val="nil"/>
              <w:bottom w:val="nil"/>
              <w:right w:val="nil"/>
            </w:tcBorders>
          </w:tcPr>
          <w:p>
            <w:pPr>
              <w:pStyle w:val="Normal6a"/>
            </w:pPr>
            <w:r>
              <w:t>C.</w:t>
            </w:r>
            <w:r>
              <w:tab/>
            </w:r>
            <w:r>
              <w:t xml:space="preserve">overwegende dat recente verslagen van de EDEO over FIMI-dreigingen blijk geven van een steeds gedetailleerder inzicht in de methoden, technische infrastructuur en beoogde narratieven van kwaadwillige actoren, maar dat dit situationeel bewustzijn nog niet is vertaald in duurzame operationele mechanismen die de EU in staat stellen tijdig gecoördineerde tegenmaatregelen te nemen; overwegende dat de institutionele structuur van de EU een belangrijk doelwit is van vijandige informatiemanipulatiecampagnes </w:t>
            </w:r>
            <w:r>
              <w:rPr>
                <w:b/>
                <w:i/>
              </w:rPr>
              <w:t>en andere vormen van kwaadaardige aanvallen</w:t>
            </w:r>
            <w:r>
              <w:t>; overwegende dat de EU te kampen heeft met een versnipperde aanpak van de bestrijding van FIMI en desinformatie, met aanzienlijke verschillen in de capaciteiten van de lidstaten en zonder overkoepelend strategisch kader dat de operationele respons koppelt aan dreigingsinformatie;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recente verslagen van de EDEO over FIMI-dreigingen blijk geven van een steeds gedetailleerder inzicht in de methoden, technische infrastructuur en beoogde narratieven van kwaadwillige actoren, maar dat dit situationeel bewustzijn nog niet is vertaald in duurzame operationele mechanismen die de EU in staat stellen tijdig gecoördineerde tegenmaatregelen te nemen; overwegende dat de institutionele structuur van de EU een belangrijk doelwit is van vijandige informatiemanipulatiecampagnes; overwegende dat de EU te kampen heeft met een versnipperde aanpak van de bestrijding van FIMI en desinformatie, met aanzienlijke verschillen in de capaciteiten van de lidstaten en zonder overkoepelend strategisch kader dat de operationele respons koppelt aan dreigingsinformatie;</w:t>
            </w:r>
          </w:p>
        </w:tc>
        <w:tc>
          <w:tcPr>
            <w:tcW w:w="4876" w:type="dxa"/>
            <w:tcBorders>
              <w:top w:val="nil"/>
              <w:left w:val="nil"/>
              <w:bottom w:val="nil"/>
              <w:right w:val="nil"/>
            </w:tcBorders>
          </w:tcPr>
          <w:p>
            <w:pPr>
              <w:pStyle w:val="Normal6a"/>
            </w:pPr>
            <w:r>
              <w:t>C.</w:t>
            </w:r>
            <w:r>
              <w:tab/>
            </w:r>
            <w:r>
              <w:t xml:space="preserve">overwegende dat recente verslagen van de EDEO over FIMI-dreigingen blijk geven van een steeds gedetailleerder inzicht in de methoden, technische infrastructuur en beoogde narratieven van kwaadwillige actoren, maar dat dit situationeel bewustzijn nog niet is vertaald in duurzame operationele mechanismen die de EU in staat stellen </w:t>
            </w:r>
            <w:r>
              <w:rPr>
                <w:b/>
                <w:i/>
              </w:rPr>
              <w:t>deze te anticiperen, te voorkomen en op te sporen en</w:t>
            </w:r>
            <w:r>
              <w:t xml:space="preserve"> tijdig gecoördineerde tegenmaatregelen te nemen; overwegende dat de institutionele structuur van de EU een belangrijk doelwit is van vijandige informatiemanipulatiecampagnes; overwegende dat de EU te kampen heeft met een versnipperde aanpak van de bestrijding van FIMI en desinformatie, met aanzienlijke verschillen in de capaciteiten van de lidstaten en zonder overkoepelend strategisch kader dat de operationele respons koppelt aan dreigingsinformatie;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Jaroslav Bžoch, Marieke Ehlers,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recente verslagen van de EDEO over FIMI-dreigingen blijk geven van een steeds gedetailleerder inzicht in de methoden, technische infrastructuur en beoogde narratieven van kwaadwillige actoren, maar dat dit situationeel bewustzijn nog niet is vertaald in duurzame operationele mechanismen die de EU in staat stellen tijdig gecoördineerde tegenmaatregelen te nemen; overwegende dat de institutionele structuur van de EU een </w:t>
            </w:r>
            <w:r>
              <w:rPr>
                <w:b/>
                <w:i/>
              </w:rPr>
              <w:t>belangrijk doelwit</w:t>
            </w:r>
            <w:r>
              <w:t xml:space="preserve"> is van vijandige informatiemanipulatiecampagnes; overwegende dat de </w:t>
            </w:r>
            <w:r>
              <w:rPr>
                <w:b/>
                <w:i/>
              </w:rPr>
              <w:t>EU te kampen heeft met een versnipperde aanpak</w:t>
            </w:r>
            <w:r>
              <w:t xml:space="preserve"> van de bestrijding van FIMI en desinformatie, met aanzienlijke verschillen in de capaciteiten van de lidstaten en zonder </w:t>
            </w:r>
            <w:r>
              <w:rPr>
                <w:b/>
                <w:i/>
              </w:rPr>
              <w:t>overkoepelend</w:t>
            </w:r>
            <w:r>
              <w:t xml:space="preserve"> strategisch kader dat de operationele respons koppelt aan dreigingsinformatie;</w:t>
            </w:r>
          </w:p>
        </w:tc>
        <w:tc>
          <w:tcPr>
            <w:tcW w:w="4876" w:type="dxa"/>
            <w:tcBorders>
              <w:top w:val="nil"/>
              <w:left w:val="nil"/>
              <w:bottom w:val="nil"/>
              <w:right w:val="nil"/>
            </w:tcBorders>
          </w:tcPr>
          <w:p>
            <w:pPr>
              <w:pStyle w:val="Normal6a"/>
            </w:pPr>
            <w:r>
              <w:t>C.</w:t>
            </w:r>
            <w:r>
              <w:tab/>
            </w:r>
            <w:r>
              <w:t xml:space="preserve">overwegende dat recente verslagen van de EDEO over FIMI-dreigingen blijk geven van een steeds gedetailleerder inzicht in de methoden, technische infrastructuur en beoogde narratieven van kwaadwillige actoren, maar dat dit situationeel bewustzijn nog niet is vertaald in duurzame operationele mechanismen die de EU in staat stellen tijdig gecoördineerde tegenmaatregelen te nemen; overwegende dat de institutionele structuur van de EU een </w:t>
            </w:r>
            <w:r>
              <w:rPr>
                <w:b/>
                <w:i/>
              </w:rPr>
              <w:t>van de streefdoelen</w:t>
            </w:r>
            <w:r>
              <w:t xml:space="preserve"> is van vijandige informatiemanipulatiecampagnes; overwegende dat de </w:t>
            </w:r>
            <w:r>
              <w:rPr>
                <w:b/>
                <w:i/>
              </w:rPr>
              <w:t>EU-aanpak</w:t>
            </w:r>
            <w:r>
              <w:t xml:space="preserve"> van de bestrijding van FIMI en desinformatie </w:t>
            </w:r>
            <w:r>
              <w:rPr>
                <w:b/>
                <w:i/>
              </w:rPr>
              <w:t>niet coherent is</w:t>
            </w:r>
            <w:r>
              <w:t xml:space="preserve">, met aanzienlijke verschillen in de capaciteiten van de lidstaten en zonder </w:t>
            </w:r>
            <w:r>
              <w:rPr>
                <w:b/>
                <w:i/>
              </w:rPr>
              <w:t>aanbevolen</w:t>
            </w:r>
            <w:r>
              <w:t xml:space="preserve"> strategisch kader dat de operationele respons koppelt aan dreigingsinformatie;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de organisatie en het verloop van verkiezingen, met inbegrip van de regulering van politieke uitlatingen en het medialandschap, de bevoegdheid van de lidstaten blijven overeenkomstig artikel 4 (2) VEU en artikel 5 VEU;</w:t>
            </w:r>
            <w:r>
              <w:t xml:space="preserve"> </w:t>
            </w:r>
            <w:r>
              <w:rPr>
                <w:b/>
                <w:i/>
              </w:rPr>
              <w:t>overwegende dat het optreden van de Unie op dit gebied strikt beperkt moet blijven tot door het buitenland gestuurde inmenging en zich niet mag uitstrekken tot de governance van het binnenlandse democratische debat;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overwegende dat het Europees Parlement een centrale rol speelt bij de bescherming en bevordering van de democratie, zowel binnen als buiten de Europese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overwegende dat het ECNE, het systeem voor snelle waarschuwingen (RAS) en het Europees Waarnemingscentrum voor digitale media (EDMO) waardevolle componenten zijn van de algehele weerbaarheid van de EU tegen FIMI en desinformatie, maar dat de doeltreffendheid ervan aanzienlijk wordt beperkt door het ontbreken van een specifieke operationele structuur van de EU met de bevoegdheid om activiteiten ter versterking van de veerkracht en snelle respons- en escalatiemechanismen te coördineren, waarbij de nationale operationele capaciteiten worden gekoppeld aan coördinatie op EU-niveau;</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overwegende dat het ECNE, het systeem voor snelle waarschuwingen (RAS) en het Europees Waarnemingscentrum voor digitale media (EDMO) waardevolle componenten zijn van de algehele weerbaarheid van de EU tegen FIMI en desinformatie, maar dat de doeltreffendheid ervan aanzienlijk wordt beperkt door het ontbreken van een specifieke operationele structuur van de EU met de bevoegdheid om activiteiten ter versterking van de veerkracht en snelle respons- en escalatiemechanismen te coördineren, waarbij de nationale operationele capaciteiten worden gekoppeld aan coördinatie op EU-niveau;</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overwegende dat het ECNE, het systeem voor snelle waarschuwingen (RAS) en het Europees Waarnemingscentrum voor digitale media (EDMO) waardevolle componenten zijn van de algehele weerbaarheid van de EU tegen FIMI en desinformatie</w:t>
            </w:r>
            <w:r>
              <w:rPr>
                <w:b/>
                <w:i/>
              </w:rPr>
              <w:t>, maar dat de doeltreffendheid ervan aanzienlijk wordt beperkt door het ontbreken van een specifieke operationele structuur van de EU met de bevoegdheid om activiteiten ter versterking van de veerkracht en snelle respons- en escalatiemechanismen te coördineren, waarbij de nationale operationele capaciteiten worden gekoppeld aan coördinatie op EU-niveau</w:t>
            </w:r>
            <w:r>
              <w:t>;</w:t>
            </w:r>
          </w:p>
        </w:tc>
        <w:tc>
          <w:tcPr>
            <w:tcW w:w="4876" w:type="dxa"/>
            <w:tcBorders>
              <w:top w:val="nil"/>
              <w:left w:val="nil"/>
              <w:bottom w:val="nil"/>
              <w:right w:val="nil"/>
            </w:tcBorders>
          </w:tcPr>
          <w:p>
            <w:pPr>
              <w:pStyle w:val="Normal6a"/>
            </w:pPr>
            <w:r>
              <w:t>D.</w:t>
            </w:r>
            <w:r>
              <w:tab/>
            </w:r>
            <w:r>
              <w:t>overwegende dat het ECNE, het systeem voor snelle waarschuwingen (RAS) en het Europees Waarnemingscentrum voor digitale media (EDMO) waardevolle componenten zijn van de algehele weerbaarheid van de EU tegen FIMI en desinformatie;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overwegende dat het ECNE, het systeem voor snelle waarschuwingen (RAS) en het Europees Waarnemingscentrum voor digitale media (EDMO) waardevolle componenten zijn van de algehele weerbaarheid van de EU tegen FIMI en desinformatie</w:t>
            </w:r>
            <w:r>
              <w:rPr>
                <w:b/>
                <w:i/>
              </w:rPr>
              <w:t>, maar dat de doeltreffendheid ervan aanzienlijk wordt beperkt door het ontbreken van een specifieke operationele structuur van de EU met de bevoegdheid om activiteiten ter versterking van de veerkracht en snelle respons- en escalatiemechanismen te coördineren, waarbij de nationale operationele capaciteiten worden gekoppeld aan coördinatie op EU-niveau</w:t>
            </w:r>
            <w:r>
              <w:t>;</w:t>
            </w:r>
          </w:p>
        </w:tc>
        <w:tc>
          <w:tcPr>
            <w:tcW w:w="4876" w:type="dxa"/>
            <w:tcBorders>
              <w:top w:val="nil"/>
              <w:left w:val="nil"/>
              <w:bottom w:val="nil"/>
              <w:right w:val="nil"/>
            </w:tcBorders>
          </w:tcPr>
          <w:p>
            <w:pPr>
              <w:pStyle w:val="Normal6a"/>
            </w:pPr>
            <w:r>
              <w:t>D.</w:t>
            </w:r>
            <w:r>
              <w:tab/>
            </w:r>
            <w:r>
              <w:t>overwegende dat het ECNE, het systeem voor snelle waarschuwingen (RAS) en het Europees Waarnemingscentrum voor digitale media (EDMO) waardevolle componenten zijn van de algehele weerbaarheid van de EU tegen FIMI en desinformatie;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het ECNE, het systeem voor snelle waarschuwingen (RAS) en het Europees Waarnemingscentrum voor digitale media (EDMO) </w:t>
            </w:r>
            <w:r>
              <w:rPr>
                <w:b/>
                <w:i/>
              </w:rPr>
              <w:t>waardevolle</w:t>
            </w:r>
            <w:r>
              <w:t xml:space="preserve"> componenten zijn van de algehele weerbaarheid van de EU tegen FIMI en desinformatie, </w:t>
            </w:r>
            <w:r>
              <w:rPr>
                <w:b/>
                <w:i/>
              </w:rPr>
              <w:t>maar dat de doeltreffendheid ervan aanzienlijk wordt beperkt door het ontbreken van een specifieke operationele structuur</w:t>
            </w:r>
            <w:r>
              <w:t xml:space="preserve"> van de </w:t>
            </w:r>
            <w:r>
              <w:rPr>
                <w:b/>
                <w:i/>
              </w:rPr>
              <w:t>EU met de bevoegdheid om activiteiten ter versterking van de veerkracht en snelle respons- en escalatiemechanismen te coördineren, waarbij de nationale operationele capaciteiten worden gekoppeld aan coördinatie op EU-niveau</w:t>
            </w:r>
            <w:r>
              <w:t>;</w:t>
            </w:r>
          </w:p>
        </w:tc>
        <w:tc>
          <w:tcPr>
            <w:tcW w:w="4876" w:type="dxa"/>
            <w:tcBorders>
              <w:top w:val="nil"/>
              <w:left w:val="nil"/>
              <w:bottom w:val="nil"/>
              <w:right w:val="nil"/>
            </w:tcBorders>
          </w:tcPr>
          <w:p>
            <w:pPr>
              <w:pStyle w:val="Normal6a"/>
            </w:pPr>
            <w:r>
              <w:t>D.</w:t>
            </w:r>
            <w:r>
              <w:tab/>
            </w:r>
            <w:r>
              <w:t xml:space="preserve">overwegende dat het ECNE, het systeem voor snelle waarschuwingen (RAS) en het Europees Waarnemingscentrum voor digitale media (EDMO) </w:t>
            </w:r>
            <w:r>
              <w:rPr>
                <w:b/>
                <w:i/>
              </w:rPr>
              <w:t>reeds</w:t>
            </w:r>
            <w:r>
              <w:t xml:space="preserve"> componenten zijn van de algehele weerbaarheid van de EU tegen FIMI en desinformatie, </w:t>
            </w:r>
            <w:r>
              <w:rPr>
                <w:b/>
                <w:i/>
              </w:rPr>
              <w:t>en ondersteunend advies verstrekken aan de bevoegde autoriteiten van de lidstaten en aan relevante organen en instellingen</w:t>
            </w:r>
            <w:r>
              <w:t xml:space="preserve"> van de </w:t>
            </w:r>
            <w:r>
              <w:rPr>
                <w:b/>
                <w:i/>
              </w:rPr>
              <w:t>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overwegende dat het ECNE, het systeem voor snelle waarschuwingen (RAS) en het Europees Waarnemingscentrum voor digitale media (EDMO) waardevolle componenten zijn van de algehele weerbaarheid van de EU tegen FIMI en desinformatie, maar dat de doeltreffendheid ervan aanzienlijk wordt beperkt door het ontbreken van een specifieke operationele structuur van de EU met de bevoegdheid om activiteiten ter versterking van de veerkracht en snelle respons- en escalatiemechanismen te </w:t>
            </w:r>
            <w:r>
              <w:rPr>
                <w:b/>
                <w:i/>
              </w:rPr>
              <w:t>coördineren</w:t>
            </w:r>
            <w:r>
              <w:t xml:space="preserve">, waarbij de nationale operationele capaciteiten worden gekoppeld aan </w:t>
            </w:r>
            <w:r>
              <w:rPr>
                <w:b/>
                <w:i/>
              </w:rPr>
              <w:t>coördinatie</w:t>
            </w:r>
            <w:r>
              <w:t xml:space="preserve"> op EU-niveau;</w:t>
            </w:r>
          </w:p>
        </w:tc>
        <w:tc>
          <w:tcPr>
            <w:tcW w:w="4876" w:type="dxa"/>
            <w:tcBorders>
              <w:top w:val="nil"/>
              <w:left w:val="nil"/>
              <w:bottom w:val="nil"/>
              <w:right w:val="nil"/>
            </w:tcBorders>
          </w:tcPr>
          <w:p>
            <w:pPr>
              <w:pStyle w:val="Normal6a"/>
            </w:pPr>
            <w:r>
              <w:t>D.</w:t>
            </w:r>
            <w:r>
              <w:tab/>
            </w:r>
            <w:r>
              <w:t xml:space="preserve">overwegende dat het ECNE, het systeem voor snelle waarschuwingen (RAS) en het Europees Waarnemingscentrum voor digitale media (EDMO) waardevolle componenten zijn van de algehele weerbaarheid van de EU tegen FIMI en desinformatie, maar dat de doeltreffendheid ervan aanzienlijk wordt beperkt door het ontbreken van een specifieke operationele structuur van de EU met de bevoegdheid om </w:t>
            </w:r>
            <w:r>
              <w:rPr>
                <w:b/>
                <w:i/>
              </w:rPr>
              <w:t>de uitwisseling van goede praktijken, opleiding, en </w:t>
            </w:r>
            <w:r>
              <w:t xml:space="preserve">activiteiten ter versterking van </w:t>
            </w:r>
            <w:r>
              <w:rPr>
                <w:b/>
                <w:i/>
              </w:rPr>
              <w:t>de capaciteit en</w:t>
            </w:r>
            <w:r>
              <w:t xml:space="preserve"> de veerkracht en snelle respons- en escalatiemechanismen te </w:t>
            </w:r>
            <w:r>
              <w:rPr>
                <w:b/>
                <w:i/>
              </w:rPr>
              <w:t>verbeteren</w:t>
            </w:r>
            <w:r>
              <w:t xml:space="preserve">, waarbij de nationale operationele capaciteiten worden gekoppeld aan </w:t>
            </w:r>
            <w:r>
              <w:rPr>
                <w:b/>
                <w:i/>
              </w:rPr>
              <w:t>harmonisatie</w:t>
            </w:r>
            <w:r>
              <w:t xml:space="preserve"> op EU-niveau;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overwegende dat het ECNE, het systeem voor snelle waarschuwingen (RAS) en het Europees Waarnemingscentrum voor digitale media (EDMO) waardevolle componenten zijn van de algehele weerbaarheid van de EU tegen FIMI en desinformatie, maar dat de doeltreffendheid ervan aanzienlijk wordt beperkt door het ontbreken van een specifieke operationele structuur van de EU met de bevoegdheid om activiteiten ter versterking van de veerkracht en snelle respons- en escalatiemechanismen te coördineren, waarbij de nationale operationele capaciteiten worden gekoppeld aan coördinatie op EU-niveau;</w:t>
            </w:r>
          </w:p>
        </w:tc>
        <w:tc>
          <w:tcPr>
            <w:tcW w:w="4876" w:type="dxa"/>
            <w:tcBorders>
              <w:top w:val="nil"/>
              <w:left w:val="nil"/>
              <w:bottom w:val="nil"/>
              <w:right w:val="nil"/>
            </w:tcBorders>
          </w:tcPr>
          <w:p>
            <w:pPr>
              <w:pStyle w:val="Normal6a"/>
            </w:pPr>
            <w:r>
              <w:t>D.</w:t>
            </w:r>
            <w:r>
              <w:tab/>
            </w:r>
            <w:r>
              <w:t xml:space="preserve">overwegende dat het ECNE, het systeem voor snelle waarschuwingen (RAS) en het Europees Waarnemingscentrum voor digitale media (EDMO) waardevolle componenten </w:t>
            </w:r>
            <w:r>
              <w:rPr>
                <w:b/>
                <w:i/>
              </w:rPr>
              <w:t>kunnen</w:t>
            </w:r>
            <w:r>
              <w:t xml:space="preserve"> zijn van de algehele weerbaarheid van de EU tegen FIMI en desinformatie, maar dat de doeltreffendheid ervan aanzienlijk wordt beperkt door het ontbreken van een specifieke operationele structuur van de EU met de bevoegdheid om activiteiten ter versterking van de veerkracht en snelle respons- en escalatiemechanismen te coördineren, waarbij de nationale operationele capaciteiten worden gekoppeld aan coördinatie op EU-niveau;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bepaalde internationale actoren, met name autoritaire staten, de Europese veiligheid en stabiliteit in gevaar brengen door middel van een uitgebreide reeks hybride tactieken, waaronder cyberaanvallen, sabotage van kritieke infrastructuur, economische druk, voedsel- en energiechantage, ontwrichtende politieke invloed en gecoördineerde, voortdurende pogingen om zich te mengen in de democratische werking van onze landen door middel van buitenlandse informatiemanipulatie en inmenging, met name in verkiezingsprocessen;</w:t>
            </w:r>
            <w:r>
              <w:t xml:space="preserve"> </w:t>
            </w:r>
            <w:r>
              <w:rPr>
                <w:b/>
                <w:i/>
              </w:rPr>
              <w:t>overwegende dat het gebruik van deze hybride tactieken door kwaadwillige buitenlandse actoren een echte bedreiging vormt voor de veiligheid van de EU en haar lidstaten met een onmiskenbare impact op de democratie;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bij elke democratische structuur vertegenwoordigers van oppositiepartijen moeten worden betrokken, of ten minste als waarnemers moeten worden betrokken;</w:t>
            </w:r>
            <w:r>
              <w:br/>
            </w:r>
            <w:r>
              <w:br/>
            </w:r>
            <w:r>
              <w:rPr>
                <w:b/>
                <w:i/>
              </w:rPr>
              <w:t>overwegende dat de projecten met betrekking tot de EDMO, het ECNE en het Europees Centrum voor democratische veerkracht daar geen melding van maken;</w:t>
            </w:r>
            <w:r>
              <w:t xml:space="preserve"> </w:t>
            </w:r>
            <w:r>
              <w:rPr>
                <w:b/>
                <w:i/>
              </w:rPr>
              <w:t>overwegende dat er in bepaalde parlementen een praktijk bestaat waarbij de financiële commissie wordt voorgezeten door de oppositie;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overwegende dat het geopolitieke klimaat een snelle transformatie doormaakt, die wordt gekenmerkt door een steeds meer transactionele en dwingende houding van bepaalde partners die traditioneel als bondgenoten worden beschouwd;</w:t>
            </w:r>
            <w:r>
              <w:t xml:space="preserve"> </w:t>
            </w:r>
            <w:r>
              <w:rPr>
                <w:b/>
                <w:i/>
              </w:rPr>
              <w:t>overwegende dat het terugkerende gebruik van politieke en economische druk, met inbegrip van tariefdreigingen en pogingen van de Verenigde Staten om unilaterale strategische eisen op te leggen, het wederzijds vertrouwen ondermijnt en de strategische kwetsbaarheden van de Unie aan het licht brengt;</w:t>
            </w:r>
            <w:r>
              <w:t xml:space="preserve"> </w:t>
            </w:r>
            <w:r>
              <w:rPr>
                <w:b/>
                <w:i/>
              </w:rPr>
              <w:t>overwegende dat dergelijke praktijken duidelijk maken dat de Unie dringend haar strategische autonomie en haar vermogen om haar soevereiniteit, veiligheid en democratische besluitvormingsprocessen in alle omstandigheden te waarborgen, moet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quater.</w:t>
            </w:r>
            <w:r>
              <w:tab/>
            </w:r>
            <w:r>
              <w:rPr>
                <w:b/>
                <w:i/>
              </w:rPr>
              <w:t>overwegende dat de Amerikaanse Nationale Veiligheidsstrategie van 4 december 2025 neerkomt op een drastische verschuiving van het aloude Amerikaanse buitenlands beleid ten opzichte van de strategie van 2021, bijvoorbeeld wat betreft de zienswijze op de uitdagingen door agressorstaat Rusland en rivaal China, en dat deze kritische opmerkingen bevat over vermeende democratische tekortkomingen in bepaalde EU-lidstaten en dat er maatregelen in worden aangekondigd die grenzen aan buitenlandse inmenging;</w:t>
            </w:r>
            <w:r>
              <w:t xml:space="preserve"> </w:t>
            </w:r>
            <w:r>
              <w:rPr>
                <w:b/>
                <w:i/>
              </w:rPr>
              <w:t>overwegende dat de woordvoerder van het Kremlin publiekelijk zijn tevredenheid uitte over de Amerikaanse Nationale Veiligheidsstrategie, maar dat deze in verschillende hoofdsteden van de EU tot bezorgdheid leidde;</w:t>
            </w:r>
            <w:r>
              <w:t xml:space="preserve"> </w:t>
            </w:r>
            <w:r>
              <w:rPr>
                <w:b/>
                <w:i/>
              </w:rPr>
              <w:t>overwegende dat de EU in de strategie er zonder grond van wordt beschuldigd de Amerikaanse inspanningen om de oorlog in Oekraïne te beëindigen, te blokkeren;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quinquies.</w:t>
            </w:r>
            <w:r>
              <w:tab/>
            </w:r>
            <w:r>
              <w:rPr>
                <w:b/>
                <w:i/>
              </w:rPr>
              <w:t>overwegende dat, naast het bekijken van de democratie vanuit een veiligheidsoogpunt en het centraal stellen van kwesties zoals FIMI in het schild voor de democratie, ook interne bedreigingen van de democratie in de EU moeten worden aangepakt, geprioriteerd en van middelen moeten worden voorzien;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sexies.</w:t>
            </w:r>
            <w:r>
              <w:tab/>
            </w:r>
            <w:r>
              <w:rPr>
                <w:b/>
                <w:i/>
              </w:rPr>
              <w:t>overwegende dat FIMI en desinformatieaanvallen mogelijk worden gemaakt door de structurele kwetsbaarheden en het bedrijfsmodel van belangrijke digitale infrastructuur, met name socialemediadiensten;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septies.</w:t>
            </w:r>
            <w:r>
              <w:tab/>
            </w:r>
            <w:r>
              <w:rPr>
                <w:b/>
                <w:i/>
              </w:rPr>
              <w:t>overwegende dat buitenlandse informatiemanipulatie- en inmengingsoperaties zelden geïsoleerd zijn, maar doorgaans worden gebruikt in combinatie met andere vijandige acties zoals economische en politieke druk of zelfs militaire dreigingen, of worden gebruikt om de strategische omgeving vorm te geven ter voorbereiding op andere kwaadwillige operaties en activiteiten;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octies.</w:t>
            </w:r>
            <w:r>
              <w:tab/>
            </w:r>
            <w:r>
              <w:rPr>
                <w:b/>
                <w:i/>
              </w:rPr>
              <w:t>overwegende dat armoede, sociaal-economische achterstelling en marginalisering bepaalde segmenten van de samenleving bijzonder kunnen blootstellen aan en kwetsbaar kunnen maken voor buitenlandse inmenging en vijandige informatieactiviteiten;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overwegende dat de dreigingen die uitgaan van FIMI en desinformatie verder reiken dan de afzonderlijke lidstaten en een aanval vormen op de essentie van het Europese project;</w:t>
            </w:r>
            <w:r>
              <w:t xml:space="preserve"> </w:t>
            </w:r>
            <w:r>
              <w:rPr>
                <w:b/>
                <w:i/>
              </w:rPr>
              <w:t>overwegende dat FIMI-operaties systematisch gericht zijn tegen de fundamentele democratische waarden van artikel 2 VEU en het beginsel van open, transparante besluitvormingsprocessen dat is vastgelegd in artikel 1 VEU, op een wijze die de belangen van de EU schaadt;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overwegende dat de dreigingen die uitgaan van FIMI en desinformatie verder reiken dan de afzonderlijke lidstaten en een aanval vormen op de essentie van het Europese project; overwegende dat FIMI-operaties systematisch gericht zijn tegen de fundamentele democratische waarden van artikel 2 VEU en het beginsel van open, transparante besluitvormingsprocessen dat is vastgelegd in artikel 1 VEU, op een wijze die de belangen van de EU schaadt;</w:t>
            </w:r>
          </w:p>
        </w:tc>
        <w:tc>
          <w:tcPr>
            <w:tcW w:w="4876" w:type="dxa"/>
            <w:tcBorders>
              <w:top w:val="nil"/>
              <w:left w:val="nil"/>
              <w:bottom w:val="nil"/>
              <w:right w:val="nil"/>
            </w:tcBorders>
          </w:tcPr>
          <w:p>
            <w:pPr>
              <w:pStyle w:val="Normal6a"/>
            </w:pPr>
            <w:r>
              <w:t>E.</w:t>
            </w:r>
            <w:r>
              <w:tab/>
            </w:r>
            <w:r>
              <w:t xml:space="preserve">overwegende dat de dreigingen die uitgaan van FIMI en desinformatie verder reiken dan de afzonderlijke lidstaten en een aanval vormen op de essentie van het Europese project; overwegende dat FIMI-operaties systematisch gericht zijn tegen de fundamentele democratische waarden van artikel 2 VEU en het beginsel van open, transparante besluitvormingsprocessen dat is vastgelegd in artikel 1 VEU, op een wijze die de belangen van de EU schaadt; </w:t>
            </w:r>
            <w:r>
              <w:rPr>
                <w:b/>
                <w:i/>
              </w:rPr>
              <w:t>overwegende dat voornamelijk de Europese burgers uiteindelijk het slachtoffer van deze praktijken zijn, aangezien hun toegang tot betrouwbare informatie, hun vermogen om een onafhankelijke mening te vormen en hun zinvolle deelname aan het democratische leven rechtstreeks worden verzwakt, terwijl ook de openbare veiligheid en de maatschappelijke stabiliteit in gevaar worden gebracht;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overwegende dat de dreigingen die uitgaan van FIMI en desinformatie verder reiken dan de afzonderlijke lidstaten en een aanval vormen op de essentie van het Europese project; overwegende dat FIMI-operaties systematisch gericht zijn tegen de fundamentele democratische waarden van artikel 2 VEU en het beginsel van open, transparante besluitvormingsprocessen dat is vastgelegd in artikel 1 VEU, op een wijze die de belangen van de EU schaadt;</w:t>
            </w:r>
          </w:p>
        </w:tc>
        <w:tc>
          <w:tcPr>
            <w:tcW w:w="4876" w:type="dxa"/>
            <w:tcBorders>
              <w:top w:val="nil"/>
              <w:left w:val="nil"/>
              <w:bottom w:val="nil"/>
              <w:right w:val="nil"/>
            </w:tcBorders>
          </w:tcPr>
          <w:p>
            <w:pPr>
              <w:pStyle w:val="Normal6a"/>
            </w:pPr>
            <w:r>
              <w:t>E.</w:t>
            </w:r>
            <w:r>
              <w:tab/>
            </w:r>
            <w:r>
              <w:t xml:space="preserve">overwegende dat de dreigingen die uitgaan van FIMI en desinformatie </w:t>
            </w:r>
            <w:r>
              <w:rPr>
                <w:b/>
                <w:i/>
              </w:rPr>
              <w:t>vaak</w:t>
            </w:r>
            <w:r>
              <w:t xml:space="preserve"> verder reiken dan de afzonderlijke lidstaten en </w:t>
            </w:r>
            <w:r>
              <w:rPr>
                <w:b/>
                <w:i/>
              </w:rPr>
              <w:t>tevens</w:t>
            </w:r>
            <w:r>
              <w:t xml:space="preserve"> een aanval vormen op de essentie van het Europese project </w:t>
            </w:r>
            <w:r>
              <w:rPr>
                <w:b/>
                <w:i/>
              </w:rPr>
              <w:t>en de trans-Atlantische alliantie</w:t>
            </w:r>
            <w:r>
              <w:t xml:space="preserve">; overwegende dat FIMI-operaties systematisch gericht zijn tegen de fundamentele democratische waarden van artikel 2 VEU en het beginsel van open, transparante besluitvormingsprocessen dat is vastgelegd in artikel 1 VEU, op een wijze die de belangen van de EU schaadt; </w:t>
            </w:r>
            <w:r>
              <w:rPr>
                <w:b/>
                <w:i/>
              </w:rPr>
              <w:t>overwegende dat deze uitdagingen vereisen dat de Unie lering trekt uit haar eigen fouten in plaats van legitieme kritiek te onderdrukken;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overwegende dat de dreigingen die uitgaan van FIMI en desinformatie verder reiken dan de afzonderlijke lidstaten en een aanval vormen op de essentie van </w:t>
            </w:r>
            <w:r>
              <w:rPr>
                <w:b/>
                <w:i/>
              </w:rPr>
              <w:t>het</w:t>
            </w:r>
            <w:r>
              <w:t xml:space="preserve"> Europese </w:t>
            </w:r>
            <w:r>
              <w:rPr>
                <w:b/>
                <w:i/>
              </w:rPr>
              <w:t>project</w:t>
            </w:r>
            <w:r>
              <w:t>; overwegende dat FIMI-operaties systematisch gericht zijn tegen de fundamentele democratische waarden van artikel 2 VEU en het beginsel van open, transparante besluitvormingsprocessen dat is vastgelegd in artikel 1 VEU, op een wijze die de belangen van de EU schaadt;</w:t>
            </w:r>
          </w:p>
        </w:tc>
        <w:tc>
          <w:tcPr>
            <w:tcW w:w="4876" w:type="dxa"/>
            <w:tcBorders>
              <w:top w:val="nil"/>
              <w:left w:val="nil"/>
              <w:bottom w:val="nil"/>
              <w:right w:val="nil"/>
            </w:tcBorders>
          </w:tcPr>
          <w:p>
            <w:pPr>
              <w:pStyle w:val="Normal6a"/>
            </w:pPr>
            <w:r>
              <w:t>E.</w:t>
            </w:r>
            <w:r>
              <w:tab/>
            </w:r>
            <w:r>
              <w:t xml:space="preserve">overwegende dat de dreigingen die uitgaan van FIMI en desinformatie verder </w:t>
            </w:r>
            <w:r>
              <w:rPr>
                <w:b/>
                <w:i/>
              </w:rPr>
              <w:t>kunnen</w:t>
            </w:r>
            <w:r>
              <w:t xml:space="preserve"> reiken dan de afzonderlijke lidstaten en </w:t>
            </w:r>
            <w:r>
              <w:rPr>
                <w:b/>
                <w:i/>
              </w:rPr>
              <w:t>in dergelijke gevallen</w:t>
            </w:r>
            <w:r>
              <w:t xml:space="preserve"> een aanval </w:t>
            </w:r>
            <w:r>
              <w:rPr>
                <w:b/>
                <w:i/>
              </w:rPr>
              <w:t>kunnen</w:t>
            </w:r>
            <w:r>
              <w:t xml:space="preserve"> vormen op de essentie van </w:t>
            </w:r>
            <w:r>
              <w:rPr>
                <w:b/>
                <w:i/>
              </w:rPr>
              <w:t>de</w:t>
            </w:r>
            <w:r>
              <w:t xml:space="preserve"> Europese </w:t>
            </w:r>
            <w:r>
              <w:rPr>
                <w:b/>
                <w:i/>
              </w:rPr>
              <w:t>waarden waarop de EU is gegrondvest</w:t>
            </w:r>
            <w:r>
              <w:t xml:space="preserve">; overwegende dat FIMI-operaties </w:t>
            </w:r>
            <w:r>
              <w:rPr>
                <w:b/>
                <w:i/>
              </w:rPr>
              <w:t>vaak</w:t>
            </w:r>
            <w:r>
              <w:t xml:space="preserve"> systematisch gericht zijn tegen de fundamentele democratische waarden van artikel 2 VEU en het beginsel van open, transparante besluitvormingsprocessen dat is vastgelegd in artikel 1 VEU, op een wijze die de belangen van de EU </w:t>
            </w:r>
            <w:r>
              <w:rPr>
                <w:b/>
                <w:i/>
              </w:rPr>
              <w:t>en/of de lidstaten</w:t>
            </w:r>
            <w:r>
              <w:t xml:space="preserve"> schaadt </w:t>
            </w:r>
            <w:r>
              <w:rPr>
                <w:b/>
                <w:i/>
              </w:rPr>
              <w:t>en de belangen en doelstellingen van derde landen juist bevordert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overwegende dat de dreigingen die uitgaan van FIMI en desinformatie verder reiken dan de afzonderlijke lidstaten en een aanval vormen op de essentie van het Europese project; overwegende dat FIMI-operaties systematisch gericht zijn tegen de fundamentele democratische waarden van artikel 2 VEU en het beginsel van open, transparante besluitvormingsprocessen dat is vastgelegd in artikel 1 VEU, op een wijze die de belangen van de EU schaadt;</w:t>
            </w:r>
          </w:p>
        </w:tc>
        <w:tc>
          <w:tcPr>
            <w:tcW w:w="4876" w:type="dxa"/>
            <w:tcBorders>
              <w:top w:val="nil"/>
              <w:left w:val="nil"/>
              <w:bottom w:val="nil"/>
              <w:right w:val="nil"/>
            </w:tcBorders>
          </w:tcPr>
          <w:p>
            <w:pPr>
              <w:pStyle w:val="Normal6a"/>
            </w:pPr>
            <w:r>
              <w:t>E.</w:t>
            </w:r>
            <w:r>
              <w:tab/>
            </w:r>
            <w:r>
              <w:t xml:space="preserve">overwegende dat de dreigingen die uitgaan van FIMI en desinformatie verder reiken dan de afzonderlijke lidstaten en een aanval vormen op de essentie van het Europese project; overwegende dat FIMI-operaties systematisch gericht zijn tegen de fundamentele democratische waarden van artikel 2 VEU en het beginsel van open, transparante besluitvormingsprocessen dat is vastgelegd in artikel 1 VEU, op een wijze die de belangen van de EU </w:t>
            </w:r>
            <w:r>
              <w:rPr>
                <w:b/>
                <w:i/>
              </w:rPr>
              <w:t>en de democratische processen in de lidstaten</w:t>
            </w:r>
            <w:r>
              <w:t xml:space="preserve"> schaadt;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overwegende dat buitenlandse inmenging in de Unie niet beperkt is gebleven tot externe desinformatiecampagnes, maar ook interne zwakke punten binnen de EU-instellingen en de lidstaten heeft uitgebuit, waaronder corruptie, belangenconflicten, ondoorzichtige lobbypraktijken en ontoereikende ethische waarborgen, waardoor de democratische veerkracht van binnenuit wordt ondermijnd;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overwegende dat niet alle vormen van polariserende, controversiële of gecoördineerde politieke communicatie buitenlandse informatiemanipulatie en inmenging zijn, zelfs niet wanneer zij afkomstig zijn uit het buitenland;</w:t>
            </w:r>
            <w:r>
              <w:t xml:space="preserve"> </w:t>
            </w:r>
            <w:r>
              <w:rPr>
                <w:b/>
                <w:i/>
              </w:rPr>
              <w:t>overwegende dat democratische samenlevingen inherent worden gekenmerkt door betwisting, meningsverschillen en activisme, alsook met grootschalige, wettige vereniging en campagnevoering;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ter.</w:t>
            </w:r>
            <w:r>
              <w:tab/>
            </w:r>
            <w:r>
              <w:rPr>
                <w:b/>
                <w:i/>
              </w:rPr>
              <w:t>overwegende dat hooggeplaatste politici uit de lidstaten na hun ambtstermijn hoge functies hebben bekleed in staatsbedrijven van vijandige derde landen, met name in de Russische energiesector en in het bijzonder bij Gazprom, bijvoorbeeld voormalig Duits bondskanselier Gerhard Schröder, wiens benoemingen na zijn ambtstermijn het draaideurverschijnsel illustreren en aanleiding geven tot grote bezorgdheid over strategische afhankelijkheid, buitenlandse invloed en de geloofwaardigheid van politici in bepaalde invloedrijke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quater.</w:t>
            </w:r>
            <w:r>
              <w:tab/>
            </w:r>
            <w:r>
              <w:rPr>
                <w:b/>
                <w:i/>
              </w:rPr>
              <w:t>overwegende dat gedocumenteerde bijeenkomsten van en contacten tussen hoge EU-ambtenaren, onder wie voormalig commissaris voor Justitie Didier Reynders en personen die in nauw verband zijn gebracht met aan sancties onderworpen Russische oligarchen, onder wie een naaste bondgenoot van Poetin, Oleg Deripaska, ernstige tekortkomingen aan het licht hebben gebracht op het gebied van transparantie, ethisch toezicht en risicobewustzijn binnen de EU-instellingen, en mogelijkheden voor ongepaste buitenlandse beïnvloeding hebben gecreëerd;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quinquies.</w:t>
            </w:r>
            <w:r>
              <w:tab/>
            </w:r>
            <w:r>
              <w:rPr>
                <w:b/>
                <w:i/>
              </w:rPr>
              <w:t>overwegende dat het corruptieschandaal “Qatargate” volgens lopende gerechtelijke onderzoeken en bevindingen van de media waaraan veel aandacht is geschonken, heeft aangetoond dat een derde land het Europees Parlement naar verluidt kan binnendringen met behulp van financiële prikkels, tussenpersonen en geheime netwerken, bijvoorbeeld via invloedrijke EP-leden en de directeur van DG MOVE van de Commissie; overwegende dat deze ontwikkelingen ernstige structurele tekortkomingen in de interne integriteits-, ethische en veiligheidskaders van de Unie aan het licht hebben gebracht en hebben aangetoond dat buitenlandse inmenging vanuit de EU-instellingen zelf kan plaatsvinden;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sexies.</w:t>
            </w:r>
            <w:r>
              <w:tab/>
            </w:r>
            <w:r>
              <w:rPr>
                <w:b/>
                <w:i/>
              </w:rPr>
              <w:t>overwegende dat ernstige beschuldigingen in de zogenoemde “Greengate”-affaire erop wijzen dat bepaalde niet-gouvernementele organisaties die financiering van de Unie ontvangen, mogelijk de opdracht hebben gekregen om onevenredige en ondoorzichtige invloed uit te oefenen op wetgevingsprocessen;</w:t>
            </w:r>
            <w:r>
              <w:t xml:space="preserve"> </w:t>
            </w:r>
            <w:r>
              <w:rPr>
                <w:b/>
                <w:i/>
              </w:rPr>
              <w:t>overwegende dat het publieke debat en de berichtgeving in de media ook vragen hebben doen rijzen over de politieke verantwoordelijkheid van hoge ambtenaren van de Commissie, onder wie voormalig uitvoerend vicevoorzitter Frans Timmermans, met betrekking tot financieringsstructuren en beleidscoördinatie;</w:t>
            </w:r>
            <w:r>
              <w:t xml:space="preserve"> </w:t>
            </w:r>
            <w:r>
              <w:rPr>
                <w:b/>
                <w:i/>
              </w:rPr>
              <w:t>overwegende dat deze ontwikkelingen aanleiding geven tot bezorgdheid over toe-eigening van instellingen, misbruik van overheidsmiddelen en de risico's van indirecte buitenlandse of ideologische inmenging;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septies.</w:t>
            </w:r>
            <w:r>
              <w:tab/>
            </w:r>
            <w:r>
              <w:rPr>
                <w:b/>
                <w:i/>
              </w:rPr>
              <w:t>overwegende dat verslagen en parlementaire initiatieven aanleiding hebben gegeven tot ernstige bezorgdheid over de vraag of middelen van de Unie die aan bepaalde organisaties zijn toegewezen, direct of indirect zijn omgeleid naar actoren die banden hebben met extremistische of terroristische bewegingen, waaronder Hamas, wat zou wijzen op kritieke tekortkomingen op het gebied van financieringscontroles, monitoringmechanismen en politieke verantwoording;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octies.</w:t>
            </w:r>
            <w:r>
              <w:tab/>
            </w:r>
            <w:r>
              <w:rPr>
                <w:b/>
                <w:i/>
              </w:rPr>
              <w:t>overwegende dat de geloofwaardigheid van de Unie bij de bestrijding van buitenlandse informatiemanipulatie en inmenging fundamenteel wordt verzwakt als externe dreigingen worden aangepakt, maar interne kwetsbaarheden, corruptie, belangenconflicten en politiek gevoelige schandalen binnen de EU-instellingen worden gebagatelliseerd of genegeerd of als met twee maten worden gemeten;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E nonies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nonies.</w:t>
            </w:r>
            <w:r>
              <w:tab/>
            </w:r>
            <w:r>
              <w:rPr>
                <w:b/>
                <w:i/>
              </w:rPr>
              <w:t>overwegende dat het bestaan van een Russisch spionagenetwerk is bevestigd door de uitspraak van de rechtbank in de zaak van voormalig EP-lid Nathan Gill, die, zoals door de Poolse diensten is onthuld, in ruil voor steekpenningen door de Russische inlichtingendiensten geschreven toespraken heeft gehouden in het Parlement en heeft deelgenomen aan door deze diensten georkestreerde initiatieven, zoals de waarneming van nepverkiezingen of -referenda in door Rusland bezette gebieden;</w:t>
            </w:r>
            <w:r>
              <w:t xml:space="preserve"> </w:t>
            </w:r>
            <w:r>
              <w:rPr>
                <w:b/>
                <w:i/>
              </w:rPr>
              <w:t>overwegende dat de Russische autoriteiten, volgens de bevindingen van de Poolse diensten, die de autoriteiten van het Parlement informatie hebben verstrekt over de regelingen en werkwijzen van deze operatie, een netwerk betaalden waarbij verschillende leden van het Europees Parlement betrokken waren;</w:t>
            </w:r>
            <w:r>
              <w:t xml:space="preserve"> </w:t>
            </w:r>
            <w:r>
              <w:rPr>
                <w:b/>
                <w:i/>
              </w:rPr>
              <w:t>overwegende dat er daarom behoefte is aan strengere integriteitsregels voor de leden van het Europees Parlement en hoge EU-ambtenaren;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overwegende dat afzonderlijke lidstaten die hebben geïnvesteerd in specifieke operationele structuren, met duidelijke statuten en mandaten, alsook voldoende financiering en personeel, aantonen wat haalbaar is, met name in het geval van het Franse Viginum en het Zweedse agentschap voor psychologische verdediging;</w:t>
            </w:r>
          </w:p>
        </w:tc>
        <w:tc>
          <w:tcPr>
            <w:tcW w:w="4876" w:type="dxa"/>
            <w:tcBorders>
              <w:top w:val="nil"/>
              <w:left w:val="nil"/>
              <w:bottom w:val="nil"/>
              <w:right w:val="nil"/>
            </w:tcBorders>
          </w:tcPr>
          <w:p>
            <w:pPr>
              <w:pStyle w:val="Normal6a"/>
            </w:pPr>
            <w:r>
              <w:t>F.</w:t>
            </w:r>
            <w:r>
              <w:tab/>
            </w:r>
            <w:r>
              <w:t xml:space="preserve">overwegende dat afzonderlijke lidstaten die hebben geïnvesteerd in specifieke operationele structuren, met duidelijke statuten en mandaten, alsook voldoende financiering en personeel, aantonen wat haalbaar is, met name in het geval van het Franse Viginum en het Zweedse agentschap voor psychologische verdediging; </w:t>
            </w:r>
            <w:r>
              <w:rPr>
                <w:b/>
                <w:i/>
              </w:rPr>
              <w:t>overwegende dat elk land zijn eigen specifieke kenmerken heeft, die onder meer voortvloeien uit historische omstandigheden, waardoor sommige lidstaten, zoals Polen of de Baltische staten, beter bestand zijn tegen Russische desinformatie en manipulatie van de geschiedenis dan andere landen die van oudsher nauwer samenwerken met Rusland;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overwegende dat afzonderlijke lidstaten die hebben geïnvesteerd in specifieke operationele structuren, met duidelijke statuten en mandaten, alsook voldoende financiering en personeel, aantonen wat haalbaar is, met name in het geval van het Franse Viginum en het Zweedse agentschap voor psychologische verdediging;</w:t>
            </w:r>
          </w:p>
        </w:tc>
        <w:tc>
          <w:tcPr>
            <w:tcW w:w="4876" w:type="dxa"/>
            <w:tcBorders>
              <w:top w:val="nil"/>
              <w:left w:val="nil"/>
              <w:bottom w:val="nil"/>
              <w:right w:val="nil"/>
            </w:tcBorders>
          </w:tcPr>
          <w:p>
            <w:pPr>
              <w:pStyle w:val="Normal6a"/>
            </w:pPr>
            <w:r>
              <w:t>F.</w:t>
            </w:r>
            <w:r>
              <w:tab/>
            </w:r>
            <w:r>
              <w:t xml:space="preserve">overwegende dat afzonderlijke lidstaten die hebben geïnvesteerd in specifieke operationele structuren, met duidelijke statuten en mandaten, alsook voldoende financiering en personeel, aantonen wat haalbaar is, met name in het geval van het Franse Viginum en het Zweedse agentschap voor psychologische verdediging; </w:t>
            </w:r>
            <w:r>
              <w:rPr>
                <w:b/>
                <w:i/>
              </w:rPr>
              <w:t>overwegende dat deze instellingen weliswaar op verzoek of op eigen initiatief waardevolle inzichten verschaffen, maar in silo’s werken en niet naar behoren met elkaar verbonden zijn, wat leidt tot versnippering van hun werkzaamheden en dus tot een gebrek aan samenwerking bij de bescherming tegen inmengingscampagnes;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overwegende dat afzonderlijke lidstaten die hebben geïnvesteerd in specifieke operationele structuren, met duidelijke statuten en mandaten, alsook voldoende financiering en personeel, aantonen wat haalbaar is, met name in het geval van het Franse Viginum en het Zweedse agentschap voor psychologische verdediging;</w:t>
            </w:r>
          </w:p>
        </w:tc>
        <w:tc>
          <w:tcPr>
            <w:tcW w:w="4876" w:type="dxa"/>
            <w:tcBorders>
              <w:top w:val="nil"/>
              <w:left w:val="nil"/>
              <w:bottom w:val="nil"/>
              <w:right w:val="nil"/>
            </w:tcBorders>
          </w:tcPr>
          <w:p>
            <w:pPr>
              <w:pStyle w:val="Normal6a"/>
            </w:pPr>
            <w:r>
              <w:t>F.</w:t>
            </w:r>
            <w:r>
              <w:tab/>
            </w:r>
            <w:r>
              <w:t xml:space="preserve">overwegende dat </w:t>
            </w:r>
            <w:r>
              <w:rPr>
                <w:b/>
                <w:i/>
              </w:rPr>
              <w:t>enkele</w:t>
            </w:r>
            <w:r>
              <w:t xml:space="preserve"> afzonderlijke lidstaten die hebben geïnvesteerd in specifieke operationele structuren, met duidelijke statuten en mandaten, alsook voldoende financiering en personeel, aantonen wat haalbaar is, met name in het geval van het Franse Viginum en het Zweedse agentschap voor psychologische verdediging; </w:t>
            </w:r>
            <w:r>
              <w:rPr>
                <w:b/>
                <w:i/>
              </w:rPr>
              <w:t>overwegende dat deze agentschappen een strikt op feiten gebaseerde, technische en onpartijdige aanpak hebben gehanteerd;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overwegende dat afzonderlijke lidstaten die hebben geïnvesteerd in specifieke operationele structuren, met duidelijke statuten en mandaten, alsook voldoende financiering en personeel, aantonen wat haalbaar is</w:t>
            </w:r>
            <w:r>
              <w:rPr>
                <w:b/>
                <w:i/>
              </w:rPr>
              <w:t>, met name in het geval van het Franse Viginum en het Zweedse agentschap voor psychologische verdediging</w:t>
            </w:r>
            <w:r>
              <w:t>;</w:t>
            </w:r>
          </w:p>
        </w:tc>
        <w:tc>
          <w:tcPr>
            <w:tcW w:w="4876" w:type="dxa"/>
            <w:tcBorders>
              <w:top w:val="nil"/>
              <w:left w:val="nil"/>
              <w:bottom w:val="nil"/>
              <w:right w:val="nil"/>
            </w:tcBorders>
          </w:tcPr>
          <w:p>
            <w:pPr>
              <w:pStyle w:val="Normal6a"/>
            </w:pPr>
            <w:r>
              <w:t>F.</w:t>
            </w:r>
            <w:r>
              <w:tab/>
            </w:r>
            <w:r>
              <w:t>overwegende dat afzonderlijke lidstaten die hebben geïnvesteerd in specifieke operationele structuren, met duidelijke statuten en mandaten, alsook voldoende financiering en personeel, aantonen wat haalbaar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overwegende dat afzonderlijke lidstaten die hebben geïnvesteerd in specifieke operationele structuren, met duidelijke statuten en mandaten, alsook voldoende financiering en personeel, aantonen wat haalbaar is, </w:t>
            </w:r>
            <w:r>
              <w:rPr>
                <w:b/>
                <w:i/>
              </w:rPr>
              <w:t>met name</w:t>
            </w:r>
            <w:r>
              <w:t xml:space="preserve"> in het geval van het Franse Viginum en het Zweedse agentschap voor psychologische verdediging;</w:t>
            </w:r>
          </w:p>
        </w:tc>
        <w:tc>
          <w:tcPr>
            <w:tcW w:w="4876" w:type="dxa"/>
            <w:tcBorders>
              <w:top w:val="nil"/>
              <w:left w:val="nil"/>
              <w:bottom w:val="nil"/>
              <w:right w:val="nil"/>
            </w:tcBorders>
          </w:tcPr>
          <w:p>
            <w:pPr>
              <w:pStyle w:val="Normal6a"/>
            </w:pPr>
            <w:r>
              <w:t>F.</w:t>
            </w:r>
            <w:r>
              <w:tab/>
            </w:r>
            <w:r>
              <w:t xml:space="preserve">overwegende dat afzonderlijke lidstaten die hebben geïnvesteerd in specifieke operationele structuren, met duidelijke statuten en mandaten, alsook voldoende financiering en personeel, aantonen wat haalbaar is, </w:t>
            </w:r>
            <w:r>
              <w:rPr>
                <w:b/>
                <w:i/>
              </w:rPr>
              <w:t>bijvoorbeeld</w:t>
            </w:r>
            <w:r>
              <w:t xml:space="preserve"> in het geval van het Franse Viginum en het Zweedse agentschap voor psychologische verdediging;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desinformatie niet mag dienen als een handig voorwendsel om opzettelijk gevoerd beleid te verdoezelen dat bepaalde hoofdsteden en de Russische Federatie ten goede is gekomen ten koste van de belangrijkste veiligheidsbelangen van andere lidstaten, en de Europese solidariteit heeft aangetast;</w:t>
            </w:r>
            <w:r>
              <w:t xml:space="preserve"> </w:t>
            </w:r>
            <w:r>
              <w:rPr>
                <w:b/>
                <w:i/>
              </w:rPr>
              <w:t>overwegende dat er tot op heden noch op het niveau van de Unie, noch op nationaal niveau een parlementaire enquêtecommissie is ingesteld om de omstandigheden rond de aanleg van de beruchte gaspijpleidingen Nord Stream 1 en Nord Stream 2 op te helderen;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bijna drie jaar na de goedkeuring van de aanbeveling van het Europees Parlement van 15 juni 2023 aan de Raad en de Commissie de overgrote meerderheid van die aanbevelingen nog niet is uitgevoerd, ondanks het centrale belang ervan voor de bescherming van de grondrechten, de democratie en de rechtsstaat tegen misbruik van spyware en indringende surveillancetechnologieën;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een grondige effectbeoordeling nodig is om te voorkomen dat dergelijke initiatieven een afschrikkend effect hebben op de uitoefening van fundamentele vrijheden, waaronder de vrijheid van meningsuiting en de vrijheid van godsdienst;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overwegende dat de snelle ontwikkeling van artificiële intelligentie (AI) en deepfake-technologieën het aanpassingsvermogen van versnipperde nationale instellingen overtreft; overwegende dat zonder gecoördineerde EU-respons en duidelijke operationele capaciteiten het technologische voordeel steeds meer in het voordeel van de aanvallers zal werken ten opzichte van de verdedigers;</w:t>
            </w:r>
          </w:p>
        </w:tc>
        <w:tc>
          <w:tcPr>
            <w:tcW w:w="4876" w:type="dxa"/>
            <w:tcBorders>
              <w:top w:val="nil"/>
              <w:left w:val="nil"/>
              <w:bottom w:val="nil"/>
              <w:right w:val="nil"/>
            </w:tcBorders>
          </w:tcPr>
          <w:p>
            <w:pPr>
              <w:pStyle w:val="Normal6a"/>
            </w:pPr>
            <w:r>
              <w:t>G.</w:t>
            </w:r>
            <w:r>
              <w:tab/>
            </w:r>
            <w:r>
              <w:t>overwegende dat de snelle ontwikkeling van artificiële intelligentie (AI) en deepfake-technologieën het aanpassingsvermogen van versnipperde nationale instellingen overtreft; overwegende dat zonder gecoördineerde EU-respons</w:t>
            </w:r>
            <w:r>
              <w:rPr>
                <w:b/>
                <w:i/>
              </w:rPr>
              <w:t>, aanhoudende investeringen in innovatie, onderzoek en technologische ontwikkeling</w:t>
            </w:r>
            <w:r>
              <w:t xml:space="preserve"> en duidelijke operationele capaciteiten het technologische voordeel steeds meer in het voordeel van de aanvallers zal werken ten opzichte van de verdedigers; </w:t>
            </w:r>
            <w:r>
              <w:rPr>
                <w:b/>
                <w:i/>
              </w:rPr>
              <w:t>overwegende dat innovatie, met inbegrip van de ontwikkeling van betrouwbare AI-systemen, opsporingsinstrumenten en veerkrachtige digitale infrastructuur, moet worden beschouwd als een centraal onderdeel van de defensie- en preventiestrategie van de Unie;</w:t>
            </w:r>
            <w:r>
              <w:t xml:space="preserve"> </w:t>
            </w:r>
            <w:r>
              <w:rPr>
                <w:b/>
                <w:i/>
              </w:rPr>
              <w:t>overwegende dat de doeltreffendheid van regelgevings- of technische kaders uiteindelijk afhangt van aanhoudende politieke wil, consistente handhaving en de gereedheid van de lidstaten en de instellingen van de Unie om toezeggingen om te zetten in concrete en tijdige maatregelen;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Jaroslav Bžoch, Marieke Ehlers,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de snelle ontwikkeling van artificiële intelligentie (AI) en deepfake-technologieën het aanpassingsvermogen van versnipperde nationale instellingen overtreft; overwegende dat zonder </w:t>
            </w:r>
            <w:r>
              <w:rPr>
                <w:b/>
                <w:i/>
              </w:rPr>
              <w:t>gecoördineerde EU-respons en duidelijke operationele capaciteiten</w:t>
            </w:r>
            <w:r>
              <w:t xml:space="preserve"> het technologische voordeel steeds meer in het voordeel van de aanvallers zal werken ten opzichte van de verdedigers;</w:t>
            </w:r>
          </w:p>
        </w:tc>
        <w:tc>
          <w:tcPr>
            <w:tcW w:w="4876" w:type="dxa"/>
            <w:tcBorders>
              <w:top w:val="nil"/>
              <w:left w:val="nil"/>
              <w:bottom w:val="nil"/>
              <w:right w:val="nil"/>
            </w:tcBorders>
          </w:tcPr>
          <w:p>
            <w:pPr>
              <w:pStyle w:val="Normal6a"/>
            </w:pPr>
            <w:r>
              <w:t>G.</w:t>
            </w:r>
            <w:r>
              <w:tab/>
            </w:r>
            <w:r>
              <w:t xml:space="preserve">overwegende dat de snelle ontwikkeling van artificiële intelligentie (AI) en deepfake-technologieën het aanpassingsvermogen van versnipperde nationale </w:t>
            </w:r>
            <w:r>
              <w:rPr>
                <w:b/>
                <w:i/>
              </w:rPr>
              <w:t>en Europese</w:t>
            </w:r>
            <w:r>
              <w:t xml:space="preserve"> instellingen overtreft</w:t>
            </w:r>
            <w:r>
              <w:rPr>
                <w:b/>
                <w:i/>
              </w:rPr>
              <w:t>, aangezien wettelijke voorschriften vaak worden geschonden</w:t>
            </w:r>
            <w:r>
              <w:t xml:space="preserve">; overwegende dat zonder </w:t>
            </w:r>
            <w:r>
              <w:rPr>
                <w:b/>
                <w:i/>
              </w:rPr>
              <w:t>gespecialiseerde technologische uitrusting en instrumenten</w:t>
            </w:r>
            <w:r>
              <w:t xml:space="preserve"> het technologische voordeel steeds meer in het voordeel van de aanvallers zal werken ten opzichte van de verdedigers; </w:t>
            </w:r>
            <w:r>
              <w:rPr>
                <w:b/>
                <w:i/>
              </w:rPr>
              <w:t>overwegende dat belangrijke AI-technologieën onder zeggenschap staan van entiteiten uit derde landen, die de grootste invloed hebben op de gegenereerde inhoud en de manier waarop AI-systemen werken en output produceren voor gebruikers, en overwegende dat de EU-lidstaten zelf geen soevereine AI-capaciteiten hebben;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overwegende dat de snelle ontwikkeling van artificiële intelligentie (AI) en deepfake-technologieën het aanpassingsvermogen van versnipperde nationale instellingen overtreft; overwegende dat zonder gecoördineerde EU-respons en duidelijke operationele capaciteiten het technologische voordeel steeds meer in het voordeel van de aanvallers zal werken ten opzichte van de verdedigers;</w:t>
            </w:r>
          </w:p>
        </w:tc>
        <w:tc>
          <w:tcPr>
            <w:tcW w:w="4876" w:type="dxa"/>
            <w:tcBorders>
              <w:top w:val="nil"/>
              <w:left w:val="nil"/>
              <w:bottom w:val="nil"/>
              <w:right w:val="nil"/>
            </w:tcBorders>
          </w:tcPr>
          <w:p>
            <w:pPr>
              <w:pStyle w:val="Normal6a"/>
            </w:pPr>
            <w:r>
              <w:t>G.</w:t>
            </w:r>
            <w:r>
              <w:tab/>
            </w:r>
            <w:r>
              <w:t xml:space="preserve">overwegende dat de snelle ontwikkeling van artificiële intelligentie (AI) en deepfake-technologieën het aanpassingsvermogen van versnipperde nationale instellingen overtreft; overwegende dat zonder gecoördineerde EU-respons en duidelijke operationele capaciteiten het technologische voordeel steeds meer in het voordeel van de aanvallers zal werken ten opzichte van de verdedigers; </w:t>
            </w:r>
            <w:r>
              <w:rPr>
                <w:b/>
                <w:i/>
              </w:rPr>
              <w:t>overwegende dat het passende antwoord op deze uitdagingen niet de oprichting van nog een instelling op EU-niveau is, maar juist nauwere samenwerking tussen de lidstaten en hun bevoegde diensten, samenwerking met IT-bedrijven, met gelijkgestemde bondgenoten binnen de NAVO en met G7-partners die voor soortgelijke dreigingen 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de snelle ontwikkeling van artificiële intelligentie (AI) en deepfake-technologieën het aanpassingsvermogen van versnipperde nationale instellingen overtreft; overwegende dat zonder gecoördineerde EU-respons en duidelijke operationele </w:t>
            </w:r>
            <w:r>
              <w:rPr>
                <w:b/>
                <w:i/>
              </w:rPr>
              <w:t>capaciteiten</w:t>
            </w:r>
            <w:r>
              <w:t xml:space="preserve"> het technologische voordeel steeds meer in het voordeel van de aanvallers zal werken ten opzichte van de verdedigers;</w:t>
            </w:r>
          </w:p>
        </w:tc>
        <w:tc>
          <w:tcPr>
            <w:tcW w:w="4876" w:type="dxa"/>
            <w:tcBorders>
              <w:top w:val="nil"/>
              <w:left w:val="nil"/>
              <w:bottom w:val="nil"/>
              <w:right w:val="nil"/>
            </w:tcBorders>
          </w:tcPr>
          <w:p>
            <w:pPr>
              <w:pStyle w:val="Normal6a"/>
            </w:pPr>
            <w:r>
              <w:t>G.</w:t>
            </w:r>
            <w:r>
              <w:tab/>
            </w:r>
            <w:r>
              <w:t xml:space="preserve">overwegende dat de snelle ontwikkeling van artificiële intelligentie (AI) en deepfake-technologieën het aanpassingsvermogen van versnipperde nationale instellingen overtreft; overwegende dat zonder gecoördineerde EU-respons en duidelijke operationele </w:t>
            </w:r>
            <w:r>
              <w:rPr>
                <w:b/>
                <w:i/>
              </w:rPr>
              <w:t>en onderzoekscapaciteiten</w:t>
            </w:r>
            <w:r>
              <w:t xml:space="preserve"> het technologische voordeel steeds meer in het voordeel van de aanvallers zal werken ten opzichte van de verdedigers; </w:t>
            </w:r>
            <w:r>
              <w:rPr>
                <w:b/>
                <w:i/>
              </w:rPr>
              <w:t>overwegende dat bij de verordening artificiële intelligentie (AI-verordening) van de EU regels worden ingevoerd die onlineplatforms verplichten aan te geven wanneer inhoud door AI is gegenereerd;</w:t>
            </w:r>
            <w:r>
              <w:t xml:space="preserve"> </w:t>
            </w:r>
            <w:r>
              <w:rPr>
                <w:b/>
                <w:i/>
              </w:rPr>
              <w:t>overwegende dat de handhaving van deze regels daadwerkelijke naleving door de onlineplatforms en streng toezicht door de EU vereist;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overwegende dat de snelle ontwikkeling van artificiële intelligentie (AI) en deepfake-technologieën het aanpassingsvermogen van versnipperde nationale instellingen overtreft; overwegende dat zonder gecoördineerde EU-respons en duidelijke operationele capaciteiten het technologische voordeel steeds meer in het voordeel van de aanvallers zal werken ten opzichte van de verdedigers;</w:t>
            </w:r>
          </w:p>
        </w:tc>
        <w:tc>
          <w:tcPr>
            <w:tcW w:w="4876" w:type="dxa"/>
            <w:tcBorders>
              <w:top w:val="nil"/>
              <w:left w:val="nil"/>
              <w:bottom w:val="nil"/>
              <w:right w:val="nil"/>
            </w:tcBorders>
          </w:tcPr>
          <w:p>
            <w:pPr>
              <w:pStyle w:val="Normal6a"/>
            </w:pPr>
            <w:r>
              <w:t>G.</w:t>
            </w:r>
            <w:r>
              <w:tab/>
            </w:r>
            <w:r>
              <w:t xml:space="preserve">overwegende dat de snelle ontwikkeling van artificiële intelligentie (AI) en deepfake-technologieën het aanpassingsvermogen van versnipperde nationale instellingen overtreft; overwegende dat zonder gecoördineerde EU-respons en duidelijke operationele capaciteiten het technologische voordeel steeds meer in het voordeel van de aanvallers zal werken ten opzichte van de verdedigers; </w:t>
            </w:r>
            <w:r>
              <w:rPr>
                <w:b/>
                <w:i/>
              </w:rPr>
              <w:t>overwegende dat AI-bedrijven hun veiligheidsmaatregelen voor het tegengaan van de verspreiding en generatie van desinformatie via hun diensten niet hebben uitgebreid maar juist hebben teruggeschroefd, en overwegende dat AI-bedrijven er niet in zijn geslaagd “datavergiftiging” van hun diensten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de snelle ontwikkeling van artificiële intelligentie (AI) en deepfake-technologieën het aanpassingsvermogen van versnipperde nationale instellingen overtreft; overwegende dat zonder </w:t>
            </w:r>
            <w:r>
              <w:rPr>
                <w:b/>
                <w:i/>
              </w:rPr>
              <w:t>gecoördineerde</w:t>
            </w:r>
            <w:r>
              <w:t xml:space="preserve"> EU-respons en duidelijke operationele capaciteiten het technologische voordeel steeds meer in het voordeel van de aanvallers zal werken ten opzichte van de verdedigers;</w:t>
            </w:r>
          </w:p>
        </w:tc>
        <w:tc>
          <w:tcPr>
            <w:tcW w:w="4876" w:type="dxa"/>
            <w:tcBorders>
              <w:top w:val="nil"/>
              <w:left w:val="nil"/>
              <w:bottom w:val="nil"/>
              <w:right w:val="nil"/>
            </w:tcBorders>
          </w:tcPr>
          <w:p>
            <w:pPr>
              <w:pStyle w:val="Normal6a"/>
            </w:pPr>
            <w:r>
              <w:t>G.</w:t>
            </w:r>
            <w:r>
              <w:tab/>
            </w:r>
            <w:r>
              <w:t xml:space="preserve">overwegende dat de snelle ontwikkeling van artificiële intelligentie (AI) en deepfake-technologieën het aanpassingsvermogen van versnipperde nationale instellingen overtreft; overwegende dat </w:t>
            </w:r>
            <w:r>
              <w:rPr>
                <w:b/>
                <w:i/>
              </w:rPr>
              <w:t>AI weliswaar desinformatiecampagnes faciliteert, maar ook een instrument is waarmee onze capaciteit om dergelijke campagnes op te sporen, te analyseren en tegen te gaan, kan worden verbeterd;</w:t>
            </w:r>
            <w:r>
              <w:t xml:space="preserve"> </w:t>
            </w:r>
            <w:r>
              <w:rPr>
                <w:b/>
                <w:i/>
              </w:rPr>
              <w:t>overwegende dat</w:t>
            </w:r>
            <w:r>
              <w:t xml:space="preserve"> zonder </w:t>
            </w:r>
            <w:r>
              <w:rPr>
                <w:b/>
                <w:i/>
              </w:rPr>
              <w:t>een geharmoniseerde</w:t>
            </w:r>
            <w:r>
              <w:t xml:space="preserve"> EU-respons en duidelijke operationele capaciteiten het technologische voordeel steeds meer in het voordeel van de aanvallers zal werken ten opzichte van de verdedigers;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overwegende dat de snelle ontwikkeling van artificiële intelligentie (AI) en deepfake-technologieën het aanpassingsvermogen van versnipperde nationale instellingen overtreft; overwegende dat zonder gecoördineerde EU-respons en duidelijke operationele capaciteiten het technologische voordeel steeds meer in het voordeel van de aanvallers zal werken ten opzichte van de verdedigers;</w:t>
            </w:r>
          </w:p>
        </w:tc>
        <w:tc>
          <w:tcPr>
            <w:tcW w:w="4876" w:type="dxa"/>
            <w:tcBorders>
              <w:top w:val="nil"/>
              <w:left w:val="nil"/>
              <w:bottom w:val="nil"/>
              <w:right w:val="nil"/>
            </w:tcBorders>
          </w:tcPr>
          <w:p>
            <w:pPr>
              <w:pStyle w:val="Normal6a"/>
            </w:pPr>
            <w:r>
              <w:t>G.</w:t>
            </w:r>
            <w:r>
              <w:tab/>
            </w:r>
            <w:r>
              <w:t xml:space="preserve">overwegende dat de snelle ontwikkeling van artificiële intelligentie (AI) en deepfake-technologieën het aanpassingsvermogen van versnipperde nationale instellingen overtreft </w:t>
            </w:r>
            <w:r>
              <w:rPr>
                <w:b/>
                <w:i/>
              </w:rPr>
              <w:t>en ouderwetse oplossingen, zoals transparantie- of inspanningsverplichtingen, achterhaald maakt</w:t>
            </w:r>
            <w:r>
              <w:t>; overwegende dat zonder gecoördineerde EU-respons en duidelijke operationele capaciteiten het technologische voordeel steeds meer in het voordeel van de aanvallers zal werken ten opzichte van de verdedigers</w:t>
            </w:r>
            <w:r>
              <w:rPr>
                <w:b/>
                <w:i/>
              </w:rPr>
              <w:t>, en daarmee een gevaar vormt voor de hoeksteen van onze democratieën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overwegende dat technologieën die gebruikmaken van artificiële intelligentie, waaronder deepfakes, generatieve inhoud en geautomatiseerde bots, de schaal, snelheid en geloofwaardigheid van desinformatiecampagnes aanzienlijk vergroten;</w:t>
            </w:r>
            <w:r>
              <w:t xml:space="preserve"> </w:t>
            </w:r>
            <w:r>
              <w:rPr>
                <w:b/>
                <w:i/>
              </w:rPr>
              <w:t>overwegende dat de kosten voor het creëren van inhoud weliswaar drastisch zijn gedaald, maar dat distributie via op interactie gebaseerde aanbevelingssystemen de doorslaggevende factor blijft voor het sorteren van een grootschalige maatschappelijke impact;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overwegende dat het samenvallen van de eerste fasen van de uitvoering van de digitaledienstenverordening, de digitalemarktenverordening, de verordening artificiële intelligentie (AI-verordening) en de Europese verordening mediavrijheid een kans biedt om uitgebreide FIMI-beschermingsmaatregelen tot stand te brengen;</w:t>
            </w:r>
          </w:p>
        </w:tc>
        <w:tc>
          <w:tcPr>
            <w:tcW w:w="4876" w:type="dxa"/>
            <w:tcBorders>
              <w:top w:val="nil"/>
              <w:left w:val="nil"/>
              <w:bottom w:val="nil"/>
              <w:right w:val="nil"/>
            </w:tcBorders>
          </w:tcPr>
          <w:p>
            <w:pPr>
              <w:pStyle w:val="Normal6a"/>
            </w:pPr>
            <w:r>
              <w:t>H.</w:t>
            </w:r>
            <w:r>
              <w:tab/>
            </w:r>
            <w:r>
              <w:t xml:space="preserve">overwegende dat het samenvallen van de eerste fasen van de uitvoering van de digitaledienstenverordening, de digitalemarktenverordening, de verordening artificiële intelligentie (AI-verordening) en de Europese verordening mediavrijheid een kans biedt om uitgebreide FIMI-beschermingsmaatregelen tot stand te brengen </w:t>
            </w:r>
            <w:r>
              <w:rPr>
                <w:b/>
                <w:i/>
              </w:rPr>
              <w:t>en de informatieruimte veilig te stellen</w:t>
            </w:r>
            <w:r>
              <w:t xml:space="preserve">; </w:t>
            </w:r>
            <w:r>
              <w:rPr>
                <w:b/>
                <w:i/>
              </w:rPr>
              <w:t>overwegende dat de doeltreffendheid van dit regelgevingskader afhangt van de volledige, tijdige en consistente handhaving van deze wetgevingsinstrumenten;</w:t>
            </w:r>
            <w:r>
              <w:t xml:space="preserve"> </w:t>
            </w:r>
            <w:r>
              <w:rPr>
                <w:b/>
                <w:i/>
              </w:rPr>
              <w:t>overwegende dat de ongelijke en vertraagde uitvoering in de lidstaten, met name met betrekking tot de Europese verordening mediavrijheid, de collectieve impact ervan kan ondergraven en het vermogen van de Unie om de integriteit van de openbare ruimte en het recht van burgers op betrouwbare en pluralistische informatie te beschermen, kan verzwakken;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Jaroslav Bžoch, Marieke Ehlers,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overwegende dat het samenvallen van de eerste fasen van de uitvoering van de digitaledienstenverordening, de digitalemarktenverordening, de verordening artificiële intelligentie (AI-verordening) en de Europese verordening mediavrijheid een kans biedt om uitgebreide FIMI-beschermingsmaatregelen tot stand te brengen;</w:t>
            </w:r>
          </w:p>
        </w:tc>
        <w:tc>
          <w:tcPr>
            <w:tcW w:w="4876" w:type="dxa"/>
            <w:tcBorders>
              <w:top w:val="nil"/>
              <w:left w:val="nil"/>
              <w:bottom w:val="nil"/>
              <w:right w:val="nil"/>
            </w:tcBorders>
          </w:tcPr>
          <w:p>
            <w:pPr>
              <w:pStyle w:val="Normal6a"/>
            </w:pPr>
            <w:r>
              <w:t>H.</w:t>
            </w:r>
            <w:r>
              <w:tab/>
            </w:r>
            <w:r>
              <w:t xml:space="preserve">overwegende dat het samenvallen van de eerste fasen van de uitvoering van de digitaledienstenverordening, de digitalemarktenverordening, de verordening artificiële intelligentie (AI-verordening) en de Europese verordening mediavrijheid een kans biedt om uitgebreide FIMI-beschermingsmaatregelen tot stand te brengen; </w:t>
            </w:r>
            <w:r>
              <w:rPr>
                <w:b/>
                <w:i/>
              </w:rPr>
              <w:t>overwegende dat betere informatie-uitwisseling en wederzijdse bijstand wordt overwogen tussen de lidstaten en de instellingen en organen van de Unie, onder meer bij de uitrol van technologische instrumenten;</w:t>
            </w:r>
            <w:r>
              <w:t xml:space="preserve"> </w:t>
            </w:r>
            <w:r>
              <w:rPr>
                <w:b/>
                <w:i/>
              </w:rPr>
              <w:t>overwegende dat de verordeningen zodanig moeten worden herzien dat de vrijheid van meningsuiting en de vrijheid om informatie te ontvangen en te verstrekken, zoals verankerd in het Handvest van de grondrechten van de Europese Unie, kunnen worden geëerbiedigd;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overwegende dat het samenvallen van de eerste fasen van de uitvoering van de digitaledienstenverordening, de digitalemarktenverordening, de verordening artificiële intelligentie (AI-verordening) en de Europese verordening mediavrijheid een kans biedt om uitgebreide FIMI-beschermingsmaatregelen tot stand te brengen;</w:t>
            </w:r>
          </w:p>
        </w:tc>
        <w:tc>
          <w:tcPr>
            <w:tcW w:w="4876" w:type="dxa"/>
            <w:tcBorders>
              <w:top w:val="nil"/>
              <w:left w:val="nil"/>
              <w:bottom w:val="nil"/>
              <w:right w:val="nil"/>
            </w:tcBorders>
          </w:tcPr>
          <w:p>
            <w:pPr>
              <w:pStyle w:val="Normal6a"/>
            </w:pPr>
            <w:r>
              <w:t>H.</w:t>
            </w:r>
            <w:r>
              <w:tab/>
            </w:r>
            <w:r>
              <w:t xml:space="preserve">overwegende dat het samenvallen van de eerste fasen van de uitvoering van de digitaledienstenverordening, de digitalemarktenverordening, de verordening artificiële intelligentie (AI-verordening) en de Europese verordening mediavrijheid een kans biedt om uitgebreide FIMI-beschermingsmaatregelen tot stand te brengen; </w:t>
            </w:r>
            <w:r>
              <w:rPr>
                <w:b/>
                <w:i/>
              </w:rPr>
              <w:t>overwegende dat een dergelijke handhaving alleen tot doel mag hebben systeemrisico’s van desinformatie te beperken en niet mag leiden tot de inperking van de vrijheid van meningsuiting of het smoren van impopulaire meningen of politieke dissidenten;</w:t>
            </w:r>
            <w:r>
              <w:t xml:space="preserve"> </w:t>
            </w:r>
            <w:r>
              <w:rPr>
                <w:b/>
                <w:i/>
              </w:rPr>
              <w:t>overwegende dat bij een dergelijke handhaving het uitgangspunt moet zijn dat burgers de ruimte en vrijheid behouden om informatie zelfstandig te beoordelen;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overwegende dat het samenvallen van de eerste fasen van de uitvoering van de digitaledienstenverordening, de digitalemarktenverordening, de verordening artificiële intelligentie (AI-verordening) en de Europese verordening mediavrijheid een kans biedt om uitgebreide FIMI-beschermingsmaatregelen tot stand te brengen;</w:t>
            </w:r>
          </w:p>
        </w:tc>
        <w:tc>
          <w:tcPr>
            <w:tcW w:w="4876" w:type="dxa"/>
            <w:tcBorders>
              <w:top w:val="nil"/>
              <w:left w:val="nil"/>
              <w:bottom w:val="nil"/>
              <w:right w:val="nil"/>
            </w:tcBorders>
          </w:tcPr>
          <w:p>
            <w:pPr>
              <w:pStyle w:val="Normal6a"/>
            </w:pPr>
            <w:r>
              <w:t>H.</w:t>
            </w:r>
            <w:r>
              <w:tab/>
            </w:r>
            <w:r>
              <w:t xml:space="preserve">overwegende dat het samenvallen van de eerste fasen van de uitvoering van de digitaledienstenverordening, de digitalemarktenverordening, de verordening artificiële intelligentie (AI-verordening) en de Europese verordening mediavrijheid een kans biedt om uitgebreide FIMI-beschermingsmaatregelen tot stand te brengen; </w:t>
            </w:r>
            <w:r>
              <w:rPr>
                <w:b/>
                <w:i/>
              </w:rPr>
              <w:t>overwegende dat het daarom bijzonder belangrijk is om gestructureerde steun voor de lidstaten bij de doeltreffende en tijdige uitvoering van deze instrumenten te combineren met de capaciteit om snelle en evenredige corrigerende maatregelen te treffen wanneer tekortkomingen, vertragingen of onvolledige omzetting de democratische veerkracht van de Unie dreigen te ondermijnen;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overwegende dat het samenvallen van de eerste fasen van de uitvoering van de digitaledienstenverordening, de digitalemarktenverordening, de verordening artificiële intelligentie (AI-verordening) en de Europese verordening mediavrijheid een kans biedt om uitgebreide FIMI-beschermingsmaatregelen tot stand te brengen;</w:t>
            </w:r>
          </w:p>
        </w:tc>
        <w:tc>
          <w:tcPr>
            <w:tcW w:w="4876" w:type="dxa"/>
            <w:tcBorders>
              <w:top w:val="nil"/>
              <w:left w:val="nil"/>
              <w:bottom w:val="nil"/>
              <w:right w:val="nil"/>
            </w:tcBorders>
          </w:tcPr>
          <w:p>
            <w:pPr>
              <w:pStyle w:val="Normal6a"/>
            </w:pPr>
            <w:r>
              <w:t>H.</w:t>
            </w:r>
            <w:r>
              <w:tab/>
            </w:r>
            <w:r>
              <w:t xml:space="preserve">overwegende dat het samenvallen van de eerste fasen van de uitvoering van de digitaledienstenverordening, de digitalemarktenverordening, de verordening artificiële intelligentie (AI-verordening) en de Europese verordening mediavrijheid een kans biedt om uitgebreide FIMI-beschermingsmaatregelen tot stand te brengen; </w:t>
            </w:r>
            <w:r>
              <w:rPr>
                <w:b/>
                <w:i/>
              </w:rPr>
              <w:t>overwegende dat de EU steeds meer onder druk is komen te staan van de regering van de Amerikaanse president, waarbij onder meer is gedreigd met de oplegging van tarieven, persoonlijke sancties tegen EU-ambtenaren en visumverboden als gevolg van de invoering van regels die gericht zijn op de totstandbrenging van een veiligere, transparantere en verantwoordelijkere digitale omgeving;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overwegende dat het samenvallen van de eerste fasen van de uitvoering van de digitaledienstenverordening, de digitalemarktenverordening, de verordening artificiële intelligentie (AI-verordening) en de Europese verordening mediavrijheid een kans biedt om uitgebreide FIMI-beschermingsmaatregelen tot stand te brengen;</w:t>
            </w:r>
          </w:p>
        </w:tc>
        <w:tc>
          <w:tcPr>
            <w:tcW w:w="4876" w:type="dxa"/>
            <w:tcBorders>
              <w:top w:val="nil"/>
              <w:left w:val="nil"/>
              <w:bottom w:val="nil"/>
              <w:right w:val="nil"/>
            </w:tcBorders>
          </w:tcPr>
          <w:p>
            <w:pPr>
              <w:pStyle w:val="Normal6a"/>
            </w:pPr>
            <w:r>
              <w:t>H.</w:t>
            </w:r>
            <w:r>
              <w:tab/>
            </w:r>
            <w:r>
              <w:t>overwegende dat het samenvallen van de eerste fasen van de uitvoering van de digitaledienstenverordening, de digitalemarktenverordening, de verordening artificiële intelligentie (AI-verordening) en de Europese verordening mediavrijheid een kans biedt om uitgebreide FIMI-beschermingsmaatregelen tot stand te brengen</w:t>
            </w:r>
            <w:r>
              <w:rPr>
                <w:b/>
                <w:i/>
              </w:rPr>
              <w:t>, maar geenszins een voorwendsel mag zijn voor de inperking van de vrijheid van meningsuiting in de maatschappij, ook niet online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overwegende dat </w:t>
            </w:r>
            <w:r>
              <w:rPr>
                <w:b/>
                <w:i/>
              </w:rPr>
              <w:t>het samenvallen van de eerste fasen van</w:t>
            </w:r>
            <w:r>
              <w:t xml:space="preserve"> de uitvoering van de digitaledienstenverordening, de digitalemarktenverordening, de verordening artificiële intelligentie (AI-verordening) en de Europese verordening mediavrijheid </w:t>
            </w:r>
            <w:r>
              <w:rPr>
                <w:b/>
                <w:i/>
              </w:rPr>
              <w:t>een kans biedt om uitgebreide FIMI-beschermingsmaatregelen tot stand te brengen</w:t>
            </w:r>
            <w:r>
              <w:t>;</w:t>
            </w:r>
          </w:p>
        </w:tc>
        <w:tc>
          <w:tcPr>
            <w:tcW w:w="4876" w:type="dxa"/>
            <w:tcBorders>
              <w:top w:val="nil"/>
              <w:left w:val="nil"/>
              <w:bottom w:val="nil"/>
              <w:right w:val="nil"/>
            </w:tcBorders>
          </w:tcPr>
          <w:p>
            <w:pPr>
              <w:pStyle w:val="Normal6a"/>
            </w:pPr>
            <w:r>
              <w:t>H.</w:t>
            </w:r>
            <w:r>
              <w:tab/>
            </w:r>
            <w:r>
              <w:t>overwegende dat de uitvoering van de digitaledienstenverordening, de digitalemarktenverordening, de verordening artificiële intelligentie (AI-verordening)</w:t>
            </w:r>
            <w:r>
              <w:rPr>
                <w:b/>
                <w:i/>
              </w:rPr>
              <w:t>, de verordening betreffende transparantie en gerichte politieke reclame</w:t>
            </w:r>
            <w:r>
              <w:t xml:space="preserve"> en de Europese verordening mediavrijheid </w:t>
            </w:r>
            <w:r>
              <w:rPr>
                <w:b/>
                <w:i/>
              </w:rPr>
              <w:t>in veel gevallen traag verloopt, waardoor kwaadwillende actoren de kans krijgen om misbruik te maken van het gebrek aan bescherming tegen FIMI in de Europese wetgeving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overwegende dat het samenvallen van de eerste fasen van de uitvoering van de digitaledienstenverordening, de digitalemarktenverordening, de verordening artificiële intelligentie (AI-verordening) en de Europese verordening mediavrijheid een kans biedt om uitgebreide </w:t>
            </w:r>
            <w:r>
              <w:rPr>
                <w:b/>
                <w:i/>
              </w:rPr>
              <w:t>FIMI-beschermingsmaatregelen</w:t>
            </w:r>
            <w:r>
              <w:t xml:space="preserve"> tot stand te brengen;</w:t>
            </w:r>
          </w:p>
        </w:tc>
        <w:tc>
          <w:tcPr>
            <w:tcW w:w="4876" w:type="dxa"/>
            <w:tcBorders>
              <w:top w:val="nil"/>
              <w:left w:val="nil"/>
              <w:bottom w:val="nil"/>
              <w:right w:val="nil"/>
            </w:tcBorders>
          </w:tcPr>
          <w:p>
            <w:pPr>
              <w:pStyle w:val="Normal6a"/>
            </w:pPr>
            <w:r>
              <w:t>H.</w:t>
            </w:r>
            <w:r>
              <w:tab/>
            </w:r>
            <w:r>
              <w:t xml:space="preserve">overwegende dat het samenvallen van de eerste fasen van de uitvoering van de digitaledienstenverordening, de digitalemarktenverordening, de verordening artificiële intelligentie (AI-verordening) en de Europese verordening mediavrijheid een kans biedt om uitgebreide </w:t>
            </w:r>
            <w:r>
              <w:rPr>
                <w:b/>
                <w:i/>
              </w:rPr>
              <w:t>hybride beschermingsmaatregelen</w:t>
            </w:r>
            <w:r>
              <w:t xml:space="preserve"> tot stand te brengen;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overwegende dat democratische samenlevingen in de EU steeds vaker het doelwit zijn van hybride dreigingen, desinformatie en FIMI, met name in de digitale sfeer; overwegende dat de onlineruimte de verspreiding van nieuwe manipulatietechnieken mogelijk maakt, waaronder: </w:t>
            </w:r>
            <w:r>
              <w:rPr>
                <w:b/>
                <w:i/>
              </w:rPr>
              <w:t>(a)</w:t>
            </w:r>
            <w:r>
              <w:t xml:space="preserve"> het oneigenlijke gebruik van sociale media door middel van geautomatiseerde softwareprogramma’s, nepaccounts op sociale media en het gebruik van trollenfabrieken, door bots aangestuurde versterking en contacten, </w:t>
            </w:r>
            <w:r>
              <w:rPr>
                <w:b/>
                <w:i/>
              </w:rPr>
              <w:t>(b)</w:t>
            </w:r>
            <w:r>
              <w:t xml:space="preserve"> het gebruik van astroturfing- en floodingtechnieken om het online publieke debat te beïnvloeden, </w:t>
            </w:r>
            <w:r>
              <w:rPr>
                <w:b/>
                <w:i/>
              </w:rPr>
              <w:t>(c)</w:t>
            </w:r>
            <w:r>
              <w:t xml:space="preserve"> de personalisatie, tracking en microtargeting van individuen, </w:t>
            </w:r>
            <w:r>
              <w:rPr>
                <w:b/>
                <w:i/>
              </w:rPr>
              <w:t>(d)</w:t>
            </w:r>
            <w:r>
              <w:t xml:space="preserve"> websites die zijn ontworpen om officiële bronnen na te bootsen, </w:t>
            </w:r>
            <w:r>
              <w:rPr>
                <w:b/>
                <w:i/>
              </w:rPr>
              <w:t>(e)</w:t>
            </w:r>
            <w:r>
              <w:t xml:space="preserve"> de kunstmatige versterking van polariserende inhoud, </w:t>
            </w:r>
            <w:r>
              <w:rPr>
                <w:b/>
                <w:i/>
              </w:rPr>
              <w:t>(f)</w:t>
            </w:r>
            <w:r>
              <w:t xml:space="preserve"> het gebruik van synthetische inhoud, zoals deepfakes en andere door AI gegenereerde inhoud, en </w:t>
            </w:r>
            <w:r>
              <w:rPr>
                <w:b/>
                <w:i/>
              </w:rPr>
              <w:t>(g)</w:t>
            </w:r>
            <w:r>
              <w:t xml:space="preserve"> aanbevelingssystemen die doelbewust zijn ontworpen om betrokkenheid te stimuleren door polarisatie;</w:t>
            </w:r>
          </w:p>
        </w:tc>
        <w:tc>
          <w:tcPr>
            <w:tcW w:w="4876" w:type="dxa"/>
            <w:tcBorders>
              <w:top w:val="nil"/>
              <w:left w:val="nil"/>
              <w:bottom w:val="nil"/>
              <w:right w:val="nil"/>
            </w:tcBorders>
          </w:tcPr>
          <w:p>
            <w:pPr>
              <w:pStyle w:val="Normal6a"/>
            </w:pPr>
            <w:r>
              <w:t>I.</w:t>
            </w:r>
            <w:r>
              <w:tab/>
            </w:r>
            <w:r>
              <w:t>overwegende dat democratische samenlevingen in de EU steeds vaker het doelwit zijn van hybride dreigingen, desinformatie en FIMI, met name in de digitale sfeer; overwegende dat de onlineruimte de verspreiding van nieuwe manipulatietechnieken mogelijk maakt, waaronder:</w:t>
            </w:r>
            <w:r>
              <w:rPr>
                <w:b/>
                <w:i/>
              </w:rPr>
              <w:t xml:space="preserve"> a)</w:t>
            </w:r>
            <w:r>
              <w:t> het oneigenlijke gebruik van sociale media door middel van geautomatiseerde softwareprogramma’s, nepaccounts op sociale media en het gebruik van trollenfabrieken, door bots aangestuurde versterking en contacten,</w:t>
            </w:r>
            <w:r>
              <w:rPr>
                <w:b/>
                <w:i/>
              </w:rPr>
              <w:t xml:space="preserve"> b)</w:t>
            </w:r>
            <w:r>
              <w:t xml:space="preserve"> het gebruik van astroturfing- en floodingtechnieken om het online publieke debat te beïnvloeden,</w:t>
            </w:r>
            <w:r>
              <w:rPr>
                <w:b/>
                <w:i/>
              </w:rPr>
              <w:t xml:space="preserve"> c)</w:t>
            </w:r>
            <w:r>
              <w:t xml:space="preserve"> de personalisatie, tracking en microtargeting van individuen,</w:t>
            </w:r>
            <w:r>
              <w:rPr>
                <w:b/>
                <w:i/>
              </w:rPr>
              <w:t xml:space="preserve"> d)</w:t>
            </w:r>
            <w:r>
              <w:t xml:space="preserve"> websites die zijn ontworpen om officiële bronnen na te bootsen,</w:t>
            </w:r>
            <w:r>
              <w:rPr>
                <w:b/>
                <w:i/>
              </w:rPr>
              <w:t xml:space="preserve"> e)</w:t>
            </w:r>
            <w:r>
              <w:t xml:space="preserve"> de kunstmatige versterking van polariserende inhoud,</w:t>
            </w:r>
            <w:r>
              <w:rPr>
                <w:b/>
                <w:i/>
              </w:rPr>
              <w:t xml:space="preserve"> f)</w:t>
            </w:r>
            <w:r>
              <w:t xml:space="preserve"> het gebruik van synthetische inhoud, zoals deepfakes en andere door AI gegenereerde inhoud, en</w:t>
            </w:r>
            <w:r>
              <w:rPr>
                <w:b/>
                <w:i/>
              </w:rPr>
              <w:t xml:space="preserve"> g)</w:t>
            </w:r>
            <w:r>
              <w:t xml:space="preserve"> aanbevelingssystemen die doelbewust zijn ontworpen om betrokkenheid te stimuleren door polarisatie; </w:t>
            </w:r>
            <w:r>
              <w:rPr>
                <w:b/>
                <w:i/>
              </w:rPr>
              <w:t>overwegende dat deze bedreigingen niet nieuw zijn en dat de lidstaten, onlineplatforms, deskundigen en samenlevingen de afgelopen tien jaar zelf een reeks instrumenten hebben ontwikkeld waarmee dergelijke bedreigingen doeltreffend kunnen worden bestreden;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overwegende dat democratische samenlevingen in de EU steeds vaker het doelwit zijn van hybride dreigingen, desinformatie en FIMI, met name in de digitale sfeer; overwegende dat de onlineruimte de verspreiding van nieuwe manipulatietechnieken mogelijk maakt, waaronder: </w:t>
            </w:r>
            <w:r>
              <w:rPr>
                <w:b/>
                <w:i/>
              </w:rPr>
              <w:t>(a)</w:t>
            </w:r>
            <w:r>
              <w:t xml:space="preserve"> het oneigenlijke gebruik van sociale media door middel van geautomatiseerde softwareprogramma’s, nepaccounts op sociale media en het gebruik van trollenfabrieken, door bots aangestuurde versterking en contacten, </w:t>
            </w:r>
            <w:r>
              <w:rPr>
                <w:b/>
                <w:i/>
              </w:rPr>
              <w:t>(b)</w:t>
            </w:r>
            <w:r>
              <w:t xml:space="preserve"> het gebruik van astroturfing- en floodingtechnieken om het online publieke debat te beïnvloeden, </w:t>
            </w:r>
            <w:r>
              <w:rPr>
                <w:b/>
                <w:i/>
              </w:rPr>
              <w:t>(c)</w:t>
            </w:r>
            <w:r>
              <w:t xml:space="preserve"> de personalisatie, tracking en microtargeting van individuen, </w:t>
            </w:r>
            <w:r>
              <w:rPr>
                <w:b/>
                <w:i/>
              </w:rPr>
              <w:t>(d)</w:t>
            </w:r>
            <w:r>
              <w:t xml:space="preserve"> websites die zijn ontworpen om officiële bronnen na te bootsen, </w:t>
            </w:r>
            <w:r>
              <w:rPr>
                <w:b/>
                <w:i/>
              </w:rPr>
              <w:t>(e)</w:t>
            </w:r>
            <w:r>
              <w:t xml:space="preserve"> de kunstmatige versterking van polariserende inhoud, </w:t>
            </w:r>
            <w:r>
              <w:rPr>
                <w:b/>
                <w:i/>
              </w:rPr>
              <w:t>(f)</w:t>
            </w:r>
            <w:r>
              <w:t xml:space="preserve"> het gebruik van synthetische inhoud, zoals deepfakes en andere door AI gegenereerde inhoud, </w:t>
            </w:r>
            <w:r>
              <w:rPr>
                <w:b/>
                <w:i/>
              </w:rPr>
              <w:t>en (g)</w:t>
            </w:r>
            <w:r>
              <w:t xml:space="preserve"> aanbevelingssystemen die doelbewust zijn ontworpen om betrokkenheid te stimuleren door polarisatie;</w:t>
            </w:r>
          </w:p>
        </w:tc>
        <w:tc>
          <w:tcPr>
            <w:tcW w:w="4876" w:type="dxa"/>
            <w:tcBorders>
              <w:top w:val="nil"/>
              <w:left w:val="nil"/>
              <w:bottom w:val="nil"/>
              <w:right w:val="nil"/>
            </w:tcBorders>
          </w:tcPr>
          <w:p>
            <w:pPr>
              <w:pStyle w:val="Normal6a"/>
            </w:pPr>
            <w:r>
              <w:t>I.</w:t>
            </w:r>
            <w:r>
              <w:tab/>
            </w:r>
            <w:r>
              <w:t>overwegende dat democratische samenlevingen in de EU steeds vaker het doelwit zijn van hybride dreigingen, desinformatie en FIMI, met name in de digitale sfeer; overwegende dat de onlineruimte de verspreiding van nieuwe manipulatietechnieken mogelijk maakt, waaronder:</w:t>
            </w:r>
            <w:r>
              <w:rPr>
                <w:b/>
                <w:i/>
              </w:rPr>
              <w:t xml:space="preserve"> a)</w:t>
            </w:r>
            <w:r>
              <w:t> het oneigenlijke gebruik van sociale media door middel van geautomatiseerde softwareprogramma’s, nepaccounts op sociale media en het gebruik van trollenfabrieken, door bots aangestuurde versterking en contacten,</w:t>
            </w:r>
            <w:r>
              <w:rPr>
                <w:b/>
                <w:i/>
              </w:rPr>
              <w:t xml:space="preserve"> b)</w:t>
            </w:r>
            <w:r>
              <w:t xml:space="preserve"> het gebruik van astroturfing- en floodingtechnieken om het online publieke debat te beïnvloeden,</w:t>
            </w:r>
            <w:r>
              <w:rPr>
                <w:b/>
                <w:i/>
              </w:rPr>
              <w:t xml:space="preserve"> c)</w:t>
            </w:r>
            <w:r>
              <w:t xml:space="preserve"> de personalisatie, tracking en microtargeting van individuen,</w:t>
            </w:r>
            <w:r>
              <w:rPr>
                <w:b/>
                <w:i/>
              </w:rPr>
              <w:t xml:space="preserve"> d)</w:t>
            </w:r>
            <w:r>
              <w:t xml:space="preserve"> websites die zijn ontworpen om officiële bronnen na te bootsen,</w:t>
            </w:r>
            <w:r>
              <w:rPr>
                <w:b/>
                <w:i/>
              </w:rPr>
              <w:t xml:space="preserve"> e)</w:t>
            </w:r>
            <w:r>
              <w:t xml:space="preserve"> de kunstmatige versterking </w:t>
            </w:r>
            <w:r>
              <w:rPr>
                <w:b/>
                <w:i/>
              </w:rPr>
              <w:t>en monetisatie</w:t>
            </w:r>
            <w:r>
              <w:t xml:space="preserve"> van polariserende inhoud,</w:t>
            </w:r>
            <w:r>
              <w:rPr>
                <w:b/>
                <w:i/>
              </w:rPr>
              <w:t xml:space="preserve"> f)</w:t>
            </w:r>
            <w:r>
              <w:t xml:space="preserve"> het gebruik van synthetische inhoud, zoals deepfakes en andere door AI gegenereerde inhoud,</w:t>
            </w:r>
            <w:r>
              <w:rPr>
                <w:b/>
                <w:i/>
              </w:rPr>
              <w:t xml:space="preserve"> g)</w:t>
            </w:r>
            <w:r>
              <w:t xml:space="preserve"> aanbevelingssystemen die doelbewust zijn ontworpen om betrokkenheid te stimuleren door polarisatie</w:t>
            </w:r>
            <w:r>
              <w:rPr>
                <w:b/>
                <w:i/>
              </w:rPr>
              <w:t>, en h) "LLM grooming", d.w.z. het kwaadwillig gebruiken van vooringenomen, misleidende of valse narratieven als input voor het trainen van grote taalmodellen (LLM’s) om dit proces te beïnvloeden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overwegende dat democratische samenlevingen in de EU steeds vaker het doelwit zijn van hybride dreigingen, desinformatie en FIMI, met name in de digitale sfeer; overwegende dat de onlineruimte de verspreiding van nieuwe manipulatietechnieken mogelijk maakt, waaronder: </w:t>
            </w:r>
            <w:r>
              <w:rPr>
                <w:b/>
                <w:i/>
              </w:rPr>
              <w:t>(a)</w:t>
            </w:r>
            <w:r>
              <w:t xml:space="preserve"> het oneigenlijke gebruik van sociale media door middel van geautomatiseerde softwareprogramma’s, nepaccounts op sociale media en het gebruik van trollenfabrieken, door bots aangestuurde versterking en contacten, </w:t>
            </w:r>
            <w:r>
              <w:rPr>
                <w:b/>
                <w:i/>
              </w:rPr>
              <w:t>(b)</w:t>
            </w:r>
            <w:r>
              <w:t xml:space="preserve"> het gebruik van astroturfing- en floodingtechnieken om het online publieke debat te beïnvloeden, </w:t>
            </w:r>
            <w:r>
              <w:rPr>
                <w:b/>
                <w:i/>
              </w:rPr>
              <w:t>(c)</w:t>
            </w:r>
            <w:r>
              <w:t xml:space="preserve"> de personalisatie, tracking en microtargeting van individuen, </w:t>
            </w:r>
            <w:r>
              <w:rPr>
                <w:b/>
                <w:i/>
              </w:rPr>
              <w:t>(d)</w:t>
            </w:r>
            <w:r>
              <w:t xml:space="preserve"> websites die zijn ontworpen om officiële bronnen na te bootsen, </w:t>
            </w:r>
            <w:r>
              <w:rPr>
                <w:b/>
                <w:i/>
              </w:rPr>
              <w:t>(e)</w:t>
            </w:r>
            <w:r>
              <w:t xml:space="preserve"> de kunstmatige versterking van polariserende inhoud, </w:t>
            </w:r>
            <w:r>
              <w:rPr>
                <w:b/>
                <w:i/>
              </w:rPr>
              <w:t>(f)</w:t>
            </w:r>
            <w:r>
              <w:t xml:space="preserve"> het gebruik van synthetische inhoud, zoals deepfakes en andere door AI gegenereerde inhoud, </w:t>
            </w:r>
            <w:r>
              <w:rPr>
                <w:b/>
                <w:i/>
              </w:rPr>
              <w:t>en (g)</w:t>
            </w:r>
            <w:r>
              <w:t xml:space="preserve"> aanbevelingssystemen die doelbewust zijn ontworpen om betrokkenheid te stimuleren door polarisatie;</w:t>
            </w:r>
          </w:p>
        </w:tc>
        <w:tc>
          <w:tcPr>
            <w:tcW w:w="4876" w:type="dxa"/>
            <w:tcBorders>
              <w:top w:val="nil"/>
              <w:left w:val="nil"/>
              <w:bottom w:val="nil"/>
              <w:right w:val="nil"/>
            </w:tcBorders>
          </w:tcPr>
          <w:p>
            <w:pPr>
              <w:pStyle w:val="Normal6a"/>
            </w:pPr>
            <w:r>
              <w:t>I.</w:t>
            </w:r>
            <w:r>
              <w:tab/>
            </w:r>
            <w:r>
              <w:t xml:space="preserve">overwegende dat democratische samenlevingen in de EU steeds vaker het doelwit zijn van hybride dreigingen, desinformatie en FIMI, met name in de digitale sfeer; overwegende dat de onlineruimte de verspreiding van nieuwe </w:t>
            </w:r>
            <w:r>
              <w:rPr>
                <w:b/>
                <w:i/>
              </w:rPr>
              <w:t>en alsmaar veranderende</w:t>
            </w:r>
            <w:r>
              <w:t xml:space="preserve"> manipulatietechnieken mogelijk maakt, waaronder:</w:t>
            </w:r>
            <w:r>
              <w:rPr>
                <w:b/>
                <w:i/>
              </w:rPr>
              <w:t xml:space="preserve"> a)</w:t>
            </w:r>
            <w:r>
              <w:t> het oneigenlijke gebruik van sociale media door middel van geautomatiseerde softwareprogramma’s, nepaccounts op sociale media en het gebruik van trollenfabrieken, door bots aangestuurde versterking en contacten,</w:t>
            </w:r>
            <w:r>
              <w:rPr>
                <w:b/>
                <w:i/>
              </w:rPr>
              <w:t xml:space="preserve"> b)</w:t>
            </w:r>
            <w:r>
              <w:t xml:space="preserve"> het gebruik van astroturfing- en floodingtechnieken om het online publieke debat te beïnvloeden,</w:t>
            </w:r>
            <w:r>
              <w:rPr>
                <w:b/>
                <w:i/>
              </w:rPr>
              <w:t xml:space="preserve"> c)</w:t>
            </w:r>
            <w:r>
              <w:t xml:space="preserve"> de personalisatie, tracking en microtargeting van individuen,</w:t>
            </w:r>
            <w:r>
              <w:rPr>
                <w:b/>
                <w:i/>
              </w:rPr>
              <w:t xml:space="preserve"> d)</w:t>
            </w:r>
            <w:r>
              <w:t xml:space="preserve"> websites die zijn ontworpen om officiële bronnen na te bootsen,</w:t>
            </w:r>
            <w:r>
              <w:rPr>
                <w:b/>
                <w:i/>
              </w:rPr>
              <w:t xml:space="preserve"> e)</w:t>
            </w:r>
            <w:r>
              <w:t xml:space="preserve"> de kunstmatige versterking van polariserende inhoud,</w:t>
            </w:r>
            <w:r>
              <w:rPr>
                <w:b/>
                <w:i/>
              </w:rPr>
              <w:t xml:space="preserve"> f)</w:t>
            </w:r>
            <w:r>
              <w:t xml:space="preserve"> het gebruik van synthetische inhoud, zoals deepfakes en andere door AI gegenereerde inhoud,</w:t>
            </w:r>
            <w:r>
              <w:rPr>
                <w:b/>
                <w:i/>
              </w:rPr>
              <w:t xml:space="preserve"> g) het gebruik van desinformatienarratieven in input, wat leidt tot zogenaamde "datavergiftiging" van AI-modellen, en h)</w:t>
            </w:r>
            <w:r>
              <w:t xml:space="preserve"> aanbevelingssystemen die doelbewust zijn ontworpen om betrokkenheid te stimuleren door polarisatie;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overwegende dat democratische samenlevingen in de EU steeds vaker het doelwit zijn van hybride dreigingen, desinformatie en FIMI, met name in de digitale sfeer; overwegende dat de onlineruimte de verspreiding van nieuwe manipulatietechnieken mogelijk maakt, waaronder: </w:t>
            </w:r>
            <w:r>
              <w:rPr>
                <w:b/>
                <w:i/>
              </w:rPr>
              <w:t>(a)</w:t>
            </w:r>
            <w:r>
              <w:t xml:space="preserve"> het oneigenlijke gebruik van sociale media door middel van geautomatiseerde softwareprogramma’s, </w:t>
            </w:r>
            <w:r>
              <w:rPr>
                <w:b/>
                <w:i/>
              </w:rPr>
              <w:t>nepaccounts op sociale media</w:t>
            </w:r>
            <w:r>
              <w:t xml:space="preserve"> en het gebruik van trollenfabrieken, door bots aangestuurde versterking en contacten, </w:t>
            </w:r>
            <w:r>
              <w:rPr>
                <w:b/>
                <w:i/>
              </w:rPr>
              <w:t>(b)</w:t>
            </w:r>
            <w:r>
              <w:t xml:space="preserve"> het gebruik van astroturfing- en floodingtechnieken om het online publieke debat te beïnvloeden, </w:t>
            </w:r>
            <w:r>
              <w:rPr>
                <w:b/>
                <w:i/>
              </w:rPr>
              <w:t>(c)</w:t>
            </w:r>
            <w:r>
              <w:t xml:space="preserve"> de personalisatie, tracking en microtargeting van individuen, </w:t>
            </w:r>
            <w:r>
              <w:rPr>
                <w:b/>
                <w:i/>
              </w:rPr>
              <w:t>(d)</w:t>
            </w:r>
            <w:r>
              <w:t xml:space="preserve"> websites die zijn ontworpen om officiële bronnen na te bootsen, </w:t>
            </w:r>
            <w:r>
              <w:rPr>
                <w:b/>
                <w:i/>
              </w:rPr>
              <w:t>(e)</w:t>
            </w:r>
            <w:r>
              <w:t xml:space="preserve"> de kunstmatige versterking van polariserende inhoud, </w:t>
            </w:r>
            <w:r>
              <w:rPr>
                <w:b/>
                <w:i/>
              </w:rPr>
              <w:t>(f)</w:t>
            </w:r>
            <w:r>
              <w:t xml:space="preserve"> het gebruik van synthetische inhoud, zoals deepfakes en andere door AI gegenereerde inhoud</w:t>
            </w:r>
            <w:r>
              <w:rPr>
                <w:b/>
                <w:i/>
              </w:rPr>
              <w:t>, en (g) aanbevelingssystemen die doelbewust zijn ontworpen om betrokkenheid te stimuleren door polarisatie</w:t>
            </w:r>
            <w:r>
              <w:t>;</w:t>
            </w:r>
          </w:p>
        </w:tc>
        <w:tc>
          <w:tcPr>
            <w:tcW w:w="4876" w:type="dxa"/>
            <w:tcBorders>
              <w:top w:val="nil"/>
              <w:left w:val="nil"/>
              <w:bottom w:val="nil"/>
              <w:right w:val="nil"/>
            </w:tcBorders>
          </w:tcPr>
          <w:p>
            <w:pPr>
              <w:pStyle w:val="Normal6a"/>
            </w:pPr>
            <w:r>
              <w:t>I.</w:t>
            </w:r>
            <w:r>
              <w:tab/>
            </w:r>
            <w:r>
              <w:t>overwegende dat democratische samenlevingen in de EU steeds vaker het doelwit zijn van hybride dreigingen, desinformatie en FIMI, met name in de digitale sfeer; overwegende dat de onlineruimte de verspreiding van nieuwe manipulatietechnieken mogelijk maakt, waaronder:</w:t>
            </w:r>
            <w:r>
              <w:rPr>
                <w:b/>
                <w:i/>
              </w:rPr>
              <w:t xml:space="preserve"> a)</w:t>
            </w:r>
            <w:r>
              <w:t xml:space="preserve"> het oneigenlijke gebruik van sociale media door middel van geautomatiseerde softwareprogramma’s, </w:t>
            </w:r>
            <w:r>
              <w:rPr>
                <w:b/>
                <w:i/>
              </w:rPr>
              <w:t>neppe, gerichte media-accounts</w:t>
            </w:r>
            <w:r>
              <w:t xml:space="preserve"> en het gebruik van trollenfabrieken, door bots aangestuurde versterking en contacten,</w:t>
            </w:r>
            <w:r>
              <w:rPr>
                <w:b/>
                <w:i/>
              </w:rPr>
              <w:t xml:space="preserve"> b)</w:t>
            </w:r>
            <w:r>
              <w:t xml:space="preserve"> het gebruik van astroturfing- en floodingtechnieken om het online publieke debat te beïnvloeden,</w:t>
            </w:r>
            <w:r>
              <w:rPr>
                <w:b/>
                <w:i/>
              </w:rPr>
              <w:t xml:space="preserve"> c)</w:t>
            </w:r>
            <w:r>
              <w:t xml:space="preserve"> de personalisatie, tracking en microtargeting van individuen,</w:t>
            </w:r>
            <w:r>
              <w:rPr>
                <w:b/>
                <w:i/>
              </w:rPr>
              <w:t xml:space="preserve"> d)</w:t>
            </w:r>
            <w:r>
              <w:t xml:space="preserve"> websites die zijn ontworpen om officiële bronnen na te bootsen,</w:t>
            </w:r>
            <w:r>
              <w:rPr>
                <w:b/>
                <w:i/>
              </w:rPr>
              <w:t xml:space="preserve"> e)</w:t>
            </w:r>
            <w:r>
              <w:t xml:space="preserve"> de kunstmatige versterking van polariserende inhoud,</w:t>
            </w:r>
            <w:r>
              <w:rPr>
                <w:b/>
                <w:i/>
              </w:rPr>
              <w:t xml:space="preserve"> f)</w:t>
            </w:r>
            <w:r>
              <w:t xml:space="preserve"> het gebruik van synthetische inhoud, zoals deepfakes en andere door AI gegenereerde inhoud;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overwegende dat democratische samenlevingen in de EU steeds vaker het doelwit zijn van hybride dreigingen, desinformatie en FIMI, met name in de digitale sfeer; overwegende dat de onlineruimte de verspreiding van nieuwe manipulatietechnieken mogelijk maakt, waaronder: </w:t>
            </w:r>
            <w:r>
              <w:rPr>
                <w:b/>
                <w:i/>
              </w:rPr>
              <w:t>(a)</w:t>
            </w:r>
            <w:r>
              <w:t xml:space="preserve"> het oneigenlijke gebruik van sociale media door middel van geautomatiseerde softwareprogramma’s, nepaccounts op sociale media en het gebruik van trollenfabrieken, door bots aangestuurde versterking en contacten, </w:t>
            </w:r>
            <w:r>
              <w:rPr>
                <w:b/>
                <w:i/>
              </w:rPr>
              <w:t>(b)</w:t>
            </w:r>
            <w:r>
              <w:t xml:space="preserve"> het gebruik van astroturfing- en floodingtechnieken om het online publieke debat te beïnvloeden, </w:t>
            </w:r>
            <w:r>
              <w:rPr>
                <w:b/>
                <w:i/>
              </w:rPr>
              <w:t>(c)</w:t>
            </w:r>
            <w:r>
              <w:t xml:space="preserve"> de personalisatie, tracking en microtargeting van individuen, </w:t>
            </w:r>
            <w:r>
              <w:rPr>
                <w:b/>
                <w:i/>
              </w:rPr>
              <w:t>(d)</w:t>
            </w:r>
            <w:r>
              <w:t xml:space="preserve"> websites die zijn ontworpen om officiële bronnen na te bootsen, </w:t>
            </w:r>
            <w:r>
              <w:rPr>
                <w:b/>
                <w:i/>
              </w:rPr>
              <w:t>(e)</w:t>
            </w:r>
            <w:r>
              <w:t xml:space="preserve"> de kunstmatige versterking van polariserende inhoud, </w:t>
            </w:r>
            <w:r>
              <w:rPr>
                <w:b/>
                <w:i/>
              </w:rPr>
              <w:t>(f)</w:t>
            </w:r>
            <w:r>
              <w:t xml:space="preserve"> het gebruik van synthetische inhoud, zoals deepfakes en andere door AI gegenereerde inhoud, en </w:t>
            </w:r>
            <w:r>
              <w:rPr>
                <w:b/>
                <w:i/>
              </w:rPr>
              <w:t>(g)</w:t>
            </w:r>
            <w:r>
              <w:t xml:space="preserve"> aanbevelingssystemen die </w:t>
            </w:r>
            <w:r>
              <w:rPr>
                <w:b/>
                <w:i/>
              </w:rPr>
              <w:t>doelbewust</w:t>
            </w:r>
            <w:r>
              <w:t xml:space="preserve"> zijn ontworpen om betrokkenheid te stimuleren door polarisatie;</w:t>
            </w:r>
          </w:p>
        </w:tc>
        <w:tc>
          <w:tcPr>
            <w:tcW w:w="4876" w:type="dxa"/>
            <w:tcBorders>
              <w:top w:val="nil"/>
              <w:left w:val="nil"/>
              <w:bottom w:val="nil"/>
              <w:right w:val="nil"/>
            </w:tcBorders>
          </w:tcPr>
          <w:p>
            <w:pPr>
              <w:pStyle w:val="Normal6a"/>
            </w:pPr>
            <w:r>
              <w:t>I.</w:t>
            </w:r>
            <w:r>
              <w:tab/>
            </w:r>
            <w:r>
              <w:t>overwegende dat democratische samenlevingen in de EU steeds vaker het doelwit zijn van hybride dreigingen, desinformatie en FIMI, met name in de digitale sfeer; overwegende dat de onlineruimte de verspreiding van nieuwe manipulatietechnieken mogelijk maakt, waaronder:</w:t>
            </w:r>
            <w:r>
              <w:rPr>
                <w:b/>
                <w:i/>
              </w:rPr>
              <w:t xml:space="preserve"> a)</w:t>
            </w:r>
            <w:r>
              <w:t> het oneigenlijke gebruik van sociale media door middel van geautomatiseerde softwareprogramma’s, nepaccounts op sociale media en het gebruik van trollenfabrieken, door bots aangestuurde versterking en contacten,</w:t>
            </w:r>
            <w:r>
              <w:rPr>
                <w:b/>
                <w:i/>
              </w:rPr>
              <w:t xml:space="preserve"> b)</w:t>
            </w:r>
            <w:r>
              <w:t xml:space="preserve"> het gebruik van astroturfing- en floodingtechnieken om het online publieke debat te beïnvloeden,</w:t>
            </w:r>
            <w:r>
              <w:rPr>
                <w:b/>
                <w:i/>
              </w:rPr>
              <w:t xml:space="preserve"> c)</w:t>
            </w:r>
            <w:r>
              <w:t xml:space="preserve"> de personalisatie, tracking en microtargeting van individuen,</w:t>
            </w:r>
            <w:r>
              <w:rPr>
                <w:b/>
                <w:i/>
              </w:rPr>
              <w:t xml:space="preserve"> d)</w:t>
            </w:r>
            <w:r>
              <w:t xml:space="preserve"> websites die zijn ontworpen om officiële bronnen na te bootsen,</w:t>
            </w:r>
            <w:r>
              <w:rPr>
                <w:b/>
                <w:i/>
              </w:rPr>
              <w:t xml:space="preserve"> e)</w:t>
            </w:r>
            <w:r>
              <w:t xml:space="preserve"> de kunstmatige versterking van polariserende inhoud,</w:t>
            </w:r>
            <w:r>
              <w:rPr>
                <w:b/>
                <w:i/>
              </w:rPr>
              <w:t xml:space="preserve"> f)</w:t>
            </w:r>
            <w:r>
              <w:t xml:space="preserve"> het gebruik van synthetische inhoud, zoals deepfakes en andere door AI gegenereerde inhoud, en</w:t>
            </w:r>
            <w:r>
              <w:rPr>
                <w:b/>
                <w:i/>
              </w:rPr>
              <w:t xml:space="preserve"> g)</w:t>
            </w:r>
            <w:r>
              <w:t xml:space="preserve"> aanbevelingssystemen die zijn ontworpen om betrokkenheid te stimuleren door polarisatie;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overwegende dat democratische samenlevingen in de EU steeds vaker het doelwit zijn van </w:t>
            </w:r>
            <w:r>
              <w:rPr>
                <w:b/>
                <w:i/>
              </w:rPr>
              <w:t>hybride dreigingen,</w:t>
            </w:r>
            <w:r>
              <w:t xml:space="preserve"> desinformatie en FIMI, met name in de digitale sfeer; overwegende dat de onlineruimte de verspreiding van nieuwe manipulatietechnieken mogelijk maakt, waaronder: </w:t>
            </w:r>
            <w:r>
              <w:rPr>
                <w:b/>
                <w:i/>
              </w:rPr>
              <w:t>(a)</w:t>
            </w:r>
            <w:r>
              <w:t xml:space="preserve"> het oneigenlijke gebruik van sociale media door middel van geautomatiseerde softwareprogramma’s, nepaccounts op sociale media en het gebruik van trollenfabrieken, door bots aangestuurde versterking en contacten, </w:t>
            </w:r>
            <w:r>
              <w:rPr>
                <w:b/>
                <w:i/>
              </w:rPr>
              <w:t>(b)</w:t>
            </w:r>
            <w:r>
              <w:t xml:space="preserve"> het gebruik van astroturfing- en floodingtechnieken om het online publieke debat te beïnvloeden, </w:t>
            </w:r>
            <w:r>
              <w:rPr>
                <w:b/>
                <w:i/>
              </w:rPr>
              <w:t>(c)</w:t>
            </w:r>
            <w:r>
              <w:t xml:space="preserve"> de personalisatie, tracking en microtargeting van individuen, </w:t>
            </w:r>
            <w:r>
              <w:rPr>
                <w:b/>
                <w:i/>
              </w:rPr>
              <w:t>(d)</w:t>
            </w:r>
            <w:r>
              <w:t xml:space="preserve"> websites die zijn ontworpen om officiële bronnen na te bootsen, </w:t>
            </w:r>
            <w:r>
              <w:rPr>
                <w:b/>
                <w:i/>
              </w:rPr>
              <w:t>(e)</w:t>
            </w:r>
            <w:r>
              <w:t xml:space="preserve"> de kunstmatige versterking van polariserende inhoud, </w:t>
            </w:r>
            <w:r>
              <w:rPr>
                <w:b/>
                <w:i/>
              </w:rPr>
              <w:t>(f)</w:t>
            </w:r>
            <w:r>
              <w:t xml:space="preserve"> het gebruik van synthetische inhoud, zoals deepfakes en andere door AI gegenereerde inhoud, en </w:t>
            </w:r>
            <w:r>
              <w:rPr>
                <w:b/>
                <w:i/>
              </w:rPr>
              <w:t>(g)</w:t>
            </w:r>
            <w:r>
              <w:t xml:space="preserve"> aanbevelingssystemen die doelbewust zijn ontworpen om betrokkenheid te stimuleren door polarisatie;</w:t>
            </w:r>
          </w:p>
        </w:tc>
        <w:tc>
          <w:tcPr>
            <w:tcW w:w="4876" w:type="dxa"/>
            <w:tcBorders>
              <w:top w:val="nil"/>
              <w:left w:val="nil"/>
              <w:bottom w:val="nil"/>
              <w:right w:val="nil"/>
            </w:tcBorders>
          </w:tcPr>
          <w:p>
            <w:pPr>
              <w:pStyle w:val="Normal6a"/>
            </w:pPr>
            <w:r>
              <w:t>I.</w:t>
            </w:r>
            <w:r>
              <w:tab/>
            </w:r>
            <w:r>
              <w:t>overwegende dat democratische samenlevingen in de EU steeds vaker het doelwit zijn van desinformatie en FIMI, met name in de digitale sfeer; overwegende dat de onlineruimte de verspreiding van nieuwe manipulatietechnieken mogelijk maakt, waaronder:</w:t>
            </w:r>
            <w:r>
              <w:rPr>
                <w:b/>
                <w:i/>
              </w:rPr>
              <w:t xml:space="preserve"> a)</w:t>
            </w:r>
            <w:r>
              <w:t> het oneigenlijke gebruik van sociale media door middel van geautomatiseerde softwareprogramma’s, nepaccounts op sociale media en het gebruik van trollenfabrieken, door bots aangestuurde versterking en contacten,</w:t>
            </w:r>
            <w:r>
              <w:rPr>
                <w:b/>
                <w:i/>
              </w:rPr>
              <w:t xml:space="preserve"> b)</w:t>
            </w:r>
            <w:r>
              <w:t xml:space="preserve"> het gebruik van astroturfing- en floodingtechnieken om het online publieke debat te beïnvloeden,</w:t>
            </w:r>
            <w:r>
              <w:rPr>
                <w:b/>
                <w:i/>
              </w:rPr>
              <w:t xml:space="preserve"> c)</w:t>
            </w:r>
            <w:r>
              <w:t xml:space="preserve"> de personalisatie, tracking en microtargeting van individuen,</w:t>
            </w:r>
            <w:r>
              <w:rPr>
                <w:b/>
                <w:i/>
              </w:rPr>
              <w:t xml:space="preserve"> d)</w:t>
            </w:r>
            <w:r>
              <w:t xml:space="preserve"> websites die zijn ontworpen om officiële bronnen na te bootsen,</w:t>
            </w:r>
            <w:r>
              <w:rPr>
                <w:b/>
                <w:i/>
              </w:rPr>
              <w:t xml:space="preserve"> e)</w:t>
            </w:r>
            <w:r>
              <w:t xml:space="preserve"> de kunstmatige versterking van polariserende inhoud,</w:t>
            </w:r>
            <w:r>
              <w:rPr>
                <w:b/>
                <w:i/>
              </w:rPr>
              <w:t xml:space="preserve"> f)</w:t>
            </w:r>
            <w:r>
              <w:t xml:space="preserve"> het gebruik van synthetische inhoud, zoals deepfakes en andere door AI gegenereerde inhoud, en</w:t>
            </w:r>
            <w:r>
              <w:rPr>
                <w:b/>
                <w:i/>
              </w:rPr>
              <w:t xml:space="preserve"> g)</w:t>
            </w:r>
            <w:r>
              <w:t xml:space="preserve"> aanbevelingssystemen die doelbewust zijn ontworpen om betrokkenheid te stimuleren door polarisatie;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overwegende dat de burgers volgens de meest recente Eurobarometer-enquête van het najaar van 2025 zeer bezorgd zijn over desinformatie (69 %), haatzaaiende uitlatingen (68 %), nepinhoud die door artificiële intelligentie (AI) is gecreëerd, zoals deepfakevideo’s of valse informatie (68 %), de bescherming van persoonsgegevens online (68 %) en bedreigingen voor de vrijheid van meningsuiting (67 %);</w:t>
            </w:r>
            <w:r>
              <w:t xml:space="preserve"> </w:t>
            </w:r>
            <w:r>
              <w:rPr>
                <w:b/>
                <w:i/>
              </w:rPr>
              <w:t>overwegende dat men zich in de hele Europese Unie zorgen maakt over het feit dat de sociale media in handen zijn van een paar grote bedrijven, en dat 64 % van de ondervraagden aangeeft “zeer bezorgd” te zijn over deze kwestie;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overwegende dat gemeenschappelijke benaderingen, methoden, gegevensmodellen en taxonomieën van informatiemanipulatietactieken, technieken, dreigingsactoren en narratieven doeltreffende grootschalige samenwerking door voorvechters van de democratie mogelijk kunnen maken bij het verstoren van FIMI, desinformatie en beïnvloedingsoperaties;</w:t>
            </w:r>
            <w:r>
              <w:t xml:space="preserve"> </w:t>
            </w:r>
            <w:r>
              <w:rPr>
                <w:b/>
                <w:i/>
              </w:rPr>
              <w:t>overwegende dat de steun voor dergelijke gemeenschappelijke benaderingen en de samenwerking tussen onderzoekers op het gebied van inlichtingen uit open bronnen, factcheckers, media-actoren en beleidsmakers aanzienlijk moeten worden opgevoerd om de veerkracht te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overwegende dat het gebruik van de term “hybride dreigingen” het risico met zich meebrengt dat migranten, asielzoekers en vluchtelingen worden gesecuritiseerd en geïnstrumentaliseerd, waarbij kwetsbare personen niet worden beschouwd als houders van rechten, maar als instrumenten of bedreigingen, waardoor hun waardigheid en veiligheid en de verplichtingen van de Unie uit hoofde van het internationaal recht en het recht inzake de mensenrechten worden ondermijnd;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overwegende dat buitenlandse inmenging in verkiezingen, met inbegrip van FIMI, algoritmische manipulatie en gecoördineerd niet-authentiek gedrag, zich heeft ontwikkeld van geïsoleerde incidenten tot systemische bedreigingen voor de integriteit van verkiezingsprocessen en democratisch bestuur, zoals bij recente verkiezingen in verschillende lidstaten en buurlanden is gebleken;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overwegende dat het gebruik van geautomatiseerde instrumenten, algoritmische publicatiesystemen en door AI ondersteunde creatie van inhoud steeds sterker ingeburgerd raakt in de communicatie in de media en tussen burgers;</w:t>
            </w:r>
            <w:r>
              <w:t xml:space="preserve"> </w:t>
            </w:r>
            <w:r>
              <w:rPr>
                <w:b/>
                <w:i/>
              </w:rPr>
              <w:t>overwegende dat uitdrukkingen die via dergelijke instrumenten worden overgebracht, beschermd kunnen blijven wanneer zij de intenties van een mens, een redactionele lijn of een op regels gebaseerd ontwerp weerspiegelen;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Tomáš Zdechovský, Dan-Ştefan Motreanu, Eszter Lakos, Lukas Mandl, Sandra Kalniete, Tomas Tobé, Mika Aaltola, Marta Wcisło, Fredis Beleris,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overwegende dat het schild voor de democratie een unieke kans biedt om een doeltreffende, maatschappijbrede verdediging van de democratie, de vrijheid, het concurrentievermogen en de welvaart van Europa op te bouwen;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Stefano Cavedagna,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overwegende dat de heimelijke financiering van islamistische groeperingen in de Unie door derde landen een bedreiging vormt voor de legitimiteit van het democratische proces;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Stefano Cavedagna,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ter.</w:t>
            </w:r>
            <w:r>
              <w:tab/>
            </w:r>
            <w:r>
              <w:rPr>
                <w:b/>
                <w:i/>
              </w:rPr>
              <w:t>overwegende dat de Europese Commissie de lidstaten vanwege het beginsel van nationale soevereiniteit niet mag verplichten elektronisch te stemmen, zelfs niet om verkiezingsfraude tegen te 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overwegende dat onlineplatforms, wanneer zij beslissen om inhoud al dan niet te promoten in de feed van een gebruiker, gebruikmaken van hun inzichten in de voorkeuren en kwetsbaarheden van elke individuele gebruiker, waardoor zij meer invloed hebben dan traditionele uitgevers;</w:t>
            </w:r>
          </w:p>
        </w:tc>
        <w:tc>
          <w:tcPr>
            <w:tcW w:w="4876" w:type="dxa"/>
            <w:tcBorders>
              <w:top w:val="nil"/>
              <w:left w:val="nil"/>
              <w:bottom w:val="nil"/>
              <w:right w:val="nil"/>
            </w:tcBorders>
          </w:tcPr>
          <w:p>
            <w:pPr>
              <w:pStyle w:val="Normal6a"/>
            </w:pPr>
            <w:r>
              <w:t>J.</w:t>
            </w:r>
            <w:r>
              <w:tab/>
            </w:r>
            <w:r>
              <w:rPr>
                <w:b/>
                <w:i/>
              </w:rPr>
              <w:t>overwegende dat de algoritmen van platforms "opzettelijk gebrekkig" zijn ontworpen, van nature verdeeldheid zaaien en gemakkelijk kunnen worden gemanipuleerd door kwaadwillende actoren;</w:t>
            </w:r>
            <w:r>
              <w:t xml:space="preserve"> overwegende dat onlineplatforms, wanneer zij beslissen om inhoud al dan niet te promoten in de feed van een gebruiker, gebruikmaken van hun inzichten in de voorkeuren en kwetsbaarheden van elke individuele gebruiker, waardoor zij meer invloed hebben dan traditionele uitgevers; </w:t>
            </w:r>
            <w:r>
              <w:rPr>
                <w:b/>
                <w:i/>
              </w:rPr>
              <w:t>overwegende dat de algoritmen van platforms door de eigenaren en aandeelhouders ervan kunnen worden gemanipuleerd om politieke inhoud prominent weer te geven en de oppositie monddood te maken, waardoor de zichtbaarheid van publicaties wordt voorkomen, aangetast of verstoord;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overwegende dat onlineplatforms, wanneer zij beslissen om inhoud al dan niet te promoten in de feed van een gebruiker, gebruikmaken van hun inzichten in de voorkeuren en kwetsbaarheden van elke individuele gebruiker, waardoor zij meer invloed hebben dan traditionele uitgevers;</w:t>
            </w:r>
          </w:p>
        </w:tc>
        <w:tc>
          <w:tcPr>
            <w:tcW w:w="4876" w:type="dxa"/>
            <w:tcBorders>
              <w:top w:val="nil"/>
              <w:left w:val="nil"/>
              <w:bottom w:val="nil"/>
              <w:right w:val="nil"/>
            </w:tcBorders>
          </w:tcPr>
          <w:p>
            <w:pPr>
              <w:pStyle w:val="Normal6a"/>
            </w:pPr>
            <w:r>
              <w:t>J.</w:t>
            </w:r>
            <w:r>
              <w:tab/>
            </w:r>
            <w:r>
              <w:t xml:space="preserve">overwegende dat onlineplatforms, wanneer zij beslissen om inhoud al dan niet te promoten in de feed van een gebruiker, gebruikmaken van hun inzichten in de voorkeuren en kwetsbaarheden van elke individuele gebruiker, waardoor zij meer invloed hebben dan traditionele uitgevers; </w:t>
            </w:r>
            <w:r>
              <w:rPr>
                <w:b/>
                <w:i/>
              </w:rPr>
              <w:t>overwegende dat dergelijke invloed met name schadelijk kan zijn voor kwetsbare groepen, waaronder kinderen en jongeren, die mogelijk minder toegerust zijn om overtuigende of manipulatieve inhoud kritisch te beoordelen en daarom gevoeliger zijn voor de risico’s van misinformatie, schadelijke narratieven en ongepaste gedragsgerichte inhoud;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overwegende dat onlineplatforms, wanneer zij beslissen om inhoud al dan niet te promoten in de feed van een gebruiker, gebruikmaken van hun inzichten in de voorkeuren en kwetsbaarheden van elke individuele gebruiker, waardoor zij meer invloed hebben dan traditionele uitgevers;</w:t>
            </w:r>
          </w:p>
        </w:tc>
        <w:tc>
          <w:tcPr>
            <w:tcW w:w="4876" w:type="dxa"/>
            <w:tcBorders>
              <w:top w:val="nil"/>
              <w:left w:val="nil"/>
              <w:bottom w:val="nil"/>
              <w:right w:val="nil"/>
            </w:tcBorders>
          </w:tcPr>
          <w:p>
            <w:pPr>
              <w:pStyle w:val="Normal6a"/>
            </w:pPr>
            <w:r>
              <w:t>J.</w:t>
            </w:r>
            <w:r>
              <w:tab/>
            </w:r>
            <w:r>
              <w:t xml:space="preserve">overwegende dat onlineplatforms, wanneer zij beslissen om inhoud al dan niet te promoten in de feed van een gebruiker, gebruikmaken van hun inzichten in de voorkeuren en kwetsbaarheden van elke individuele gebruiker, waardoor zij meer invloed hebben </w:t>
            </w:r>
            <w:r>
              <w:rPr>
                <w:b/>
                <w:i/>
              </w:rPr>
              <w:t>en gevaarlijker zijn</w:t>
            </w:r>
            <w:r>
              <w:t xml:space="preserve"> dan traditionele uitgevers</w:t>
            </w:r>
            <w:r>
              <w:rPr>
                <w:b/>
                <w:i/>
              </w:rPr>
              <w:t>, en dat hun bedrijfsmodellen grotendeels worden gedreven door op aandacht gebaseerde economie en algoritmische versterking, waardoor structurele stimulansen worden gecreëerd voor polarisatie, sensationele inhoud en meer gevoeligheid voor manipulatie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overwegende dat onlineplatforms, wanneer zij beslissen om inhoud al dan niet te promoten in de feed van een gebruiker, gebruikmaken van hun inzichten in de voorkeuren en kwetsbaarheden van elke individuele gebruiker, waardoor zij meer invloed hebben dan traditionele uitgevers;</w:t>
            </w:r>
          </w:p>
        </w:tc>
        <w:tc>
          <w:tcPr>
            <w:tcW w:w="4876" w:type="dxa"/>
            <w:tcBorders>
              <w:top w:val="nil"/>
              <w:left w:val="nil"/>
              <w:bottom w:val="nil"/>
              <w:right w:val="nil"/>
            </w:tcBorders>
          </w:tcPr>
          <w:p>
            <w:pPr>
              <w:pStyle w:val="Normal6a"/>
            </w:pPr>
            <w:r>
              <w:t>J.</w:t>
            </w:r>
            <w:r>
              <w:tab/>
            </w:r>
            <w:r>
              <w:t xml:space="preserve">overwegende dat onlineplatforms, wanneer zij beslissen om inhoud al dan niet te promoten in de feed van een gebruiker, </w:t>
            </w:r>
            <w:r>
              <w:rPr>
                <w:b/>
                <w:i/>
              </w:rPr>
              <w:t>zich in een voordelige positie bevinden vanwege hun toegang tot de onlineprofielen van gebruikers, en dus</w:t>
            </w:r>
            <w:r>
              <w:t xml:space="preserve"> gebruikmaken van hun inzichten in de voorkeuren en kwetsbaarheden van elke individuele gebruiker, </w:t>
            </w:r>
            <w:r>
              <w:rPr>
                <w:b/>
                <w:i/>
              </w:rPr>
              <w:t>in de eerste plaats om hun eigen financiële voordeel te maximaliseren,</w:t>
            </w:r>
            <w:r>
              <w:t xml:space="preserve"> waardoor zij meer invloed hebben dan traditionele uitgevers;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Saskia Bricmont, Sandro Ruotolo, Krzysztof Brejza, Veronika Cifrová Ostrihoňová, Raquel García Hermida-van der Walle, Lucia Yar, Diana Riba i Giner, Hannah Neumann, Chloé Ridel, 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overwegende dat onlineplatforms</w:t>
            </w:r>
            <w:r>
              <w:rPr>
                <w:b/>
                <w:i/>
              </w:rPr>
              <w:t>,</w:t>
            </w:r>
            <w:r>
              <w:t xml:space="preserve"> wanneer zij beslissen om inhoud al dan niet te promoten in de feed van een gebruiker, </w:t>
            </w:r>
            <w:r>
              <w:rPr>
                <w:b/>
                <w:i/>
              </w:rPr>
              <w:t>gebruikmaken</w:t>
            </w:r>
            <w:r>
              <w:t xml:space="preserve"> van hun inzichten in de voorkeuren en kwetsbaarheden van elke individuele gebruiker, waardoor zij meer invloed hebben dan traditionele uitgevers;</w:t>
            </w:r>
          </w:p>
        </w:tc>
        <w:tc>
          <w:tcPr>
            <w:tcW w:w="4876" w:type="dxa"/>
            <w:tcBorders>
              <w:top w:val="nil"/>
              <w:left w:val="nil"/>
              <w:bottom w:val="nil"/>
              <w:right w:val="nil"/>
            </w:tcBorders>
          </w:tcPr>
          <w:p>
            <w:pPr>
              <w:pStyle w:val="Normal6a"/>
            </w:pPr>
            <w:r>
              <w:t>J.</w:t>
            </w:r>
            <w:r>
              <w:tab/>
            </w:r>
            <w:r>
              <w:t xml:space="preserve">overwegende dat onlineplatforms </w:t>
            </w:r>
            <w:r>
              <w:rPr>
                <w:b/>
                <w:i/>
              </w:rPr>
              <w:t>aantoonbaar misbruik maken van de kwetsbaarheden van individuele gebruikers</w:t>
            </w:r>
            <w:r>
              <w:t xml:space="preserve"> wanneer zij beslissen om inhoud al dan niet te promoten in de feed van een gebruiker, </w:t>
            </w:r>
            <w:r>
              <w:rPr>
                <w:b/>
                <w:i/>
              </w:rPr>
              <w:t>door gebruik te maken</w:t>
            </w:r>
            <w:r>
              <w:t xml:space="preserve"> van hun inzichten in de voorkeuren en kwetsbaarheden van elke individuele gebruiker, waardoor zij meer invloed hebben dan traditionele uitgevers;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overwegende dat onlineplatforms, wanneer zij beslissen om inhoud al dan niet te promoten in de feed van een gebruiker, gebruikmaken van hun inzichten in de voorkeuren en kwetsbaarheden van elke individuele gebruiker</w:t>
            </w:r>
            <w:r>
              <w:rPr>
                <w:b/>
                <w:i/>
              </w:rPr>
              <w:t>, waardoor zij meer invloed hebben dan traditionele uitgevers</w:t>
            </w:r>
            <w:r>
              <w:t>;</w:t>
            </w:r>
          </w:p>
        </w:tc>
        <w:tc>
          <w:tcPr>
            <w:tcW w:w="4876" w:type="dxa"/>
            <w:tcBorders>
              <w:top w:val="nil"/>
              <w:left w:val="nil"/>
              <w:bottom w:val="nil"/>
              <w:right w:val="nil"/>
            </w:tcBorders>
          </w:tcPr>
          <w:p>
            <w:pPr>
              <w:pStyle w:val="Normal6a"/>
            </w:pPr>
            <w:r>
              <w:t>J.</w:t>
            </w:r>
            <w:r>
              <w:tab/>
            </w:r>
            <w:r>
              <w:t>overwegende dat onlineplatforms, wanneer zij beslissen om inhoud al dan niet te promoten in de feed van een gebruiker, gebruikmaken van hun inzichten in de voorkeuren en kwetsbaarheden van elke individuele gebruiker;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overwegende dat onlineplatforms, wanneer zij beslissen om inhoud al dan niet te promoten in de feed van een gebruiker, gebruikmaken van hun inzichten in de voorkeuren en kwetsbaarheden van elke individuele gebruiker, waardoor zij meer invloed hebben dan traditionele uitgevers;</w:t>
            </w:r>
          </w:p>
        </w:tc>
        <w:tc>
          <w:tcPr>
            <w:tcW w:w="4876" w:type="dxa"/>
            <w:tcBorders>
              <w:top w:val="nil"/>
              <w:left w:val="nil"/>
              <w:bottom w:val="nil"/>
              <w:right w:val="nil"/>
            </w:tcBorders>
          </w:tcPr>
          <w:p>
            <w:pPr>
              <w:pStyle w:val="Normal6a"/>
            </w:pPr>
            <w:r>
              <w:t>J.</w:t>
            </w:r>
            <w:r>
              <w:tab/>
            </w:r>
            <w:r>
              <w:t xml:space="preserve">overwegende dat onlineplatforms, wanneer zij beslissen om inhoud al dan niet te promoten in de feed van een gebruiker, gebruikmaken van hun inzichten in de voorkeuren en kwetsbaarheden van elke individuele gebruiker, waardoor zij </w:t>
            </w:r>
            <w:r>
              <w:rPr>
                <w:b/>
                <w:i/>
              </w:rPr>
              <w:t>aanzienlijk</w:t>
            </w:r>
            <w:r>
              <w:t xml:space="preserve"> meer invloed hebben dan traditionele uitgevers;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overwegende dat onlineplatforms</w:t>
            </w:r>
            <w:r>
              <w:rPr>
                <w:b/>
                <w:i/>
              </w:rPr>
              <w:t>,</w:t>
            </w:r>
            <w:r>
              <w:t xml:space="preserve"> wanneer zij beslissen om inhoud al dan niet te promoten in de feed van een gebruiker, </w:t>
            </w:r>
            <w:r>
              <w:rPr>
                <w:b/>
                <w:i/>
              </w:rPr>
              <w:t>gebruikmaken</w:t>
            </w:r>
            <w:r>
              <w:t xml:space="preserve"> van hun inzichten in </w:t>
            </w:r>
            <w:r>
              <w:rPr>
                <w:b/>
                <w:i/>
              </w:rPr>
              <w:t>de</w:t>
            </w:r>
            <w:r>
              <w:t xml:space="preserve"> voorkeuren </w:t>
            </w:r>
            <w:r>
              <w:rPr>
                <w:b/>
                <w:i/>
              </w:rPr>
              <w:t>en kwetsbaarheden van elke individuele gebruiker, waardoor zij meer invloed hebben dan traditionele uitgevers</w:t>
            </w:r>
            <w:r>
              <w:t>;</w:t>
            </w:r>
          </w:p>
        </w:tc>
        <w:tc>
          <w:tcPr>
            <w:tcW w:w="4876" w:type="dxa"/>
            <w:tcBorders>
              <w:top w:val="nil"/>
              <w:left w:val="nil"/>
              <w:bottom w:val="nil"/>
              <w:right w:val="nil"/>
            </w:tcBorders>
          </w:tcPr>
          <w:p>
            <w:pPr>
              <w:pStyle w:val="Normal6a"/>
            </w:pPr>
            <w:r>
              <w:t>J.</w:t>
            </w:r>
            <w:r>
              <w:tab/>
            </w:r>
            <w:r>
              <w:t>overwegende dat onlineplatforms</w:t>
            </w:r>
            <w:r>
              <w:rPr>
                <w:b/>
                <w:i/>
              </w:rPr>
              <w:t> aantoonbaar misbruik maken van de kwetsbaarheden van individuele gebruikers</w:t>
            </w:r>
            <w:r>
              <w:t> wanneer zij beslissen om inhoud al dan niet te promoten in de feed van een gebruiker, </w:t>
            </w:r>
            <w:r>
              <w:rPr>
                <w:b/>
                <w:i/>
              </w:rPr>
              <w:t>door gebruik te maken</w:t>
            </w:r>
            <w:r>
              <w:t xml:space="preserve"> van hun inzichten in </w:t>
            </w:r>
            <w:r>
              <w:rPr>
                <w:b/>
                <w:i/>
              </w:rPr>
              <w:t>diens</w:t>
            </w:r>
            <w:r>
              <w:t xml:space="preserve"> voorkeuren;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J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bis.</w:t>
            </w:r>
            <w:r>
              <w:tab/>
            </w:r>
            <w:r>
              <w:rPr>
                <w:b/>
                <w:i/>
              </w:rPr>
              <w:t>overwegende dat de digitale transformatie van het informatie-ecosysteem heeft geleid tot versnipperd en gepersonaliseerd informatieverbruik, dat in toenemende mate wordt gedreven door ondoorzichtige algoritmische systemen die niet geoptimaliseerd zijn met het oog op nauwkeurigheid of het algemeen belang, maar met het oog op interactie;</w:t>
            </w:r>
            <w:r>
              <w:t xml:space="preserve"> </w:t>
            </w:r>
            <w:r>
              <w:rPr>
                <w:b/>
                <w:i/>
              </w:rPr>
              <w:t>overwegende dat digitale platforms voor steeds meer jonge burgers de belangrijkste informatiebron zijn;</w:t>
            </w:r>
            <w:r>
              <w:t xml:space="preserve"> </w:t>
            </w:r>
            <w:r>
              <w:rPr>
                <w:b/>
                <w:i/>
              </w:rPr>
              <w:t>overwegende dat artificiële intelligentie en algoritmische aanbevelingssystemen zich sneller ontwikkelen dan democratische waarborgen en toezicht op de regelgeving, waardoor grote onlineplatforms en AI-aanbieders structurele invloed kunnen uitoefenen op de zichtbaarheid en de versterking van het politieke debat en, uiteindelijk, op democratische processen;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J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bis.</w:t>
            </w:r>
            <w:r>
              <w:tab/>
            </w:r>
            <w:r>
              <w:rPr>
                <w:b/>
                <w:i/>
              </w:rPr>
              <w:t>overwegende dat, volgens de jongerenenquête van 2024, 42 % van de jonge burgers (tussen de 16 en 30 jaar) sociale media gebruikt als belangrijkste bron van informatie over politieke en sociale kwesties;</w:t>
            </w:r>
            <w:r>
              <w:t xml:space="preserve"> </w:t>
            </w:r>
            <w:r>
              <w:rPr>
                <w:b/>
                <w:i/>
              </w:rPr>
              <w:t>overwegende dat de mediageletterdheid op bevolkingsniveau moet worden verbeterd, waarbij kritisch denken en informatie-integriteit moeten worden bevorderd, als essentieel instrument om de samenleving weerbaarder te maken tegen FIMI, met name wanneer deze al op jonge leeftijd wordt aangeleerd;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J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bis.</w:t>
            </w:r>
            <w:r>
              <w:tab/>
            </w:r>
            <w:r>
              <w:rPr>
                <w:b/>
                <w:i/>
              </w:rPr>
              <w:t>overwegende dat jongeren, vrouwen en ouderen in de onlineomgeving bijzonder kwetsbare groepen vormen;</w:t>
            </w:r>
            <w:r>
              <w:t xml:space="preserve"> </w:t>
            </w:r>
            <w:r>
              <w:rPr>
                <w:b/>
                <w:i/>
              </w:rPr>
              <w:t>overwegende dat jongeren hun politieke standpunt en stemkeuze steeds vaker online vormen, met name via socialemediaplatforms, waar zij vaker worden blootgesteld aan gerichte inhoud, algoritmische versterking en manipulatietechnieken;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overwegende dat de EU onlangs een reeks uitgebreide wetgevingshandelingen heeft vastgesteld om een veilige en transparante onlineomgeving tot stand te brengen, waaronder de digitaledienstenverordening, de verordening betreffende transparantie en gerichte politieke reclame en de AI-verordening; overwegende dat deze verordeningen een belangrijke stap voorwaarts betekenen bij de inspanningen om </w:t>
            </w:r>
            <w:r>
              <w:rPr>
                <w:b/>
                <w:i/>
              </w:rPr>
              <w:t>digitale platforms</w:t>
            </w:r>
            <w:r>
              <w:t xml:space="preserve"> verantwoordelijk te stellen, democratische processen te beschermen, de transparantie te vergroten en de vrijheid van meningsuiting te waarborgen; overwegende dat de handhaving ervan echter een uitdaging </w:t>
            </w:r>
            <w:r>
              <w:rPr>
                <w:b/>
                <w:i/>
              </w:rPr>
              <w:t>blijft</w:t>
            </w:r>
            <w:r>
              <w:t>;</w:t>
            </w:r>
          </w:p>
        </w:tc>
        <w:tc>
          <w:tcPr>
            <w:tcW w:w="4876" w:type="dxa"/>
            <w:tcBorders>
              <w:top w:val="nil"/>
              <w:left w:val="nil"/>
              <w:bottom w:val="nil"/>
              <w:right w:val="nil"/>
            </w:tcBorders>
          </w:tcPr>
          <w:p>
            <w:pPr>
              <w:pStyle w:val="Normal6a"/>
            </w:pPr>
            <w:r>
              <w:t>K.</w:t>
            </w:r>
            <w:r>
              <w:tab/>
            </w:r>
            <w:r>
              <w:t xml:space="preserve">overwegende dat de EU onlangs een reeks uitgebreide wetgevingshandelingen heeft vastgesteld om een veilige en transparante onlineomgeving tot stand te brengen, waaronder de digitaledienstenverordening, de verordening betreffende transparantie en gerichte politieke reclame en de AI-verordening; overwegende dat deze verordeningen een belangrijke stap voorwaarts betekenen bij de inspanningen om </w:t>
            </w:r>
            <w:r>
              <w:rPr>
                <w:b/>
                <w:i/>
              </w:rPr>
              <w:t>onlineplatforms</w:t>
            </w:r>
            <w:r>
              <w:t xml:space="preserve"> verantwoordelijk te stellen, democratische processen te beschermen, de transparantie te vergroten en de vrijheid van meningsuiting te waarborgen; overwegende dat de handhaving ervan echter </w:t>
            </w:r>
            <w:r>
              <w:rPr>
                <w:b/>
                <w:i/>
              </w:rPr>
              <w:t>nog altijd te traag is, wat</w:t>
            </w:r>
            <w:r>
              <w:t xml:space="preserve"> een uitdaging </w:t>
            </w:r>
            <w:r>
              <w:rPr>
                <w:b/>
                <w:i/>
              </w:rPr>
              <w:t>vormt voor de bescherming van democratische processen</w:t>
            </w:r>
            <w:r>
              <w:t xml:space="preserve">; </w:t>
            </w:r>
            <w:r>
              <w:rPr>
                <w:b/>
                <w:i/>
              </w:rPr>
              <w:t>overwegende dat de Commissie tegelijkertijd meerdere omnibusvoorstellen heeft ingediend om bepaalde waarborgen uit hoofde van deze verordeningen af te schaffen, met name van de AI-verordening en de AVG, wat twijfels doet rijzen over de bescherming van Europese burgers ter bestrijding van buitenlandse inmenging;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overwegende dat de EU onlangs een reeks uitgebreide wetgevingshandelingen </w:t>
            </w:r>
            <w:r>
              <w:rPr>
                <w:b/>
                <w:i/>
              </w:rPr>
              <w:t>heeft</w:t>
            </w:r>
            <w:r>
              <w:t xml:space="preserve"> vastgesteld om een veilige en transparante onlineomgeving tot stand te brengen, waaronder de digitaledienstenverordening, de verordening betreffende transparantie en gerichte politieke reclame en de AI-verordening; overwegende dat deze verordeningen een belangrijke stap voorwaarts betekenen bij de inspanningen om digitale platforms verantwoordelijk te stellen, democratische processen te beschermen, de transparantie te vergroten en de vrijheid van meningsuiting te waarborgen; overwegende dat de handhaving ervan echter een uitdaging blijft;</w:t>
            </w:r>
          </w:p>
        </w:tc>
        <w:tc>
          <w:tcPr>
            <w:tcW w:w="4876" w:type="dxa"/>
            <w:tcBorders>
              <w:top w:val="nil"/>
              <w:left w:val="nil"/>
              <w:bottom w:val="nil"/>
              <w:right w:val="nil"/>
            </w:tcBorders>
          </w:tcPr>
          <w:p>
            <w:pPr>
              <w:pStyle w:val="Normal6a"/>
            </w:pPr>
            <w:r>
              <w:t>K.</w:t>
            </w:r>
            <w:r>
              <w:tab/>
            </w:r>
            <w:r>
              <w:t xml:space="preserve">overwegende dat </w:t>
            </w:r>
            <w:r>
              <w:rPr>
                <w:b/>
                <w:i/>
              </w:rPr>
              <w:t>de lidstaten en</w:t>
            </w:r>
            <w:r>
              <w:t xml:space="preserve"> de EU onlangs een reeks uitgebreide wetgevingshandelingen </w:t>
            </w:r>
            <w:r>
              <w:rPr>
                <w:b/>
                <w:i/>
              </w:rPr>
              <w:t>hebben</w:t>
            </w:r>
            <w:r>
              <w:t xml:space="preserve"> vastgesteld om een veilige en transparante onlineomgeving tot stand te brengen, waaronder de digitaledienstenverordening, de verordening betreffende transparantie en gerichte politieke reclame en de AI-verordening; overwegende dat deze verordeningen een belangrijke stap voorwaarts betekenen bij de inspanningen om digitale platforms verantwoordelijk te stellen, democratische processen te beschermen, de transparantie te vergroten en de vrijheid van meningsuiting te waarborgen; overwegende dat de handhaving ervan echter een uitdaging blijft; </w:t>
            </w:r>
            <w:r>
              <w:rPr>
                <w:b/>
                <w:i/>
              </w:rPr>
              <w:t>overwegende dat de wijze waarop sommige bepalingen zijn uitgevoerd, aanleiding heeft gegeven tot ernstige controverses over de vrijheid van meningsuiting en over transparantie;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overwegende dat de EU onlangs een reeks uitgebreide wetgevingshandelingen heeft vastgesteld om een veilige en transparante onlineomgeving tot stand te brengen, waaronder de digitaledienstenverordening, de verordening betreffende transparantie en gerichte politieke reclame en de AI-verordening; overwegende dat deze verordeningen </w:t>
            </w:r>
            <w:r>
              <w:rPr>
                <w:b/>
                <w:i/>
              </w:rPr>
              <w:t>een belangrijke stap voorwaarts betekenen bij de inspanningen om digitale platforms verantwoordelijk te stellen, democratische processen te beschermen, de transparantie te vergroten en</w:t>
            </w:r>
            <w:r>
              <w:t xml:space="preserve"> de vrijheid van meningsuiting </w:t>
            </w:r>
            <w:r>
              <w:rPr>
                <w:b/>
                <w:i/>
              </w:rPr>
              <w:t>te waarborgen</w:t>
            </w:r>
            <w:r>
              <w:t xml:space="preserve">; </w:t>
            </w:r>
            <w:r>
              <w:rPr>
                <w:b/>
                <w:i/>
              </w:rPr>
              <w:t>overwegende dat de handhaving ervan echter een uitdaging blijft;</w:t>
            </w:r>
          </w:p>
        </w:tc>
        <w:tc>
          <w:tcPr>
            <w:tcW w:w="4876" w:type="dxa"/>
            <w:tcBorders>
              <w:top w:val="nil"/>
              <w:left w:val="nil"/>
              <w:bottom w:val="nil"/>
              <w:right w:val="nil"/>
            </w:tcBorders>
          </w:tcPr>
          <w:p>
            <w:pPr>
              <w:pStyle w:val="Normal6a"/>
            </w:pPr>
            <w:r>
              <w:t>K.</w:t>
            </w:r>
            <w:r>
              <w:tab/>
            </w:r>
            <w:r>
              <w:t xml:space="preserve">overwegende dat de EU onlangs een reeks uitgebreide wetgevingshandelingen heeft vastgesteld </w:t>
            </w:r>
            <w:r>
              <w:rPr>
                <w:b/>
                <w:i/>
              </w:rPr>
              <w:t>in een poging</w:t>
            </w:r>
            <w:r>
              <w:t xml:space="preserve"> om een veilige en transparante onlineomgeving tot stand te brengen, waaronder de digitaledienstenverordening, de verordening betreffende transparantie en gerichte politieke reclame en de AI-verordening; overwegende dat </w:t>
            </w:r>
            <w:r>
              <w:rPr>
                <w:b/>
                <w:i/>
              </w:rPr>
              <w:t>er voortdurend pogingen worden gedaan om</w:t>
            </w:r>
            <w:r>
              <w:t xml:space="preserve"> deze verordeningen </w:t>
            </w:r>
            <w:r>
              <w:rPr>
                <w:b/>
                <w:i/>
              </w:rPr>
              <w:t>in te zetten als wapen om</w:t>
            </w:r>
            <w:r>
              <w:t xml:space="preserve"> de vrijheid van meningsuiting </w:t>
            </w:r>
            <w:r>
              <w:rPr>
                <w:b/>
                <w:i/>
              </w:rPr>
              <w:t>gericht te censureren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overwegende dat de EU onlangs een reeks uitgebreide wetgevingshandelingen heeft vastgesteld </w:t>
            </w:r>
            <w:r>
              <w:rPr>
                <w:b/>
                <w:i/>
              </w:rPr>
              <w:t>om een veilige en transparante onlineomgeving tot stand te brengen</w:t>
            </w:r>
            <w:r>
              <w:t xml:space="preserve">, waaronder de digitaledienstenverordening, de verordening betreffende transparantie en gerichte politieke reclame en de AI-verordening; overwegende dat </w:t>
            </w:r>
            <w:r>
              <w:rPr>
                <w:b/>
                <w:i/>
              </w:rPr>
              <w:t>deze</w:t>
            </w:r>
            <w:r>
              <w:t xml:space="preserve"> verordeningen </w:t>
            </w:r>
            <w:r>
              <w:rPr>
                <w:b/>
                <w:i/>
              </w:rPr>
              <w:t>een belangrijke stap voorwaarts betekenen bij de inspanningen om digitale platforms verantwoordelijk te stellen, democratische processen te beschermen, de transparantie te vergroten en de vrijheid van meningsuiting</w:t>
            </w:r>
            <w:r>
              <w:t xml:space="preserve"> te waarborgen; </w:t>
            </w:r>
            <w:r>
              <w:rPr>
                <w:b/>
                <w:i/>
              </w:rPr>
              <w:t>overwegende dat de handhaving ervan echter een uitdaging blijft;</w:t>
            </w:r>
          </w:p>
        </w:tc>
        <w:tc>
          <w:tcPr>
            <w:tcW w:w="4876" w:type="dxa"/>
            <w:tcBorders>
              <w:top w:val="nil"/>
              <w:left w:val="nil"/>
              <w:bottom w:val="nil"/>
              <w:right w:val="nil"/>
            </w:tcBorders>
          </w:tcPr>
          <w:p>
            <w:pPr>
              <w:pStyle w:val="Normal6a"/>
            </w:pPr>
            <w:r>
              <w:t>K.</w:t>
            </w:r>
            <w:r>
              <w:tab/>
            </w:r>
            <w:r>
              <w:t xml:space="preserve">overwegende dat de EU onlangs een reeks uitgebreide wetgevingshandelingen heeft vastgesteld, waaronder de digitaledienstenverordening, de verordening betreffende transparantie en gerichte politieke reclame en de AI-verordening; overwegende dat </w:t>
            </w:r>
            <w:r>
              <w:rPr>
                <w:b/>
                <w:i/>
              </w:rPr>
              <w:t>evenwel van de EU wordt verwacht dat zij bepaalde</w:t>
            </w:r>
            <w:r>
              <w:t xml:space="preserve"> verordeningen </w:t>
            </w:r>
            <w:r>
              <w:rPr>
                <w:b/>
                <w:i/>
              </w:rPr>
              <w:t>herziet om de eerbiediging van de in het Handvest van de grondrechten van de Europese Unie verankerde grondrechten</w:t>
            </w:r>
            <w:r>
              <w:t xml:space="preserve">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overwegende dat de EU onlangs een reeks uitgebreide wetgevingshandelingen heeft vastgesteld om een veilige en transparante onlineomgeving tot stand te brengen, waaronder de digitaledienstenverordening, de verordening betreffende transparantie en gerichte politieke reclame en de AI-verordening; overwegende dat deze verordeningen een belangrijke stap voorwaarts betekenen bij de inspanningen om digitale platforms verantwoordelijk te stellen, democratische processen te beschermen, de transparantie te vergroten en de vrijheid van meningsuiting te waarborgen; overwegende dat de handhaving ervan </w:t>
            </w:r>
            <w:r>
              <w:rPr>
                <w:b/>
                <w:i/>
              </w:rPr>
              <w:t>echter een uitdaging</w:t>
            </w:r>
            <w:r>
              <w:t xml:space="preserve"> blijft;</w:t>
            </w:r>
          </w:p>
        </w:tc>
        <w:tc>
          <w:tcPr>
            <w:tcW w:w="4876" w:type="dxa"/>
            <w:tcBorders>
              <w:top w:val="nil"/>
              <w:left w:val="nil"/>
              <w:bottom w:val="nil"/>
              <w:right w:val="nil"/>
            </w:tcBorders>
          </w:tcPr>
          <w:p>
            <w:pPr>
              <w:pStyle w:val="Normal6a"/>
            </w:pPr>
            <w:r>
              <w:t>K.</w:t>
            </w:r>
            <w:r>
              <w:tab/>
            </w:r>
            <w:r>
              <w:t xml:space="preserve">overwegende dat de EU onlangs een reeks uitgebreide wetgevingshandelingen heeft vastgesteld om een veilige en transparante onlineomgeving tot stand te brengen, waaronder de digitaledienstenverordening, de verordening betreffende transparantie en gerichte politieke reclame en de AI-verordening; overwegende dat deze verordeningen een belangrijke stap voorwaarts betekenen bij de inspanningen om digitale platforms verantwoordelijk te stellen, democratische processen te beschermen, de transparantie te vergroten en de vrijheid van meningsuiting te waarborgen; overwegende dat de </w:t>
            </w:r>
            <w:r>
              <w:rPr>
                <w:b/>
                <w:i/>
              </w:rPr>
              <w:t>reikwijdte van de</w:t>
            </w:r>
            <w:r>
              <w:t xml:space="preserve"> handhaving ervan </w:t>
            </w:r>
            <w:r>
              <w:rPr>
                <w:b/>
                <w:i/>
              </w:rPr>
              <w:t>beperkt</w:t>
            </w:r>
            <w:r>
              <w:t xml:space="preserve"> blijft </w:t>
            </w:r>
            <w:r>
              <w:rPr>
                <w:b/>
                <w:i/>
              </w:rPr>
              <w:t>wegens geopolitieke overwegingen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overwegende dat de EU onlangs een reeks uitgebreide wetgevingshandelingen heeft vastgesteld om een veilige en transparante onlineomgeving tot stand te brengen, waaronder de digitaledienstenverordening, de verordening betreffende transparantie en gerichte politieke reclame en de AI-verordening; overwegende dat deze verordeningen een belangrijke stap voorwaarts betekenen bij de inspanningen om digitale platforms verantwoordelijk te stellen, democratische processen te beschermen, de transparantie te vergroten en de vrijheid van meningsuiting te waarborgen; overwegende dat de handhaving ervan echter </w:t>
            </w:r>
            <w:r>
              <w:rPr>
                <w:b/>
                <w:i/>
              </w:rPr>
              <w:t>een uitdaging</w:t>
            </w:r>
            <w:r>
              <w:t xml:space="preserve"> blijft;</w:t>
            </w:r>
          </w:p>
        </w:tc>
        <w:tc>
          <w:tcPr>
            <w:tcW w:w="4876" w:type="dxa"/>
            <w:tcBorders>
              <w:top w:val="nil"/>
              <w:left w:val="nil"/>
              <w:bottom w:val="nil"/>
              <w:right w:val="nil"/>
            </w:tcBorders>
          </w:tcPr>
          <w:p>
            <w:pPr>
              <w:pStyle w:val="Normal6a"/>
            </w:pPr>
            <w:r>
              <w:t>K.</w:t>
            </w:r>
            <w:r>
              <w:tab/>
            </w:r>
            <w:r>
              <w:t>overwegende dat de EU onlangs een reeks uitgebreide wetgevingshandelingen heeft vastgesteld om een veilige en transparante onlineomgeving tot stand te brengen, waaronder de digitaledienstenverordening, de verordening betreffende transparantie en gerichte politieke reclame</w:t>
            </w:r>
            <w:r>
              <w:rPr>
                <w:b/>
                <w:i/>
              </w:rPr>
              <w:t>, de Europese verordening mediavrijheid</w:t>
            </w:r>
            <w:r>
              <w:t xml:space="preserve"> en de AI-verordening; overwegende dat deze verordeningen een belangrijke stap voorwaarts betekenen bij de inspanningen om digitale platforms verantwoordelijk te stellen, democratische processen te beschermen, de transparantie te vergroten en de vrijheid van meningsuiting te waarborgen; overwegende dat de handhaving ervan echter </w:t>
            </w:r>
            <w:r>
              <w:rPr>
                <w:b/>
                <w:i/>
              </w:rPr>
              <w:t>ontoereikend</w:t>
            </w:r>
            <w:r>
              <w:t xml:space="preserve"> blijft;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overwegende dat de EU onlangs een reeks uitgebreide wetgevingshandelingen heeft vastgesteld om een veilige en transparante onlineomgeving tot stand te brengen, waaronder de digitaledienstenverordening, de verordening betreffende transparantie en gerichte politieke reclame en de AI-verordening; overwegende dat deze verordeningen een belangrijke stap voorwaarts betekenen bij de inspanningen om digitale platforms verantwoordelijk te stellen, democratische processen te beschermen, de transparantie te vergroten en de vrijheid van meningsuiting te waarborgen; overwegende dat de handhaving ervan echter een uitdaging blijft;</w:t>
            </w:r>
          </w:p>
        </w:tc>
        <w:tc>
          <w:tcPr>
            <w:tcW w:w="4876" w:type="dxa"/>
            <w:tcBorders>
              <w:top w:val="nil"/>
              <w:left w:val="nil"/>
              <w:bottom w:val="nil"/>
              <w:right w:val="nil"/>
            </w:tcBorders>
          </w:tcPr>
          <w:p>
            <w:pPr>
              <w:pStyle w:val="Normal6a"/>
            </w:pPr>
            <w:r>
              <w:t>K.</w:t>
            </w:r>
            <w:r>
              <w:tab/>
            </w:r>
            <w:r>
              <w:t>overwegende dat de EU onlangs een reeks uitgebreide wetgevingshandelingen heeft vastgesteld om een veilige en transparante onlineomgeving tot stand te brengen, waaronder de digitaledienstenverordening</w:t>
            </w:r>
            <w:r>
              <w:rPr>
                <w:b/>
                <w:i/>
              </w:rPr>
              <w:t>, de digitalemarktenverordening</w:t>
            </w:r>
            <w:r>
              <w:t>, de verordening betreffende transparantie en gerichte politieke reclame en de AI-verordening; overwegende dat deze verordeningen een belangrijke stap voorwaarts betekenen bij de inspanningen om digitale platforms verantwoordelijk te stellen, democratische processen te beschermen, de transparantie te vergroten en de vrijheid van meningsuiting te waarborgen; overwegende dat de handhaving ervan echter een uitdaging blijft;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K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bis.</w:t>
            </w:r>
            <w:r>
              <w:tab/>
            </w:r>
            <w:r>
              <w:rPr>
                <w:b/>
                <w:i/>
              </w:rPr>
              <w:t>overwegende dat de digitaledienstenverordening geen censuurinstrument is, maar eerder het reeds lang bestaande Europese rechtsbeginsel codificeert dat inhoud die offline illegaal is, ook online kan worden beperkt, met inachtneming van een eerlijke rechtsbedeling, beroepsmogelijkheden en evenredigheid, zoals consequent wordt bevestigd in de vaste rechtspraak van het Hof van Justitie van de Europese Unie;</w:t>
            </w:r>
            <w:r>
              <w:t xml:space="preserve"> </w:t>
            </w:r>
            <w:r>
              <w:rPr>
                <w:b/>
                <w:i/>
              </w:rPr>
              <w:t>overwegende dat deze aanpak in schril contrast staat met door de staat aangestuurde censuurmechanismen die worden gebruikt door autoritaire regimes, en met name door de Russische Federatie, waar inhoudsbeperkingen worden opgelegd zonder enige inhoudelijke rechterlijke beoordeling van wettigheid, valsheid of schadelijkheid;</w:t>
            </w:r>
            <w:r>
              <w:t xml:space="preserve"> </w:t>
            </w:r>
            <w:r>
              <w:rPr>
                <w:b/>
                <w:i/>
              </w:rPr>
              <w:t>overwegende dat het Europees Hof voor de Rechten van de Mens in zijn recente uitspraak over hoge Russische boeten en politiek ingegeven verwijderingsbevelen tegen Google heeft geoordeeld dat de Russische autoriteiten hadden verzuimd te onderzoeken of de beoogde inhoud vals of schadelijk was en er simpelweg van uit waren gegaan dat elke afwijking van officiële narratieven een bedreiging vormde voor de nationale belangen, zonder concreet bewijs van schade aan te leveren;</w:t>
            </w:r>
            <w:r>
              <w:t xml:space="preserve"> </w:t>
            </w:r>
            <w:r>
              <w:rPr>
                <w:b/>
                <w:i/>
              </w:rPr>
              <w:t>overwegende dat deze vaste rechtspraak het fundamentele onderscheid illustreert tussen het Europese regelgevingsmodel, dat gestoeld is op wettigheid, evenredigheid en grondrechten, en de censuurpraktijken van Rusland, waarbij het toezicht op inhoud wordt geïnstrumentaliseerd om afwijkende meningen en politiek pluralisme te onderdrukken;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K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bis.</w:t>
            </w:r>
            <w:r>
              <w:tab/>
            </w:r>
            <w:r>
              <w:rPr>
                <w:b/>
                <w:i/>
              </w:rPr>
              <w:t>overwegende dat de Committee on the Judiciary van het Amerikaanse Huis van Afgevaardigden een tussentijds verslag heeft gepubliceerd getiteld “The Foreign Censorship Threat, Part II: Europe’s Decade-Long Campaign to Censor the Global Internet and How It Harms American Speech in the United States”</w:t>
            </w:r>
            <w:r>
              <w:rPr>
                <w:b/>
                <w:i/>
                <w:vertAlign w:val="superscript"/>
              </w:rPr>
              <w:t>1 bis</w:t>
            </w:r>
            <w:r>
              <w:rPr>
                <w:b/>
                <w:i/>
              </w:rPr>
              <w:t>, waarin wordt vastgesteld dat Europese overheidsinstanties, waaronder de Europese Commissie, zich in grote mate mengen in en aanzienlijke regeldruk uitoefenen op grote onlineplatforms om de praktijken voor inhoudsmoderatie ook buiten het grondgebied van de Unie te beïnvloeden;</w:t>
            </w:r>
            <w:r>
              <w:t xml:space="preserve"> </w:t>
            </w:r>
            <w:r>
              <w:rPr>
                <w:b/>
                <w:i/>
              </w:rPr>
              <w:t>overwegende dat in het verslag ernstige bezorgdheid wordt geuit over het feit dat de regelgevingskaders, beleidsinstrumenten en informele handhavingspraktijken van de EU zijn ingezet om extraterritoriale druk uit te oefenen op de verleners van digitale diensten, wat heeft geleid tot de verwijdering, onderdrukking of minder prominente weergave van legale inhoud en politieke uitlatingen, met inbegrip van inhoud uit derde landen;</w:t>
            </w:r>
            <w:r>
              <w:t xml:space="preserve"> </w:t>
            </w:r>
            <w:r>
              <w:rPr>
                <w:b/>
                <w:i/>
              </w:rPr>
              <w:t>overwegende dat voorts in het verslag wordt benadrukt dat dergelijke praktijken de vrijheid van meningsuiting, het democratisch debat en verkiezingsprocessen kunnen ondermijnen en kunnen neerkomen op indirecte censuur die onverenigbaar is met de grondrechten en internationale normen op het gebied van democratie;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https://judiciary.house.gov/sites/evo-subsites/republicans-judiciary.house.gov/files/2026-02/THE-FOREIGN-CENSORSHIP-THREAT-PART-II-2-3-26.pdf.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K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bis.</w:t>
            </w:r>
            <w:r>
              <w:tab/>
            </w:r>
            <w:r>
              <w:rPr>
                <w:b/>
                <w:i/>
              </w:rPr>
              <w:t>overwegende dat besluiten van de Commissie tegen grote Amerikaanse technologiebedrijven zoals Google naar verluidt zijn uitgesteld om de Amerikaanse regering niet te verstoren tijdens handelsbesprekingen;</w:t>
            </w:r>
            <w:r>
              <w:t xml:space="preserve"> </w:t>
            </w:r>
            <w:r>
              <w:rPr>
                <w:b/>
                <w:i/>
              </w:rPr>
              <w:t>overwegende dat de eerste boete in het kader van de digitaledienstenverordening, in een zaak tegen platform X, pas op 5 december is opgelegd, twee jaar na het begin van het onderzoek tegen het in de VS gevestigde socialemediaplatform, en naar verluidt maanden is uitgesteld om politieke redenen;</w:t>
            </w:r>
            <w:r>
              <w:t xml:space="preserve"> </w:t>
            </w:r>
            <w:r>
              <w:rPr>
                <w:b/>
                <w:i/>
              </w:rPr>
              <w:t>overwegende dat deze kwestie nog eens wordt verergerd door de banden tussen de Amerikaanse regering en technologiebedrijven;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K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bis.</w:t>
            </w:r>
            <w:r>
              <w:tab/>
            </w:r>
            <w:r>
              <w:rPr>
                <w:b/>
                <w:i/>
              </w:rPr>
              <w:t>overwegende dat regelgevingsmaatregelen die van invloed zijn op de zichtbaarheid, het bereik, de rangschikking of de verspreiding van legale inhoud een inmenging kunnen vormen in de vrijheid van meningsuiting in de zin van artikel 11 van het Handvest en daarom onderworpen moeten zijn aan strikte juridische waarborgen, transparantie en rechterlijke toetsing;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K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ter.</w:t>
            </w:r>
            <w:r>
              <w:tab/>
            </w:r>
            <w:r>
              <w:rPr>
                <w:b/>
                <w:i/>
              </w:rPr>
              <w:t>overwegende dat uit de beschikbare gegevens over besluiten inzake inhoudsmoderatie blijkt dat een aanzienlijk deel van de besluiten tot verwijdering vervolgens teniet wordt gedaan door middel van klachten- en verhaalmechanismen, wat wijst op een structureel risico op overmatige verwijdering en het afschrikkende effect dat dit kan hebben op de wettige meningsuiting;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K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 quater.</w:t>
            </w:r>
            <w:r>
              <w:tab/>
            </w:r>
            <w:r>
              <w:rPr>
                <w:b/>
                <w:i/>
              </w:rPr>
              <w:t>overwegende dat de organisatie en het verloop van verkiezingen de bevoegdheid en verantwoordelijkheid van de lidstaten blijven, overeenkomstig hun nationale wetgeving en constitutionele tradities;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overwegende dat </w:t>
            </w:r>
            <w:r>
              <w:rPr>
                <w:b/>
                <w:i/>
              </w:rPr>
              <w:t>het gebruik van AI nieuwe mogelijkheden biedt om het beheer van en het toezicht op</w:t>
            </w:r>
            <w:r>
              <w:t xml:space="preserve"> verkiezingen </w:t>
            </w:r>
            <w:r>
              <w:rPr>
                <w:b/>
                <w:i/>
              </w:rPr>
              <w:t>te versterken, bijvoorbeeld door ongebruikelijke onlineactiviteiten en gecoördineerd manipulatief gedrag op te sporen</w:t>
            </w:r>
            <w:r>
              <w:t xml:space="preserve">; overwegende dat </w:t>
            </w:r>
            <w:r>
              <w:rPr>
                <w:b/>
                <w:i/>
              </w:rPr>
              <w:t>het gebruik van AI, met inbegrip van generatieve modellen en deepfakes, ook aanzienlijke uitdagingen met zich meebrengt voor de integriteit van informatie en verkiezingsprocessen;</w:t>
            </w:r>
            <w:r>
              <w:t xml:space="preserve"> </w:t>
            </w:r>
            <w:r>
              <w:rPr>
                <w:b/>
                <w:i/>
              </w:rPr>
              <w:t>overwegende dat geloofwaardige berichten de activiteiten aan het licht hebben gebracht van een in Moskou gevestigd desinformatienetwerk, dat bekendstaat als “Pravda” en dat zich opzettelijk</w:t>
            </w:r>
            <w:r>
              <w:t xml:space="preserve"> heeft </w:t>
            </w:r>
            <w:r>
              <w:rPr>
                <w:b/>
                <w:i/>
              </w:rPr>
              <w:t>gericht op en is geïnfiltreerd in grote taalmodellen (LLM’s) met pro-Kremlin-narratieven die zijn ontworpen om neutrale en op feiten gebaseerde output na te bootsen;</w:t>
            </w:r>
            <w:r>
              <w:t xml:space="preserve"> </w:t>
            </w:r>
            <w:r>
              <w:rPr>
                <w:b/>
                <w:i/>
              </w:rPr>
              <w:t>overwegende dat dergelijke tactieken een gevaarlijke ontwikkeling van FIMI vormen, aangezien zij misbruik maken</w:t>
            </w:r>
            <w:r>
              <w:t xml:space="preserve"> van de </w:t>
            </w:r>
            <w:r>
              <w:rPr>
                <w:b/>
                <w:i/>
              </w:rPr>
              <w:t>ondoorzichtigheid en schaalbaarheid van AI-systemen om op subtiele wijze valse of misleidende geopolitieke boodschappen te verspreiden onder het mom van gezaghebbende taal</w:t>
            </w:r>
            <w:r>
              <w:t xml:space="preserve">; </w:t>
            </w:r>
            <w:r>
              <w:rPr>
                <w:b/>
                <w:i/>
              </w:rPr>
              <w:t>overwegende dat deze vorm van algoritmische manipulatie het vertrouwen van het publiek in AI-technologieën dreigt uit te hollen, het democratisch discours dreigt te verstoren en de risico’s van desinformatie in de hele EU en wereldwijd dreigt te vergroten;</w:t>
            </w:r>
            <w:r>
              <w:t xml:space="preserve"> </w:t>
            </w:r>
            <w:r>
              <w:rPr>
                <w:b/>
                <w:i/>
              </w:rPr>
              <w:t>overwegende dat dit de noodzaak onderstreept van meer AI-geletterdheid in het onderwijs, op het werk en in de samenleving in het algemeen;</w:t>
            </w:r>
          </w:p>
        </w:tc>
        <w:tc>
          <w:tcPr>
            <w:tcW w:w="4876" w:type="dxa"/>
            <w:tcBorders>
              <w:top w:val="nil"/>
              <w:left w:val="nil"/>
              <w:bottom w:val="nil"/>
              <w:right w:val="nil"/>
            </w:tcBorders>
          </w:tcPr>
          <w:p>
            <w:pPr>
              <w:pStyle w:val="Normal6a"/>
            </w:pPr>
            <w:r>
              <w:t>L.</w:t>
            </w:r>
            <w:r>
              <w:tab/>
            </w:r>
            <w:r>
              <w:t xml:space="preserve">overwegende dat </w:t>
            </w:r>
            <w:r>
              <w:rPr>
                <w:b/>
                <w:i/>
              </w:rPr>
              <w:t>de Verdragen de Unie geen algemene bevoegdheid verlenen om de “eerlijkheid” of “integriteit” van</w:t>
            </w:r>
            <w:r>
              <w:t xml:space="preserve"> verkiezingen </w:t>
            </w:r>
            <w:r>
              <w:rPr>
                <w:b/>
                <w:i/>
              </w:rPr>
              <w:t>in de lidstaten te controleren, te waarborgen of te handhaven</w:t>
            </w:r>
            <w:r>
              <w:t xml:space="preserve">; overwegende dat </w:t>
            </w:r>
            <w:r>
              <w:rPr>
                <w:b/>
                <w:i/>
              </w:rPr>
              <w:t>de Commissie zelf</w:t>
            </w:r>
            <w:r>
              <w:t xml:space="preserve"> heeft </w:t>
            </w:r>
            <w:r>
              <w:rPr>
                <w:b/>
                <w:i/>
              </w:rPr>
              <w:t>bevestigd dat de organisatie en het verloop van verkiezingen een verantwoordelijkheid</w:t>
            </w:r>
            <w:r>
              <w:t xml:space="preserve"> van de </w:t>
            </w:r>
            <w:r>
              <w:rPr>
                <w:b/>
                <w:i/>
              </w:rPr>
              <w:t>lidstaat blijven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overwegende dat het gebruik van AI nieuwe mogelijkheden biedt om het beheer van en het toezicht op verkiezingen te </w:t>
            </w:r>
            <w:r>
              <w:rPr>
                <w:b/>
                <w:i/>
              </w:rPr>
              <w:t>versterken</w:t>
            </w:r>
            <w:r>
              <w:t>, bijvoorbeeld door ongebruikelijke onlineactiviteiten en gecoördineerd manipulatief gedrag op te sporen; overwegende dat het gebruik van AI, met inbegrip van generatieve modellen en deepfakes, ook aanzienlijke uitdagingen met zich meebrengt voor de integriteit van informatie en verkiezingsprocessen; overwegende dat geloofwaardige berichten de activiteiten aan het licht hebben gebracht van een in Moskou gevestigd desinformatienetwerk, dat bekendstaat als “Pravda” en dat zich opzettelijk heeft gericht op en is geïnfiltreerd in grote taalmodellen (LLM’s) met pro-Kremlin-narratieven die zijn ontworpen om neutrale en op feiten gebaseerde output na te bootsen; overwegende dat dergelijke tactieken een gevaarlijke ontwikkeling van FIMI vormen, aangezien zij misbruik maken van de ondoorzichtigheid en schaalbaarheid van AI-systemen om op subtiele wijze valse of misleidende geopolitieke boodschappen te verspreiden onder het mom van gezaghebbende taal; overwegende dat deze vorm van algoritmische manipulatie het vertrouwen van het publiek in AI-technologieën dreigt uit te hollen, het democratisch discours dreigt te verstoren en de risico’s van desinformatie in de hele EU en wereldwijd dreigt te vergroten; overwegende dat dit de noodzaak onderstreept van meer AI-geletterdheid in het onderwijs, op het werk en in de samenleving in het algemeen;</w:t>
            </w:r>
          </w:p>
        </w:tc>
        <w:tc>
          <w:tcPr>
            <w:tcW w:w="4876" w:type="dxa"/>
            <w:tcBorders>
              <w:top w:val="nil"/>
              <w:left w:val="nil"/>
              <w:bottom w:val="nil"/>
              <w:right w:val="nil"/>
            </w:tcBorders>
          </w:tcPr>
          <w:p>
            <w:pPr>
              <w:pStyle w:val="Normal6a"/>
            </w:pPr>
            <w:r>
              <w:t>L.</w:t>
            </w:r>
            <w:r>
              <w:tab/>
            </w:r>
            <w:r>
              <w:t xml:space="preserve">overwegende dat het gebruik van AI nieuwe mogelijkheden biedt om het beheer van en het toezicht op verkiezingen te </w:t>
            </w:r>
            <w:r>
              <w:rPr>
                <w:b/>
                <w:i/>
              </w:rPr>
              <w:t>vergemakkelijken</w:t>
            </w:r>
            <w:r>
              <w:t xml:space="preserve">, bijvoorbeeld door </w:t>
            </w:r>
            <w:r>
              <w:rPr>
                <w:b/>
                <w:i/>
              </w:rPr>
              <w:t>verdachte en</w:t>
            </w:r>
            <w:r>
              <w:t xml:space="preserve"> ongebruikelijke onlineactiviteiten en gecoördineerd manipulatief gedrag op te sporen; overwegende dat het gebruik van AI, met inbegrip van generatieve modellen en deepfakes, ook aanzienlijke uitdagingen met zich meebrengt voor de integriteit van informatie en verkiezingsprocessen; overwegende dat geloofwaardige berichten de activiteiten aan het licht hebben gebracht van een in Moskou gevestigd desinformatienetwerk, dat bekendstaat als “Pravda” en dat zich opzettelijk heeft gericht op en is geïnfiltreerd in grote taalmodellen (LLM’s) met pro-Kremlin-narratieven die zijn ontworpen om neutrale en op feiten gebaseerde output na te bootsen</w:t>
            </w:r>
            <w:r>
              <w:rPr>
                <w:b/>
                <w:i/>
              </w:rPr>
              <w:t>;</w:t>
            </w:r>
            <w:r>
              <w:t xml:space="preserve"> </w:t>
            </w:r>
            <w:r>
              <w:rPr>
                <w:b/>
                <w:i/>
              </w:rPr>
              <w:t>overwegende dat er steeds meer aanwijzingen zijn van pogingen van Chinese entiteiten, de zogenaamde Moslimbroederschap en andere actoren om de publieke opinie en de democratische besluitvorming te beïnvloeden met het oog op de verwezenlijking van hun belangen en geopolitieke doelstellingen</w:t>
            </w:r>
            <w:r>
              <w:t xml:space="preserve">; overwegende dat dergelijke tactieken een gevaarlijke ontwikkeling van FIMI vormen, aangezien zij misbruik maken van de ondoorzichtigheid en schaalbaarheid van AI-systemen om op subtiele wijze valse of misleidende geopolitieke boodschappen te verspreiden onder het mom van gezaghebbende taal; overwegende dat deze vorm van algoritmische manipulatie het vertrouwen van het publiek in AI-technologieën dreigt uit te hollen, het democratisch discours dreigt te verstoren en de risico’s van desinformatie in de hele EU en wereldwijd dreigt te vergroten; overwegende dat dit de noodzaak onderstreept van meer AI-geletterdheid in het onderwijs, op het werk en in de samenleving in het algemeen; </w:t>
            </w:r>
            <w:r>
              <w:rPr>
                <w:b/>
                <w:i/>
              </w:rPr>
              <w:t>overwegende dat AI-outputs vooroordelen kunnen weerspiegelen die zijn ontstaan door keuzen die bij het ontwerp door mensen zijn gemaakt, en niet altijd afhankelijk zijn van actuele of geverifieerde informatie, en dat gebruikers daarom te allen tijde passend toezicht en kritisch oordeel moeten toepassen wanneer zij zich op dergelijke outputs verlaten;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overwegende dat het gebruik van AI nieuwe mogelijkheden biedt om het beheer van en het toezicht op verkiezingen te versterken, bijvoorbeeld door ongebruikelijke onlineactiviteiten en gecoördineerd manipulatief gedrag op te sporen; overwegende dat het gebruik van AI, met inbegrip van generatieve modellen en deepfakes, ook aanzienlijke uitdagingen met zich meebrengt voor de integriteit van informatie en verkiezingsprocessen; overwegende dat geloofwaardige berichten de activiteiten aan het licht hebben gebracht van een in Moskou gevestigd desinformatienetwerk, dat bekendstaat als “Pravda” en dat zich opzettelijk heeft gericht op en is geïnfiltreerd in grote taalmodellen (LLM’s) met pro-Kremlin-narratieven die zijn ontworpen om neutrale en op feiten gebaseerde output na te bootsen; overwegende dat dergelijke tactieken een gevaarlijke ontwikkeling van FIMI vormen, aangezien zij misbruik maken van de ondoorzichtigheid en schaalbaarheid van AI-systemen om op subtiele wijze valse of misleidende geopolitieke boodschappen te verspreiden onder het mom van gezaghebbende taal; overwegende dat deze vorm van algoritmische manipulatie het vertrouwen van het publiek in AI-technologieën dreigt uit te hollen, het democratisch discours dreigt te verstoren en de risico’s van desinformatie in de hele EU en wereldwijd dreigt te vergroten; overwegende dat dit de noodzaak onderstreept van meer AI-geletterdheid in het onderwijs, op het werk en in de samenleving in het algemeen;</w:t>
            </w:r>
          </w:p>
        </w:tc>
        <w:tc>
          <w:tcPr>
            <w:tcW w:w="4876" w:type="dxa"/>
            <w:tcBorders>
              <w:top w:val="nil"/>
              <w:left w:val="nil"/>
              <w:bottom w:val="nil"/>
              <w:right w:val="nil"/>
            </w:tcBorders>
          </w:tcPr>
          <w:p>
            <w:pPr>
              <w:pStyle w:val="Normal6a"/>
            </w:pPr>
            <w:r>
              <w:t>L.</w:t>
            </w:r>
            <w:r>
              <w:tab/>
            </w:r>
            <w:r>
              <w:t xml:space="preserve">overwegende dat het gebruik van AI nieuwe mogelijkheden biedt om het beheer van en het toezicht op verkiezingen te versterken, bijvoorbeeld door ongebruikelijke onlineactiviteiten en gecoördineerd manipulatief gedrag op te sporen; overwegende dat het gebruik van AI, met inbegrip van generatieve modellen en deepfakes, ook aanzienlijke uitdagingen met zich meebrengt voor de integriteit van informatie en verkiezingsprocessen; overwegende dat geloofwaardige berichten de activiteiten aan het licht hebben gebracht van een in Moskou gevestigd desinformatienetwerk, dat bekendstaat als “Pravda” en dat zich opzettelijk heeft gericht op en is geïnfiltreerd in grote taalmodellen (LLM’s) met pro-Kremlin-narratieven die zijn ontworpen om neutrale en op feiten gebaseerde output na te bootsen; overwegende dat dergelijke tactieken een gevaarlijke ontwikkeling van FIMI vormen, aangezien zij misbruik maken van de ondoorzichtigheid en schaalbaarheid van AI-systemen om op subtiele wijze valse of misleidende geopolitieke boodschappen te verspreiden onder het mom van gezaghebbende taal; overwegende dat deze vorm van algoritmische manipulatie het vertrouwen van het publiek in AI-technologieën dreigt uit te hollen, het democratisch discours dreigt te verstoren en de risico’s van desinformatie in de hele EU en wereldwijd dreigt te vergroten; overwegende dat dit de noodzaak onderstreept van meer AI-geletterdheid in het onderwijs, op het werk en in de samenleving in het algemeen; </w:t>
            </w:r>
            <w:r>
              <w:rPr>
                <w:b/>
                <w:i/>
              </w:rPr>
              <w:t>overwegende dat geloofwaardige berichten de activiteiten aan het licht hebben gebracht van een in Moskou gevestigd desinformatienetwerk dat bekendstaat als “Pravda”, dat zich doelbewust richt op informatie-ecosystemen, waaronder grote taalmodellen, met pro-Kremlin-narratieven;</w:t>
            </w:r>
            <w:r>
              <w:t xml:space="preserve"> </w:t>
            </w:r>
            <w:r>
              <w:rPr>
                <w:b/>
                <w:i/>
              </w:rPr>
              <w:t>overwegende dat dergelijke activiteiten een vorm van buitenlandse informatiemanipulatie en inmenging vormen die tot doel heeft het democratische debat en het vertrouwen in digitale technologieën in de hele Unie te ondergraven;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overwegende dat het gebruik van AI nieuwe mogelijkheden biedt om het beheer van en het toezicht op verkiezingen te versterken, bijvoorbeeld door ongebruikelijke onlineactiviteiten en gecoördineerd manipulatief gedrag op te sporen; overwegende dat het gebruik van AI, met inbegrip van generatieve modellen en deepfakes, ook aanzienlijke uitdagingen met zich meebrengt voor de integriteit van informatie en verkiezingsprocessen; overwegende dat geloofwaardige berichten de activiteiten aan het licht hebben gebracht van een in Moskou gevestigd desinformatienetwerk, dat bekendstaat als “Pravda” en dat zich opzettelijk heeft gericht op en is geïnfiltreerd in grote taalmodellen (LLM’s) met pro-Kremlin-narratieven die zijn ontworpen om neutrale en op feiten gebaseerde output na te bootsen; overwegende dat dergelijke tactieken een gevaarlijke ontwikkeling van FIMI vormen, aangezien zij misbruik maken van de ondoorzichtigheid en schaalbaarheid van AI-systemen om op subtiele wijze valse of misleidende geopolitieke boodschappen te verspreiden onder het mom van gezaghebbende taal; overwegende dat deze vorm van algoritmische manipulatie het vertrouwen van het publiek in AI-technologieën dreigt uit te hollen, het democratisch discours dreigt te verstoren en de risico’s van desinformatie in de hele EU en wereldwijd dreigt te vergroten; overwegende dat dit de noodzaak onderstreept van meer AI-geletterdheid in het onderwijs, op het werk en in de samenleving in het algemeen;</w:t>
            </w:r>
          </w:p>
        </w:tc>
        <w:tc>
          <w:tcPr>
            <w:tcW w:w="4876" w:type="dxa"/>
            <w:tcBorders>
              <w:top w:val="nil"/>
              <w:left w:val="nil"/>
              <w:bottom w:val="nil"/>
              <w:right w:val="nil"/>
            </w:tcBorders>
          </w:tcPr>
          <w:p>
            <w:pPr>
              <w:pStyle w:val="Normal6a"/>
            </w:pPr>
            <w:r>
              <w:t>L.</w:t>
            </w:r>
            <w:r>
              <w:tab/>
            </w:r>
            <w:r>
              <w:t>overwegende dat het gebruik van AI nieuwe mogelijkheden biedt om het beheer van en het toezicht op verkiezingen te versterken, bijvoorbeeld door ongebruikelijke onlineactiviteiten en gecoördineerd manipulatief gedrag op te sporen; overwegende dat het gebruik van AI, met inbegrip van generatieve modellen en deepfakes, ook aanzienlijke uitdagingen met zich meebrengt voor de integriteit van informatie en verkiezingsprocessen</w:t>
            </w:r>
            <w:r>
              <w:rPr>
                <w:b/>
                <w:i/>
              </w:rPr>
              <w:t>;</w:t>
            </w:r>
            <w:r>
              <w:t xml:space="preserve"> </w:t>
            </w:r>
            <w:r>
              <w:rPr>
                <w:b/>
                <w:i/>
              </w:rPr>
              <w:t>overwegende dat het grootste deel van de ontwikkeling van AI buiten de EU plaatsvindt en dat de EU achterloopt op het gebied van investeringen in en het trainen van AI</w:t>
            </w:r>
            <w:r>
              <w:t>; overwegende dat geloofwaardige berichten de activiteiten aan het licht hebben gebracht van een in Moskou gevestigd desinformatienetwerk, dat bekendstaat als “Pravda” en dat zich opzettelijk heeft gericht op en is geïnfiltreerd in grote taalmodellen (LLM’s) met pro-Kremlin-narratieven die zijn ontworpen om neutrale en op feiten gebaseerde output na te bootsen; overwegende dat dergelijke tactieken een gevaarlijke ontwikkeling van FIMI vormen, aangezien zij misbruik maken van de ondoorzichtigheid en schaalbaarheid van AI-systemen om op subtiele wijze valse of misleidende geopolitieke boodschappen te verspreiden onder het mom van gezaghebbende taal; overwegende dat deze vorm van algoritmische manipulatie het vertrouwen van het publiek in AI-technologieën dreigt uit te hollen, het democratisch discours dreigt te verstoren en de risico’s van desinformatie in de hele EU en wereldwijd dreigt te vergroten; overwegende dat dit de noodzaak onderstreept van meer AI-geletterdheid in het onderwijs, op het werk en in de samenleving in het algemeen</w:t>
            </w:r>
            <w:r>
              <w:rPr>
                <w:b/>
                <w:i/>
              </w:rPr>
              <w:t>, meer transparantie met betrekking tot het trainen van LLM's, alsook van doorlopende en toereikende onderzoeksfinanciering om AI-gestuurde desinformatienetwerken en andere bedreigingen voor de informatie-integriteit aan het licht te brengen, onder meer door te zorgen voor een beter begrip van aanbevelingssystemen en door AI gedreven onlineschade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overwegende dat het gebruik van AI nieuwe mogelijkheden biedt om het beheer van en het toezicht op verkiezingen te versterken, bijvoorbeeld door ongebruikelijke onlineactiviteiten en gecoördineerd manipulatief gedrag op te sporen; overwegende dat het gebruik van AI, met inbegrip van generatieve modellen en deepfakes, ook aanzienlijke uitdagingen met zich meebrengt voor de integriteit van informatie en verkiezingsprocessen; overwegende dat geloofwaardige berichten de activiteiten aan het licht hebben gebracht van een in Moskou gevestigd desinformatienetwerk, dat bekendstaat als “Pravda” en dat zich opzettelijk heeft gericht op en is geïnfiltreerd in grote taalmodellen (LLM’s) met pro-Kremlin-narratieven die zijn ontworpen om neutrale en op feiten gebaseerde output na te bootsen; overwegende dat dergelijke tactieken een gevaarlijke ontwikkeling van FIMI vormen, aangezien zij misbruik maken van de ondoorzichtigheid en schaalbaarheid van AI-systemen om op subtiele wijze valse of misleidende geopolitieke boodschappen te verspreiden onder het mom van gezaghebbende taal; overwegende dat deze vorm van algoritmische manipulatie het vertrouwen van het publiek in AI-technologieën dreigt uit te hollen, het democratisch discours dreigt te verstoren en de risico’s van desinformatie in de hele EU en wereldwijd dreigt te vergroten; overwegende dat dit de noodzaak onderstreept van meer AI-geletterdheid in het onderwijs, op het werk en in de samenleving in het algemeen;</w:t>
            </w:r>
          </w:p>
        </w:tc>
        <w:tc>
          <w:tcPr>
            <w:tcW w:w="4876" w:type="dxa"/>
            <w:tcBorders>
              <w:top w:val="nil"/>
              <w:left w:val="nil"/>
              <w:bottom w:val="nil"/>
              <w:right w:val="nil"/>
            </w:tcBorders>
          </w:tcPr>
          <w:p>
            <w:pPr>
              <w:pStyle w:val="Normal6a"/>
            </w:pPr>
            <w:r>
              <w:t>L.</w:t>
            </w:r>
            <w:r>
              <w:tab/>
            </w:r>
            <w:r>
              <w:t>overwegende dat het gebruik van AI nieuwe mogelijkheden biedt om het beheer van en het toezicht op verkiezingen te versterken, bijvoorbeeld door ongebruikelijke onlineactiviteiten en gecoördineerd manipulatief gedrag op te sporen; overwegende dat het gebruik van AI, met inbegrip van generatieve modellen en deepfakes, ook aanzienlijke uitdagingen met zich meebrengt voor de integriteit van informatie en verkiezingsprocessen</w:t>
            </w:r>
            <w:r>
              <w:rPr>
                <w:b/>
                <w:i/>
              </w:rPr>
              <w:t>;</w:t>
            </w:r>
            <w:r>
              <w:t xml:space="preserve"> </w:t>
            </w:r>
            <w:r>
              <w:rPr>
                <w:b/>
                <w:i/>
              </w:rPr>
              <w:t>overwegende dat onder meer in Slowakije en Hongarije dergelijke verkiezingsgerelateerde deepfakes zijn waargenomen</w:t>
            </w:r>
            <w:r>
              <w:t>; overwegende dat geloofwaardige berichten de activiteiten aan het licht hebben gebracht van een in Moskou gevestigd desinformatienetwerk, dat bekendstaat als “Pravda” en dat zich opzettelijk heeft gericht op en is geïnfiltreerd in grote taalmodellen (LLM’s) met pro-Kremlin-narratieven die zijn ontworpen om neutrale en op feiten gebaseerde output na te bootsen; overwegende dat dergelijke tactieken een gevaarlijke ontwikkeling van FIMI vormen, aangezien zij misbruik maken van de ondoorzichtigheid en schaalbaarheid van AI-systemen om op subtiele wijze valse of misleidende geopolitieke boodschappen te verspreiden onder het mom van gezaghebbende taal; overwegende dat deze vorm van algoritmische manipulatie het vertrouwen van het publiek in AI-technologieën dreigt uit te hollen, het democratisch discours dreigt te verstoren en de risico’s van desinformatie in de hele EU en wereldwijd dreigt te vergroten; overwegende dat dit de noodzaak onderstreept van meer AI-geletterdheid in het onderwijs, op het werk en in de samenleving in het algemeen;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overwegende dat het gebruik van AI nieuwe mogelijkheden biedt om het beheer van en het toezicht op verkiezingen te versterken, bijvoorbeeld door ongebruikelijke onlineactiviteiten en gecoördineerd manipulatief gedrag op te sporen; overwegende dat het gebruik van AI, met inbegrip van generatieve modellen en deepfakes, ook aanzienlijke uitdagingen met zich meebrengt voor de integriteit van informatie en verkiezingsprocessen; overwegende dat geloofwaardige berichten de activiteiten aan het licht hebben gebracht van een in Moskou gevestigd desinformatienetwerk, dat bekendstaat als “Pravda” en dat zich opzettelijk heeft gericht op en is geïnfiltreerd in grote taalmodellen (LLM’s) met pro-Kremlin-narratieven die zijn ontworpen om neutrale en op feiten gebaseerde output na te bootsen; overwegende dat dergelijke tactieken een gevaarlijke ontwikkeling van FIMI vormen, aangezien zij misbruik maken van de ondoorzichtigheid en schaalbaarheid van AI-systemen om op subtiele wijze valse of misleidende geopolitieke boodschappen te verspreiden onder het mom van gezaghebbende taal; overwegende dat deze vorm van algoritmische manipulatie het vertrouwen van het publiek in AI-technologieën dreigt uit te hollen, het democratisch discours dreigt te verstoren en de risico’s van desinformatie in de hele EU en wereldwijd dreigt te vergroten; </w:t>
            </w:r>
            <w:r>
              <w:rPr>
                <w:b/>
                <w:i/>
              </w:rPr>
              <w:t>overwegende dat dit de noodzaak onderstreept van meer AI-geletterdheid in het onderwijs, op het werk en in de samenleving in het algemeen;</w:t>
            </w:r>
          </w:p>
        </w:tc>
        <w:tc>
          <w:tcPr>
            <w:tcW w:w="4876" w:type="dxa"/>
            <w:tcBorders>
              <w:top w:val="nil"/>
              <w:left w:val="nil"/>
              <w:bottom w:val="nil"/>
              <w:right w:val="nil"/>
            </w:tcBorders>
          </w:tcPr>
          <w:p>
            <w:pPr>
              <w:pStyle w:val="Normal6a"/>
            </w:pPr>
            <w:r>
              <w:t>L.</w:t>
            </w:r>
            <w:r>
              <w:tab/>
            </w:r>
            <w:r>
              <w:t>overwegende dat het gebruik van AI nieuwe mogelijkheden biedt om het beheer van en het toezicht op verkiezingen te versterken, bijvoorbeeld door ongebruikelijke onlineactiviteiten en gecoördineerd manipulatief gedrag op te sporen; overwegende dat het gebruik van AI, met inbegrip van generatieve modellen en deepfakes, ook aanzienlijke uitdagingen met zich meebrengt voor de integriteit van informatie en verkiezingsprocessen; overwegende dat geloofwaardige berichten de activiteiten aan het licht hebben gebracht van een in Moskou gevestigd desinformatienetwerk, dat bekendstaat als “Pravda” en dat zich opzettelijk heeft gericht op en is geïnfiltreerd in grote taalmodellen (LLM’s) met pro-Kremlin-narratieven die zijn ontworpen om neutrale en op feiten gebaseerde output na te bootsen; overwegende dat dergelijke tactieken een gevaarlijke ontwikkeling van FIMI vormen, aangezien zij misbruik maken van de ondoorzichtigheid en schaalbaarheid van AI-systemen om op subtiele wijze valse of misleidende geopolitieke boodschappen te verspreiden onder het mom van gezaghebbende taal; overwegende dat deze vorm van algoritmische manipulatie het vertrouwen van het publiek in AI-technologieën dreigt uit te hollen, het democratisch discours dreigt te verstoren en de risico’s van desinformatie in de hele EU en wereldwijd dreigt te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overwegende dat het gebruik van AI nieuwe mogelijkheden </w:t>
            </w:r>
            <w:r>
              <w:rPr>
                <w:b/>
                <w:i/>
              </w:rPr>
              <w:t>biedt</w:t>
            </w:r>
            <w:r>
              <w:t xml:space="preserve"> om het beheer van en het toezicht op verkiezingen te versterken, bijvoorbeeld door ongebruikelijke onlineactiviteiten en gecoördineerd manipulatief gedrag op te sporen; overwegende dat het gebruik van AI, met inbegrip van generatieve modellen en deepfakes, ook aanzienlijke uitdagingen met zich meebrengt voor de integriteit van informatie en verkiezingsprocessen; overwegende dat geloofwaardige berichten de activiteiten aan het licht hebben gebracht van een in Moskou gevestigd desinformatienetwerk, dat bekendstaat als “Pravda” en dat zich opzettelijk heeft gericht op en is geïnfiltreerd in grote taalmodellen (LLM’s) met pro-Kremlin-narratieven die zijn ontworpen om neutrale en op feiten gebaseerde output na te bootsen; overwegende dat dergelijke tactieken een gevaarlijke ontwikkeling van FIMI vormen, aangezien zij misbruik maken van de ondoorzichtigheid en schaalbaarheid van AI-systemen om op subtiele wijze valse of misleidende geopolitieke boodschappen te verspreiden onder het mom van gezaghebbende taal; overwegende dat deze vorm van algoritmische manipulatie het vertrouwen van het publiek in AI-technologieën dreigt uit te hollen, het democratisch discours dreigt te verstoren en de risico’s van desinformatie in de hele EU en wereldwijd dreigt te vergroten; overwegende dat dit de noodzaak onderstreept van meer AI-geletterdheid in het onderwijs, op het werk en in de samenleving in het algemeen;</w:t>
            </w:r>
          </w:p>
        </w:tc>
        <w:tc>
          <w:tcPr>
            <w:tcW w:w="4876" w:type="dxa"/>
            <w:tcBorders>
              <w:top w:val="nil"/>
              <w:left w:val="nil"/>
              <w:bottom w:val="nil"/>
              <w:right w:val="nil"/>
            </w:tcBorders>
          </w:tcPr>
          <w:p>
            <w:pPr>
              <w:pStyle w:val="Normal6a"/>
            </w:pPr>
            <w:r>
              <w:t>L.</w:t>
            </w:r>
            <w:r>
              <w:tab/>
            </w:r>
            <w:r>
              <w:t xml:space="preserve">overwegende dat het gebruik van AI nieuwe mogelijkheden </w:t>
            </w:r>
            <w:r>
              <w:rPr>
                <w:b/>
                <w:i/>
              </w:rPr>
              <w:t>kan bieden</w:t>
            </w:r>
            <w:r>
              <w:t xml:space="preserve"> om het beheer van en het toezicht op verkiezingen te versterken, bijvoorbeeld door ongebruikelijke onlineactiviteiten en gecoördineerd manipulatief gedrag op te sporen; overwegende dat het gebruik van AI, met inbegrip van generatieve modellen en deepfakes, ook aanzienlijke uitdagingen met zich meebrengt voor de integriteit van informatie en verkiezingsprocessen; overwegende dat geloofwaardige berichten de activiteiten aan het licht hebben gebracht van een in Moskou gevestigd desinformatienetwerk, dat bekendstaat als “Pravda” en dat zich opzettelijk heeft gericht op en is geïnfiltreerd in grote taalmodellen (LLM’s) met pro-Kremlin-narratieven die zijn ontworpen om neutrale en op feiten gebaseerde output na te bootsen; overwegende dat dergelijke tactieken een gevaarlijke ontwikkeling van FIMI vormen, aangezien zij misbruik maken van de ondoorzichtigheid en schaalbaarheid van AI-systemen om op subtiele wijze valse of misleidende geopolitieke boodschappen te verspreiden onder het mom van gezaghebbende taal; overwegende dat deze vorm van algoritmische manipulatie het vertrouwen van het publiek in AI-technologieën dreigt uit te hollen, het democratisch discours dreigt te verstoren en de risico’s van desinformatie in de hele EU en wereldwijd dreigt te vergroten; overwegende dat dit de noodzaak onderstreept van meer AI-geletterdheid in het onderwijs, op het werk en in de samenleving in het algemeen;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bis.</w:t>
            </w:r>
            <w:r>
              <w:tab/>
            </w:r>
            <w:r>
              <w:rPr>
                <w:b/>
                <w:i/>
              </w:rPr>
              <w:t>overwegende dat mensen tussen 16 en 24 jaar volgens een verslag van Europinion</w:t>
            </w:r>
            <w:r>
              <w:rPr>
                <w:b/>
                <w:i/>
                <w:vertAlign w:val="superscript"/>
              </w:rPr>
              <w:t>51 ter</w:t>
            </w:r>
            <w:r>
              <w:rPr>
                <w:b/>
                <w:i/>
              </w:rPr>
              <w:t> gemiddeld zeven uur online doorbrengen, waarvan twee tot drie uur op sociale media;</w:t>
            </w:r>
            <w:r>
              <w:t xml:space="preserve"> </w:t>
            </w:r>
            <w:r>
              <w:rPr>
                <w:b/>
                <w:i/>
              </w:rPr>
              <w:t>overwegende dat in het verslag wordt benadrukt dat 59 % van de 15- tot 24-jarigen sociale media als primaire nieuwsbron gebruikt;</w:t>
            </w:r>
            <w:r>
              <w:t xml:space="preserve"> </w:t>
            </w:r>
            <w:r>
              <w:rPr>
                <w:b/>
                <w:i/>
              </w:rPr>
              <w:t>overwegende dat de socialemediaplatforms die het meest door jongeren worden gebruikt, waaronder TikTok, echter als minder betrouwbaar worden beschouwd;</w:t>
            </w:r>
            <w:r>
              <w:t xml:space="preserve"> </w:t>
            </w:r>
            <w:r>
              <w:rPr>
                <w:b/>
                <w:i/>
              </w:rPr>
              <w:t>overwegende dat de nieuwsconsumptie van deze groep wordt gekenmerkt door fragmentatie, passieve en incidentele consumptie en zacht nieuws in plaats van actieve politieke inhoud;</w:t>
            </w:r>
            <w:r>
              <w:t xml:space="preserve"> </w:t>
            </w:r>
            <w:r>
              <w:rPr>
                <w:b/>
                <w:i/>
              </w:rPr>
              <w:t>overwegende dat dit betekent dat opleiding op het gebied van mediageletterdheid op deze consumptiegewoonten moet worden afgestemd;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 ter</w:t>
            </w:r>
            <w:r>
              <w:t xml:space="preserve"> </w:t>
            </w:r>
            <w:r>
              <w:rPr>
                <w:b/>
                <w:i/>
              </w:rPr>
              <w:t>Europinion LTD, “Navigating the information disorder:</w:t>
            </w:r>
            <w:r>
              <w:t xml:space="preserve"> </w:t>
            </w:r>
            <w:r>
              <w:rPr>
                <w:b/>
                <w:i/>
              </w:rPr>
              <w:t>European Youth in the age of digital disinformation”, april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bis.</w:t>
            </w:r>
            <w:r>
              <w:tab/>
            </w:r>
            <w:r>
              <w:rPr>
                <w:b/>
                <w:i/>
              </w:rPr>
              <w:t>overwegende dat het bedrijfsmodel van onlineplatforms gebaseerd is op het genereren van een hoge mate van interactie, waarbij prioriteit wordt gegeven aan sensationele, polariserende of misleidende informatie;</w:t>
            </w:r>
            <w:r>
              <w:t xml:space="preserve"> </w:t>
            </w:r>
            <w:r>
              <w:rPr>
                <w:b/>
                <w:i/>
              </w:rPr>
              <w:t>overwegende dat de algoritmische ondoorzichtigheid van onlineplatforms een uitdaging blijft;</w:t>
            </w:r>
            <w:r>
              <w:t xml:space="preserve"> </w:t>
            </w:r>
            <w:r>
              <w:rPr>
                <w:b/>
                <w:i/>
              </w:rPr>
              <w:t>overwegende dat in de digitaledienstenverordening belangrijke nieuwe regels zijn vastgesteld om de algoritmische transparantie en verantwoording te vergroten;</w:t>
            </w:r>
            <w:r>
              <w:t xml:space="preserve"> </w:t>
            </w:r>
            <w:r>
              <w:rPr>
                <w:b/>
                <w:i/>
              </w:rPr>
              <w:t>overwegende dat gebruikers nu kunnen kiezen voor een niet-gepersonaliseerde feed om zich minder te hoeven verlaten op ondoorzichtige algoritmische curatie;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bis.</w:t>
            </w:r>
            <w:r>
              <w:tab/>
            </w:r>
            <w:r>
              <w:rPr>
                <w:b/>
                <w:i/>
              </w:rPr>
              <w:t>overwegende dat de Commissie zich ertoe heeft verbonden een wet inzake digitale rechtvaardigheid voor te stellen om onethische technieken en commerciële praktijken aan te pakken die verband houden met donkere patronen, marketing door influencers op sociale media, verslavend ontwerp van digitale producten en diensten en onlineprofilering, met name wanneer de kwetsbaarheid van consumenten voor commerciële doeleinden wordt uitgebuit;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Kim van Sparrentak, Hannah Neumann</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bis.</w:t>
            </w:r>
            <w:r>
              <w:tab/>
            </w:r>
            <w:r>
              <w:rPr>
                <w:b/>
                <w:i/>
              </w:rPr>
              <w:t>overwegende dat transnationale repressie een toenemende vorm van buitenlandse inmenging in onze lidstaten is die democratieën en de Europese soevereiniteit en veiligheid ondermijnt en een fundamentele schending vormt van de mensenrechten van personen die het doelwit zijn van transnationale repressie, alsook van hun veiligheid en bescherming tegen repressie in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Jonas Sjöstedt,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bis.</w:t>
            </w:r>
            <w:r>
              <w:tab/>
            </w:r>
            <w:r>
              <w:rPr>
                <w:b/>
                <w:i/>
              </w:rPr>
              <w:t>overwegende dat onlineplatforms, als onderdeel van hun bedrijfsmodel, systematisch algoritmische systemen toepassen op basis van ontwerptechnieken die prioriteit geven aan emotieve of extreme inhoud en ook kunnen worden misbruikt voor inmenging in verkiezingsprocessen en manipulatie van democratische processen;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bis.</w:t>
            </w:r>
            <w:r>
              <w:tab/>
            </w:r>
            <w:r>
              <w:rPr>
                <w:b/>
                <w:i/>
              </w:rPr>
              <w:t>overwegende dat wijdverbreide digitale en mediageletterdheid, in combinatie met de systematische bevordering van kritisch denken in alle leeftijdsgroepen, een van de meest doeltreffende verweermiddelen is tegen buitenlandse informatiemanipulatie en kwaadwillig gebruik van artificiële intelligentie;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L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ter.</w:t>
            </w:r>
            <w:r>
              <w:tab/>
            </w:r>
            <w:r>
              <w:rPr>
                <w:b/>
                <w:i/>
              </w:rPr>
              <w:t>overwegende dat diensten op het gebied van artificiële intelligentie een belangrijke aanjager van innovatie, concurrentievermogen en maatschappelijke vooruitgang zijn en ongekende kansen bieden om de toegang tot kennis te verruimen, de productiviteit te verbeteren en de ontwikkeling van nieuwe digitale diensten en industrieën te stimuleren;</w:t>
            </w:r>
            <w:r>
              <w:t xml:space="preserve"> </w:t>
            </w:r>
            <w:r>
              <w:rPr>
                <w:b/>
                <w:i/>
              </w:rPr>
              <w:t>beklemtoont evenwel dat het toenemende vermogen van dergelijke systemen om zonder duidelijke redactionele verantwoording nieuwsachtige inhoud te genereren, samen te vatten en te verspreiden ook adaptieve marktomstandigheden en toekomstgerichte regelgevingsbenaderingen vereist;</w:t>
            </w:r>
            <w:r>
              <w:t xml:space="preserve"> </w:t>
            </w:r>
            <w:r>
              <w:rPr>
                <w:b/>
                <w:i/>
              </w:rPr>
              <w:t>benadrukt dat innovatie zelf moet worden beschouwd als een centraal onderdeel van de respons, met name door middel van investeringen in Europees onderzoek, betrouwbare AI-ecosystemen en technologische soevereiniteit;</w:t>
            </w:r>
            <w:r>
              <w:t xml:space="preserve"> </w:t>
            </w:r>
            <w:r>
              <w:rPr>
                <w:b/>
                <w:i/>
              </w:rPr>
              <w:t>beklemtoont dat de bevordering van verantwoorde innovatie en een gelijk speelveld tussen AI-gestuurde diensten en redactionele media-actoren van essentieel belang is om het vertrouwen van het publiek te behouden, de toegang tot betrouwbare informatie te waarborgen en ervoor te zorgen dat de technologische vooruitgang de democratische informatieomgeving niet ondermijnt maar juist versterkt;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w:t>
            </w:r>
            <w:r>
              <w:tab/>
            </w:r>
            <w:r>
              <w:rPr>
                <w:b/>
                <w:i/>
              </w:rPr>
              <w:t>overwegende dat online-influencers een belangrijke rol kunnen spelen bij het versterken van de digitale veerkracht van onze samenlevingen, door het vergroten van het bewustzijn over mediageletterdheid en democratische procedures of door bij te dragen aan een gezond politiek debat;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overwegende dat online-influencers </w:t>
            </w:r>
            <w:r>
              <w:rPr>
                <w:b/>
                <w:i/>
              </w:rPr>
              <w:t>een belangrijke rol kunnen spelen bij het versterken van de digitale veerkracht van onze samenlevingen, door het vergroten</w:t>
            </w:r>
            <w:r>
              <w:t xml:space="preserve"> van het </w:t>
            </w:r>
            <w:r>
              <w:rPr>
                <w:b/>
                <w:i/>
              </w:rPr>
              <w:t>bewustzijn over</w:t>
            </w:r>
            <w:r>
              <w:t xml:space="preserve"> mediageletterdheid </w:t>
            </w:r>
            <w:r>
              <w:rPr>
                <w:b/>
                <w:i/>
              </w:rPr>
              <w:t>en democratische procedures of door bij te dragen aan een gezond politiek</w:t>
            </w:r>
            <w:r>
              <w:t xml:space="preserve"> debat;</w:t>
            </w:r>
          </w:p>
        </w:tc>
        <w:tc>
          <w:tcPr>
            <w:tcW w:w="4876" w:type="dxa"/>
            <w:tcBorders>
              <w:top w:val="nil"/>
              <w:left w:val="nil"/>
              <w:bottom w:val="nil"/>
              <w:right w:val="nil"/>
            </w:tcBorders>
          </w:tcPr>
          <w:p>
            <w:pPr>
              <w:pStyle w:val="Normal6a"/>
            </w:pPr>
            <w:r>
              <w:t>M.</w:t>
            </w:r>
            <w:r>
              <w:tab/>
            </w:r>
            <w:r>
              <w:t xml:space="preserve">overwegende dat </w:t>
            </w:r>
            <w:r>
              <w:rPr>
                <w:b/>
                <w:i/>
              </w:rPr>
              <w:t>steeds meer burgers, en met name minderjarigen, sterk afhankelijk zijn van sociale netwerken en diensten voor het delen van video's en inhoud als toegangspoort tot nieuws en informatie over de actualiteiten;</w:t>
            </w:r>
            <w:r>
              <w:t xml:space="preserve"> </w:t>
            </w:r>
            <w:r>
              <w:rPr>
                <w:b/>
                <w:i/>
              </w:rPr>
              <w:t>overwegende dat de heersende economische en op interactie gerichte modellen van dergelijke diensten de aandacht voor misleidend, sensationeel of polariserend materiaal kunnen stimuleren;</w:t>
            </w:r>
            <w:r>
              <w:t xml:space="preserve"> </w:t>
            </w:r>
            <w:r>
              <w:rPr>
                <w:b/>
                <w:i/>
              </w:rPr>
              <w:t>overwegende dat veel gebruikers in deze omgevingen aanhoudende moeilijkheden ondervinden om geverifieerde informatie op betrouwbare wijze te onderscheiden van valse of gemanipuleerde inhoud;</w:t>
            </w:r>
            <w:r>
              <w:t xml:space="preserve"> </w:t>
            </w:r>
            <w:r>
              <w:rPr>
                <w:b/>
                <w:i/>
              </w:rPr>
              <w:t>overwegende dat onlinepersoonlijkheden en -influencers een aanzienlijk vermogen hebben verworven om de publieke opinie en informatiestromen vorm te geven zonder altijd onderworpen te zijn aan normen op het gebied van verantwoording die vergelijkbaar zijn met de normen die gelden voor gereguleerde media-actoren;</w:t>
            </w:r>
            <w:r>
              <w:t xml:space="preserve"> </w:t>
            </w:r>
            <w:r>
              <w:rPr>
                <w:b/>
                <w:i/>
              </w:rPr>
              <w:t>overwegende dat de regelgevingsbenaderingen in de Unie met betrekking tot de status, transparantieverplichtingen en redactionele verantwoordelijkheden van</w:t>
            </w:r>
            <w:r>
              <w:t xml:space="preserve"> online-influencers </w:t>
            </w:r>
            <w:r>
              <w:rPr>
                <w:b/>
                <w:i/>
              </w:rPr>
              <w:t>nog altijd ongelijk zijn;</w:t>
            </w:r>
            <w:r>
              <w:t xml:space="preserve"> </w:t>
            </w:r>
            <w:r>
              <w:rPr>
                <w:b/>
                <w:i/>
              </w:rPr>
              <w:t>overwegende dat influencers, gezien hun bereik en het vertrouwen</w:t>
            </w:r>
            <w:r>
              <w:t xml:space="preserve"> van het </w:t>
            </w:r>
            <w:r>
              <w:rPr>
                <w:b/>
                <w:i/>
              </w:rPr>
              <w:t>publiek, ook een relevante vector vormen in het hedendaagse informatie-ecosysteem en ertoe moeten worden aangespoord meer verantwoordelijkheid op zich te nemen en deel te nemen aan initiatieven van algemeen belang die gericht zijn op het bevorderen van de</w:t>
            </w:r>
            <w:r>
              <w:t xml:space="preserve"> mediageletterdheid</w:t>
            </w:r>
            <w:r>
              <w:rPr>
                <w:b/>
                <w:i/>
              </w:rPr>
              <w:t>, het democratisch bewustzijn en de integriteit van het publieke</w:t>
            </w:r>
            <w:r>
              <w:t xml:space="preserve"> debat;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overwegende dat online-influencers een belangrijke rol kunnen spelen bij het versterken van de digitale veerkracht van onze samenlevingen</w:t>
            </w:r>
            <w:r>
              <w:rPr>
                <w:b/>
                <w:i/>
              </w:rPr>
              <w:t>, door het vergroten van het bewustzijn</w:t>
            </w:r>
            <w:r>
              <w:t xml:space="preserve"> over mediageletterdheid en democratische procedures </w:t>
            </w:r>
            <w:r>
              <w:rPr>
                <w:b/>
                <w:i/>
              </w:rPr>
              <w:t>of door bij te dragen aan</w:t>
            </w:r>
            <w:r>
              <w:t xml:space="preserve"> een gezond politiek debat;</w:t>
            </w:r>
          </w:p>
        </w:tc>
        <w:tc>
          <w:tcPr>
            <w:tcW w:w="4876" w:type="dxa"/>
            <w:tcBorders>
              <w:top w:val="nil"/>
              <w:left w:val="nil"/>
              <w:bottom w:val="nil"/>
              <w:right w:val="nil"/>
            </w:tcBorders>
          </w:tcPr>
          <w:p>
            <w:pPr>
              <w:pStyle w:val="Normal6a"/>
            </w:pPr>
            <w:r>
              <w:t>M.</w:t>
            </w:r>
            <w:r>
              <w:tab/>
            </w:r>
            <w:r>
              <w:t xml:space="preserve">overwegende dat online-influencers een belangrijke rol kunnen spelen bij het versterken van de digitale veerkracht van onze samenlevingen </w:t>
            </w:r>
            <w:r>
              <w:rPr>
                <w:b/>
                <w:i/>
              </w:rPr>
              <w:t>wanneer zij onderwerpen behandelen zoals politieke partijen en de vertegenwoordigers en kandidaten daarvan, alsook verkiezingsprogramma’s;</w:t>
            </w:r>
            <w:r>
              <w:t xml:space="preserve"> </w:t>
            </w:r>
            <w:r>
              <w:rPr>
                <w:b/>
                <w:i/>
              </w:rPr>
              <w:t>overwegende dat de behandeling van dergelijke onderwerpen daarom moet bijdragen tot de bewustmaking</w:t>
            </w:r>
            <w:r>
              <w:t xml:space="preserve"> over mediageletterdheid en democratische procedures</w:t>
            </w:r>
            <w:r>
              <w:rPr>
                <w:b/>
                <w:i/>
              </w:rPr>
              <w:t>, of tot de totstandbrenging van</w:t>
            </w:r>
            <w:r>
              <w:t xml:space="preserve"> een gezond politiek debat; </w:t>
            </w:r>
            <w:r>
              <w:rPr>
                <w:b/>
                <w:i/>
              </w:rPr>
              <w:t>overwegende dat online-influencers een belangrijke rol kunnen spelen bij het versterken van de digitale veerkracht van onze samenlevingen, maar steeds vaker politieke opvattingen vormgeven door commentaar te leveren op politieke partijen en de vertegenwoordigers en kandidaten daarvan, alsook op verkiezingsprogramma’s;</w:t>
            </w:r>
            <w:r>
              <w:t xml:space="preserve"> </w:t>
            </w:r>
            <w:r>
              <w:rPr>
                <w:b/>
                <w:i/>
              </w:rPr>
              <w:t>overwegende dat dergelijke inhoud, gezien het bereik en de invloed van deze influencers, niet de democratische procedures moet ondermijnen, maar juist het bewustzijn over mediageletterdheid, democratische procedures en een gezond politiek debat moet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overwegende dat online-influencers </w:t>
            </w:r>
            <w:r>
              <w:rPr>
                <w:b/>
                <w:i/>
              </w:rPr>
              <w:t>een belangrijke rol kunnen spelen bij het versterken van de digitale veerkracht van onze samenlevingen, door het vergroten van het bewustzijn over mediageletterdheid en democratische procedures of door bij te dragen aan een gezond politiek debat</w:t>
            </w:r>
            <w:r>
              <w:t>;</w:t>
            </w:r>
          </w:p>
        </w:tc>
        <w:tc>
          <w:tcPr>
            <w:tcW w:w="4876" w:type="dxa"/>
            <w:tcBorders>
              <w:top w:val="nil"/>
              <w:left w:val="nil"/>
              <w:bottom w:val="nil"/>
              <w:right w:val="nil"/>
            </w:tcBorders>
          </w:tcPr>
          <w:p>
            <w:pPr>
              <w:pStyle w:val="Normal6a"/>
            </w:pPr>
            <w:r>
              <w:t>M.</w:t>
            </w:r>
            <w:r>
              <w:tab/>
            </w:r>
            <w:r>
              <w:t xml:space="preserve">overwegende dat </w:t>
            </w:r>
            <w:r>
              <w:rPr>
                <w:b/>
                <w:i/>
              </w:rPr>
              <w:t>burgers, en met name minderjarigen, in groten getale gebruikmaken van sociale media, platforms voor het delen van inhoud en online-aggregators, onder meer om nieuws tot zich te nemen;</w:t>
            </w:r>
            <w:r>
              <w:t xml:space="preserve"> </w:t>
            </w:r>
            <w:r>
              <w:rPr>
                <w:b/>
                <w:i/>
              </w:rPr>
              <w:t>overwegende dat het bedrijfsmodel van dergelijke platforms er zeer vaak toe leidt dat de voorkeur wordt gegeven aan polariserende inhoud;</w:t>
            </w:r>
            <w:r>
              <w:t xml:space="preserve"> </w:t>
            </w:r>
            <w:r>
              <w:rPr>
                <w:b/>
                <w:i/>
              </w:rPr>
              <w:t>overwegende dat veel gebruikers het echter moeilijk vinden om onderscheid te maken tussen ware en onware informatie op deze diensten;</w:t>
            </w:r>
            <w:r>
              <w:t xml:space="preserve"> </w:t>
            </w:r>
            <w:r>
              <w:rPr>
                <w:b/>
                <w:i/>
              </w:rPr>
              <w:t>overwegende dat persoonlijkheden en influencers die op deze onlineplatforms actief zijn, aanzienlijke invloed hebben verworven bij het vormgeven van het publieke debat, zonder noodzakelijkerwijs dezelfde normen in acht te nemen als andere, gereguleerde actoren;</w:t>
            </w:r>
            <w:r>
              <w:t xml:space="preserve"> </w:t>
            </w:r>
            <w:r>
              <w:rPr>
                <w:b/>
                <w:i/>
              </w:rPr>
              <w:t>overwegende dat er in de EU sprake is van versnippering met betrekking tot de regels inzake de activiteiten en de redactionele verantwoordelijkheid van</w:t>
            </w:r>
            <w:r>
              <w:t xml:space="preserve"> online-influencers;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overwegende dat online-influencers een belangrijke rol kunnen spelen bij het versterken van de digitale veerkracht van onze samenlevingen, door het vergroten van het bewustzijn over mediageletterdheid en democratische procedures of door bij te dragen aan een gezond politiek debat;</w:t>
            </w:r>
          </w:p>
        </w:tc>
        <w:tc>
          <w:tcPr>
            <w:tcW w:w="4876" w:type="dxa"/>
            <w:tcBorders>
              <w:top w:val="nil"/>
              <w:left w:val="nil"/>
              <w:bottom w:val="nil"/>
              <w:right w:val="nil"/>
            </w:tcBorders>
          </w:tcPr>
          <w:p>
            <w:pPr>
              <w:pStyle w:val="Normal6a"/>
            </w:pPr>
            <w:r>
              <w:t>M.</w:t>
            </w:r>
            <w:r>
              <w:tab/>
            </w:r>
            <w:r>
              <w:t>overwegende dat online-influencers een belangrijke rol kunnen spelen bij het versterken van de digitale veerkracht van onze samenlevingen</w:t>
            </w:r>
            <w:r>
              <w:rPr>
                <w:b/>
                <w:i/>
              </w:rPr>
              <w:t>, met name onder jongeren en mensen die voor het eerst stemmen</w:t>
            </w:r>
            <w:r>
              <w:t xml:space="preserve">, door het vergroten van het bewustzijn over mediageletterdheid en democratische procedures of door bij te dragen aan een gezond politiek debat; </w:t>
            </w:r>
            <w:r>
              <w:rPr>
                <w:b/>
                <w:i/>
              </w:rPr>
              <w:t>overwegende dat de toenemende afhankelijkheid van betaalde samenwerkingen en gesponsorde inhoud echter kwetsbaarheden tot stand brengt, en dat deze samenwerkingen daarom transparant moeten zijn en openbaar moeten worden gemaakt, aangezien dergelijke regelingen kunnen worden misbruikt om schadelijke, misleidende of politiek manipulatieve narratieven te verspreiden;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overwegende dat online-influencers een belangrijke rol kunnen spelen bij het versterken van de digitale veerkracht van onze samenlevingen, door het vergroten van het bewustzijn over mediageletterdheid en democratische procedures of door bij te dragen aan een gezond politiek debat;</w:t>
            </w:r>
          </w:p>
        </w:tc>
        <w:tc>
          <w:tcPr>
            <w:tcW w:w="4876" w:type="dxa"/>
            <w:tcBorders>
              <w:top w:val="nil"/>
              <w:left w:val="nil"/>
              <w:bottom w:val="nil"/>
              <w:right w:val="nil"/>
            </w:tcBorders>
          </w:tcPr>
          <w:p>
            <w:pPr>
              <w:pStyle w:val="Normal6a"/>
            </w:pPr>
            <w:r>
              <w:t>M.</w:t>
            </w:r>
            <w:r>
              <w:tab/>
            </w:r>
            <w:r>
              <w:t xml:space="preserve">overwegende dat online-influencers </w:t>
            </w:r>
            <w:r>
              <w:rPr>
                <w:b/>
                <w:i/>
              </w:rPr>
              <w:t>kunnen worden gebruikt als doorgeefluik voor buitenlandse inmenging, zoals tijdens de presidentsverkiezingen in Roemenië is gebeurd;</w:t>
            </w:r>
            <w:r>
              <w:t xml:space="preserve"> </w:t>
            </w:r>
            <w:r>
              <w:rPr>
                <w:b/>
                <w:i/>
              </w:rPr>
              <w:t>overwegende dat zij niettemin</w:t>
            </w:r>
            <w:r>
              <w:t xml:space="preserve"> een belangrijke rol kunnen spelen bij het versterken van de digitale veerkracht van onze samenlevingen, door het vergroten van het bewustzijn over mediageletterdheid en democratische procedures of door bij te dragen aan een gezond politiek debat; </w:t>
            </w:r>
            <w:r>
              <w:rPr>
                <w:b/>
                <w:i/>
              </w:rPr>
              <w:t>overwegende dat er pogingen worden gedaan om normen vast te stellen voor verantwoordelijke online-influencers, zoals het “Certificat de l’influence responsable” van de Franse Autorité de régulation professionnelle de la publicité;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overwegende dat online-influencers een belangrijke rol kunnen spelen bij het versterken van de digitale veerkracht van onze samenlevingen, door het vergroten van het bewustzijn over mediageletterdheid en democratische procedures of door bij te dragen aan een gezond politiek debat;</w:t>
            </w:r>
          </w:p>
        </w:tc>
        <w:tc>
          <w:tcPr>
            <w:tcW w:w="4876" w:type="dxa"/>
            <w:tcBorders>
              <w:top w:val="nil"/>
              <w:left w:val="nil"/>
              <w:bottom w:val="nil"/>
              <w:right w:val="nil"/>
            </w:tcBorders>
          </w:tcPr>
          <w:p>
            <w:pPr>
              <w:pStyle w:val="Normal6a"/>
            </w:pPr>
            <w:r>
              <w:t>M.</w:t>
            </w:r>
            <w:r>
              <w:tab/>
            </w:r>
            <w:r>
              <w:t xml:space="preserve">overwegende dat online-influencers een belangrijke rol kunnen spelen bij het versterken van de digitale veerkracht van onze samenlevingen, door het vergroten van het bewustzijn over mediageletterdheid en democratische procedures of door bij te dragen aan een gezond politiek debat; </w:t>
            </w:r>
            <w:r>
              <w:rPr>
                <w:b/>
                <w:i/>
              </w:rPr>
              <w:t>overwegende dat de activiteiten van deze influencers ook moeten worden onderzocht wanneer de influencers hun online-impact gebruiken om desinformatie te verspreiden of door nationale regeringen worden ingehuurd om partijdige boodschappen te promoten;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overwegende dat online-influencers een belangrijke rol kunnen spelen bij het versterken van de digitale veerkracht van onze samenlevingen, door het vergroten van het bewustzijn over mediageletterdheid en democratische procedures of door bij te dragen aan een gezond politiek debat;</w:t>
            </w:r>
          </w:p>
        </w:tc>
        <w:tc>
          <w:tcPr>
            <w:tcW w:w="4876" w:type="dxa"/>
            <w:tcBorders>
              <w:top w:val="nil"/>
              <w:left w:val="nil"/>
              <w:bottom w:val="nil"/>
              <w:right w:val="nil"/>
            </w:tcBorders>
          </w:tcPr>
          <w:p>
            <w:pPr>
              <w:pStyle w:val="Normal6a"/>
            </w:pPr>
            <w:r>
              <w:t>M.</w:t>
            </w:r>
            <w:r>
              <w:tab/>
            </w:r>
            <w:r>
              <w:t xml:space="preserve">overwegende dat online-influencers een belangrijke rol kunnen spelen bij het versterken van de digitale veerkracht van onze samenlevingen, door het vergroten van het bewustzijn over mediageletterdheid en democratische procedures of door bij te dragen aan een gezond politiek debat; </w:t>
            </w:r>
            <w:r>
              <w:rPr>
                <w:b/>
                <w:i/>
              </w:rPr>
              <w:t>overwegende dat het stimuleren van online-influencers om op feiten gebaseerde, prodemocratische inhoud te promoten transparante en consistente monetisatiestrategieën van onlineplatforms vereist;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overwegende dat online-influencers een belangrijke rol kunnen spelen </w:t>
            </w:r>
            <w:r>
              <w:rPr>
                <w:b/>
                <w:i/>
              </w:rPr>
              <w:t>bij het versterken van de digitale veerkracht van onze samenlevingen, door het vergroten van</w:t>
            </w:r>
            <w:r>
              <w:t xml:space="preserve"> het bewustzijn </w:t>
            </w:r>
            <w:r>
              <w:rPr>
                <w:b/>
                <w:i/>
              </w:rPr>
              <w:t>over mediageletterdheid en democratische procedures of door bij te dragen aan een gezond politiek debat</w:t>
            </w:r>
            <w:r>
              <w:t>;</w:t>
            </w:r>
          </w:p>
        </w:tc>
        <w:tc>
          <w:tcPr>
            <w:tcW w:w="4876" w:type="dxa"/>
            <w:tcBorders>
              <w:top w:val="nil"/>
              <w:left w:val="nil"/>
              <w:bottom w:val="nil"/>
              <w:right w:val="nil"/>
            </w:tcBorders>
          </w:tcPr>
          <w:p>
            <w:pPr>
              <w:pStyle w:val="Normal6a"/>
            </w:pPr>
            <w:r>
              <w:t>M.</w:t>
            </w:r>
            <w:r>
              <w:tab/>
            </w:r>
            <w:r>
              <w:t xml:space="preserve">overwegende dat online-influencers een belangrijke rol kunnen spelen </w:t>
            </w:r>
            <w:r>
              <w:rPr>
                <w:b/>
                <w:i/>
              </w:rPr>
              <w:t>in democratische processen en het politieke debat, door</w:t>
            </w:r>
            <w:r>
              <w:t xml:space="preserve"> het bewustzijn </w:t>
            </w:r>
            <w:r>
              <w:rPr>
                <w:b/>
                <w:i/>
              </w:rPr>
              <w:t>te vergroten of politieke inhoud te bevorderen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bis.</w:t>
            </w:r>
            <w:r>
              <w:tab/>
            </w:r>
            <w:r>
              <w:rPr>
                <w:b/>
                <w:i/>
              </w:rPr>
              <w:t>overwegende dat coöptatie en corruptie van politieke elites een doeltreffende tactiek is die door kwaadwillige actoren wordt gebruikt;</w:t>
            </w:r>
            <w:r>
              <w:t xml:space="preserve"> </w:t>
            </w:r>
            <w:r>
              <w:rPr>
                <w:b/>
                <w:i/>
              </w:rPr>
              <w:t>overwegende dat de publicatie van een aantal documenten in verband met de zaak van veroordeelde pedofiel Jeffrey Epstein een onvolledige lijst aan het licht heeft gebracht van hooggeplaatste Europese politici die met hem in verband worden gebracht;</w:t>
            </w:r>
            <w:r>
              <w:t xml:space="preserve"> </w:t>
            </w:r>
            <w:r>
              <w:rPr>
                <w:b/>
                <w:i/>
              </w:rPr>
              <w:t>overwegende dat Jeffrey Epstein naar verluidt samenwerkte met buitenlandse geheime diensten, waaronder de Russische geheime dienst;</w:t>
            </w:r>
            <w:r>
              <w:t xml:space="preserve"> </w:t>
            </w:r>
            <w:r>
              <w:rPr>
                <w:b/>
                <w:i/>
              </w:rPr>
              <w:t>overwegende dat een aanzienlijk deel van de Europese politieke elite in opspraak kan komen en dus vatbaar is voor chantage door Rusland en andere buitenlandse diensten;</w:t>
            </w:r>
            <w:r>
              <w:t xml:space="preserve"> </w:t>
            </w:r>
            <w:r>
              <w:rPr>
                <w:b/>
                <w:i/>
              </w:rPr>
              <w:t>overwegende dat Thorbjørn Jagland, toen hij secretaris-generaal van de Raad van Europa was, heeft beloofd een ontmoeting tussen Jeffrey Epstein en de Russische Sergej Lavrov te faciliteren;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bis.</w:t>
            </w:r>
            <w:r>
              <w:tab/>
            </w:r>
            <w:r>
              <w:rPr>
                <w:b/>
                <w:i/>
              </w:rPr>
              <w:t>overwegende dat uit meerdere onafhankelijke studies is gebleken dat algoritmische aanbevelingssystemen op grote onlineplatforms, waaronder X, TikTok en Instagram, in de aanloop naar nationale verkiezingen in verschillende lidstaten, waaronder Duitsland, Polen en Roemenië, systematisch extreemrechtse, polariserende of extremistische politieke inhoud hebben versterkt, en daarmee de zichtbaarheid van democratische politieke actoren negatief hebben beïnvloed;</w:t>
            </w:r>
            <w:r>
              <w:t xml:space="preserve"> </w:t>
            </w:r>
            <w:r>
              <w:rPr>
                <w:b/>
                <w:i/>
              </w:rPr>
              <w:t>overwegende dat dergelijke praktijken directe of indirecte gevolgen hebben voor verkiezingsprocessen en de democratische participatie in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bis.</w:t>
            </w:r>
            <w:r>
              <w:tab/>
            </w:r>
            <w:r>
              <w:rPr>
                <w:b/>
                <w:i/>
              </w:rPr>
              <w:t>overwegende dat samenwerkingskaders zoals vrijwillige codes, snellereactiemechanismen en informele coördinatie met platforms de facto handhavingseffecten kunnen sorteren in de lidstaten, zelfs zonder nationale uitvoering of afdwingbare nationale mandaten;</w:t>
            </w:r>
            <w:r>
              <w:t xml:space="preserve"> </w:t>
            </w:r>
            <w:r>
              <w:rPr>
                <w:b/>
                <w:i/>
              </w:rPr>
              <w:t>overwegende dat dergelijke effecten transparantie, welomschreven grenzen en doeltreffende rechtsmiddelen vereisen;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ter.</w:t>
            </w:r>
            <w:r>
              <w:tab/>
            </w:r>
            <w:r>
              <w:rPr>
                <w:b/>
                <w:i/>
              </w:rPr>
              <w:t>overwegende dat het verwarren van robuuste politieke betwisting met “digitaal geweld” de legitieme democratische controle op overheidsfunctionarissen en politieke actoren dreigt te ondergraven;</w:t>
            </w:r>
            <w:r>
              <w:t xml:space="preserve"> </w:t>
            </w:r>
            <w:r>
              <w:rPr>
                <w:b/>
                <w:i/>
              </w:rPr>
              <w:t>overwegende dat instrumenten voor tegenmaatregelen gericht moeten blijven op illegale inhoud en daadwerkelijk dwingend gedrag, en niet op wettige kritiek of afwijkende meningen;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ter.</w:t>
            </w:r>
            <w:r>
              <w:tab/>
            </w:r>
            <w:r>
              <w:rPr>
                <w:b/>
                <w:i/>
              </w:rPr>
              <w:t>overwegende dat de Franse autoriteiten een gecoördineerde campagne aan het licht hebben gebracht die verband hield met een aan Rusland gelieerd desinformatienetwerk dat president Emmanuel Macron ten onrechte in verband bracht met het Epstein-schandaal;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M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 quater.</w:t>
            </w:r>
            <w:r>
              <w:tab/>
            </w:r>
            <w:r>
              <w:rPr>
                <w:b/>
                <w:i/>
              </w:rPr>
              <w:t>overwegende dat bepaalde projecten en instrumenten die worden omschreven als middelen ter bestrijding van desinformatie, gericht zijn op preventieve monitoring en anticiperende interventie, met onder meer de ambitie om narratieven te neutraliseren voordat ze op grote schaal worden verspreid;</w:t>
            </w:r>
            <w:r>
              <w:t xml:space="preserve"> </w:t>
            </w:r>
            <w:r>
              <w:rPr>
                <w:b/>
                <w:i/>
              </w:rPr>
              <w:t>overwegende dat dergelijke benaderingen het risico met zich meebrengen dat de focus verschuift van het tegengaan van manipulatie naar het aansturen van een wettig democratisch discours;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overwegende dat de presidentsverkiezingen in het najaar van 2024 in Roemenië aanzienlijke kwetsbaarheden in de online-informatieomgeving aan het licht hebben gebracht, met geloofwaardige berichten over het wijdverbreide gebruik van nepaccounts, bots en algoritmisch versterkte inhoud om specifieke politieke narratieven te bevorderen; overwegende dat TikTok, een van de meest gebruikte platforms onder jonge kiezers, beweerde meer dan 116 000 spamaccounts te hebben geblokkeerd en 59 000 nepaccounts te hebben verwijderd tijdens een schoonmaakactie na de verkiezingen; overwegende dat het gebruik van influencers, waaronder nano- en microinfluencers, door buitenlandse actoren nog eens benadrukt dat goedkope, onopvallende actoren kunnen worden ingezet om detectie te omzeilen en de publieke opinie te beïnvloeden, wat in strijd is met democratische normen;</w:t>
            </w:r>
          </w:p>
        </w:tc>
        <w:tc>
          <w:tcPr>
            <w:tcW w:w="4876" w:type="dxa"/>
            <w:tcBorders>
              <w:top w:val="nil"/>
              <w:left w:val="nil"/>
              <w:bottom w:val="nil"/>
              <w:right w:val="nil"/>
            </w:tcBorders>
          </w:tcPr>
          <w:p>
            <w:pPr>
              <w:pStyle w:val="Normal6a"/>
            </w:pPr>
            <w:r>
              <w:t>N.</w:t>
            </w:r>
            <w:r>
              <w:tab/>
            </w:r>
            <w:r>
              <w:t xml:space="preserve">overwegende dat de presidentsverkiezingen in het najaar van 2024 in Roemenië aanzienlijke kwetsbaarheden in de online-informatieomgeving aan het licht hebben gebracht, met geloofwaardige berichten over het wijdverbreide gebruik van nepaccounts, bots en algoritmisch versterkte inhoud om specifieke politieke narratieven te bevorderen; overwegende dat TikTok, een van de meest gebruikte platforms onder jonge kiezers, beweerde meer dan 116 000 spamaccounts te hebben geblokkeerd en 59 000 nepaccounts te hebben verwijderd tijdens een schoonmaakactie na de verkiezingen; overwegende dat het gebruik van influencers, waaronder nano- en microinfluencers, door buitenlandse actoren nog eens benadrukt dat goedkope, onopvallende actoren kunnen worden ingezet om detectie te omzeilen en de publieke opinie te beïnvloeden, wat in strijd is met democratische normen; </w:t>
            </w:r>
            <w:r>
              <w:rPr>
                <w:b/>
                <w:i/>
              </w:rPr>
              <w:t>overwegende dat er aanwijzingen zijn voor twee belangrijke operationele patronen, namelijk de gecoördineerde manipulatie van aanbevelingsalgoritmen via netwerken van gesynchroniseerde accounts die kunstmatig verkeer en trendversterking genereren, en de heimelijke instrumentalisering van makers van inhoud — met name nano- en microinfluencers — door middel van verborgen vergoedings- of partnerschapsmethoden die zijn ontworpen om transparantie en opsporing te omzeilen;</w:t>
            </w:r>
            <w:r>
              <w:t xml:space="preserve"> </w:t>
            </w:r>
            <w:r>
              <w:rPr>
                <w:b/>
                <w:i/>
              </w:rPr>
              <w:t>overwegende dat deze praktijken aantonen hoe goedkope, onopvallende actoren en de dynamiek van technische platforms kunnen worden ingezet om de publieke opinie te beïnvloeden en democratische waarborgen te omzeilen;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overwegende dat de presidentsverkiezingen in het najaar van 2024 in Roemenië aanzienlijke kwetsbaarheden in de online-informatieomgeving aan het licht hebben gebracht, met geloofwaardige berichten over het wijdverbreide gebruik van nepaccounts, bots en algoritmisch versterkte inhoud om specifieke politieke narratieven te bevorderen; overwegende dat TikTok, een van de meest gebruikte platforms onder jonge kiezers, beweerde meer dan 116 000 spamaccounts te hebben geblokkeerd en 59 000 nepaccounts te hebben verwijderd tijdens een schoonmaakactie na de verkiezingen; overwegende dat het gebruik van influencers, waaronder nano- en microinfluencers, door buitenlandse actoren nog eens benadrukt dat goedkope, onopvallende actoren kunnen worden ingezet om detectie te omzeilen en de publieke opinie te beïnvloeden, wat in strijd is met democratische normen;</w:t>
            </w:r>
          </w:p>
        </w:tc>
        <w:tc>
          <w:tcPr>
            <w:tcW w:w="4876" w:type="dxa"/>
            <w:tcBorders>
              <w:top w:val="nil"/>
              <w:left w:val="nil"/>
              <w:bottom w:val="nil"/>
              <w:right w:val="nil"/>
            </w:tcBorders>
          </w:tcPr>
          <w:p>
            <w:pPr>
              <w:pStyle w:val="Normal6a"/>
            </w:pPr>
            <w:r>
              <w:t>N.</w:t>
            </w:r>
            <w:r>
              <w:tab/>
            </w:r>
            <w:r>
              <w:t xml:space="preserve">overwegende dat de presidentsverkiezingen in het najaar van 2024 in Roemenië aanzienlijke kwetsbaarheden in de online-informatieomgeving aan het licht hebben gebracht, met geloofwaardige berichten over het wijdverbreide gebruik van nepaccounts, bots en algoritmisch versterkte inhoud om specifieke politieke narratieven te bevorderen; overwegende dat TikTok, een van de meest gebruikte platforms onder jonge kiezers, beweerde meer dan 116 000 spamaccounts te hebben geblokkeerd en 59 000 nepaccounts te hebben verwijderd tijdens een schoonmaakactie na de verkiezingen; overwegende dat het gebruik van influencers, waaronder nano- en microinfluencers, door buitenlandse actoren nog eens benadrukt dat goedkope, onopvallende actoren kunnen worden ingezet om detectie te omzeilen en de publieke opinie te beïnvloeden, wat in strijd is met democratische normen; </w:t>
            </w:r>
            <w:r>
              <w:rPr>
                <w:b/>
                <w:i/>
              </w:rPr>
              <w:t>overwegende dat het aanpakken van dergelijke uitdagingen niet mag worden aangegrepen als rechtvaardiging voor het beperken van de vrijheid van meningsuiting in welke vorm dan ook en voor het beperken van pluralisme, of voor het opleggen van ongerechtvaardigde beperkingen aan de rechtmatige werking van onlineplatforms;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overwegende dat de presidentsverkiezingen in het najaar van 2024 in Roemenië aanzienlijke kwetsbaarheden in de online-informatieomgeving aan het licht hebben gebracht, met </w:t>
            </w:r>
            <w:r>
              <w:rPr>
                <w:b/>
                <w:i/>
              </w:rPr>
              <w:t>geloofwaardige</w:t>
            </w:r>
            <w:r>
              <w:t xml:space="preserve"> berichten over het wijdverbreide gebruik van nepaccounts, bots en algoritmisch versterkte inhoud om specifieke politieke narratieven te bevorderen; overwegende dat TikTok, een van de meest gebruikte platforms onder jonge kiezers, beweerde meer dan 116 000 spamaccounts te hebben geblokkeerd en 59 000 nepaccounts te hebben verwijderd tijdens een schoonmaakactie na de verkiezingen; overwegende dat het gebruik van influencers, waaronder nano- en microinfluencers, door buitenlandse actoren nog eens benadrukt dat goedkope, onopvallende actoren kunnen worden ingezet om detectie te omzeilen en de publieke opinie te beïnvloeden, wat in strijd is met democratische normen;</w:t>
            </w:r>
          </w:p>
        </w:tc>
        <w:tc>
          <w:tcPr>
            <w:tcW w:w="4876" w:type="dxa"/>
            <w:tcBorders>
              <w:top w:val="nil"/>
              <w:left w:val="nil"/>
              <w:bottom w:val="nil"/>
              <w:right w:val="nil"/>
            </w:tcBorders>
          </w:tcPr>
          <w:p>
            <w:pPr>
              <w:pStyle w:val="Normal6a"/>
            </w:pPr>
            <w:r>
              <w:t>N.</w:t>
            </w:r>
            <w:r>
              <w:tab/>
            </w:r>
            <w:r>
              <w:t xml:space="preserve">overwegende dat de presidentsverkiezingen in het najaar van 2024 in Roemenië aanzienlijke kwetsbaarheden in de online-informatieomgeving aan het licht </w:t>
            </w:r>
            <w:r>
              <w:rPr>
                <w:b/>
                <w:i/>
              </w:rPr>
              <w:t>zouden</w:t>
            </w:r>
            <w:r>
              <w:t xml:space="preserve"> hebben gebracht, met berichten over het wijdverbreide gebruik van nepaccounts, bots en algoritmisch versterkte inhoud om specifieke politieke narratieven te bevorderen; overwegende dat TikTok, een van de meest gebruikte platforms onder jonge kiezers, beweerde meer dan 116 000 spamaccounts te hebben geblokkeerd en 59 000 nepaccounts te hebben verwijderd tijdens een schoonmaakactie na de verkiezingen; overwegende dat het gebruik van influencers, waaronder nano- en microinfluencers, door buitenlandse actoren nog eens benadrukt dat goedkope, onopvallende actoren kunnen worden ingezet om detectie te omzeilen en de publieke opinie te beïnvloeden, wat in strijd is met democratische normen; </w:t>
            </w:r>
            <w:r>
              <w:rPr>
                <w:b/>
                <w:i/>
              </w:rPr>
              <w:t>overwegende dat het beschikbare bewijsmateriaal omstreden of onvolledig is gebleven;</w:t>
            </w:r>
            <w:r>
              <w:t xml:space="preserve"> </w:t>
            </w:r>
            <w:r>
              <w:rPr>
                <w:b/>
                <w:i/>
              </w:rPr>
              <w:t>overwegende dat dergelijke situaties de noodzaak onderstrepen van strikte, transparante en verifieerbare bewijsnormen alvorens politieke conclusies te trekken;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overwegende dat de presidentsverkiezingen in het najaar van 2024 in Roemenië aanzienlijke kwetsbaarheden in de online-informatieomgeving aan het licht hebben gebracht, met geloofwaardige berichten over het wijdverbreide gebruik van nepaccounts, bots en algoritmisch versterkte inhoud om specifieke politieke narratieven te bevorderen; overwegende dat TikTok, een van de meest gebruikte platforms onder jonge kiezers, beweerde meer dan 116 000 spamaccounts te hebben geblokkeerd en 59 000 nepaccounts te hebben verwijderd tijdens een schoonmaakactie na de verkiezingen; overwegende dat het gebruik van influencers, waaronder nano- en microinfluencers, door buitenlandse actoren nog eens benadrukt dat goedkope, onopvallende actoren kunnen worden ingezet om detectie te omzeilen en de publieke opinie te beïnvloeden, wat in strijd is met democratische normen;</w:t>
            </w:r>
          </w:p>
        </w:tc>
        <w:tc>
          <w:tcPr>
            <w:tcW w:w="4876" w:type="dxa"/>
            <w:tcBorders>
              <w:top w:val="nil"/>
              <w:left w:val="nil"/>
              <w:bottom w:val="nil"/>
              <w:right w:val="nil"/>
            </w:tcBorders>
          </w:tcPr>
          <w:p>
            <w:pPr>
              <w:pStyle w:val="Normal6a"/>
            </w:pPr>
            <w:r>
              <w:t>N.</w:t>
            </w:r>
            <w:r>
              <w:tab/>
            </w:r>
            <w:r>
              <w:t xml:space="preserve">overwegende dat de presidentsverkiezingen in het najaar van 2024 in Roemenië aanzienlijke kwetsbaarheden in de online-informatieomgeving aan het licht hebben gebracht, met geloofwaardige berichten over het wijdverbreide gebruik van nepaccounts, bots en algoritmisch versterkte inhoud om specifieke politieke narratieven te bevorderen </w:t>
            </w:r>
            <w:r>
              <w:rPr>
                <w:b/>
                <w:i/>
              </w:rPr>
              <w:t>en de verkiezingsstrijd te verstoren</w:t>
            </w:r>
            <w:r>
              <w:t>; overwegende dat TikTok, een van de meest gebruikte platforms onder jonge kiezers, beweerde meer dan 116 000 spamaccounts te hebben geblokkeerd en 59 000 nepaccounts te hebben verwijderd tijdens een schoonmaakactie na de verkiezingen</w:t>
            </w:r>
            <w:r>
              <w:rPr>
                <w:b/>
                <w:i/>
              </w:rPr>
              <w:t>, hetgeen de omvang van gecoördineerd niet-authentiek gedrag en de ontoereikendheid van reactieve maatregelen van platforms tijdens de verkiezingsperiode illustreert</w:t>
            </w:r>
            <w:r>
              <w:t xml:space="preserve">; overwegende dat het gebruik van influencers, waaronder nano- en microinfluencers, door buitenlandse actoren nog eens benadrukt dat goedkope, onopvallende actoren </w:t>
            </w:r>
            <w:r>
              <w:rPr>
                <w:b/>
                <w:i/>
              </w:rPr>
              <w:t>bewust</w:t>
            </w:r>
            <w:r>
              <w:t xml:space="preserve"> kunnen worden ingezet om detectie te omzeilen en de publieke opinie te beïnvloeden, wat in strijd is met </w:t>
            </w:r>
            <w:r>
              <w:rPr>
                <w:b/>
                <w:i/>
              </w:rPr>
              <w:t>fundamentele</w:t>
            </w:r>
            <w:r>
              <w:t xml:space="preserve"> democratische normen;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overwegende dat de presidentsverkiezingen in het najaar van 2024 in Roemenië </w:t>
            </w:r>
            <w:r>
              <w:rPr>
                <w:b/>
                <w:i/>
              </w:rPr>
              <w:t>aanzienlijke</w:t>
            </w:r>
            <w:r>
              <w:t xml:space="preserve"> kwetsbaarheden in de online-informatieomgeving aan het licht hebben gebracht, met </w:t>
            </w:r>
            <w:r>
              <w:rPr>
                <w:b/>
                <w:i/>
              </w:rPr>
              <w:t>geloofwaardige</w:t>
            </w:r>
            <w:r>
              <w:t xml:space="preserve"> berichten over het wijdverbreide gebruik van nepaccounts, bots en algoritmisch versterkte inhoud om specifieke politieke narratieven te bevorderen; overwegende dat </w:t>
            </w:r>
            <w:r>
              <w:rPr>
                <w:b/>
                <w:i/>
              </w:rPr>
              <w:t>TikTok, een van de meest gebruikte platforms onder jonge kiezers, beweerde meer dan 116 000 spamaccounts te hebben geblokkeerd en 59 000 nepaccounts te hebben verwijderd tijdens een schoonmaakactie na de verkiezingen;</w:t>
            </w:r>
            <w:r>
              <w:t xml:space="preserve"> </w:t>
            </w:r>
            <w:r>
              <w:rPr>
                <w:b/>
                <w:i/>
              </w:rPr>
              <w:t>overwegende dat</w:t>
            </w:r>
            <w:r>
              <w:t xml:space="preserve"> het gebruik van influencers, waaronder nano- en microinfluencers, door </w:t>
            </w:r>
            <w:r>
              <w:rPr>
                <w:b/>
                <w:i/>
              </w:rPr>
              <w:t>buitenlandse</w:t>
            </w:r>
            <w:r>
              <w:t xml:space="preserve"> actoren nog eens benadrukt dat goedkope, onopvallende actoren kunnen worden ingezet om detectie te omzeilen en de publieke opinie te beïnvloeden, </w:t>
            </w:r>
            <w:r>
              <w:rPr>
                <w:b/>
                <w:i/>
              </w:rPr>
              <w:t>wat in strijd is met democratische normen</w:t>
            </w:r>
            <w:r>
              <w:t>;</w:t>
            </w:r>
          </w:p>
        </w:tc>
        <w:tc>
          <w:tcPr>
            <w:tcW w:w="4876" w:type="dxa"/>
            <w:tcBorders>
              <w:top w:val="nil"/>
              <w:left w:val="nil"/>
              <w:bottom w:val="nil"/>
              <w:right w:val="nil"/>
            </w:tcBorders>
          </w:tcPr>
          <w:p>
            <w:pPr>
              <w:pStyle w:val="Normal6a"/>
            </w:pPr>
            <w:r>
              <w:t>N.</w:t>
            </w:r>
            <w:r>
              <w:tab/>
            </w:r>
            <w:r>
              <w:t xml:space="preserve">overwegende dat de presidentsverkiezingen in het najaar van 2024 in Roemenië kwetsbaarheden in de online-informatieomgeving aan het licht hebben gebracht, met berichten over het wijdverbreide gebruik van nepaccounts, bots en algoritmisch versterkte inhoud om specifieke politieke narratieven te bevorderen; overwegende dat het gebruik van influencers, waaronder nano- en microinfluencers, door actoren </w:t>
            </w:r>
            <w:r>
              <w:rPr>
                <w:b/>
                <w:i/>
              </w:rPr>
              <w:t>in derde landen</w:t>
            </w:r>
            <w:r>
              <w:t xml:space="preserve"> nog eens benadrukt dat goedkope, onopvallende actoren kunnen worden ingezet om detectie te omzeilen en de publieke opinie te beïnvloeden, </w:t>
            </w:r>
            <w:r>
              <w:rPr>
                <w:b/>
                <w:i/>
              </w:rPr>
              <w:t>in het belang van de personen en/of entiteiten door wie ze worden betaald (onder meer in natura of in de vorm van andere voordelen en gunsten), rechtstreeks of via een keten van entiteiten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bis.</w:t>
            </w:r>
            <w:r>
              <w:tab/>
            </w:r>
            <w:r>
              <w:rPr>
                <w:b/>
                <w:i/>
              </w:rPr>
              <w:t>Volgens de gerechtelijke commissie van het Amerikaanse Huis van Afgevaardigden (met een Republikeinse meerderheid) werpen nieuwe, niet-openbare documenten twijfel op over de beschuldigingen van Russische inmenging die ertoe hebben geleid dat een Roemeense rechtbank de uitslag van de presidentsverkiezingen van 2024 ongeldig heeft verklaard.</w:t>
            </w:r>
            <w:r>
              <w:rPr>
                <w:b/>
                <w:i/>
              </w:rPr>
              <w:t>TikTok heeft aan de Europese Commissie verklaard dat het “geen enkel bewijs” heeft gevonden voor een gecoördineerde Russische campagne om de winnende kandidaat, Calin Georgescu, te bevoordelen – de belangrijkste beschuldiging van de Roemeense autoriteiten – en heeft die autoriteiten van die conclusie in kennis gesteld.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Sindsdien is uit openbare informatie gebleken dat de vermeende Russische campagne op TikTok in feite gefinancierd werd door een andere Roemeense politieke partij</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https://x.com/JudiciaryGOP/status/2018683758006665352.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bis.</w:t>
            </w:r>
            <w:r>
              <w:tab/>
            </w:r>
            <w:r>
              <w:rPr>
                <w:b/>
                <w:i/>
              </w:rPr>
              <w:t>overwegende dat de parlementsverkiezingen in Polen in 2023 en de presidentsverkiezingen in 2025 geconfronteerd werden met inmenging van de Russische Federatie en ondoorzichtige acties van EU-instellingen en andere door staten gecontroleerde entiteiten, waaronder stichtingen die specifieke politieke krachten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bis.</w:t>
            </w:r>
            <w:r>
              <w:tab/>
            </w:r>
            <w:r>
              <w:rPr>
                <w:b/>
                <w:i/>
              </w:rPr>
              <w:t>overwegende dat de organisatie van en het toezicht op verkiezingen onder de verantwoordelijkheid van de lidstaten vallen;</w:t>
            </w:r>
            <w:r>
              <w:t xml:space="preserve"> </w:t>
            </w:r>
            <w:r>
              <w:rPr>
                <w:b/>
                <w:i/>
              </w:rPr>
              <w:t>overwegende dat elke uitbreiding van de betrokkenheid van de Unie die verder gaat dan een ondersteunende rol, het risico met zich meebrengt dat de nationale democratische soevereiniteit en het beginsel van bevoegdheidstoedeling worden ondermijnd;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bis.</w:t>
            </w:r>
            <w:r>
              <w:tab/>
            </w:r>
            <w:r>
              <w:rPr>
                <w:b/>
                <w:i/>
              </w:rPr>
              <w:t>overwegende dat in de VS gevestigde tech-oligarchen en extreemrechtse netwerken extreemrechtse en eurosceptische partijen promoten;</w:t>
            </w:r>
            <w:r>
              <w:t xml:space="preserve"> </w:t>
            </w:r>
            <w:r>
              <w:rPr>
                <w:b/>
                <w:i/>
              </w:rPr>
              <w:t>overwegende dat de Heritage Foundation en zijn partners strategieën hebben besproken om de EU te ontmantelen;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ter.</w:t>
            </w:r>
            <w:r>
              <w:tab/>
            </w:r>
            <w:r>
              <w:rPr>
                <w:b/>
                <w:i/>
              </w:rPr>
              <w:t>De Commissie van Venetië van de Raad van Europa heeft opgeroepen meer voorzichtigheid te betrachten wat betreft het annuleren van verkiezingen.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Het enkele feit dat een kandidaat een succesvolle onlinecampagne voert en dat het gebruik van sociale media zijn boodschap verder kan versterken dan met gedrukte en audiovisuele media mogelijk is, betekent niet dat deze de regels inzake campagnefinanciering en transparantie heeft overtreden en daarmee een onrechtmatig voordeel heeft behaald.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ter.</w:t>
            </w:r>
            <w:r>
              <w:tab/>
            </w:r>
            <w:r>
              <w:rPr>
                <w:b/>
                <w:i/>
              </w:rPr>
              <w:t>overwegende dat een aantal prominente rechtse influencers, waaronder Tim Pool, Dave Rubin en Benny Johnson, ervan worden beschuldigd bijna 10 miljoen USD van Russische staatsmedia te hebben ontvangen in ruil voor het uitdragen van pro-Russische boodschappen, waaronder die in verband met de oorlog in Oekraïne;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ter.</w:t>
            </w:r>
            <w:r>
              <w:tab/>
            </w:r>
            <w:r>
              <w:rPr>
                <w:b/>
                <w:i/>
              </w:rPr>
              <w:t>overwegende dat de Russische Federatie via het Telegram-platform sabotagegroepen gerekruteerd en betaald heeft die tot taak hebben vulgaire slogans online en in de publieke ruimte te verspreiden tegen de conservatieve, anti-Russische regering, zoals gebleken is uit definitieve rechterlijke uitspraken;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quater.</w:t>
            </w:r>
            <w:r>
              <w:tab/>
            </w:r>
            <w:r>
              <w:rPr>
                <w:b/>
                <w:i/>
              </w:rPr>
              <w:t>overwegende dat na de niet eerder vertoonde annulering van de eerste ronde van de presidentsverkiezingen in Roemenië op 6 december 2024, de verklaring van commissaris Thierry Breton van 9 januari 2025 (“we hebben dit gedaan in Roemenië en we zullen het uiteraard moeten doen, indien nodig, in Duitsland”) veel Europese burgers terecht heeft geschokt.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 Duitse parlementsverkiezingen vonden plaats op 23 februari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quater.</w:t>
            </w:r>
            <w:r>
              <w:tab/>
            </w:r>
            <w:r>
              <w:rPr>
                <w:b/>
                <w:i/>
              </w:rPr>
              <w:t>overwegende dat de EU-instellingen ook onrechtmatig misbruik hebben gemaakt van hun bevoegdheden door aan Polen rechtens verschuldigde middelen in te houden, alleen om deze onmiddellijk vrij te geven na een regeringswisseling waarbij een regering aan de macht gekomen is die politiek op één lijn zit met de EU, zonder dat het toepasselijke rechtskader is gewijzigd en ondanks voortdurende acties die de democratische normen ondermijnen;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quater.</w:t>
            </w:r>
            <w:r>
              <w:tab/>
            </w:r>
            <w:r>
              <w:rPr>
                <w:b/>
                <w:i/>
              </w:rPr>
              <w:t>overwegende dat in 2025 Google bijna 11 000 YouTube-kanalen en andere accounts heeft verwijderd die verband hielden met aan de staat gerelateerde propagandacampagnes uit China, Rusland en andere kwaadwillige actoren;</w:t>
            </w:r>
            <w:r>
              <w:t xml:space="preserve"> </w:t>
            </w:r>
            <w:r>
              <w:rPr>
                <w:b/>
                <w:i/>
              </w:rPr>
              <w:t>overwegende dat alle onlineplatforms systematisch dergelijke maatregelen moeten nemen om de integriteit van de onlineruimte te handhaven;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quinquies.</w:t>
            </w:r>
            <w:r>
              <w:tab/>
            </w:r>
            <w:r>
              <w:rPr>
                <w:b/>
                <w:i/>
              </w:rPr>
              <w:t>overwegende dat niet-gouvernementele organisaties en door de staat gecontroleerde stichtingen op niet-transparante en vaak onwettige wijze financiële steun hebben verleend aan activiteiten die openlijk gericht waren tegen de democratisch gekozen Poolse regering;</w:t>
            </w:r>
            <w:r>
              <w:t xml:space="preserve"> </w:t>
            </w:r>
            <w:r>
              <w:rPr>
                <w:b/>
                <w:i/>
              </w:rPr>
              <w:t>overwegende dat soortgelijke acties ook tijdens de meest recente presidentiële campagne plaatsvonden, toen buitenlandse entiteiten socialemediacampagnes financierden die de kandidaat van het conservatieve kamp op de korrel namen;</w:t>
            </w:r>
            <w:r>
              <w:t xml:space="preserve"> </w:t>
            </w:r>
            <w:r>
              <w:rPr>
                <w:b/>
                <w:i/>
              </w:rPr>
              <w:t>overwegende dat inhoud in de vorm van zogenaamde "campagnes ter bevordering van de opkomst" bestond uit de verspreiding van vulgair en lasterlijk materiaal dat erop gericht was kiezers ervan te weerhouden de conservatieve kandidaat te 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quinquies.</w:t>
            </w:r>
            <w:r>
              <w:tab/>
            </w:r>
            <w:r>
              <w:rPr>
                <w:b/>
                <w:i/>
              </w:rPr>
              <w:t>overwegende dat AWS, Microsoft en Google goed zijn voor ongeveer 70 % van de in Europa gegenereerde inkomsten uit clouddiensten;</w:t>
            </w:r>
            <w:r>
              <w:t xml:space="preserve"> </w:t>
            </w:r>
            <w:r>
              <w:rPr>
                <w:b/>
                <w:i/>
              </w:rPr>
              <w:t>overwegende dat wordt aangenomen dat ten minste een kwart van de netto-inkomsten van zeer grote onlineplatforms afkomstig is uit Europa;</w:t>
            </w:r>
            <w:r>
              <w:t xml:space="preserve"> </w:t>
            </w:r>
            <w:r>
              <w:rPr>
                <w:b/>
                <w:i/>
              </w:rPr>
              <w:t>overwegende dat de netto-inkomsten van Meta wereldwijd ongeveer 60 miljard EUR bedragen, maar dat het bedrijf slechts ongeveer 25 miljoen EUR (0,04 %) investeert in onafhankelijke factcheckers in Europa;</w:t>
            </w:r>
            <w:r>
              <w:t xml:space="preserve"> </w:t>
            </w:r>
            <w:r>
              <w:rPr>
                <w:b/>
                <w:i/>
              </w:rPr>
              <w:t>overwegende dat Community Notes een nuttig hulpmiddel is, maar onafhankelijke menselijke factcheckers niet kan vervangen, met name wanneer het gaat om controversiële onderwerpen waarbij de gemeenschap vaak niet door feiten wordt gemotiveerd, maar door sterke vooringenomenheid;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N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 quinquies.</w:t>
            </w:r>
            <w:r>
              <w:tab/>
            </w:r>
            <w:r>
              <w:rPr>
                <w:b/>
                <w:i/>
              </w:rPr>
              <w:t>overwegende dat de Commissie de wens heeft geuit om zich in het kader van de digitaledienstenverordening te mengen in verkiezingen in landen buiten Europa, zoals blijkt uit de brief van commissaris Thierry Breton van 12 augustus 2024, waarin gedreigd werd met sancties tegen het Amerikaanse platform X naar aanleiding van een live interview met president Trump op Amerikaanse bodem in augustus 2024.</w:t>
            </w:r>
            <w:r>
              <w:t xml:space="preserve"> </w:t>
            </w:r>
            <w:r>
              <w:rPr>
                <w:b/>
                <w:i/>
              </w:rPr>
              <w:t>Deze absurde situatie kreeg nog een extra dimensie door het verband dat werd gelegd met rellen in een ander land dat geen lid is van de EU (het Verenigd Koninkrijk).</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overwegende dat Telegram, een berichtenplatform met een groeiende gebruikersbasis in de EU, </w:t>
            </w:r>
            <w:r>
              <w:rPr>
                <w:b/>
                <w:i/>
              </w:rPr>
              <w:t>steeds vaker wordt aangemerkt als doorgeefluik voor desinformatie, buitenlandse inmenging en illegale activiteiten, waaronder de verspreiding van extremistische inhoud en niet-traceerbare</w:t>
            </w:r>
            <w:r>
              <w:t xml:space="preserve"> politieke </w:t>
            </w:r>
            <w:r>
              <w:rPr>
                <w:b/>
                <w:i/>
              </w:rPr>
              <w:t>propaganda</w:t>
            </w:r>
            <w:r>
              <w:t xml:space="preserve">; overwegende dat de </w:t>
            </w:r>
            <w:r>
              <w:rPr>
                <w:b/>
                <w:i/>
              </w:rPr>
              <w:t>oorsprong ervan in Rusland en het gebrek aan betekenisvolle inhoudsmoderatie aanleiding hebben gegeven tot aanhoudende bezorgdheid over de rol ervan bij het ondermijnen</w:t>
            </w:r>
            <w:r>
              <w:t xml:space="preserve"> van het </w:t>
            </w:r>
            <w:r>
              <w:rPr>
                <w:b/>
                <w:i/>
              </w:rPr>
              <w:t>democratische discours;</w:t>
            </w:r>
            <w:r>
              <w:t xml:space="preserve"> </w:t>
            </w:r>
            <w:r>
              <w:rPr>
                <w:b/>
                <w:i/>
              </w:rPr>
              <w:t>overwegende dat Telegram een belangrijk kanaal is geworden voor het aanwerven van “wegwerpagenten” en het uitvoeren van hybride operaties;</w:t>
            </w:r>
            <w:r>
              <w:t xml:space="preserve"> </w:t>
            </w:r>
            <w:r>
              <w:rPr>
                <w:b/>
                <w:i/>
              </w:rPr>
              <w:t>overwegende dat kwaadwillige overheidsactoren de technologische vaardigheden, financiële behoeften en naïviteit van Telegram-gebruikers, met name jongeren, blijken te benutten om tegen minimale kosten spionage- en sabotageactiviteiten uit te voeren, met behoud van geloofwaardige ontkenning;</w:t>
            </w:r>
            <w:r>
              <w:t xml:space="preserve"> </w:t>
            </w:r>
            <w:r>
              <w:rPr>
                <w:b/>
                <w:i/>
              </w:rPr>
              <w:t>overwegende dat uit rapporten blijkt dat Telegram voldoet aan de gebruikersdrempel om te worden aangemerkt als zeer groot onlineplatform</w:t>
            </w:r>
            <w:r>
              <w:t xml:space="preserve"> in het kader van de </w:t>
            </w:r>
            <w:r>
              <w:rPr>
                <w:b/>
                <w:i/>
              </w:rPr>
              <w:t>digitaledienstenverordening, en daardoor onderworpen is aan strengere wettelijke verplichtingen en risicobeperkende eisen</w:t>
            </w:r>
            <w:r>
              <w:t>;</w:t>
            </w:r>
          </w:p>
        </w:tc>
        <w:tc>
          <w:tcPr>
            <w:tcW w:w="4876" w:type="dxa"/>
            <w:tcBorders>
              <w:top w:val="nil"/>
              <w:left w:val="nil"/>
              <w:bottom w:val="nil"/>
              <w:right w:val="nil"/>
            </w:tcBorders>
          </w:tcPr>
          <w:p>
            <w:pPr>
              <w:pStyle w:val="Normal6a"/>
            </w:pPr>
            <w:r>
              <w:t>O.</w:t>
            </w:r>
            <w:r>
              <w:tab/>
            </w:r>
            <w:r>
              <w:t xml:space="preserve">overwegende dat Telegram, een berichtenplatform met een groeiende gebruikersbasis in de EU, </w:t>
            </w:r>
            <w:r>
              <w:rPr>
                <w:b/>
                <w:i/>
              </w:rPr>
              <w:t>krachtig stelling neemt tegen</w:t>
            </w:r>
            <w:r>
              <w:t xml:space="preserve"> politieke </w:t>
            </w:r>
            <w:r>
              <w:rPr>
                <w:b/>
                <w:i/>
              </w:rPr>
              <w:t>censuur</w:t>
            </w:r>
            <w:r>
              <w:t xml:space="preserve">; overwegende dat de </w:t>
            </w:r>
            <w:r>
              <w:rPr>
                <w:b/>
                <w:i/>
              </w:rPr>
              <w:t>oprichter en CEO van Telegram, Pavel Durov, de Franse inlichtingendiensten heeft beschuldigd van pogingen tot inmenging in de activiteiten</w:t>
            </w:r>
            <w:r>
              <w:t xml:space="preserve"> van het </w:t>
            </w:r>
            <w:r>
              <w:rPr>
                <w:b/>
                <w:i/>
              </w:rPr>
              <w:t>platform</w:t>
            </w:r>
            <w:r>
              <w:t xml:space="preserve"> in het kader van de </w:t>
            </w:r>
            <w:r>
              <w:rPr>
                <w:b/>
                <w:i/>
              </w:rPr>
              <w:t>verkiezingen in Roemenië en Moldavië</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overwegende dat Telegram</w:t>
            </w:r>
            <w:r>
              <w:rPr>
                <w:b/>
                <w:i/>
              </w:rPr>
              <w:t>, een berichtenplatform met een groeiende gebruikersbasis in de EU, steeds vaker wordt aangemerkt als doorgeefluik voor desinformatie, buitenlandse inmenging en illegale activiteiten, waaronder de verspreiding van extremistische inhoud en niet-traceerbare politieke propaganda</w:t>
            </w:r>
            <w:r>
              <w:t>; overwegende dat de oorsprong ervan in Rusland en het gebrek aan betekenisvolle inhoudsmoderatie aanleiding hebben gegeven tot aanhoudende bezorgdheid over de rol ervan bij het ondermijnen van het democratische discours</w:t>
            </w:r>
            <w:r>
              <w:rPr>
                <w:b/>
                <w:i/>
              </w:rPr>
              <w:t>;</w:t>
            </w:r>
            <w:r>
              <w:t xml:space="preserve"> </w:t>
            </w:r>
            <w:r>
              <w:rPr>
                <w:b/>
                <w:i/>
              </w:rPr>
              <w:t>overwegende dat Telegram een belangrijk kanaal is geworden voor het aanwerven van “wegwerpagenten” en het uitvoeren van hybride operaties;</w:t>
            </w:r>
            <w:r>
              <w:t xml:space="preserve"> </w:t>
            </w:r>
            <w:r>
              <w:rPr>
                <w:b/>
                <w:i/>
              </w:rPr>
              <w:t>overwegende dat kwaadwillige overheidsactoren de technologische vaardigheden, financiële behoeften en naïviteit van Telegram-gebruikers, met name jongeren, blijken te benutten om tegen minimale kosten spionage- en sabotageactiviteiten uit te voeren, met behoud van geloofwaardige ontkenning</w:t>
            </w:r>
            <w:r>
              <w:t>; overwegende dat uit rapporten blijkt dat Telegram voldoet aan de gebruikersdrempel om te worden aangemerkt als zeer groot onlineplatform in het kader van de digitaledienstenverordening, en daardoor onderworpen is aan strengere wettelijke verplichtingen en risicobeperkende eisen;</w:t>
            </w:r>
          </w:p>
        </w:tc>
        <w:tc>
          <w:tcPr>
            <w:tcW w:w="4876" w:type="dxa"/>
            <w:tcBorders>
              <w:top w:val="nil"/>
              <w:left w:val="nil"/>
              <w:bottom w:val="nil"/>
              <w:right w:val="nil"/>
            </w:tcBorders>
          </w:tcPr>
          <w:p>
            <w:pPr>
              <w:pStyle w:val="Normal6a"/>
            </w:pPr>
            <w:r>
              <w:t>O.</w:t>
            </w:r>
            <w:r>
              <w:tab/>
            </w:r>
            <w:r>
              <w:t xml:space="preserve">overwegende dat Telegram </w:t>
            </w:r>
            <w:r>
              <w:rPr>
                <w:b/>
                <w:i/>
              </w:rPr>
              <w:t>een belangrijk kanaal voor communicatie en informatie-uitwisseling is geworden, vanwege het versleutelde en open karakter ervan, waardoor een veilige en vrije informatiestroom mogelijk is</w:t>
            </w:r>
            <w:r>
              <w:t>; overwegende dat de oorsprong ervan in Rusland en het gebrek aan betekenisvolle inhoudsmoderatie aanleiding hebben gegeven tot aanhoudende bezorgdheid over de rol ervan bij het ondermijnen van het democratische discours; overwegende dat uit rapporten blijkt dat Telegram voldoet aan de gebruikersdrempel om te worden aangemerkt als zeer groot onlineplatform in het kader van de digitaledienstenverordening, en daardoor onderworpen is aan strengere wettelijke verplichtingen en risicobeperkende 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overwegende dat Telegram, een berichtenplatform met een groeiende gebruikersbasis in de EU, steeds vaker wordt aangemerkt als doorgeefluik voor desinformatie, buitenlandse inmenging en illegale activiteiten, waaronder de verspreiding van extremistische inhoud en niet-traceerbare politieke propaganda; overwegende dat de oorsprong ervan in Rusland en het gebrek aan betekenisvolle inhoudsmoderatie aanleiding hebben gegeven tot aanhoudende bezorgdheid over de rol ervan bij het ondermijnen van het democratische discours; overwegende dat Telegram een belangrijk kanaal is geworden voor het aanwerven van “wegwerpagenten” en het uitvoeren van hybride operaties; overwegende dat kwaadwillige overheidsactoren de technologische vaardigheden, financiële behoeften en naïviteit van Telegram-gebruikers, met name jongeren, blijken te benutten om tegen minimale kosten spionage- en sabotageactiviteiten uit te voeren, met behoud van geloofwaardige ontkenning; overwegende dat uit rapporten blijkt dat Telegram voldoet aan de gebruikersdrempel om te worden aangemerkt als zeer groot onlineplatform in het kader van de digitaledienstenverordening, en daardoor onderworpen is aan strengere wettelijke verplichtingen en risicobeperkende eisen;</w:t>
            </w:r>
          </w:p>
        </w:tc>
        <w:tc>
          <w:tcPr>
            <w:tcW w:w="4876" w:type="dxa"/>
            <w:tcBorders>
              <w:top w:val="nil"/>
              <w:left w:val="nil"/>
              <w:bottom w:val="nil"/>
              <w:right w:val="nil"/>
            </w:tcBorders>
          </w:tcPr>
          <w:p>
            <w:pPr>
              <w:pStyle w:val="Normal6a"/>
            </w:pPr>
            <w:r>
              <w:t>O.</w:t>
            </w:r>
            <w:r>
              <w:tab/>
            </w:r>
            <w:r>
              <w:t xml:space="preserve">overwegende dat Telegram, een berichtenplatform met een groeiende gebruikersbasis in de EU, steeds vaker wordt aangemerkt als doorgeefluik voor desinformatie, buitenlandse inmenging en illegale activiteiten, waaronder de verspreiding van extremistische inhoud en niet-traceerbare politieke propaganda; overwegende dat de oorsprong ervan in Rusland en het gebrek aan betekenisvolle inhoudsmoderatie aanleiding hebben gegeven tot aanhoudende bezorgdheid over de rol ervan bij het ondermijnen van het democratische discours; overwegende dat Telegram een belangrijk kanaal is geworden voor het aanwerven van “wegwerpagenten” en het uitvoeren van hybride operaties; overwegende dat kwaadwillige overheidsactoren de technologische vaardigheden, financiële behoeften en naïviteit van Telegram-gebruikers, met name jongeren, blijken te benutten om tegen minimale kosten spionage- en sabotageactiviteiten uit te voeren, met behoud van geloofwaardige ontkenning; overwegende dat uit rapporten blijkt dat Telegram voldoet aan de gebruikersdrempel om te worden aangemerkt als zeer groot onlineplatform in het kader van de digitaledienstenverordening, en daardoor onderworpen is aan strengere wettelijke verplichtingen en risicobeperkende eisen; </w:t>
            </w:r>
            <w:r>
              <w:rPr>
                <w:b/>
                <w:i/>
              </w:rPr>
              <w:t>overwegende dat Telegram dikwijls desinformatie verspreidt onder zijn gebruikers over de lopende gerechtelijke procedures tegen zijn oprichter en over EU- en nationale wetgeving die gevolgen kan hebben voor de verantwoordingsplicht en verantwoordelijkheid van het platform, zoals de recente desinformatiecampagne in verband met een verbod op sociale media voor minderjarigen onder de 16 jaar, die via berichten aan zijn gebruikers in Spanje werd gevoerd;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overwegende dat Telegram, een berichtenplatform met een groeiende gebruikersbasis in de EU, steeds vaker wordt aangemerkt als doorgeefluik voor desinformatie, buitenlandse inmenging en illegale activiteiten, waaronder de verspreiding van extremistische inhoud en niet-traceerbare politieke propaganda; overwegende dat de oorsprong ervan in Rusland en het gebrek aan betekenisvolle inhoudsmoderatie aanleiding hebben gegeven tot aanhoudende bezorgdheid over de rol ervan bij het ondermijnen van het democratische discours; overwegende dat Telegram een belangrijk kanaal is geworden voor het aanwerven van “wegwerpagenten” en het uitvoeren van hybride operaties; overwegende dat kwaadwillige overheidsactoren de technologische vaardigheden, financiële behoeften en naïviteit van Telegram-gebruikers, met name jongeren, blijken te benutten om tegen minimale kosten spionage- en sabotageactiviteiten uit te voeren, met behoud van geloofwaardige ontkenning; overwegende dat uit rapporten blijkt dat Telegram voldoet aan de gebruikersdrempel om te worden aangemerkt als zeer groot onlineplatform in het kader van de digitaledienstenverordening, en daardoor onderworpen is aan strengere wettelijke verplichtingen en risicobeperkende eisen;</w:t>
            </w:r>
          </w:p>
        </w:tc>
        <w:tc>
          <w:tcPr>
            <w:tcW w:w="4876" w:type="dxa"/>
            <w:tcBorders>
              <w:top w:val="nil"/>
              <w:left w:val="nil"/>
              <w:bottom w:val="nil"/>
              <w:right w:val="nil"/>
            </w:tcBorders>
          </w:tcPr>
          <w:p>
            <w:pPr>
              <w:pStyle w:val="Normal6a"/>
            </w:pPr>
            <w:r>
              <w:t>O.</w:t>
            </w:r>
            <w:r>
              <w:tab/>
            </w:r>
            <w:r>
              <w:t xml:space="preserve">overwegende dat Telegram, een berichtenplatform met een groeiende gebruikersbasis in de EU, steeds vaker wordt aangemerkt als doorgeefluik voor desinformatie, buitenlandse inmenging en illegale activiteiten, waaronder de verspreiding van extremistische inhoud en niet-traceerbare politieke propaganda; overwegende dat de oorsprong ervan in Rusland en het gebrek aan betekenisvolle inhoudsmoderatie aanleiding hebben gegeven tot aanhoudende bezorgdheid over de rol ervan bij het ondermijnen van het democratische discours; overwegende dat Telegram een belangrijk kanaal is geworden voor het aanwerven van “wegwerpagenten” en het uitvoeren van hybride operaties; overwegende dat kwaadwillige overheidsactoren de technologische vaardigheden, financiële behoeften en naïviteit van Telegram-gebruikers, met name jongeren, blijken te benutten om tegen minimale kosten spionage- en sabotageactiviteiten uit te voeren, met behoud van geloofwaardige ontkenning; overwegende dat uit </w:t>
            </w:r>
            <w:r>
              <w:rPr>
                <w:b/>
                <w:i/>
              </w:rPr>
              <w:t>geloofwaardige</w:t>
            </w:r>
            <w:r>
              <w:t xml:space="preserve"> rapporten </w:t>
            </w:r>
            <w:r>
              <w:rPr>
                <w:b/>
                <w:i/>
              </w:rPr>
              <w:t>duidelijk</w:t>
            </w:r>
            <w:r>
              <w:t xml:space="preserve"> blijkt dat Telegram voldoet aan de gebruikersdrempel om te worden aangemerkt als zeer groot onlineplatform in het kader van de digitaledienstenverordening, en daardoor onderworpen is aan strengere wettelijke verplichtingen en risicobeperkende eisen; </w:t>
            </w:r>
            <w:r>
              <w:rPr>
                <w:b/>
                <w:i/>
              </w:rPr>
              <w:t>overwegende dat de Commissie zich al geruime tijd buigt over de kwestie zonder tot een conclusie te komen over hoe verder te gaan;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overwegende dat Telegram, een berichtenplatform met een groeiende gebruikersbasis in de EU, steeds vaker wordt aangemerkt als doorgeefluik voor desinformatie, buitenlandse inmenging en illegale activiteiten, waaronder de verspreiding van extremistische inhoud en niet-traceerbare politieke propaganda; overwegende dat de oorsprong ervan in Rusland </w:t>
            </w:r>
            <w:r>
              <w:rPr>
                <w:b/>
                <w:i/>
              </w:rPr>
              <w:t>en het</w:t>
            </w:r>
            <w:r>
              <w:t xml:space="preserve"> gebrek aan betekenisvolle inhoudsmoderatie aanleiding hebben gegeven tot aanhoudende bezorgdheid over de rol ervan bij het ondermijnen van het democratische discours; overwegende dat Telegram een belangrijk kanaal is geworden voor het aanwerven van “wegwerpagenten” en het uitvoeren van hybride operaties; overwegende dat kwaadwillige overheidsactoren de technologische vaardigheden, financiële behoeften en naïviteit van Telegram-gebruikers, met name jongeren, blijken te benutten om tegen minimale kosten spionage- en sabotageactiviteiten uit te voeren, met behoud van geloofwaardige ontkenning; overwegende dat uit rapporten blijkt dat Telegram voldoet aan de gebruikersdrempel om te worden aangemerkt als zeer groot onlineplatform in het kader van de digitaledienstenverordening, en daardoor onderworpen is aan strengere wettelijke verplichtingen en risicobeperkende eisen;</w:t>
            </w:r>
          </w:p>
        </w:tc>
        <w:tc>
          <w:tcPr>
            <w:tcW w:w="4876" w:type="dxa"/>
            <w:tcBorders>
              <w:top w:val="nil"/>
              <w:left w:val="nil"/>
              <w:bottom w:val="nil"/>
              <w:right w:val="nil"/>
            </w:tcBorders>
          </w:tcPr>
          <w:p>
            <w:pPr>
              <w:pStyle w:val="Normal6a"/>
            </w:pPr>
            <w:r>
              <w:t>O.</w:t>
            </w:r>
            <w:r>
              <w:tab/>
            </w:r>
            <w:r>
              <w:t>overwegende dat Telegram, een berichtenplatform met een groeiende gebruikersbasis in de EU, steeds vaker wordt aangemerkt als doorgeefluik voor desinformatie, buitenlandse inmenging en illegale activiteiten, waaronder de verspreiding van extremistische inhoud en niet-traceerbare politieke propaganda; overwegende dat de oorsprong ervan in Rusland</w:t>
            </w:r>
            <w:r>
              <w:rPr>
                <w:b/>
                <w:i/>
              </w:rPr>
              <w:t>, ondoorzichtige eigendomsstructuren en controle over netwerkinfrastructuur, alsook een</w:t>
            </w:r>
            <w:r>
              <w:t xml:space="preserve"> gebrek aan betekenisvolle inhoudsmoderatie</w:t>
            </w:r>
            <w:r>
              <w:rPr>
                <w:b/>
                <w:i/>
              </w:rPr>
              <w:t>,</w:t>
            </w:r>
            <w:r>
              <w:t xml:space="preserve"> aanleiding hebben gegeven tot aanhoudende bezorgdheid over de rol ervan bij het ondermijnen van het democratische discours; overwegende dat Telegram een belangrijk kanaal is geworden voor het aanwerven van “wegwerpagenten” en het uitvoeren van hybride operaties; overwegende dat kwaadwillige overheidsactoren de technologische vaardigheden, financiële behoeften en naïviteit van Telegram-gebruikers, met name jongeren, blijken te benutten om tegen minimale kosten spionage- en sabotageactiviteiten uit te voeren, met behoud van geloofwaardige ontkenning; overwegende dat uit rapporten blijkt dat Telegram voldoet aan de gebruikersdrempel om te worden aangemerkt als zeer groot onlineplatform in het kader van de digitaledienstenverordening, en daardoor onderworpen is aan strengere wettelijke verplichtingen en risicobeperkende 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O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 bis.</w:t>
            </w:r>
            <w:r>
              <w:tab/>
            </w:r>
            <w:r>
              <w:rPr>
                <w:b/>
                <w:i/>
              </w:rPr>
              <w:t>overwegende dat vrouwelijke politieke leiders, kandidaten en gekozen vertegenwoordigers steeds vaker het doelwit zijn van gendergerelateerde desinformatie, onlinemisbruik en -intimidatie, alsook deepfake-campagnes, die vaak worden gecoördineerd door buitenlandse en binnenlandse kwaadwillige actoren met als doel hun het zwijgen op te leggen, hun te ontmoedigen aan het politieke leven deel te nemen en de integriteit en stabiliteit van democratische instellingen te ondermijnen;</w:t>
            </w:r>
            <w:r>
              <w:t xml:space="preserve"> </w:t>
            </w:r>
            <w:r>
              <w:rPr>
                <w:b/>
                <w:i/>
              </w:rPr>
              <w:t>overwegende dat recente verkiezingsprocessen in de Republiek Moldavië hebben aangetoond dat dergelijke praktijken worden toegepast om prodemocratische vrouwelijke leiders te delegitimeren door middel van geseksualiseerde manipulatie, lasterlijke inhoud en desinformatie;</w:t>
            </w:r>
            <w:r>
              <w:t xml:space="preserve"> </w:t>
            </w:r>
            <w:r>
              <w:rPr>
                <w:b/>
                <w:i/>
              </w:rPr>
              <w:t>overwegende dat de snelle verspreiding en toegankelijkheid van generatieve AI-instrumenten deze risico’s verder heeft vergroot, zoals blijkt uit de aanhoudende controverse rond de AI-chatbot Grok, die gebruikt wordt om zonder instemming geseksualiseerde en misleidende beelden van vrouwelijke politici te produceren;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O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 bis.</w:t>
            </w:r>
            <w:r>
              <w:tab/>
            </w:r>
            <w:r>
              <w:rPr>
                <w:b/>
                <w:i/>
              </w:rPr>
              <w:t>overwegende dat videogames, communicatieapplicaties voor videogames en de bijbehorende fora steeds vaker worden gebruikt om rechtse terroristische en extremistische propaganda en masculinistische inhoud te verspreiden[1];</w:t>
            </w:r>
            <w:r>
              <w:t xml:space="preserve"> </w:t>
            </w:r>
            <w:r>
              <w:rPr>
                <w:b/>
                <w:i/>
              </w:rPr>
              <w:t>overwegende dat e-shops voor videogames en andere digitale voorwerpen voorts worden gebruikt om sancties te omzeilen en geld illegaal over te maken; overwegende dat deze tekortkoming in het vermogen van de EU om desinformatie en hybride dreigingen op te sporen moet worden verholpen</w:t>
            </w:r>
            <w:r>
              <w:t xml:space="preserve"> </w:t>
            </w:r>
            <w:r>
              <w:rPr>
                <w:b/>
                <w:i/>
                <w:vertAlign w:val="superscript"/>
              </w:rPr>
              <w:t>51 quater</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 quater</w:t>
            </w:r>
            <w:r>
              <w:t xml:space="preserve"> </w:t>
            </w:r>
            <w:r>
              <w:rPr>
                <w:b/>
                <w:i/>
              </w:rPr>
              <w:t>https://home-affairs.ec.europa.eu/system/files/2022-02/EUIF%20Technical%20Meeting%20on%20Video%20Gaming%20October%202021%20RAN%20Policy%20Support%20paper_en.pdf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Konstantinos Arvanitis, Danilo Della Valle, Jonas Sjöstedt,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O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 bis.</w:t>
            </w:r>
            <w:r>
              <w:tab/>
            </w:r>
            <w:r>
              <w:rPr>
                <w:b/>
                <w:i/>
              </w:rPr>
              <w:t>overwegende dat de publieke dialoog in de digitale omgeving in toenemende mate en vooral wordt vormgegeven door bedrijven, doordat zij eigenaar zijn van een platform of nauwe banden hebben met de uitvoerende politieke macht, zoals het geval is in de Verenigde Staten;</w:t>
            </w:r>
            <w:r>
              <w:t xml:space="preserve"> </w:t>
            </w:r>
            <w:r>
              <w:rPr>
                <w:b/>
                <w:i/>
              </w:rPr>
              <w:t>overwegende dat de eigenaar van X publiekelijk en ondubbelzinnig heeft aangegeven belang te hebben bij de steun voor extreemrechtse politieke partijen in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c>
          <w:tcPr>
            <w:tcW w:w="4876" w:type="dxa"/>
            <w:tcBorders>
              <w:top w:val="nil"/>
              <w:left w:val="nil"/>
              <w:bottom w:val="nil"/>
              <w:right w:val="nil"/>
            </w:tcBorders>
          </w:tcPr>
          <w:p>
            <w:pPr>
              <w:pStyle w:val="Normal6a"/>
            </w:pPr>
            <w:r>
              <w:t>P.</w:t>
            </w:r>
            <w:r>
              <w:tab/>
            </w:r>
            <w:r>
              <w:t xml:space="preserve">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 </w:t>
            </w:r>
            <w:r>
              <w:rPr>
                <w:b/>
                <w:i/>
              </w:rPr>
              <w:t>overwegende dat het mondiale technologische landschap in hoog tempo verandert door de vooruitgang op het gebied van artificiële intelligentie, waardoor een nieuwe fase van strategische concurrentie ontstaat waarin leiderschapsposities open blijven en rechtstreeks van invloed zijn op de economische kracht, informatiebeveiliging en democratische veerkracht;</w:t>
            </w:r>
            <w:r>
              <w:t xml:space="preserve"> </w:t>
            </w:r>
            <w:r>
              <w:rPr>
                <w:b/>
                <w:i/>
              </w:rPr>
              <w:t>overwegende dat de Unie reeds aanzienlijke capaciteiten heeft ontwikkeld op het gebied van sleuteltechnologieën, waaronder high-performance computing, geavanceerde onderzoeksinfrastructuur en sectorspecifieke AI-toepassingen, waaruit blijkt dat aanhoudende overheidsinvesteringen en gecoördineerd Europees beleid meetbare strategische voordelen kunnen opleveren;</w:t>
            </w:r>
            <w:r>
              <w:t xml:space="preserve"> </w:t>
            </w:r>
            <w:r>
              <w:rPr>
                <w:b/>
                <w:i/>
              </w:rPr>
              <w:t>overwegende dat de toenemende invoering van artificiële intelligentie door Europese ondernemingen in meerdere sectoren een positieve verschuiving weerspiegelt naar een grotere technologische rijpheid en productiviteit, ondersteund door een groeiend ecosysteem van innovatieve start-ups en scale-ups die op mondiaal niveau kunnen concurreren;</w:t>
            </w:r>
            <w:r>
              <w:t xml:space="preserve"> </w:t>
            </w:r>
            <w:r>
              <w:rPr>
                <w:b/>
                <w:i/>
              </w:rPr>
              <w:t>overwegende dat het versterken van de toegang tot rekenkracht, data-infrastructuur en grootschalige testfaciliteiten, onder meer via publiek-private partnerschappen en specifieke innovatiehubs, niet alleen bijdraagt tot het economisch concurrentievermogen, maar ook tot de open strategische autonomie van de Unie op digitaal gebied;</w:t>
            </w:r>
            <w:r>
              <w:t xml:space="preserve"> </w:t>
            </w:r>
            <w:r>
              <w:rPr>
                <w:b/>
                <w:i/>
              </w:rPr>
              <w:t>overwegende dat versterkte digitale capaciteit, soevereine infrastructuur en technologische zelfredzaamheid de structurele afhankelijkheid van externe actoren verminderen en de mogelijkheden voor vijandige inmenging, informatiemanipulatie of economische dwang beperken;</w:t>
            </w:r>
            <w:r>
              <w:t xml:space="preserve"> </w:t>
            </w:r>
            <w:r>
              <w:rPr>
                <w:b/>
                <w:i/>
              </w:rPr>
              <w:t>overwegende dat het versterken van de technologische basis van Europa in dit verband een centrale pijler van het Europees schild voor de democratie vormt door het vermogen van de Unie te verbeteren om haar informatieruimte te beschermen, kritieke digitale activa te beschermen en ervoor te zorgen dat innovatie democratische waarden, maatschappelijke veerkracht en veiligheid op lange termijn dient;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c>
          <w:tcPr>
            <w:tcW w:w="4876" w:type="dxa"/>
            <w:tcBorders>
              <w:top w:val="nil"/>
              <w:left w:val="nil"/>
              <w:bottom w:val="nil"/>
              <w:right w:val="nil"/>
            </w:tcBorders>
          </w:tcPr>
          <w:p>
            <w:pPr>
              <w:pStyle w:val="Normal6a"/>
            </w:pPr>
            <w:r>
              <w:t>P.</w:t>
            </w:r>
            <w:r>
              <w:tab/>
            </w:r>
            <w:r>
              <w:t xml:space="preserve">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w:t>
            </w:r>
            <w:r>
              <w:rPr>
                <w:b/>
                <w:i/>
              </w:rPr>
              <w:t>de snelle ontwikkeling en uitrol van AI-systemen wereldwijd, ook in derde landen waar regelgevingsbenaderingen kunnen worden bepaald door specifieke religieuze of ideologische kaders, waaronder islamitische waarden, aanleiding kunnen geven tot bezorgdheid wanneer dergelijke kaders niet volledig verenigbaar zijn met de grondrechten van de Unie, met inbegrip van de vrijheid van gedachte, geweten en godsdienst, en de vrijheid van meningsuiting, zoals verankerd in de Verdragen en het Handvest van de grondrechten van de Europese Unie;</w:t>
            </w:r>
            <w:r>
              <w:t xml:space="preserve"> </w:t>
            </w:r>
            <w:r>
              <w:rPr>
                <w:b/>
                <w:i/>
              </w:rPr>
              <w:t>overwegende dat het opbouwen van Europese technische soevereiniteit, onder meer door de ontwikkeling van Europese AI-capaciteiten en digitale platforms gedurende hun hele levenscyclus, alsook</w:t>
            </w:r>
            <w:r>
              <w:t xml:space="preserve">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c>
          <w:tcPr>
            <w:tcW w:w="4876" w:type="dxa"/>
            <w:tcBorders>
              <w:top w:val="nil"/>
              <w:left w:val="nil"/>
              <w:bottom w:val="nil"/>
              <w:right w:val="nil"/>
            </w:tcBorders>
          </w:tcPr>
          <w:p>
            <w:pPr>
              <w:pStyle w:val="Normal6a"/>
            </w:pPr>
            <w:r>
              <w:t>P.</w:t>
            </w:r>
            <w:r>
              <w:tab/>
            </w:r>
            <w:r>
              <w:t xml:space="preserve">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 </w:t>
            </w:r>
            <w:r>
              <w:rPr>
                <w:b/>
                <w:i/>
              </w:rPr>
              <w:t>overwegende dat strategische connectiviteitsprojecten zoals de East to Med Corridor (EMC), een onderzees en terrestrisch datatransmissiesysteem dat Europa via Griekenland en Saudi-Arabië met Azië verbindt, bijdragen tot de diversificatie van gegevensroutes en de versterking van de digitale onafhankelijkheid van de Unie;</w:t>
            </w:r>
            <w:r>
              <w:t xml:space="preserve"> </w:t>
            </w:r>
            <w:r>
              <w:rPr>
                <w:b/>
                <w:i/>
              </w:rPr>
              <w:t>overwegende dat de vermeende inmenging van Turkije in onderzoeksactiviteiten in verband met het EMC-project wijst op de geopolitieke risico’s voor kritieke digitale infrastructuur en op de noodzaak voor de EU om strategische connectiviteitsinitiatieven van de lidstaten te beschermen;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overwegende dat de toenemende invloed van niet-Europese technologiebedrijven — met name die welke in de Verenigde Staten en China zijn gevestigd — de strategische afhankelijkheid van de EU op kritieke gebieden zoals data-infrastructuur, clouddiensten </w:t>
            </w:r>
            <w:r>
              <w:rPr>
                <w:b/>
                <w:i/>
              </w:rPr>
              <w:t>en</w:t>
            </w:r>
            <w:r>
              <w:t xml:space="preserve">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c>
          <w:tcPr>
            <w:tcW w:w="4876" w:type="dxa"/>
            <w:tcBorders>
              <w:top w:val="nil"/>
              <w:left w:val="nil"/>
              <w:bottom w:val="nil"/>
              <w:right w:val="nil"/>
            </w:tcBorders>
          </w:tcPr>
          <w:p>
            <w:pPr>
              <w:pStyle w:val="Normal6a"/>
            </w:pPr>
            <w:r>
              <w:t>P.</w:t>
            </w:r>
            <w:r>
              <w:tab/>
            </w:r>
            <w:r>
              <w:t>overwegende dat de toenemende invloed van niet-Europese technologiebedrijven — met name die welke in de Verenigde Staten en China zijn gevestigd — de strategische afhankelijkheid van de EU op kritieke gebieden zoals data-infrastructuur, clouddiensten</w:t>
            </w:r>
            <w:r>
              <w:rPr>
                <w:b/>
                <w:i/>
              </w:rPr>
              <w:t>,</w:t>
            </w:r>
            <w:r>
              <w:t xml:space="preserve"> socialemediaplatforms</w:t>
            </w:r>
            <w:r>
              <w:rPr>
                <w:b/>
                <w:i/>
              </w:rPr>
              <w:t>, betaaldiensten en software</w:t>
            </w:r>
            <w:r>
              <w:t xml:space="preserve"> aan het licht heeft gebracht</w:t>
            </w:r>
            <w:r>
              <w:rPr>
                <w:b/>
                <w:i/>
              </w:rPr>
              <w:t>;</w:t>
            </w:r>
            <w:r>
              <w:t xml:space="preserve"> </w:t>
            </w:r>
            <w:r>
              <w:rPr>
                <w:b/>
                <w:i/>
              </w:rPr>
              <w:t>overwegende dat de weigering van de Commissie om aan Europese cloudproviders een certificaat af te geven die het hoogste niveau van bescherming van strategische gegevens waarborgt, duidelijk maakt hoe beperkt de huidige mogelijkheden van de Unie zijn om haar digitale soevereiniteit te versterken</w:t>
            </w:r>
            <w:r>
              <w: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w:t>
            </w:r>
            <w:r>
              <w:rPr>
                <w:b/>
                <w:i/>
              </w:rPr>
              <w:t>overwegende dat het afstemmen van digitale innovatie op democratische waarden en grondrechten de EU een kans biedt om wereldleider te worden op het gebied van verantwoorde technologie waarin de mens centraal staat;</w:t>
            </w:r>
          </w:p>
        </w:tc>
        <w:tc>
          <w:tcPr>
            <w:tcW w:w="4876" w:type="dxa"/>
            <w:tcBorders>
              <w:top w:val="nil"/>
              <w:left w:val="nil"/>
              <w:bottom w:val="nil"/>
              <w:right w:val="nil"/>
            </w:tcBorders>
          </w:tcPr>
          <w:p>
            <w:pPr>
              <w:pStyle w:val="Normal6a"/>
            </w:pPr>
            <w:r>
              <w:t>P.</w:t>
            </w:r>
            <w:r>
              <w:tab/>
            </w:r>
            <w:r>
              <w:t>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c>
          <w:tcPr>
            <w:tcW w:w="4876" w:type="dxa"/>
            <w:tcBorders>
              <w:top w:val="nil"/>
              <w:left w:val="nil"/>
              <w:bottom w:val="nil"/>
              <w:right w:val="nil"/>
            </w:tcBorders>
          </w:tcPr>
          <w:p>
            <w:pPr>
              <w:pStyle w:val="Normal6a"/>
            </w:pPr>
            <w:r>
              <w:t>P.</w:t>
            </w:r>
            <w:r>
              <w:tab/>
            </w:r>
            <w:r>
              <w:t xml:space="preserve">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w:t>
            </w:r>
            <w:r>
              <w:rPr>
                <w:b/>
                <w:i/>
              </w:rPr>
              <w:t>deze afhankelijkheid opnieuw is bevestigd door de Europese Rekenkamer in 2026 met betrekking tot kritieke grondstoffen</w:t>
            </w:r>
            <w:r>
              <w:rPr>
                <w:b/>
                <w:i/>
                <w:vertAlign w:val="superscript"/>
              </w:rPr>
              <w:t>51 quinquies</w:t>
            </w:r>
            <w:r>
              <w:rPr>
                <w:b/>
                <w:i/>
              </w:rPr>
              <w:t>;</w:t>
            </w:r>
            <w:r>
              <w:t xml:space="preserve"> </w:t>
            </w:r>
            <w:r>
              <w:rPr>
                <w:b/>
                <w:i/>
              </w:rPr>
              <w:t>overwegende dat</w:t>
            </w:r>
            <w:r>
              <w:t xml:space="preserve"> het afstemmen van digitale innovatie op democratische waarden en grondrechten de EU een kans biedt om wereldleider te worden op het gebied van verantwoorde technologie waarin de mens centraal staat;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 quinquies</w:t>
            </w:r>
            <w:r>
              <w:t xml:space="preserve"> </w:t>
            </w:r>
            <w:r>
              <w:rPr>
                <w:b/>
                <w:i/>
              </w:rPr>
              <w:t>Europese Rekenkamer, Speciaal verslag 04/2026 “Kritieke grondstoffen voor de energietransitie — geen rotsvast beleid”, Bureau voor publicaties van de Europese Unie, 2026, https://www.eca.europa.eu/ECAPublications/SR-2026-04/SR-2026-04_NL.pdf.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Konstantinos Arvanitis,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c>
          <w:tcPr>
            <w:tcW w:w="4876" w:type="dxa"/>
            <w:tcBorders>
              <w:top w:val="nil"/>
              <w:left w:val="nil"/>
              <w:bottom w:val="nil"/>
              <w:right w:val="nil"/>
            </w:tcBorders>
          </w:tcPr>
          <w:p>
            <w:pPr>
              <w:pStyle w:val="Normal6a"/>
            </w:pPr>
            <w:r>
              <w:t>P.</w:t>
            </w:r>
            <w:r>
              <w:tab/>
            </w:r>
            <w:r>
              <w:t xml:space="preserve">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 </w:t>
            </w:r>
            <w:r>
              <w:rPr>
                <w:b/>
                <w:i/>
              </w:rPr>
              <w:t>overwegende dat de digitale soevereiniteit van de EU met name moeilijk te verwezenlijken is wanneer zeer grote onlineplatforms en zeer grote onlinezoekmachines de facto een oligopolie vormen;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c>
          <w:tcPr>
            <w:tcW w:w="4876" w:type="dxa"/>
            <w:tcBorders>
              <w:top w:val="nil"/>
              <w:left w:val="nil"/>
              <w:bottom w:val="nil"/>
              <w:right w:val="nil"/>
            </w:tcBorders>
          </w:tcPr>
          <w:p>
            <w:pPr>
              <w:pStyle w:val="Normal6a"/>
            </w:pPr>
            <w:r>
              <w:t>P.</w:t>
            </w:r>
            <w:r>
              <w:tab/>
            </w:r>
            <w:r>
              <w:t>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w:t>
            </w:r>
            <w:r>
              <w:rPr>
                <w:b/>
                <w:i/>
              </w:rPr>
              <w:t>, het waarborgen van eerlijke en concurrerende markten voor digitale technologieën, handhaving van het digitale rulebook</w:t>
            </w:r>
            <w:r>
              <w:t xml:space="preserve">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c>
          <w:tcPr>
            <w:tcW w:w="4876" w:type="dxa"/>
            <w:tcBorders>
              <w:top w:val="nil"/>
              <w:left w:val="nil"/>
              <w:bottom w:val="nil"/>
              <w:right w:val="nil"/>
            </w:tcBorders>
          </w:tcPr>
          <w:p>
            <w:pPr>
              <w:pStyle w:val="Normal6a"/>
            </w:pPr>
            <w:r>
              <w:t>P.</w:t>
            </w:r>
            <w:r>
              <w:tab/>
            </w:r>
            <w:r>
              <w:t>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r>
              <w:rPr>
                <w:b/>
                <w:i/>
              </w:rPr>
              <w:t>, met name gezien het feit dat de technologische wedloop versnelt en Europa niet achterop mag raken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overwegende dat de toenemende invloed van niet-Europese technologiebedrijven — met name die </w:t>
            </w:r>
            <w:r>
              <w:rPr>
                <w:b/>
                <w:i/>
              </w:rPr>
              <w:t>welke in de Verenigde Staten en China zijn</w:t>
            </w:r>
            <w:r>
              <w:t xml:space="preserve">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c>
          <w:tcPr>
            <w:tcW w:w="4876" w:type="dxa"/>
            <w:tcBorders>
              <w:top w:val="nil"/>
              <w:left w:val="nil"/>
              <w:bottom w:val="nil"/>
              <w:right w:val="nil"/>
            </w:tcBorders>
          </w:tcPr>
          <w:p>
            <w:pPr>
              <w:pStyle w:val="Normal6a"/>
            </w:pPr>
            <w:r>
              <w:t>P.</w:t>
            </w:r>
            <w:r>
              <w:tab/>
            </w:r>
            <w:r>
              <w:t xml:space="preserve">overwegende dat de toenemende invloed van niet-Europese technologiebedrijven — met name die gevestigd </w:t>
            </w:r>
            <w:r>
              <w:rPr>
                <w:b/>
                <w:i/>
              </w:rPr>
              <w:t>zijn in China en andere landen die geen lid zijn van de NAVO en geen gelijkgestemde partners zijn</w:t>
            </w:r>
            <w:r>
              <w:t xml:space="preserve">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overwegende dat de toenemende invloed van niet-Europese technologiebedrijven — met name die welke in de Verenigde Staten en China zijn gevestigd — de strategische afhankelijkheid van de EU op kritieke gebieden zoals data-infrastructuur, clouddiensten en </w:t>
            </w:r>
            <w:r>
              <w:rPr>
                <w:b/>
                <w:i/>
              </w:rPr>
              <w:t>socialemediaplatforms</w:t>
            </w:r>
            <w:r>
              <w:t xml:space="preserve">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c>
          <w:tcPr>
            <w:tcW w:w="4876" w:type="dxa"/>
            <w:tcBorders>
              <w:top w:val="nil"/>
              <w:left w:val="nil"/>
              <w:bottom w:val="nil"/>
              <w:right w:val="nil"/>
            </w:tcBorders>
          </w:tcPr>
          <w:p>
            <w:pPr>
              <w:pStyle w:val="Normal6a"/>
            </w:pPr>
            <w:r>
              <w:t>P.</w:t>
            </w:r>
            <w:r>
              <w:tab/>
            </w:r>
            <w:r>
              <w:t xml:space="preserve">overwegende dat de toenemende invloed van niet-Europese technologiebedrijven — met name die welke in de Verenigde Staten en China zijn gevestigd — de strategische afhankelijkheid van de EU op kritieke gebieden zoals data-infrastructuur, clouddiensten en </w:t>
            </w:r>
            <w:r>
              <w:rPr>
                <w:b/>
                <w:i/>
              </w:rPr>
              <w:t>onlineplatforms</w:t>
            </w:r>
            <w:r>
              <w:t xml:space="preserve"> aan het licht heeft gebracht; overwegende dat het bevorderen van innovatie van eigen bodem, het ondersteunen van Europese start-ups en het investeren in soevereine digitale infrastructuur essentiële </w:t>
            </w:r>
            <w:r>
              <w:rPr>
                <w:b/>
                <w:i/>
              </w:rPr>
              <w:t>en dringende</w:t>
            </w:r>
            <w:r>
              <w:t xml:space="preserve"> stappen zijn in de richting van de opbouw van een concurrerend, veilig en veerkrachtig digitaal ecosysteem in de EU </w:t>
            </w:r>
            <w:r>
              <w:rPr>
                <w:b/>
                <w:i/>
              </w:rPr>
              <w:t>dat onafhankelijk is van buitenlandse belangen</w:t>
            </w:r>
            <w:r>
              <w:t>; overwegende dat het afstemmen van digitale innovatie op democratische waarden en grondrechten de EU een kans biedt om wereldleider te worden op het gebied van verantwoorde technologie waarin de mens centraal staat;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overwegende dat de toenemende invloed van niet-Europese technologiebedrijven — met name die welke in de Verenigde Staten en China zijn gevestigd — de strategische afhankelijkheid van de EU op kritieke gebieden zoals data-infrastructuur,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c>
          <w:tcPr>
            <w:tcW w:w="4876" w:type="dxa"/>
            <w:tcBorders>
              <w:top w:val="nil"/>
              <w:left w:val="nil"/>
              <w:bottom w:val="nil"/>
              <w:right w:val="nil"/>
            </w:tcBorders>
          </w:tcPr>
          <w:p>
            <w:pPr>
              <w:pStyle w:val="Normal6a"/>
            </w:pPr>
            <w:r>
              <w:t>P.</w:t>
            </w:r>
            <w:r>
              <w:tab/>
            </w:r>
            <w:r>
              <w:t>overwegende dat de toenemende invloed van niet-Europese technologiebedrijven — met name die welke in de Verenigde Staten en China zijn gevestigd — de strategische afhankelijkheid van de EU op kritieke gebieden zoals data-infrastructuur</w:t>
            </w:r>
            <w:r>
              <w:rPr>
                <w:b/>
                <w:i/>
              </w:rPr>
              <w:t>, satellietcommunicatie</w:t>
            </w:r>
            <w:r>
              <w:t>, clouddiensten en socialemediaplatforms aan het licht heeft gebracht; overwegende dat het bevorderen van innovatie van eigen bodem, het ondersteunen van Europese start-ups en het investeren in soevereine digitale infrastructuur essentiële stappen zijn in de richting van de opbouw van een concurrerend, veilig en veerkrachtig digitaal ecosysteem in de EU; overwegende dat het afstemmen van digitale innovatie op democratische waarden en grondrechten de EU een kans biedt om wereldleider te worden op het gebied van verantwoorde technologie waarin de mens centraal staat;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bis.</w:t>
            </w:r>
            <w:r>
              <w:tab/>
            </w:r>
            <w:r>
              <w:rPr>
                <w:b/>
                <w:i/>
              </w:rPr>
              <w:t>overwegende dat de Europese technologische soevereiniteit en strategische autonomie beginnen met een aanzienlijke vermindering van de afhankelijkheid van de Unie op defensiegebied;</w:t>
            </w:r>
            <w:r>
              <w:t xml:space="preserve"> </w:t>
            </w:r>
            <w:r>
              <w:rPr>
                <w:b/>
                <w:i/>
              </w:rPr>
              <w:t>overwegende dat een sterke en geloofwaardige Europese defensiepositie de veerkracht van de democratische systemen van de Unie en haar vermogen om haar regelgevingskader, met inbegrip van de digitaledienstenverordening, te handhaven, ondersteunt;</w:t>
            </w:r>
            <w:r>
              <w:t xml:space="preserve"> </w:t>
            </w:r>
            <w:r>
              <w:rPr>
                <w:b/>
                <w:i/>
              </w:rPr>
              <w:t>overwegende dat het versterken van de Europese defensievermogens daarom een voorwaarde is voor het waarborgen van de democratische veerkracht en het verminderen van strategische afhankelijkheden op andere kritieke gebieden;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Jonas Sjöstedt, Danilo Della Valle,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bis.</w:t>
            </w:r>
            <w:r>
              <w:tab/>
            </w:r>
            <w:r>
              <w:rPr>
                <w:b/>
                <w:i/>
              </w:rPr>
              <w:t>overwegende dat publieke verklaringen, politieke steunbetuigingen en herhaalde uitingen van steun van politieke figuren van de regering van de Verenigde Staten ten gunste van extreemrechtse politieke partijen en leiders in de Europese Unie een vorm van politieke inmenging in de democratische ruimte van de Unie vormen, voor zover zij erop gericht zijn het politieke discours te beïnvloeden, extreemrechtse actoren te legitimeren en de verkiezingsdynamiek binnen de lidstaten vorm te geven;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bis.</w:t>
            </w:r>
            <w:r>
              <w:tab/>
            </w:r>
            <w:r>
              <w:rPr>
                <w:b/>
                <w:i/>
              </w:rPr>
              <w:t>overwegende dat China ongeveer 70 % van de wereldwijde winning van zeldzame aardmetalen en 90 % van de verwerking in handen heeft, waardoor het een bijna-monopolie heeft op bepaalde kritieke elementen die essentieel zijn voor de hightech-, defensie- en groene energiesectoren;</w:t>
            </w:r>
            <w:r>
              <w:t xml:space="preserve"> </w:t>
            </w:r>
            <w:r>
              <w:rPr>
                <w:b/>
                <w:i/>
              </w:rPr>
              <w:t>overwegende dat China deze positie strategisch benut door uitvoercontroles in te voeren met het oog op politiek en economisch voordeel, en de automobielindustrie en de groene sector van de EU door deze beperkingen zeer kwetsbaar zijn geworden;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bis.</w:t>
            </w:r>
            <w:r>
              <w:tab/>
            </w:r>
            <w:r>
              <w:rPr>
                <w:b/>
                <w:i/>
              </w:rPr>
              <w:t>overwegende dat geo-economische dwang, met inbegrip van instrumenten zoals schuldenvalpraktijken, gerichte uitvoercontroles en strategische overname van Europese bedrijven door actoren uit derde landen, de besluitvormingssoevereiniteit van de Unie en de lidstaten kan ondermijnen en een negatieve invloed kan hebben op de democratische veerkracht;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bis.</w:t>
            </w:r>
            <w:r>
              <w:tab/>
            </w:r>
            <w:r>
              <w:rPr>
                <w:b/>
                <w:i/>
              </w:rPr>
              <w:t>overwegende dat buitenlandse invloed ook kan worden uitgeoefend via institutionele kanalen voor de lange termijn, waaronder aan de staat gelieerde organisaties, stichtingen, religieuze structuren, academische partnerschappen en bedrijfsnetwerken;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ter.</w:t>
            </w:r>
            <w:r>
              <w:tab/>
            </w:r>
            <w:r>
              <w:rPr>
                <w:b/>
                <w:i/>
              </w:rPr>
              <w:t>overwegende dat buitenlandse beïnvloedingsoperaties niet beperkt blijven tot online desinformatiecampagnes, maar ook de vorm kunnen aannemen van langdurige structurele betrokkenheid via financieringsnetwerken, culturele en religieuze organisaties, academische samenwerking, mobilisatie van diasporagemeenschappen en strategische partnerschappen;</w:t>
            </w:r>
            <w:r>
              <w:t xml:space="preserve"> </w:t>
            </w:r>
            <w:r>
              <w:rPr>
                <w:b/>
                <w:i/>
              </w:rPr>
              <w:t>overwegende dat dergelijke invloed via legale kanalen kan worden uitgeoefend en daarom transparantie vereist in plaats van een vermoeden van onwettigheid;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ter.</w:t>
            </w:r>
            <w:r>
              <w:tab/>
            </w:r>
            <w:r>
              <w:rPr>
                <w:b/>
                <w:i/>
              </w:rPr>
              <w:t>overwegende dat Chinese bedrijven met sterke banden met de Chinese Communistische Partij nu belangen hebben in meer dan 30 Europese zeehaventerminals, vaak in de onmiddellijke nabijheid van Europese militaire marinebases;</w:t>
            </w:r>
            <w:r>
              <w:t xml:space="preserve"> </w:t>
            </w:r>
            <w:r>
              <w:rPr>
                <w:b/>
                <w:i/>
              </w:rPr>
              <w:t>overwegende dat in het witboek over de gereedheid van de Europese defensie 2030 het idee is geopperd om kritieke vervoersinfrastructuur in buitenlandse handen strikter te controleren;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quater.</w:t>
            </w:r>
            <w:r>
              <w:tab/>
            </w:r>
            <w:r>
              <w:rPr>
                <w:b/>
                <w:i/>
              </w:rPr>
              <w:t>overwegende dat hernieuwbare energie cruciaal is om Europese energieonafhankelijkheid te bereiken;</w:t>
            </w:r>
            <w:r>
              <w:t xml:space="preserve"> </w:t>
            </w:r>
            <w:r>
              <w:rPr>
                <w:b/>
                <w:i/>
              </w:rPr>
              <w:t>overwegende dat volgens de Wood Mackenzie-analyse van 2025 negen van de tien grootste leveranciers van omvormers van zonne-energie wereldwijd in China gevestigd waren;</w:t>
            </w:r>
            <w:r>
              <w:t xml:space="preserve"> </w:t>
            </w:r>
            <w:r>
              <w:rPr>
                <w:b/>
                <w:i/>
              </w:rPr>
              <w:t>overwegende dat verborgen communicatieapparatuur is aangetroffen in Chinese omvormers van zonne-energie die in Europa en de Verenigde Staten worden gebruikt;</w:t>
            </w:r>
            <w:r>
              <w:t xml:space="preserve"> </w:t>
            </w:r>
            <w:r>
              <w:rPr>
                <w:b/>
                <w:i/>
              </w:rPr>
              <w:t>overwegende dat er volgens het Tsjechische bureau voor cyberbeveiliging risico’s bestaan met betrekking tot gegevensbescherming en, in extreme gevallen, manipulatie op afstand van omvormers van zonne-energie;</w:t>
            </w:r>
            <w:r>
              <w:t xml:space="preserve"> </w:t>
            </w:r>
            <w:r>
              <w:rPr>
                <w:b/>
                <w:i/>
              </w:rPr>
              <w:t>overwegende dat zonne-energiecentrales die via een gedecentraliseerd, compact netwerk met elkaar zijn verbonden, gevoeliger zijn voor cyberaanvallen en daarom strengere regelgeving en veiligheidsmaatregelen vereisen;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quater.</w:t>
            </w:r>
            <w:r>
              <w:tab/>
            </w:r>
            <w:r>
              <w:rPr>
                <w:b/>
                <w:i/>
              </w:rPr>
              <w:t>overwegende dat bepaalde derde landen via met de staat gelieerde instellingen, religieuze instanties en culturele netwerken actief structurele betrekkingen onderhouden met diasporagemeenschappen in de Unie;</w:t>
            </w:r>
            <w:r>
              <w:t xml:space="preserve"> </w:t>
            </w:r>
            <w:r>
              <w:rPr>
                <w:b/>
                <w:i/>
              </w:rPr>
              <w:t>overwegende dat een dergelijke betrokkenheid, hoewel in veel gevallen legitiem, ook kan dienen als middel om invloed uit te oefenen, informatie te sturen of politieke mobilisatie te bewerkstelligen;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quinquies.</w:t>
            </w:r>
            <w:r>
              <w:tab/>
            </w:r>
            <w:r>
              <w:rPr>
                <w:b/>
                <w:i/>
              </w:rPr>
              <w:t>overwegende dat Spanje Huawei een opdracht heeft gegund voor het beheer en de opslag van gerechtelijk goedgekeurde afluistergegevens die worden gebruikt door zowel wetshandhavingsinstanties als inlichtingendiensten;</w:t>
            </w:r>
            <w:r>
              <w:t xml:space="preserve"> </w:t>
            </w:r>
            <w:r>
              <w:rPr>
                <w:b/>
                <w:i/>
              </w:rPr>
              <w:t>overwegende dat de Commissie Huawei op grond van veiligheidsoverwegingen heeft uitgesloten van 5G-netwerken in de hele Europese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quinquies.</w:t>
            </w:r>
            <w:r>
              <w:tab/>
            </w:r>
            <w:r>
              <w:rPr>
                <w:b/>
                <w:i/>
              </w:rPr>
              <w:t>overwegende dat de toerekening van buitenlandse informatiemanipulatieoperaties strenge bewijsnormen en transparante methoden vereist, gezien de mogelijke gevolgen die dergelijke claims kunnen hebben voor de politieke stabiliteit, het publieke vertrouwen en de electorale legitimiteit;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sexies.</w:t>
            </w:r>
            <w:r>
              <w:tab/>
            </w:r>
            <w:r>
              <w:rPr>
                <w:b/>
                <w:i/>
              </w:rPr>
              <w:t>overwegende dat volgens de Britse inlichtingendiensten Rusland duizenden videobewakingscamera's in Oekraïne en de Europese Unie heeft gehackt om buitenlandse leveringen aan de strijdkrachten van Oekraïne te monitoren;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septies.</w:t>
            </w:r>
            <w:r>
              <w:tab/>
            </w:r>
            <w:r>
              <w:rPr>
                <w:b/>
                <w:i/>
              </w:rPr>
              <w:t>overwegende dat Rusland zijn hybride oorlogsvoering tegen Polen en de Baltische staten heeft geïntensiveerd door middel van cyberaanvallen, sabotage en desinformatie, waarbij het Poolse defensieve maatregelen heeft gepresenteerd als provocaties om zijn eigen binnenlandse politieke narratief te bevorderen;</w:t>
            </w:r>
            <w:r>
              <w:t xml:space="preserve"> </w:t>
            </w:r>
            <w:r>
              <w:rPr>
                <w:b/>
                <w:i/>
              </w:rPr>
              <w:t>overwegende dat het anti-Oekraïense sentiment in Polen toeneemt;</w:t>
            </w:r>
            <w:r>
              <w:t xml:space="preserve"> </w:t>
            </w:r>
            <w:r>
              <w:rPr>
                <w:b/>
                <w:i/>
              </w:rPr>
              <w:t>overwegende dat de Russische geheime diensten volgens de Poolse regering achter de brandstichting in een winkelcentrum in Warschau in 2024 zaten;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P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 octies.</w:t>
            </w:r>
            <w:r>
              <w:tab/>
            </w:r>
            <w:r>
              <w:rPr>
                <w:b/>
                <w:i/>
              </w:rPr>
              <w:t>overwegende dat Rusland en Poetin zelf actief aan historisch revisionisme doen en de identiteit en soevereiniteit ontkennen van naties die ooit onder Russisch bewind stonden;</w:t>
            </w:r>
            <w:r>
              <w:t xml:space="preserve"> </w:t>
            </w:r>
            <w:r>
              <w:rPr>
                <w:b/>
                <w:i/>
              </w:rPr>
              <w:t>overwegende dat deze narratieven worden bevorderd door Russische propaganda in Rusland, de EU-lidstaten en het Globale Zuiden om de inmenging van Rusland in verschillende landen te rechtvaardigen;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overwegende dat uit onderzoek blijkt dat er sprake is van een zorgwekkende tendens in de programma’s voor inkomstenherverdeling van onlineplatforms, namelijk dat mediakanalen die aan sancties onderworpen zijn, zoals Sputnik en Russia Today, maanden na de invoering van EU-sancties tegen Rusland nog steeds als “partner-uitgevers” op Facebook vermeld stonden, wat de vraag oproept of zij financieel blijven profiteren;</w:t>
            </w:r>
            <w:r>
              <w:t xml:space="preserve"> </w:t>
            </w:r>
            <w:r>
              <w:rPr>
                <w:b/>
                <w:i/>
              </w:rPr>
              <w:t>overwegende dat dergelijke ondoorzichtige monetisatiemechanismen buitenlandse aan de staat gelieerde actoren in staat stellen te profiteren van het delen van desinformatie en ondanks regulerende maatregelen de informatieruimten van de EU blijven destabiliseren;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overwegende dat uit onderzoek blijkt dat er sprake is van een zorgwekkende tendens in de programma’s voor inkomstenherverdeling van onlineplatforms, namelijk dat mediakanalen die aan sancties onderworpen zijn, zoals Sputnik en Russia Today, maanden na de invoering van EU-sancties tegen Rusland nog steeds als “partner-uitgevers” op Facebook vermeld stonden, wat de vraag oproept of zij financieel blijven profiteren; overwegende dat dergelijke ondoorzichtige monetisatiemechanismen buitenlandse aan de staat gelieerde actoren in staat stellen te profiteren van het delen van desinformatie en ondanks regulerende maatregelen de informatieruimten van de EU blijven destabiliseren;</w:t>
            </w:r>
          </w:p>
        </w:tc>
        <w:tc>
          <w:tcPr>
            <w:tcW w:w="4876" w:type="dxa"/>
            <w:tcBorders>
              <w:top w:val="nil"/>
              <w:left w:val="nil"/>
              <w:bottom w:val="nil"/>
              <w:right w:val="nil"/>
            </w:tcBorders>
          </w:tcPr>
          <w:p>
            <w:pPr>
              <w:pStyle w:val="Normal6a"/>
            </w:pPr>
            <w:r>
              <w:t>Q.</w:t>
            </w:r>
            <w:r>
              <w:tab/>
            </w:r>
            <w:r>
              <w:t xml:space="preserve">overwegende dat uit onderzoek blijkt dat er sprake is van een zorgwekkende tendens in de programma’s voor inkomstenherverdeling van onlineplatforms, namelijk dat mediakanalen die aan sancties onderworpen zijn, zoals Sputnik en Russia Today, maanden na de invoering van EU-sancties tegen Rusland nog steeds als “partner-uitgevers” op Facebook vermeld stonden, wat de vraag oproept of zij financieel blijven profiteren; overwegende dat dergelijke ondoorzichtige monetisatiemechanismen buitenlandse aan de staat gelieerde actoren in staat stellen te profiteren van het delen van desinformatie en ondanks regulerende maatregelen de informatieruimten van de EU blijven destabiliseren; </w:t>
            </w:r>
            <w:r>
              <w:rPr>
                <w:b/>
                <w:i/>
              </w:rPr>
              <w:t>overwegende dat Meta het enige grote technologiebedrijf is dat regelmatig regelmatig zijn monetisatiegegevens publiceert, zij het met weinig details, terwijl andere onlineplatforms nog steeds geen enkele transparantie bieden;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overwegende dat uit onderzoek blijkt dat er sprake is van een zorgwekkende tendens in de programma’s voor inkomstenherverdeling van onlineplatforms, namelijk dat mediakanalen die aan sancties onderworpen zijn, zoals Sputnik en Russia Today, maanden na de invoering van EU-sancties tegen Rusland nog steeds als “partner-uitgevers” op Facebook vermeld stonden, wat de vraag oproept of zij financieel blijven profiteren; overwegende dat dergelijke ondoorzichtige monetisatiemechanismen buitenlandse aan de staat gelieerde actoren in staat stellen te profiteren van het delen van desinformatie en ondanks regulerende maatregelen de informatieruimten van de EU blijven destabiliseren;</w:t>
            </w:r>
          </w:p>
        </w:tc>
        <w:tc>
          <w:tcPr>
            <w:tcW w:w="4876" w:type="dxa"/>
            <w:tcBorders>
              <w:top w:val="nil"/>
              <w:left w:val="nil"/>
              <w:bottom w:val="nil"/>
              <w:right w:val="nil"/>
            </w:tcBorders>
          </w:tcPr>
          <w:p>
            <w:pPr>
              <w:pStyle w:val="Normal6a"/>
            </w:pPr>
            <w:r>
              <w:t>Q.</w:t>
            </w:r>
            <w:r>
              <w:tab/>
            </w:r>
            <w:r>
              <w:t xml:space="preserve">overwegende dat uit onderzoek blijkt dat er sprake is van een zorgwekkende tendens in de programma’s voor inkomstenherverdeling van onlineplatforms, namelijk dat mediakanalen die aan sancties onderworpen zijn, zoals </w:t>
            </w:r>
            <w:r>
              <w:rPr>
                <w:b/>
                <w:i/>
              </w:rPr>
              <w:t>bijvoorbeeld</w:t>
            </w:r>
            <w:r>
              <w:t xml:space="preserve"> Sputnik en Russia Today, maanden na de invoering van EU-sancties tegen Rusland nog steeds als “partner-uitgevers” op Facebook vermeld stonden, wat de vraag oproept of zij financieel blijven profiteren; overwegende dat dergelijke ondoorzichtige monetisatiemechanismen buitenlandse aan de staat gelieerde actoren in staat stellen te profiteren van het delen van desinformatie en ondanks regulerende maatregelen de informatieruimten van de EU </w:t>
            </w:r>
            <w:r>
              <w:rPr>
                <w:b/>
                <w:i/>
              </w:rPr>
              <w:t>en de lidstaten</w:t>
            </w:r>
            <w:r>
              <w:t xml:space="preserve"> blijven destabiliseren;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Danilo Della Valle, Jonas Sjöstedt,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Q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bis.</w:t>
            </w:r>
            <w:r>
              <w:tab/>
            </w:r>
            <w:r>
              <w:rPr>
                <w:b/>
                <w:i/>
              </w:rPr>
              <w:t>overwegende dat Israël een belangrijke speler is geworden bij de levering van bewakings- en digitale beveiligingsinfrastructuur aan verschillende EU-lidstaten, ondanks aanhoudende bezorgdheid over beperkte transparantie en beperkt toezicht;</w:t>
            </w:r>
            <w:r>
              <w:t xml:space="preserve"> </w:t>
            </w:r>
            <w:r>
              <w:rPr>
                <w:b/>
                <w:i/>
              </w:rPr>
              <w:t>overwegende dat de groeiende technologische afhankelijkheid van Israël de Europese strategische soevereiniteit in gevaar dreigt te brengen en het vermogen van de lidstaten om volledige en autonome controle over hun cyberbeveiligingsinstrumenten te behouden, dreigt te beperken;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Q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bis.</w:t>
            </w:r>
            <w:r>
              <w:tab/>
            </w:r>
            <w:r>
              <w:rPr>
                <w:b/>
                <w:i/>
              </w:rPr>
              <w:t>overwegende dat in de complexe keten van aanbieders van onlinereclame jaarlijks miljarden euro’s stromen van legitieme merken naar websites die bekend staan om het publiceren van onjuiste informatie en desinformatie;</w:t>
            </w:r>
            <w:r>
              <w:t xml:space="preserve"> </w:t>
            </w:r>
            <w:r>
              <w:rPr>
                <w:b/>
                <w:i/>
              </w:rPr>
              <w:t>overwegende dat deze inkomstenstroom essentieel is voor het financiële voortbestaan van websites die zich voordoende als lokale nieuwsmedia, gemeenschappen polariseren en het vertrouwen in hoogwaardige journalistiek ondermijnen;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Q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bis.</w:t>
            </w:r>
            <w:r>
              <w:tab/>
            </w:r>
            <w:r>
              <w:rPr>
                <w:b/>
                <w:i/>
              </w:rPr>
              <w:t>overwegende dat het verkiezingsproces een essentieel onderdeel vormt van de soevereiniteit van elke lidstaat en een primaire bevoegdheid van de nationale autoriteiten moet blijven, in overeenstemming met hun constitutionele tradities en wettelijke kaders;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Q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 ter.</w:t>
            </w:r>
            <w:r>
              <w:tab/>
            </w:r>
            <w:r>
              <w:rPr>
                <w:b/>
                <w:i/>
              </w:rPr>
              <w:t>overwegende dat Israël spyware en andere digitale intrusietechnologieën aanmerkt als cyberdefensiematerieel waarvoor een exportvergunning van het Ministerie van Defensie vereist is, waardoor een nauwe band tot stand wordt gebracht tussen de defensie-industrie, de inlichtingendiensten en het diplomatieke apparaat van het land;</w:t>
            </w:r>
            <w:r>
              <w:t xml:space="preserve"> </w:t>
            </w:r>
            <w:r>
              <w:rPr>
                <w:b/>
                <w:i/>
              </w:rPr>
              <w:t>overwegende dat bedrijven zoals NSO Group, Candiru, Paragon en Cognyte – opgericht door of met personeel bestaande uit voormalige leden van de Israëlische inlichtingendienst – een centrale rol spelen in dit ecosysteem en surveillance- en intrusietools exporteren naar regeringen wereldwijd, waaronder meerdere binnen de Europese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overwegende dat in een enquête die in de aanloop naar de parlementsverkiezingen van 2025 in Nederland werd gehouden, een op de tien respondenten aangaf voor stemadvies waarschijnlijk AI te gebruiken, terwijl nog eens 13 % aangaf er misschien gebruik van te zullen maken; overwegende dat onder de jongste kiezers in Nederland het gecombineerde percentage van deze twee groepen respondenten meer dan een derde bedraagt; overwegende dat deze tendens in overeenstemming is met de bevindingen in de lidstaten en wereldwijd; overwegende dat uit een recent onderzoek van de Nederlandse autoriteit voor gegevensbescherming blijkt dat stemadviezen die door AI-chatbots worden gegenereerd, vaak een sterk vertekend en gepolariseerd beeld van het politieke landschap geven;</w:t>
            </w:r>
          </w:p>
        </w:tc>
        <w:tc>
          <w:tcPr>
            <w:tcW w:w="4876" w:type="dxa"/>
            <w:tcBorders>
              <w:top w:val="nil"/>
              <w:left w:val="nil"/>
              <w:bottom w:val="nil"/>
              <w:right w:val="nil"/>
            </w:tcBorders>
          </w:tcPr>
          <w:p>
            <w:pPr>
              <w:pStyle w:val="Normal6a"/>
            </w:pPr>
            <w:r>
              <w:t>R.</w:t>
            </w:r>
            <w:r>
              <w:tab/>
            </w:r>
            <w:r>
              <w:t xml:space="preserve">overwegende dat in een enquête die in de aanloop naar de parlementsverkiezingen van 2025 in Nederland werd gehouden, een op de tien respondenten aangaf voor stemadvies waarschijnlijk AI te gebruiken, terwijl nog eens 13 % aangaf er misschien gebruik van te zullen maken; overwegende dat onder de jongste kiezers in Nederland het gecombineerde percentage van deze twee groepen respondenten meer dan een derde bedraagt; overwegende dat deze tendens in overeenstemming is met de bevindingen in de lidstaten en wereldwijd; overwegende dat uit een recent onderzoek van de Nederlandse autoriteit voor gegevensbescherming blijkt dat stemadviezen die door AI-chatbots worden gegenereerd, vaak een sterk vertekend en gepolariseerd beeld van het politieke landschap geven; </w:t>
            </w:r>
            <w:r>
              <w:rPr>
                <w:b/>
                <w:i/>
              </w:rPr>
              <w:t>overwegende dat dit de cruciale rol onderstreept van onderwijs, mediageletterdheid en kritische digitale vaardigheden om burgers, met name jongeren en nieuwe kiezers, in staat te stellen vooringenomenheid, manipulatie en propaganda te herkennen en weloverwogen democratische keuzes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overwegende dat in een enquête die in de aanloop naar de parlementsverkiezingen van 2025 in Nederland werd gehouden, een op de tien respondenten aangaf voor stemadvies waarschijnlijk AI te gebruiken, terwijl nog eens 13 % aangaf er misschien gebruik van te zullen maken; overwegende dat onder de jongste kiezers in Nederland het gecombineerde percentage van deze twee groepen respondenten meer dan een derde bedraagt; overwegende dat deze tendens in overeenstemming is met de bevindingen in de lidstaten en wereldwijd; overwegende dat uit een recent onderzoek van de Nederlandse autoriteit voor gegevensbescherming blijkt dat stemadviezen die door AI-chatbots worden gegenereerd, vaak een sterk vertekend en gepolariseerd beeld van het politieke landschap geven;</w:t>
            </w:r>
          </w:p>
        </w:tc>
        <w:tc>
          <w:tcPr>
            <w:tcW w:w="4876" w:type="dxa"/>
            <w:tcBorders>
              <w:top w:val="nil"/>
              <w:left w:val="nil"/>
              <w:bottom w:val="nil"/>
              <w:right w:val="nil"/>
            </w:tcBorders>
          </w:tcPr>
          <w:p>
            <w:pPr>
              <w:pStyle w:val="Normal6a"/>
            </w:pPr>
            <w:r>
              <w:t>R.</w:t>
            </w:r>
            <w:r>
              <w:tab/>
            </w:r>
            <w:r>
              <w:t>overwegende dat in een enquête die in de aanloop naar de parlementsverkiezingen van 2025 in Nederland werd gehouden, een op de tien respondenten aangaf voor stemadvies waarschijnlijk AI te gebruiken, terwijl nog eens 13 % aangaf er misschien gebruik van te zullen maken; overwegende dat onder de jongste kiezers in Nederland het gecombineerde percentage van deze twee groepen respondenten meer dan een derde bedraagt; overwegende dat deze tendens in overeenstemming is met de bevindingen in de lidstaten en wereldwijd; overwegende dat uit een recent onderzoek van de Nederlandse autoriteit voor gegevensbescherming blijkt dat stemadviezen die door AI-chatbots worden gegenereerd, vaak een sterk vertekend en gepolariseerd beeld van het politieke landschap geven</w:t>
            </w:r>
            <w:r>
              <w:rPr>
                <w:b/>
                <w:i/>
              </w:rPr>
              <w:t>, wat kan worden beschouwd als een indicatie van het gebrek aan transparantie en de mogelijke onbetrouwbaarheid van dergelijke systemen, met name gezien het feit dat het gebruik van AI toeneemt en mensen steeds vaker een beroep doen op AI voor advies over beslissingen met grote gevolgen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overwegende dat in een enquête die in de aanloop naar de parlementsverkiezingen van 2025 in Nederland werd gehouden, een op de tien respondenten aangaf voor stemadvies waarschijnlijk AI te gebruiken, terwijl nog eens 13 % aangaf er misschien gebruik van te zullen maken; overwegende dat onder de jongste kiezers in Nederland het gecombineerde percentage van deze twee groepen respondenten meer dan een derde bedraagt; overwegende dat deze tendens in overeenstemming is met de bevindingen in de lidstaten en wereldwijd; overwegende dat uit een recent onderzoek van de Nederlandse autoriteit voor gegevensbescherming blijkt dat stemadviezen die door AI-chatbots worden gegenereerd, vaak een sterk vertekend en gepolariseerd beeld van het politieke landschap geven;</w:t>
            </w:r>
          </w:p>
        </w:tc>
        <w:tc>
          <w:tcPr>
            <w:tcW w:w="4876" w:type="dxa"/>
            <w:tcBorders>
              <w:top w:val="nil"/>
              <w:left w:val="nil"/>
              <w:bottom w:val="nil"/>
              <w:right w:val="nil"/>
            </w:tcBorders>
          </w:tcPr>
          <w:p>
            <w:pPr>
              <w:pStyle w:val="Normal6a"/>
            </w:pPr>
            <w:r>
              <w:t>R.</w:t>
            </w:r>
            <w:r>
              <w:tab/>
            </w:r>
            <w:r>
              <w:t xml:space="preserve">overwegende dat in een enquête die in de aanloop naar de parlementsverkiezingen van 2025 in Nederland werd gehouden, een op de tien respondenten aangaf voor stemadvies waarschijnlijk AI te gebruiken, terwijl nog eens 13 % aangaf er misschien gebruik van te zullen maken; overwegende dat onder de jongste kiezers in Nederland het gecombineerde percentage van deze twee groepen respondenten meer dan een derde bedraagt; overwegende dat deze tendens in overeenstemming is met de bevindingen in de lidstaten en wereldwijd; overwegende dat uit een recent onderzoek van de Nederlandse autoriteit voor gegevensbescherming blijkt dat stemadviezen die door AI-chatbots worden gegenereerd, vaak een sterk vertekend en gepolariseerd beeld van het politieke landschap geven; </w:t>
            </w:r>
            <w:r>
              <w:rPr>
                <w:b/>
                <w:i/>
              </w:rPr>
              <w:t>overwegende dat investeren in de ontwikkeling van open source LLM’s zoals het Franse Mistral een manier is om de bezorgdheid over verborgen vooroordelen, achterdeurtjes of misbruik van gegevens in AI-chatbots te verminderen;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R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bis.</w:t>
            </w:r>
            <w:r>
              <w:tab/>
            </w:r>
            <w:r>
              <w:rPr>
                <w:b/>
                <w:i/>
              </w:rPr>
              <w:t>overwegende dat zeer grote onlineplatforms en zoekmachines de facto poortwachters van de publieke ruimte en primaire intermediairs voor toegang tot informatie zijn geworden, waardoor zij een aanzienlijke invloed uitoefenen op welke informatie burgers te zien krijgen, hoe deze informatie wordt geprioriteerd en onder welke voorwaarden deze wordt verspreid;</w:t>
            </w:r>
            <w:r>
              <w:t xml:space="preserve"> </w:t>
            </w:r>
            <w:r>
              <w:rPr>
                <w:b/>
                <w:i/>
              </w:rPr>
              <w:t>overwegende dat algoritmische classificatiesystemen, aanbevelingssystemen, ondoorzichtige inhoudsmoderatiepraktijken en monetisatiemodellen op basis van betrokkenheid, al dan niet opzettelijk, de informatieomgeving kunnen vervormen, de publieke ruimte kunnen fragmenteren en het effectieve recht van burgers op nauwkeurige en pluralistische informatie kunnen ondermijnen;</w:t>
            </w:r>
            <w:r>
              <w:t xml:space="preserve"> </w:t>
            </w:r>
            <w:r>
              <w:rPr>
                <w:b/>
                <w:i/>
              </w:rPr>
              <w:t>overwegende dat het waarborgen van transparantie, verantwoordingsplicht en risicobeperking door platforms, in overeenstemming met de digitaledienstenverordening, van essentieel belang is om de integriteit van de publieke ruimte en de doeltreffende uitoefening van het recht op informatie door alle burgers te beschermen;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R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bis.</w:t>
            </w:r>
            <w:r>
              <w:tab/>
            </w:r>
            <w:r>
              <w:rPr>
                <w:b/>
                <w:i/>
              </w:rPr>
              <w:t>benadrukt dat door AI gegenereerde stemadviezen en advertenties transparant moeten zijn, niet mogen worden gefinancierd of beïnvloed om specifieke politieke belangen te bevorderen, en volledig in overeenstemming moeten zijn met de digitaledienstenverordening van de EU, om manipulatie te voorkomen en de integriteit van de democratische keuzes van burgers te beschermen.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R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 bis.</w:t>
            </w:r>
            <w:r>
              <w:tab/>
            </w:r>
            <w:r>
              <w:rPr>
                <w:b/>
                <w:i/>
              </w:rPr>
              <w:t>overwegende dat Rusland volgens een onderzoek van Investigace.cz zich actief heeft gemengd in de Duitse federale verkiezingen van 2025 door pro-Europese politieke partijen, namelijk de CDU, de SPD en de Groenen, op de korrel te nemen, maar de AfD, de BSW en Die Linke te ontzien;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overwegende dat het grondrecht op vrijheid van meningsuiting en informatie, zoals verankerd in artikel 11 van het Handvest van de grondrechten van de Europese Unie en artikel 10 van het Europees Verdrag tot bescherming van de rechten van de mens, een hoeksteen van de democratie is; overwegende dat de inzet van de EU voor de vrijheid van meningsuiting een coherente en principiële strategie vormt in de strijd tegen FIMI, in schril contrast met de beperkingen die autoritaire actoren systematisch aan hun bevolking opleggen; overwegende dat de vrijheid en de pluriformiteit van de media en het bestaan van een bloeiende civiele ruimte samenlevingen in staat stellen manipulatieve narratieven op te sporen, aan de kaak te stellen en te verwerpen door middel van democratisch overleg;</w:t>
            </w:r>
          </w:p>
        </w:tc>
        <w:tc>
          <w:tcPr>
            <w:tcW w:w="4876" w:type="dxa"/>
            <w:tcBorders>
              <w:top w:val="nil"/>
              <w:left w:val="nil"/>
              <w:bottom w:val="nil"/>
              <w:right w:val="nil"/>
            </w:tcBorders>
          </w:tcPr>
          <w:p>
            <w:pPr>
              <w:pStyle w:val="Normal6a"/>
            </w:pPr>
            <w:r>
              <w:t>S.</w:t>
            </w:r>
            <w:r>
              <w:tab/>
            </w:r>
            <w:r>
              <w:t xml:space="preserve">overwegende dat het grondrecht op vrijheid van meningsuiting en informatie, zoals verankerd in artikel 11 van het Handvest van de grondrechten van de Europese Unie en artikel 10 van het Europees Verdrag tot bescherming van de rechten van de mens, een hoeksteen van de democratie is; overwegende dat de inzet van de EU voor de vrijheid van meningsuiting een coherente en principiële strategie vormt in de strijd tegen FIMI, in schril contrast met de beperkingen die autoritaire actoren systematisch aan hun bevolking opleggen; overwegende dat de vrijheid en de pluriformiteit van de media en het bestaan van een bloeiende civiele ruimte samenlevingen in staat stellen manipulatieve narratieven op te sporen, aan de kaak te stellen en te verwerpen door middel van democratisch overleg; </w:t>
            </w:r>
            <w:r>
              <w:rPr>
                <w:b/>
                <w:i/>
              </w:rPr>
              <w:t>overwegende dat het jaarlijkse verslag van de Commissie over de rechtsstaat een specifieke pijler bevat over mediavrijheid en mediapluralisme, waarmee het intrinsieke verband tussen de rechtsstaat, de bescherming van onafhankelijke journalistiek en de weerbaarheid van de informatieomgeving wordt erkend;</w:t>
            </w:r>
            <w:r>
              <w:t xml:space="preserve"> </w:t>
            </w:r>
            <w:r>
              <w:rPr>
                <w:b/>
                <w:i/>
              </w:rPr>
              <w:t>overwegende dat een versterking van de interactie tussen mechanismen voor toezicht op de rechtsstaat en beleid ter bestrijding van desinformatie het vermogen van de Unie zou vergroten om vroegtijdige waarschuwingssignalen op te vangen, structurele kwetsbaarheden aan te pakken en de democratische waarborgen in alle lidstaten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overwegende dat het grondrecht op vrijheid van meningsuiting en informatie, zoals verankerd in artikel 11 van het Handvest van de grondrechten van de Europese Unie en artikel 10 van het Europees Verdrag tot bescherming van de rechten van de mens, een hoeksteen van de democratie is; overwegende dat de inzet van de EU voor de vrijheid van meningsuiting een coherente en principiële strategie </w:t>
            </w:r>
            <w:r>
              <w:rPr>
                <w:b/>
                <w:i/>
              </w:rPr>
              <w:t>vormt</w:t>
            </w:r>
            <w:r>
              <w:t xml:space="preserve"> in de strijd tegen FIMI, in schril contrast met de beperkingen die autoritaire actoren systematisch aan hun bevolking opleggen; overwegende dat de vrijheid en de pluriformiteit van de media en het bestaan van een bloeiende civiele ruimte samenlevingen in staat stellen manipulatieve narratieven op te sporen, aan de kaak te stellen en te verwerpen door middel van democratisch overleg;</w:t>
            </w:r>
          </w:p>
        </w:tc>
        <w:tc>
          <w:tcPr>
            <w:tcW w:w="4876" w:type="dxa"/>
            <w:tcBorders>
              <w:top w:val="nil"/>
              <w:left w:val="nil"/>
              <w:bottom w:val="nil"/>
              <w:right w:val="nil"/>
            </w:tcBorders>
          </w:tcPr>
          <w:p>
            <w:pPr>
              <w:pStyle w:val="Normal6a"/>
            </w:pPr>
            <w:r>
              <w:t>S.</w:t>
            </w:r>
            <w:r>
              <w:tab/>
            </w:r>
            <w:r>
              <w:t>overwegende dat het grondrecht op vrijheid van meningsuiting en informatie, zoals verankerd in artikel 11 van het Handvest van de grondrechten van de Europese Unie en artikel 10 van het Europees Verdrag tot bescherming van de rechten van de mens, een hoeksteen van de democratie is</w:t>
            </w:r>
            <w:r>
              <w:rPr>
                <w:b/>
                <w:i/>
              </w:rPr>
              <w:t> en, om volledig te kunnen worden uitgeoefend, de grootst mogelijke vrijheid moet omvatten om openlijk standpunten te verkondigen die in strijd zijn met de algemeen aanvaarde (mainstream) opvattingen</w:t>
            </w:r>
            <w:r>
              <w:t xml:space="preserve">; overwegende dat de inzet van de EU voor de vrijheid van meningsuiting een </w:t>
            </w:r>
            <w:r>
              <w:rPr>
                <w:b/>
                <w:i/>
              </w:rPr>
              <w:t>essentieel instrument is voor de democratische vitaliteit van de Unie en voor een</w:t>
            </w:r>
            <w:r>
              <w:t xml:space="preserve"> coherente en principiële strategie in de strijd tegen FIMI, in schril contrast met de beperkingen die autoritaire actoren systematisch aan hun bevolking opleggen; overwegende dat de vrijheid en de pluriformiteit van de media en het bestaan van een bloeiende civiele ruimte samenlevingen in staat stellen manipulatieve narratieven op te sporen, aan de kaak te stellen en te verwerpen door middel van democratisch overleg;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overwegende dat het grondrecht op vrijheid van meningsuiting en informatie, zoals verankerd in artikel 11 van het Handvest van de grondrechten van de Europese Unie en artikel 10 van het Europees Verdrag tot bescherming van de rechten van de mens, een hoeksteen van de democratie is; overwegende dat de inzet van de EU voor de vrijheid van meningsuiting een coherente en principiële strategie vormt in de strijd tegen FIMI, in schril contrast met de beperkingen die autoritaire actoren systematisch aan hun bevolking opleggen; overwegende dat de vrijheid en de pluriformiteit van de media en het bestaan van een bloeiende civiele ruimte samenlevingen in staat stellen manipulatieve narratieven op te sporen, aan de kaak te stellen en te verwerpen door middel van democratisch overleg;</w:t>
            </w:r>
          </w:p>
        </w:tc>
        <w:tc>
          <w:tcPr>
            <w:tcW w:w="4876" w:type="dxa"/>
            <w:tcBorders>
              <w:top w:val="nil"/>
              <w:left w:val="nil"/>
              <w:bottom w:val="nil"/>
              <w:right w:val="nil"/>
            </w:tcBorders>
          </w:tcPr>
          <w:p>
            <w:pPr>
              <w:pStyle w:val="Normal6a"/>
            </w:pPr>
            <w:r>
              <w:t>S.</w:t>
            </w:r>
            <w:r>
              <w:tab/>
            </w:r>
            <w:r>
              <w:t xml:space="preserve">overwegende dat het grondrecht op vrijheid van meningsuiting en informatie, zoals verankerd in artikel 11 van het Handvest van de grondrechten van de Europese Unie en artikel 10 van het Europees Verdrag tot bescherming van de rechten van de mens, een hoeksteen van de democratie is; overwegende dat de inzet van de EU voor de vrijheid van meningsuiting een coherente en principiële strategie vormt in de strijd tegen FIMI, in schril contrast met de beperkingen die autoritaire actoren systematisch aan hun bevolking opleggen; overwegende dat </w:t>
            </w:r>
            <w:r>
              <w:rPr>
                <w:b/>
                <w:i/>
              </w:rPr>
              <w:t>het gebrek aan pluralisme en persvrijheid in bepaalde kandidaat-lidstaten niet alleen schadelijk is voor de lokale bevolking, maar ook voor de Unie, aangezien de media vaak worden gemanipuleerd om desinformatie te verspreiden;</w:t>
            </w:r>
            <w:r>
              <w:t xml:space="preserve"> </w:t>
            </w:r>
            <w:r>
              <w:rPr>
                <w:b/>
                <w:i/>
              </w:rPr>
              <w:t>overwegende dat</w:t>
            </w:r>
            <w:r>
              <w:t xml:space="preserve"> de vrijheid en de pluriformiteit van de media en het bestaan van een bloeiende civiele ruimte samenlevingen in staat stellen manipulatieve narratieven op te sporen, aan de kaak te stellen en te verwerpen door middel van democratisch overleg;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overwegende dat het grondrecht op vrijheid van meningsuiting en informatie, zoals verankerd in artikel 11 van het Handvest van de grondrechten van de Europese Unie en artikel 10 van het Europees Verdrag tot bescherming van de rechten van de mens, een hoeksteen van de democratie is; overwegende dat de inzet van de EU voor de vrijheid van meningsuiting een coherente en principiële </w:t>
            </w:r>
            <w:r>
              <w:rPr>
                <w:b/>
                <w:i/>
              </w:rPr>
              <w:t>strategie vormt in de strijd tegen FIMI</w:t>
            </w:r>
            <w:r>
              <w:t>, in schril contrast met de beperkingen die autoritaire actoren systematisch aan hun bevolking opleggen; overwegende dat de vrijheid en de pluriformiteit van de media en het bestaan van een bloeiende civiele ruimte samenlevingen in staat stellen manipulatieve narratieven op te sporen, aan de kaak te stellen en te verwerpen door middel van democratisch overleg;</w:t>
            </w:r>
          </w:p>
        </w:tc>
        <w:tc>
          <w:tcPr>
            <w:tcW w:w="4876" w:type="dxa"/>
            <w:tcBorders>
              <w:top w:val="nil"/>
              <w:left w:val="nil"/>
              <w:bottom w:val="nil"/>
              <w:right w:val="nil"/>
            </w:tcBorders>
          </w:tcPr>
          <w:p>
            <w:pPr>
              <w:pStyle w:val="Normal6a"/>
            </w:pPr>
            <w:r>
              <w:t>S.</w:t>
            </w:r>
            <w:r>
              <w:tab/>
            </w:r>
            <w:r>
              <w:t xml:space="preserve">overwegende dat het grondrecht op vrijheid van meningsuiting en informatie, zoals verankerd in artikel 11 van het Handvest van de grondrechten van de Europese Unie en artikel 10 van het Europees Verdrag tot bescherming van de rechten van de mens, een hoeksteen van de democratie is; overwegende dat de inzet van de EU voor de vrijheid van meningsuiting een coherente en principiële </w:t>
            </w:r>
            <w:r>
              <w:rPr>
                <w:b/>
                <w:i/>
              </w:rPr>
              <w:t>uitingsvrijheid zonder angst voor straf voor gepubliceerde meningen inhoudt</w:t>
            </w:r>
            <w:r>
              <w:t xml:space="preserve">, </w:t>
            </w:r>
            <w:r>
              <w:rPr>
                <w:b/>
                <w:i/>
              </w:rPr>
              <w:t>wat</w:t>
            </w:r>
            <w:r>
              <w:t xml:space="preserve"> in schril contrast </w:t>
            </w:r>
            <w:r>
              <w:rPr>
                <w:b/>
                <w:i/>
              </w:rPr>
              <w:t>staat</w:t>
            </w:r>
            <w:r>
              <w:t xml:space="preserve"> met de beperkingen die autoritaire actoren systematisch aan hun bevolking opleggen; overwegende dat de vrijheid en de pluriformiteit van de media en het bestaan van een bloeiende civiele ruimte samenlevingen in staat stellen manipulatieve narratieven op te sporen, aan de kaak te stellen en te verwerpen door middel van democratisch overleg; </w:t>
            </w:r>
            <w:r>
              <w:rPr>
                <w:b/>
                <w:i/>
              </w:rPr>
              <w:t>overwegende dat dit ook de vrijheid omvat om ongehinderd meningen te uiten en informatie te ontvangen en door te geven;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overwegende dat het grondrecht op vrijheid van meningsuiting en informatie, zoals verankerd in artikel 11 van het Handvest van de grondrechten van de Europese Unie en artikel 10 van het Europees Verdrag tot bescherming van de rechten van de mens, een hoeksteen van de democratie is; overwegende dat de inzet van de EU voor de vrijheid van meningsuiting een coherente en principiële strategie vormt in de strijd tegen FIMI, in schril contrast met de beperkingen die autoritaire actoren systematisch aan hun bevolking opleggen; overwegende dat de vrijheid en de pluriformiteit van de media en het bestaan van een bloeiende civiele ruimte samenlevingen in staat stellen manipulatieve narratieven op te sporen, aan de kaak te stellen en te verwerpen door middel van democratisch overleg;</w:t>
            </w:r>
          </w:p>
        </w:tc>
        <w:tc>
          <w:tcPr>
            <w:tcW w:w="4876" w:type="dxa"/>
            <w:tcBorders>
              <w:top w:val="nil"/>
              <w:left w:val="nil"/>
              <w:bottom w:val="nil"/>
              <w:right w:val="nil"/>
            </w:tcBorders>
          </w:tcPr>
          <w:p>
            <w:pPr>
              <w:pStyle w:val="Normal6a"/>
            </w:pPr>
            <w:r>
              <w:t>S.</w:t>
            </w:r>
            <w:r>
              <w:tab/>
            </w:r>
            <w:r>
              <w:t xml:space="preserve">overwegende dat het grondrecht op vrijheid van meningsuiting en informatie, zoals verankerd </w:t>
            </w:r>
            <w:r>
              <w:rPr>
                <w:b/>
                <w:i/>
              </w:rPr>
              <w:t>in artikel 19 van de Universele Verklaring van de Rechten van de Mens, alsook</w:t>
            </w:r>
            <w:r>
              <w:t xml:space="preserve"> in artikel 11 van het Handvest van de grondrechten van de Europese Unie en artikel 10 van het Europees Verdrag tot bescherming van de rechten van de mens, een hoeksteen van de democratie is; overwegende dat de inzet van de EU voor de vrijheid van meningsuiting een coherente en principiële strategie vormt in de strijd tegen FIMI, in schril contrast met de beperkingen die autoritaire actoren systematisch aan hun bevolking opleggen; overwegende dat de vrijheid en de pluriformiteit van de media en het bestaan van een bloeiende civiele ruimte samenlevingen in staat stellen manipulatieve narratieven op te sporen, aan de kaak te stellen en te verwerpen door middel van democratisch overleg;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overwegende dat het grondrecht op vrijheid van meningsuiting en informatie, zoals verankerd in artikel 11 van het Handvest van de grondrechten van de Europese Unie en artikel 10 van het Europees Verdrag tot bescherming van de rechten van de mens, een hoeksteen van de democratie is; overwegende dat de inzet van de EU voor de vrijheid van meningsuiting een coherente en principiële strategie vormt </w:t>
            </w:r>
            <w:r>
              <w:rPr>
                <w:b/>
                <w:i/>
              </w:rPr>
              <w:t>in de strijd</w:t>
            </w:r>
            <w:r>
              <w:t xml:space="preserve"> tegen </w:t>
            </w:r>
            <w:r>
              <w:rPr>
                <w:b/>
                <w:i/>
              </w:rPr>
              <w:t>FIMI</w:t>
            </w:r>
            <w:r>
              <w:t>, in schril contrast met de beperkingen die autoritaire actoren systematisch aan hun bevolking opleggen; overwegende dat de vrijheid en de pluriformiteit van de media en het bestaan van een bloeiende civiele ruimte samenlevingen in staat stellen manipulatieve narratieven op te sporen, aan de kaak te stellen en te verwerpen door middel van democratisch overleg;</w:t>
            </w:r>
          </w:p>
        </w:tc>
        <w:tc>
          <w:tcPr>
            <w:tcW w:w="4876" w:type="dxa"/>
            <w:tcBorders>
              <w:top w:val="nil"/>
              <w:left w:val="nil"/>
              <w:bottom w:val="nil"/>
              <w:right w:val="nil"/>
            </w:tcBorders>
          </w:tcPr>
          <w:p>
            <w:pPr>
              <w:pStyle w:val="Normal6a"/>
            </w:pPr>
            <w:r>
              <w:t>S.</w:t>
            </w:r>
            <w:r>
              <w:tab/>
            </w:r>
            <w:r>
              <w:t xml:space="preserve">overwegende dat het grondrecht op vrijheid van meningsuiting en informatie, zoals verankerd in artikel 11 van het Handvest van de grondrechten van de Europese Unie en artikel 10 van het Europees Verdrag tot bescherming van de rechten van de mens, een hoeksteen van de democratie is; overwegende dat de inzet van de EU voor de vrijheid van meningsuiting een coherente en principiële strategie vormt </w:t>
            </w:r>
            <w:r>
              <w:rPr>
                <w:b/>
                <w:i/>
              </w:rPr>
              <w:t>om manipulatie</w:t>
            </w:r>
            <w:r>
              <w:t xml:space="preserve"> tegen </w:t>
            </w:r>
            <w:r>
              <w:rPr>
                <w:b/>
                <w:i/>
              </w:rPr>
              <w:t>te gaan</w:t>
            </w:r>
            <w:r>
              <w:t>, in schril contrast met de beperkingen die autoritaire actoren systematisch aan hun bevolking opleggen; overwegende dat de vrijheid en de pluriformiteit van de media en het bestaan van een bloeiende civiele ruimte samenlevingen in staat stellen manipulatieve narratieven op te sporen, aan de kaak te stellen en te verwerpen door middel van democratisch overleg;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S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bis.</w:t>
            </w:r>
            <w:r>
              <w:tab/>
            </w:r>
            <w:r>
              <w:rPr>
                <w:b/>
                <w:i/>
              </w:rPr>
              <w:t>gezien het arrest van het Europees Hof voor de Rechten van de Mens van 7 december 1976 in de zaak Handyside tegen het Verenigd Koninkrijk, waarin is vastgesteld dat de vrijheid van meningsuiting een van de wezenlijke grondslagen van een democratische samenleving vormt en vrijheid van meningsuiting niet alleen bestaat voor "informatie" of voor "ideeën" die anderen graag horen of die geen aanstoot geven of waar men onverschillig tegenover staat, maar dat ook die ideeën en informatie worden beschermd die aan de staat of een bepaald deel van de bevolking aanstoot geven, choqueren of verontrusten;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S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bis.</w:t>
            </w:r>
            <w:r>
              <w:tab/>
            </w:r>
            <w:r>
              <w:rPr>
                <w:b/>
                <w:i/>
              </w:rPr>
              <w:t>overwegende dat het kader voor buitengerechtelijke geschillenbeslechting van de digitaledienstenverordening betrekking heeft op een breed scala aan besluiten van platforms, en dat de verwijzing in de proceskosten platforms ertoe kan aanzetten geschillen te vermijden door aan verzoeken om verwijdering/beperking te voldoen, zelfs als de inhoud van de kwestie omstreden is, hetgeen ertoe kan leiden dat rechtmatige meningsuiting feitelijk door asymmetrieën in kosten en risico's wordt beperkt en rechterlijke uitspraken over de rechtmatigheid van meningsuitingen geen rol meer spelen;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S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 bis.</w:t>
            </w:r>
            <w:r>
              <w:tab/>
            </w:r>
            <w:r>
              <w:rPr>
                <w:b/>
                <w:i/>
              </w:rPr>
              <w:t>overwegende dat de Europese Commissie op 24 oktober 2025 voorlopige bevindingen heeft gepubliceerd waaruit blijkt dat platforms van Meta mogelijk bepaalde in de digitaledienstenverordening vastgelegde verplichtingen met betrekking tot transparantie en gebruikersbescherming hebben geschonden, met name de verplichting om onderzoekers passende toegang te verlenen tot openbare gegevens, instrumenten ter beschikking te stellen voor het melden van illegale inhoud en het aanvechten van beslissingen inzake inhoudsmoderatie;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overwegende dat de vrijheid van meningsuiting en informatie een grondrecht is dat bedoeld is om mensen te beschermen, en niet machines, bots en AI;</w:t>
            </w:r>
          </w:p>
        </w:tc>
        <w:tc>
          <w:tcPr>
            <w:tcW w:w="4876" w:type="dxa"/>
            <w:tcBorders>
              <w:top w:val="nil"/>
              <w:left w:val="nil"/>
              <w:bottom w:val="nil"/>
              <w:right w:val="nil"/>
            </w:tcBorders>
          </w:tcPr>
          <w:p>
            <w:pPr>
              <w:pStyle w:val="Normal6a"/>
            </w:pPr>
            <w:r>
              <w:t>T.</w:t>
            </w:r>
            <w:r>
              <w:tab/>
            </w:r>
            <w:r>
              <w:t xml:space="preserve">overwegende dat de vrijheid van meningsuiting en informatie een grondrecht is dat bedoeld is om mensen te beschermen, en niet machines, bots en AI; </w:t>
            </w:r>
            <w:r>
              <w:rPr>
                <w:b/>
                <w:i/>
              </w:rPr>
              <w:t>overwegende dat de Europese Unie zich krachtig en ondubbelzinnig blijft inzetten voor de bescherming van de vrijheid van meningsuiting als een democratische kernwaarde en een pijler van haar constitutionele orde;</w:t>
            </w:r>
            <w:r>
              <w:t xml:space="preserve"> </w:t>
            </w:r>
            <w:r>
              <w:rPr>
                <w:b/>
                <w:i/>
              </w:rPr>
              <w:t>overwegende dat deze inzet gepaard moet gaan met een duidelijk regelgevingskader dat ervoor zorgt dat de uitoefening van deze vrijheid niet als voorwendsel dient voor de verspreiding van illegale inhoud, gecoördineerde manipulatie of andere onwettige activiteiten, en dat er passende waarborgen en evenredige toezichtsmechanismen voorhanden zijn om de grondrechten, de openbare orde en de integriteit van het democratische discours te beschermen;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overwegende dat de vrijheid van meningsuiting en informatie een grondrecht is dat bedoeld is om </w:t>
            </w:r>
            <w:r>
              <w:rPr>
                <w:b/>
                <w:i/>
              </w:rPr>
              <w:t>mensen</w:t>
            </w:r>
            <w:r>
              <w:t xml:space="preserve"> te beschermen, en niet machines, bots </w:t>
            </w:r>
            <w:r>
              <w:rPr>
                <w:b/>
                <w:i/>
              </w:rPr>
              <w:t>en AI;</w:t>
            </w:r>
          </w:p>
        </w:tc>
        <w:tc>
          <w:tcPr>
            <w:tcW w:w="4876" w:type="dxa"/>
            <w:tcBorders>
              <w:top w:val="nil"/>
              <w:left w:val="nil"/>
              <w:bottom w:val="nil"/>
              <w:right w:val="nil"/>
            </w:tcBorders>
          </w:tcPr>
          <w:p>
            <w:pPr>
              <w:pStyle w:val="Normal6a"/>
            </w:pPr>
            <w:r>
              <w:t>T.</w:t>
            </w:r>
            <w:r>
              <w:tab/>
            </w:r>
            <w:r>
              <w:t xml:space="preserve">overwegende dat de vrijheid van meningsuiting en informatie een grondrecht is dat bedoeld is om </w:t>
            </w:r>
            <w:r>
              <w:rPr>
                <w:b/>
                <w:i/>
              </w:rPr>
              <w:t>personen</w:t>
            </w:r>
            <w:r>
              <w:t xml:space="preserve"> te beschermen, en niet machines, bots </w:t>
            </w:r>
            <w:r>
              <w:rPr>
                <w:b/>
                <w:i/>
              </w:rPr>
              <w:t>of geautomatiseerde systemen, waaronder AI;</w:t>
            </w:r>
            <w:r>
              <w:t xml:space="preserve"> </w:t>
            </w:r>
            <w:r>
              <w:rPr>
                <w:b/>
                <w:i/>
              </w:rPr>
              <w:t>overwegende dat dit een van de fundamentele rechten en waarden is waarop de EU is gegrondvest en waarop ook de constitutionele tradities van de lidstaten zijn gebaseerd;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overwegende dat de vrijheid van meningsuiting en informatie een grondrecht is dat bedoeld is om mensen te beschermen, en niet machines, bots en AI;</w:t>
            </w:r>
          </w:p>
        </w:tc>
        <w:tc>
          <w:tcPr>
            <w:tcW w:w="4876" w:type="dxa"/>
            <w:tcBorders>
              <w:top w:val="nil"/>
              <w:left w:val="nil"/>
              <w:bottom w:val="nil"/>
              <w:right w:val="nil"/>
            </w:tcBorders>
          </w:tcPr>
          <w:p>
            <w:pPr>
              <w:pStyle w:val="Normal6a"/>
            </w:pPr>
            <w:r>
              <w:t>T.</w:t>
            </w:r>
            <w:r>
              <w:tab/>
            </w:r>
            <w:r>
              <w:t xml:space="preserve">overwegende dat de vrijheid van meningsuiting en informatie een grondrecht is dat bedoeld is om mensen te beschermen, en niet machines, bots en AI; </w:t>
            </w:r>
            <w:r>
              <w:rPr>
                <w:b/>
                <w:i/>
              </w:rPr>
              <w:t>bij elke poging om AI te reguleren moet ervoor worden gezorgd dat dergelijke maatregelen het mensenrecht op meningsuiting niet beperken en de menselijke waardigheid volledig eerbiedigen;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overwegende dat de vrijheid van meningsuiting en informatie een grondrecht is dat bedoeld is om mensen te beschermen, en niet machines, bots en AI;</w:t>
            </w:r>
          </w:p>
        </w:tc>
        <w:tc>
          <w:tcPr>
            <w:tcW w:w="4876" w:type="dxa"/>
            <w:tcBorders>
              <w:top w:val="nil"/>
              <w:left w:val="nil"/>
              <w:bottom w:val="nil"/>
              <w:right w:val="nil"/>
            </w:tcBorders>
          </w:tcPr>
          <w:p>
            <w:pPr>
              <w:pStyle w:val="Normal6a"/>
            </w:pPr>
            <w:r>
              <w:t>T.</w:t>
            </w:r>
            <w:r>
              <w:tab/>
            </w:r>
            <w:r>
              <w:t>overwegende dat de vrijheid van meningsuiting en informatie een grondrecht is dat bedoeld is om mensen te beschermen, en niet machines, bots en AI</w:t>
            </w:r>
            <w:r>
              <w:rPr>
                <w:b/>
                <w:i/>
              </w:rPr>
              <w:t>, en niet op niet-transparante of onrechtmatige wijze noch zonder behoorlijke democratische controle en verantwoordingsplicht mag worden beperkt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 xml:space="preserve">overwegende dat de vrijheid van meningsuiting en informatie een grondrecht is dat bedoeld is om mensen te beschermen, </w:t>
            </w:r>
            <w:r>
              <w:rPr>
                <w:b/>
                <w:i/>
              </w:rPr>
              <w:t>en niet</w:t>
            </w:r>
            <w:r>
              <w:t xml:space="preserve"> machines, bots en AI;</w:t>
            </w:r>
          </w:p>
        </w:tc>
        <w:tc>
          <w:tcPr>
            <w:tcW w:w="4876" w:type="dxa"/>
            <w:tcBorders>
              <w:top w:val="nil"/>
              <w:left w:val="nil"/>
              <w:bottom w:val="nil"/>
              <w:right w:val="nil"/>
            </w:tcBorders>
          </w:tcPr>
          <w:p>
            <w:pPr>
              <w:pStyle w:val="Normal6a"/>
            </w:pPr>
            <w:r>
              <w:t>T.</w:t>
            </w:r>
            <w:r>
              <w:tab/>
            </w:r>
            <w:r>
              <w:t xml:space="preserve">overwegende dat de vrijheid van meningsuiting en informatie een grondrecht is dat bedoeld is om mensen te beschermen, </w:t>
            </w:r>
            <w:r>
              <w:rPr>
                <w:b/>
                <w:i/>
              </w:rPr>
              <w:t>met inbegrip van</w:t>
            </w:r>
            <w:r>
              <w:t xml:space="preserve"> machines, bots en AI </w:t>
            </w:r>
            <w:r>
              <w:rPr>
                <w:b/>
                <w:i/>
              </w:rPr>
              <w:t>die door menselijk handelen worden aangestuurd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overwegende dat de vrijheid van meningsuiting en informatie een grondrecht is dat bedoeld is om mensen te beschermen, en niet machines, bots en AI;</w:t>
            </w:r>
          </w:p>
        </w:tc>
        <w:tc>
          <w:tcPr>
            <w:tcW w:w="4876" w:type="dxa"/>
            <w:tcBorders>
              <w:top w:val="nil"/>
              <w:left w:val="nil"/>
              <w:bottom w:val="nil"/>
              <w:right w:val="nil"/>
            </w:tcBorders>
          </w:tcPr>
          <w:p>
            <w:pPr>
              <w:pStyle w:val="Normal6a"/>
            </w:pPr>
            <w:r>
              <w:t>T.</w:t>
            </w:r>
            <w:r>
              <w:tab/>
            </w:r>
            <w:r>
              <w:t xml:space="preserve">overwegende dat de vrijheid van meningsuiting en informatie een grondrecht is dat bedoeld is om mensen te beschermen, en niet machines, bots </w:t>
            </w:r>
            <w:r>
              <w:rPr>
                <w:b/>
                <w:i/>
              </w:rPr>
              <w:t>voor aanbevelingssystemen </w:t>
            </w:r>
            <w:r>
              <w:t>en 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T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 bis.</w:t>
            </w:r>
            <w:r>
              <w:tab/>
            </w:r>
            <w:r>
              <w:rPr>
                <w:b/>
                <w:i/>
              </w:rPr>
              <w:t>overwegende dat de vaststelling van de “waarheid” inherent subjectief is en dat historische ervaringen aantonen dat minderheidsstandpunten of informatie die aanvankelijk door de autoriteiten als onjuist, gevaarlijk of als “desinformatie” werden bestempeld, in de loop van de tijd vaak feitelijk correct blijken te zijn;</w:t>
            </w:r>
            <w:r>
              <w:t xml:space="preserve"> </w:t>
            </w:r>
            <w:r>
              <w:rPr>
                <w:b/>
                <w:i/>
              </w:rPr>
              <w:t>overwegende dat legitieme berichtgeving in bepaalde gevallen op ongerechtvaardigde wijze door onlineplatforms is beperkt of verwijderd, onder meer als gevolg van externe druk, om later als betrouwbaar te worden bevestigd;</w:t>
            </w:r>
            <w:r>
              <w:t xml:space="preserve"> </w:t>
            </w:r>
            <w:r>
              <w:rPr>
                <w:b/>
                <w:i/>
              </w:rPr>
              <w:t>dat dit het inherente gevaar illustreert van het toekennen van de rol van hoeders van de waarheid aan overheidsinstanties of door de overheid gefinancierde organen, wat kan leiden tot censuur en een ondermijning van de vrijheid van meningsuiting en het democratisch pluralisme;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T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 bis.</w:t>
            </w:r>
            <w:r>
              <w:tab/>
            </w:r>
            <w:r>
              <w:rPr>
                <w:b/>
                <w:i/>
              </w:rPr>
              <w:t>overwegende dat bij legitieme journalistieke productie steeds vaker geautomatiseerde en semi-geautomatiseerde systemen worden gebruikt, onder meer voor datagestuurde berichtgeving zoals financiële updates, weerberichten en sportverslaggeving, en dat deze systemen derhalve onder de mediavrijheid en de vrijheid van meningsuiting kunnen vallen wanneer in die berichtgeving menselijke redactionele intentie en vormgeving tot uiting 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T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 bis.</w:t>
            </w:r>
            <w:r>
              <w:tab/>
            </w:r>
            <w:r>
              <w:rPr>
                <w:b/>
                <w:i/>
              </w:rPr>
              <w:t>overwegende dat open democratische informatieruimten structureel kwetsbaarder zijn voor manipulatie dan gesloten autoritaire systemen, die externe inhoud kunnen beperken en filteren en tegelijkertijd misbruik kunnen maken van de openheid van westerse platforms, waardoor een asymmetrie ontstaat die moet worden aangepakt door middel van versterkt en gecoördineerd EU-optreden op het gebied van informatie;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T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 ter.</w:t>
            </w:r>
            <w:r>
              <w:tab/>
            </w:r>
            <w:r>
              <w:rPr>
                <w:b/>
                <w:i/>
              </w:rPr>
              <w:t>overwegende dat de vrijheid van gedachte, geweten en godsdienst, zoals beschermd door de artikelen 10 en 22 van het Handvest van de grondrechten van de Europese Unie, met inbegrip van de vrijheid om in het publieke discours van zijn godsdienst of zijn overtuiging blijk te geven, een kernonderdeel vormt van democratisch pluralisme en veerkracht, en niet indirect mag worden beperkt door maatregelen die gericht zijn op het tegengaan van desinformatie of buitenlandse manipulatie van informatie;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overwegende dat actoren op het gebied van buitenlandse informatiemanipulatie en inmenging gebruikmaken van technologieën om gecoördineerde valse desinformatiecampagnes te organiseren; overwegende dat deze technologieën, met name bots en op AI gebaseerde softwareprogramma’s, in staat zijn autonoom gedrag te vertonen en vervolgens het echte publieke debat te verstoren en te ontwrichten, door de uitingen van bestaande personen te overspoelen met nepinhoud;</w:t>
            </w:r>
          </w:p>
        </w:tc>
        <w:tc>
          <w:tcPr>
            <w:tcW w:w="4876" w:type="dxa"/>
            <w:tcBorders>
              <w:top w:val="nil"/>
              <w:left w:val="nil"/>
              <w:bottom w:val="nil"/>
              <w:right w:val="nil"/>
            </w:tcBorders>
          </w:tcPr>
          <w:p>
            <w:pPr>
              <w:pStyle w:val="Normal6a"/>
            </w:pPr>
            <w:r>
              <w:t>U.</w:t>
            </w:r>
            <w:r>
              <w:tab/>
            </w:r>
            <w:r>
              <w:t xml:space="preserve">overwegende dat actoren op het gebied van buitenlandse informatiemanipulatie en inmenging gebruikmaken van technologieën om gecoördineerde valse desinformatiecampagnes te organiseren; overwegende dat deze technologieën, met name bots en op AI gebaseerde softwareprogramma’s, in staat zijn autonoom gedrag te vertonen en vervolgens het echte publieke debat te verstoren en te ontwrichten, door de uitingen van bestaande personen te overspoelen met nepinhoud; </w:t>
            </w:r>
            <w:r>
              <w:rPr>
                <w:b/>
                <w:i/>
              </w:rPr>
              <w:t>overwegende dat ongereguleerde niet-authentieke inhoud en desinformatie echte menselijke interactie ontmoedigen en leiden tot het “dode internet”;</w:t>
            </w:r>
            <w:r>
              <w:t xml:space="preserve"> </w:t>
            </w:r>
            <w:r>
              <w:rPr>
                <w:b/>
                <w:i/>
              </w:rPr>
              <w:t>overwegende dat uit het Imperva Bad Bot Report 2024 is gebleken dat bijna 50 % van het internetverkeer afkomstig is van niet-menselijke bronnen, terwijl bad bots bijna een derde van al het verkeer uitmaken;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overwegende dat actoren op het gebied van buitenlandse informatiemanipulatie en inmenging gebruikmaken van technologieën om gecoördineerde </w:t>
            </w:r>
            <w:r>
              <w:rPr>
                <w:b/>
                <w:i/>
              </w:rPr>
              <w:t>valse</w:t>
            </w:r>
            <w:r>
              <w:t xml:space="preserve"> desinformatiecampagnes te organiseren; </w:t>
            </w:r>
            <w:r>
              <w:rPr>
                <w:b/>
                <w:i/>
              </w:rPr>
              <w:t>overwegende dat deze technologieën, met name bots en op AI gebaseerde softwareprogramma’s, in staat zijn autonoom gedrag te vertonen en vervolgens het echte publieke debat te verstoren en te ontwrichten, door de uitingen van bestaande personen te overspoelen met nepinhoud;</w:t>
            </w:r>
          </w:p>
        </w:tc>
        <w:tc>
          <w:tcPr>
            <w:tcW w:w="4876" w:type="dxa"/>
            <w:tcBorders>
              <w:top w:val="nil"/>
              <w:left w:val="nil"/>
              <w:bottom w:val="nil"/>
              <w:right w:val="nil"/>
            </w:tcBorders>
          </w:tcPr>
          <w:p>
            <w:pPr>
              <w:pStyle w:val="Normal6a"/>
            </w:pPr>
            <w:r>
              <w:t>U.</w:t>
            </w:r>
            <w:r>
              <w:tab/>
            </w:r>
            <w:r>
              <w:t>overwegende dat actoren op het gebied van buitenlandse informatiemanipulatie en inmenging gebruikmaken van technologieën om gecoördineerde desinformatiecampagnes te organiseren;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overwegende dat actoren op het gebied van buitenlandse informatiemanipulatie en inmenging gebruikmaken van technologieën om gecoördineerde valse desinformatiecampagnes te organiseren; overwegende dat deze technologieën, met name bots en op AI gebaseerde softwareprogramma’s, in staat zijn autonoom gedrag te vertonen en vervolgens het echte publieke debat te verstoren en te ontwrichten, door de uitingen van bestaande personen te overspoelen met nepinhoud;</w:t>
            </w:r>
          </w:p>
        </w:tc>
        <w:tc>
          <w:tcPr>
            <w:tcW w:w="4876" w:type="dxa"/>
            <w:tcBorders>
              <w:top w:val="nil"/>
              <w:left w:val="nil"/>
              <w:bottom w:val="nil"/>
              <w:right w:val="nil"/>
            </w:tcBorders>
          </w:tcPr>
          <w:p>
            <w:pPr>
              <w:pStyle w:val="Normal6a"/>
            </w:pPr>
            <w:r>
              <w:t>U.</w:t>
            </w:r>
            <w:r>
              <w:tab/>
            </w:r>
            <w:r>
              <w:t xml:space="preserve">overwegende dat actoren op het gebied van buitenlandse informatiemanipulatie en inmenging gebruikmaken van technologieën om gecoördineerde valse desinformatiecampagnes te organiseren; overwegende dat deze technologieën, met name bots en op AI gebaseerde softwareprogramma’s, in staat zijn autonoom gedrag te vertonen en vervolgens het echte publieke debat te verstoren en te ontwrichten, door de uitingen van bestaande personen te overspoelen met nepinhoud; </w:t>
            </w:r>
            <w:r>
              <w:rPr>
                <w:b/>
                <w:i/>
              </w:rPr>
              <w:t>overwegende dat de bevoegde nationale autoriteiten en de technologieplatforms zelf maatregelen nemen om dergelijke inmenging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 xml:space="preserve">overwegende dat actoren op het gebied van buitenlandse informatiemanipulatie en inmenging gebruikmaken van technologieën om </w:t>
            </w:r>
            <w:r>
              <w:rPr>
                <w:b/>
                <w:i/>
              </w:rPr>
              <w:t>gecoördineerde valse</w:t>
            </w:r>
            <w:r>
              <w:t xml:space="preserve"> desinformatiecampagnes te organiseren; overwegende dat deze technologieën, met name bots en op AI gebaseerde softwareprogramma’s, in staat zijn autonoom gedrag te vertonen en vervolgens het echte publieke debat te verstoren en te ontwrichten, door de </w:t>
            </w:r>
            <w:r>
              <w:rPr>
                <w:b/>
                <w:i/>
              </w:rPr>
              <w:t>uitingen</w:t>
            </w:r>
            <w:r>
              <w:t xml:space="preserve"> van bestaande personen te overspoelen met nepinhoud;</w:t>
            </w:r>
          </w:p>
        </w:tc>
        <w:tc>
          <w:tcPr>
            <w:tcW w:w="4876" w:type="dxa"/>
            <w:tcBorders>
              <w:top w:val="nil"/>
              <w:left w:val="nil"/>
              <w:bottom w:val="nil"/>
              <w:right w:val="nil"/>
            </w:tcBorders>
          </w:tcPr>
          <w:p>
            <w:pPr>
              <w:pStyle w:val="Normal6a"/>
            </w:pPr>
            <w:r>
              <w:t>U.</w:t>
            </w:r>
            <w:r>
              <w:tab/>
            </w:r>
            <w:r>
              <w:t xml:space="preserve">overwegende dat actoren op het gebied van buitenlandse informatiemanipulatie en inmenging gebruikmaken van technologieën om </w:t>
            </w:r>
            <w:r>
              <w:rPr>
                <w:b/>
                <w:i/>
              </w:rPr>
              <w:t>gecoördineerd niet-authentiek gedrag en misinformatie of</w:t>
            </w:r>
            <w:r>
              <w:t xml:space="preserve"> desinformatiecampagnes te organiseren; overwegende dat deze technologieën, met name bots en op AI gebaseerde softwareprogramma’s, in staat zijn autonoom gedrag te vertonen en vervolgens het echte publieke debat te verstoren en te ontwrichten, door de </w:t>
            </w:r>
            <w:r>
              <w:rPr>
                <w:b/>
                <w:i/>
              </w:rPr>
              <w:t>onlineruimte en de communicatiekanalen</w:t>
            </w:r>
            <w:r>
              <w:t xml:space="preserve"> van bestaande personen te overspoelen met nepinhoud </w:t>
            </w:r>
            <w:r>
              <w:rPr>
                <w:b/>
                <w:i/>
              </w:rPr>
              <w:t>of door gerichte nepaccounts te creëren in de onlineomgeving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Saskia Bricmont, Sandro Ruotolo, Krzysztof Brejza, Veronika Cifrová Ostrihoňová, Raquel García Hermida-van der Walle, Lucia Yar, Diana Riba i Giner, Hannah Neumann, Chloé Ridel, 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U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 bis.</w:t>
            </w:r>
            <w:r>
              <w:tab/>
            </w:r>
            <w:r>
              <w:rPr>
                <w:b/>
                <w:i/>
              </w:rPr>
              <w:t>overwegende dat kwaadwillige buitenlandse actoren misbruik maken van open kwetsbaarheden in apparaten om persoonlijke of professionele communicatie te infiltreren; overwegende dat in de afgelopen jaren meermaals is gebleken dat de EU niet gewapend is tegen infiltratie van apparatuur met spyware;</w:t>
            </w:r>
            <w:r>
              <w:t xml:space="preserve"> </w:t>
            </w:r>
            <w:r>
              <w:rPr>
                <w:b/>
                <w:i/>
              </w:rPr>
              <w:t>overwegende dat spyware door buitenlandse actoren wordt gebruikt om zowel dissidenten als overheidsfunctionarissen te monitoren;</w:t>
            </w:r>
            <w:r>
              <w:t xml:space="preserve"> </w:t>
            </w:r>
            <w:r>
              <w:rPr>
                <w:b/>
                <w:i/>
              </w:rPr>
              <w:t>overwegende dat de toenemende surveillance van mensenrechtenverdedigers moet worden beschouwd als een vorm van grensoverschrijdende repressie of “door surveillance mogelijk gemaakte dwang”;</w:t>
            </w:r>
            <w:r>
              <w:t xml:space="preserve"> </w:t>
            </w:r>
            <w:r>
              <w:rPr>
                <w:b/>
                <w:i/>
              </w:rPr>
              <w:t>overwegende dat de handel in kwetsbaarheden op het darknet nog steeds bestaat en niet effectief wordt aangepakt, waardoor digitale communicatie, systemen en apparaten zonder enige bescherming worden blootgesteld aan buitenlandse inmenging;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U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 bis.</w:t>
            </w:r>
            <w:r>
              <w:tab/>
            </w:r>
            <w:r>
              <w:rPr>
                <w:b/>
                <w:i/>
              </w:rPr>
              <w:t>overwegende dat kwaadwillige buitenlandse actoren misbruik maken van open kwetsbaarheden in apparaten om persoonlijke of professionele communicatie te infiltreren; overwegende dat in de afgelopen jaren meermaals is gebleken dat de EU niet gewapend is tegen infiltratie van apparatuur met spyware;</w:t>
            </w:r>
            <w:r>
              <w:t xml:space="preserve"> </w:t>
            </w:r>
            <w:r>
              <w:rPr>
                <w:b/>
                <w:i/>
              </w:rPr>
              <w:t>overwegende dat spyware door buitenlandse actoren wordt gebruikt om zowel dissidenten als overheidsfunctionarissen te monitoren;</w:t>
            </w:r>
            <w:r>
              <w:t xml:space="preserve"> </w:t>
            </w:r>
            <w:r>
              <w:rPr>
                <w:b/>
                <w:i/>
              </w:rPr>
              <w:t>overwegende dat de toenemende surveillance van mensenrechtenverdedigers moet worden beschouwd als een vorm van grensoverschrijdende repressie of “door surveillance mogelijk gemaakte dwang”;</w:t>
            </w:r>
            <w:r>
              <w:t xml:space="preserve"> </w:t>
            </w:r>
            <w:r>
              <w:rPr>
                <w:b/>
                <w:i/>
              </w:rPr>
              <w:t>overwegende dat de handel in kwetsbaarheden op het darknet nog steeds bestaat en niet effectief wordt aangepakt, waardoor digitale communicatie, systemen en apparaten zonder enige bescherming worden blootgesteld aan buitenlandse inmenging;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784.367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192</w:t>
    </w:r>
    <w:r>
      <w:fldChar w:fldCharType="end"/>
    </w:r>
    <w:r>
      <w:t>/</w:t>
    </w:r>
    <w:r>
      <w:fldChar w:fldCharType="begin"/>
    </w:r>
    <w:r>
      <w:instrText xml:space="preserve"> NUMPAGES </w:instrText>
    </w:r>
    <w:r>
      <w:fldChar w:fldCharType="separate"/>
    </w:r>
    <w:r>
      <w:t>192</w:t>
    </w:r>
    <w:r>
      <w:fldChar w:fldCharType="end"/>
    </w:r>
    <w:r>
      <w:tab/>
    </w:r>
    <w:r>
      <w:rPr>
        <w:rStyle w:val="HideTWBExt"/>
      </w:rPr>
      <w:t>&lt;PathFdR&gt;</w:t>
    </w:r>
    <w:r>
      <w:t>AM\1337209NL.docx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AM\1337209NL.docx</w:t>
    </w:r>
    <w:r>
      <w:rPr>
        <w:rStyle w:val="HideTWBExt"/>
      </w:rPr>
      <w:t>&lt;/PathFdR&gt;</w:t>
    </w:r>
    <w:r>
      <w:tab/>
    </w:r>
    <w:r>
      <w:fldChar w:fldCharType="begin"/>
    </w:r>
    <w:r>
      <w:instrText xml:space="preserve"> PAGE </w:instrText>
    </w:r>
    <w:r>
      <w:fldChar w:fldCharType="separate"/>
    </w:r>
    <w:r>
      <w:t>191</w:t>
    </w:r>
    <w:r>
      <w:fldChar w:fldCharType="end"/>
    </w:r>
    <w:r>
      <w:t>/</w:t>
    </w:r>
    <w:r>
      <w:fldChar w:fldCharType="begin"/>
    </w:r>
    <w:r>
      <w:instrText xml:space="preserve"> NUMPAGES </w:instrText>
    </w:r>
    <w:r>
      <w:fldChar w:fldCharType="separate"/>
    </w:r>
    <w:r>
      <w:t>192</w:t>
    </w:r>
    <w:r>
      <w:fldChar w:fldCharType="end"/>
    </w:r>
    <w:r>
      <w:tab/>
    </w:r>
    <w:r>
      <w:t>PE</w:t>
    </w:r>
    <w:r>
      <w:rPr>
        <w:rStyle w:val="HideTWBExt"/>
      </w:rPr>
      <w:t>&lt;NoPE&gt;</w:t>
    </w:r>
    <w:r>
      <w:t>784.367</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AM\1337209NL.docx</w:t>
    </w:r>
    <w:r>
      <w:rPr>
        <w:rStyle w:val="HideTWBExt"/>
      </w:rPr>
      <w:t>&lt;/PathFdR&gt;</w:t>
    </w:r>
    <w:r>
      <w:tab/>
    </w:r>
    <w:r>
      <w:tab/>
    </w:r>
    <w:r>
      <w:t>PE</w:t>
    </w:r>
    <w:r>
      <w:rPr>
        <w:rStyle w:val="HideTWBExt"/>
      </w:rPr>
      <w:t>&lt;NoPE&gt;</w:t>
    </w:r>
    <w:r>
      <w:t>784.367</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192</Pages>
  <Words>40727</Words>
  <Characters>264573</Characters>
  <Application>Microsoft Office Word</Application>
  <DocSecurity>0</DocSecurity>
  <Lines>1</Lines>
  <Paragraphs>2833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420511</vt:lpwstr>
  </property>
  <property fmtid="{D5CDD505-2E9C-101B-9397-08002B2CF9AE}" pid="7" name="dmxml.render.traceId">
    <vt:lpwstr>69b3ed82baf8ee8fccf5798d40658075</vt:lpwstr>
  </property>
  <property fmtid="{D5CDD505-2E9C-101B-9397-08002B2CF9AE}" pid="8" name="FooterPath">
    <vt:lpwstr>AM\1337209NL.docx</vt:lpwstr>
  </property>
  <property fmtid="{D5CDD505-2E9C-101B-9397-08002B2CF9AE}" pid="9" name="PE Number">
    <vt:lpwstr>784.367</vt:lpwstr>
  </property>
  <property fmtid="{D5CDD505-2E9C-101B-9397-08002B2CF9AE}" pid="10" name="UID">
    <vt:lpwstr>eu.europa.europarl-DIN1-2026-0000036096_01.00-nl-01.00_text-xml</vt:lpwstr>
  </property>
</Properties>
</file>