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{EUDS}</w:t>
      </w:r>
      <w:r>
        <w:t>Zvláštní výbor pro Evropský štít pro demokracii</w:t>
      </w:r>
      <w:r>
        <w:rPr>
          <w:rStyle w:val="HideTWBExt"/>
        </w:rPr>
        <w:t>&lt;/Commission&gt;</w:t>
      </w:r>
    </w:p>
    <w:p>
      <w:pPr>
        <w:pStyle w:val="LineBottom"/>
      </w:pPr>
      <w:r>
        <w:t xml:space="preserve"> </w:t>
      </w:r>
    </w:p>
    <w:p>
      <w:pPr>
        <w:pStyle w:val="CoverReference"/>
      </w:pPr>
      <w:r>
        <w:rPr>
          <w:rStyle w:val="HideTWBExt"/>
        </w:rPr>
        <w:t>&lt;RefProc&gt;</w:t>
      </w:r>
      <w:r>
        <w:t>2025/2069</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{12/02/2026}</w:t>
      </w:r>
      <w:r>
        <w:t>12. 2. 2026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1106</w:t>
      </w:r>
      <w:r>
        <w:t xml:space="preserve"> - </w:t>
      </w:r>
      <w:r>
        <w:t>1406</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Tomas Tobé</w:t>
      </w:r>
      <w:r>
        <w:rPr>
          <w:rStyle w:val="HideTWBExt"/>
        </w:rPr>
        <w:t>&lt;/Rapporteur&gt;</w:t>
      </w:r>
    </w:p>
    <w:p>
      <w:pPr>
        <w:pStyle w:val="CoverNormal24a"/>
      </w:pPr>
      <w:r>
        <w:rPr>
          <w:rStyle w:val="HideTWBExt"/>
        </w:rPr>
        <w:t>&lt;DocRefPE&gt;</w:t>
      </w:r>
      <w:r>
        <w:t>(PE775.431v01-00)</w:t>
      </w:r>
      <w:r>
        <w:rPr>
          <w:rStyle w:val="HideTWBExt"/>
        </w:rPr>
        <w:t>&lt;/DocRefPE&gt;</w:t>
      </w:r>
    </w:p>
    <w:p>
      <w:pPr>
        <w:pStyle w:val="CoverNormal"/>
      </w:pPr>
      <w:r>
        <w:rPr>
          <w:rStyle w:val="HideTWBExt"/>
        </w:rPr>
        <w:t>&lt;Titre&gt;</w:t>
      </w:r>
      <w:r>
        <w:t>Zjištění a doporučení zvláštního výboru pro Evropský štít pro demokracii</w:t>
      </w:r>
      <w:r>
        <w:rPr>
          <w:rStyle w:val="HideTWBExt"/>
        </w:rPr>
        <w:t>&lt;/Titre&gt;</w:t>
      </w:r>
    </w:p>
    <w:p>
      <w:pPr>
        <w:pStyle w:val="CoverNormal24a"/>
      </w:pPr>
      <w:r>
        <w:rPr>
          <w:rStyle w:val="HideTWBExt"/>
        </w:rPr>
        <w:t>&lt;DocRef&gt;</w:t>
      </w:r>
      <w:r>
        <w:t>(2025/2069(INI))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1106</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v souvislosti s mediálními společnostmi, které prodávají předplatné prostřednictvím aplikací, zdůrazňuje, že je důležité plně provést nařízení o digitálních trzích; v této souvislosti bere na vědomí rozhodnutí Komise o nesplnění povinností ze strany společností Apple a Meta ze dne 23. dubna 2025; bere na vědomí šetření Komise ve věci možného porušení nařízení o digitálních trzích společností Google z důvodu odsouvání obsahu vydavatelů sdělovacích prostředků ve výsledcích vyhledávání na nižší pozice;</w:t>
            </w:r>
          </w:p>
        </w:tc>
        <w:tc>
          <w:tcPr>
            <w:tcW w:w="4876" w:type="dxa"/>
            <w:tcBorders>
              <w:top w:val="nil"/>
              <w:left w:val="nil"/>
              <w:bottom w:val="nil"/>
              <w:right w:val="nil"/>
            </w:tcBorders>
          </w:tcPr>
          <w:p>
            <w:pPr>
              <w:pStyle w:val="Normal6a"/>
            </w:pPr>
            <w:r>
              <w:t>29.</w:t>
            </w:r>
            <w:r>
              <w:tab/>
            </w:r>
            <w:r>
              <w:rPr>
                <w:b/>
                <w:i/>
              </w:rPr>
              <w:t>bere na vědomí doplňkovou a stále strategičtější úlohu aktu o digitálních trzích při zajišťování větší strukturální odolnosti, spravedlnosti a otevřenosti digitálního prostředí Unie hospodářské soutěži, čímž nepřímo, ale významně podporuje cíle Evropského štítu pro demokracii;</w:t>
            </w:r>
            <w:r>
              <w:t xml:space="preserve"> </w:t>
            </w:r>
            <w:r>
              <w:rPr>
                <w:b/>
                <w:i/>
              </w:rPr>
              <w:t>zdůrazňuje, že zjištění vyplývající z cílených konzultací Komise, které proběhly v souvislosti s prvním přezkumem nařízení o digitálních trzích, poukazují na přetrvávající obavy týkající se interoperability, zvýhodňování vlastních služeb, přístupu k údajům, závislostí na cloudu a rostoucího vlivu služeb umělé inteligence, ale i na širokou shodu na tom, že skutečná účinnost nařízení závisí v konečném důsledku na jeho důsledném, včasném a transparentním prosazování;</w:t>
            </w:r>
            <w:r>
              <w:t xml:space="preserve"> </w:t>
            </w:r>
            <w:r>
              <w:rPr>
                <w:b/>
                <w:i/>
              </w:rPr>
              <w:t>poukazuje na to, že probíhající proces přezkumu tohoto nařízení představuje klíčovou příležitost k vyjasnění povinností, řešení nedostatků při jeho uplatňování a případně k přizpůsobení oblasti jeho působnosti vyvíjející se technické realitě s cílem omezit systémovou závislost, zabránit nadměrné koncentraci digitální síly a přispět v Unii k pluralističtějšímu, konkurenceschopnějšímu a demokraticky odolnějšímu digitálnímu ekosystému;</w:t>
            </w:r>
            <w:r>
              <w:t xml:space="preserve"> v souvislosti s mediálními společnostmi, které prodávají předplatné prostřednictvím aplikací, zdůrazňuje, že je důležité plně provést nařízení o digitálních trzích; v této souvislosti bere na vědomí rozhodnutí Komise o nesplnění povinností ze strany společností Apple a Meta ze dne 23. dubna 2025; bere na vědomí šetření Komise ve věci možného porušení nařízení o digitálních trzích společností Google z důvodu odsouvání obsahu vydavatelů sdělovacích prostředků ve výsledcích vyhledávání na nižší pozice;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1107</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v souvislosti s mediálními společnostmi, které prodávají předplatné prostřednictvím aplikací, zdůrazňuje, že je důležité plně provést nařízení o digitálních trzích; v této souvislosti bere na vědomí rozhodnutí Komise o nesplnění povinností ze strany společností Apple a Meta ze dne 23. dubna 2025; bere na vědomí šetření Komise ve věci možného porušení nařízení o digitálních trzích společností Google z důvodu odsouvání obsahu vydavatelů sdělovacích prostředků ve výsledcích vyhledávání na nižší pozice;</w:t>
            </w:r>
          </w:p>
        </w:tc>
        <w:tc>
          <w:tcPr>
            <w:tcW w:w="4876" w:type="dxa"/>
            <w:tcBorders>
              <w:top w:val="nil"/>
              <w:left w:val="nil"/>
              <w:bottom w:val="nil"/>
              <w:right w:val="nil"/>
            </w:tcBorders>
          </w:tcPr>
          <w:p>
            <w:pPr>
              <w:pStyle w:val="Normal6a"/>
            </w:pPr>
            <w:r>
              <w:t>29.</w:t>
            </w:r>
            <w:r>
              <w:tab/>
            </w:r>
            <w:r>
              <w:t xml:space="preserve">v souvislosti s mediálními společnostmi, které prodávají předplatné prostřednictvím aplikací, zdůrazňuje, že je důležité plně provést nařízení o digitálních trzích; v této souvislosti bere na vědomí rozhodnutí Komise o nesplnění povinností ze strany společností Apple a Meta ze dne 23. dubna 2025; bere na vědomí šetření Komise ve věci možného porušení nařízení o digitálních trzích společností Google z důvodu odsouvání obsahu vydavatelů sdělovacích prostředků ve výsledcích vyhledávání na nižší pozice; </w:t>
            </w:r>
            <w:r>
              <w:rPr>
                <w:b/>
                <w:i/>
              </w:rPr>
              <w:t>vyzývá Komisi, aby s ohledem na koncentraci trhu a účinky regulace přístupu na trh posoudila, zda by hlavní operační systémy a uživatelská rozhraní televize s internetem měly být podle nařízení o digitálních trzích označeny za hlavní služby platforem;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1108</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v souvislosti s mediálními společnostmi, které prodávají předplatné prostřednictvím aplikací, zdůrazňuje, že je důležité plně provést nařízení o digitálních trzích; v této souvislosti bere na vědomí rozhodnutí Komise o nesplnění povinností ze strany společností Apple a Meta ze dne 23. dubna 2025; bere na vědomí šetření Komise ve věci možného porušení nařízení o digitálních trzích společností Google z důvodu odsouvání obsahu vydavatelů sdělovacích prostředků ve výsledcích vyhledávání na nižší pozice;</w:t>
            </w:r>
          </w:p>
        </w:tc>
        <w:tc>
          <w:tcPr>
            <w:tcW w:w="4876" w:type="dxa"/>
            <w:tcBorders>
              <w:top w:val="nil"/>
              <w:left w:val="nil"/>
              <w:bottom w:val="nil"/>
              <w:right w:val="nil"/>
            </w:tcBorders>
          </w:tcPr>
          <w:p>
            <w:pPr>
              <w:pStyle w:val="Normal6a"/>
            </w:pPr>
            <w:r>
              <w:t>29.</w:t>
            </w:r>
            <w:r>
              <w:tab/>
            </w:r>
            <w:r>
              <w:t xml:space="preserve">v souvislosti s mediálními společnostmi, které prodávají předplatné prostřednictvím aplikací, zdůrazňuje, že je důležité plně provést nařízení o digitálních trzích; v této souvislosti bere na vědomí rozhodnutí Komise o nesplnění povinností ze strany společností Apple a Meta ze dne 23. dubna 2025; bere na vědomí šetření Komise ve věci možného porušení nařízení o digitálních trzích společností Google z důvodu odsouvání obsahu vydavatelů sdělovacích prostředků ve výsledcích vyhledávání na nižší pozice; </w:t>
            </w:r>
            <w:r>
              <w:rPr>
                <w:b/>
                <w:i/>
              </w:rPr>
              <w:t>zdůrazňuje, že při účinném uplatňování aktu o digitálních trzích by se měla zohlednit rovněž úloha operačních systémů a uživatelských rozhraní televize s internetem jakožto klíčových přístupových míst k audiovizuálnímu a zpravodajskému obsahu;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1109</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v souvislosti s mediálními společnostmi, které prodávají předplatné prostřednictvím aplikací, zdůrazňuje, že je důležité </w:t>
            </w:r>
            <w:r>
              <w:rPr>
                <w:b/>
                <w:i/>
              </w:rPr>
              <w:t>plně provést nařízení o digitálních trzích</w:t>
            </w:r>
            <w:r>
              <w:t xml:space="preserve">; v této souvislosti bere na vědomí rozhodnutí Komise o nesplnění povinností ze strany společností Apple a Meta ze dne 23. dubna 2025; bere na vědomí šetření Komise ve věci </w:t>
            </w:r>
            <w:r>
              <w:rPr>
                <w:b/>
                <w:i/>
              </w:rPr>
              <w:t>možného porušení nařízení o digitálních trzích</w:t>
            </w:r>
            <w:r>
              <w:t xml:space="preserve"> společností Google z důvodu odsouvání obsahu vydavatelů sdělovacích prostředků ve výsledcích vyhledávání na nižší pozice;</w:t>
            </w:r>
          </w:p>
        </w:tc>
        <w:tc>
          <w:tcPr>
            <w:tcW w:w="4876" w:type="dxa"/>
            <w:tcBorders>
              <w:top w:val="nil"/>
              <w:left w:val="nil"/>
              <w:bottom w:val="nil"/>
              <w:right w:val="nil"/>
            </w:tcBorders>
          </w:tcPr>
          <w:p>
            <w:pPr>
              <w:pStyle w:val="Normal6a"/>
            </w:pPr>
            <w:r>
              <w:t>29.</w:t>
            </w:r>
            <w:r>
              <w:tab/>
            </w:r>
            <w:r>
              <w:t xml:space="preserve">v souvislosti s mediálními společnostmi, které prodávají předplatné prostřednictvím aplikací, zdůrazňuje, že je důležité </w:t>
            </w:r>
            <w:r>
              <w:rPr>
                <w:b/>
                <w:i/>
              </w:rPr>
              <w:t>zajistit transparentnost, spravedlivou hospodářskou soutěž a rovné zacházení na digitálním trhu a zabránit nekalým nebo diskriminačním praktikám dominantních online platforem</w:t>
            </w:r>
            <w:r>
              <w:t xml:space="preserve">; v této souvislosti bere na vědomí rozhodnutí Komise o nesplnění povinností ze strany společností Apple a Meta ze dne 23. dubna 2025; bere na vědomí šetření Komise ve věci </w:t>
            </w:r>
            <w:r>
              <w:rPr>
                <w:b/>
                <w:i/>
              </w:rPr>
              <w:t>praktik</w:t>
            </w:r>
            <w:r>
              <w:t xml:space="preserve"> společností Google z důvodu odsouvání obsahu vydavatelů sdělovacích prostředků ve výsledcích vyhledávání na nižší pozice;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v souvislosti s mediálními společnostmi, které prodávají předplatné prostřednictvím aplikací, zdůrazňuje, že je důležité plně provést nařízení o digitálních trzích; v této souvislosti bere na vědomí rozhodnutí Komise o nesplnění povinností ze strany společností Apple a Meta ze dne 23. dubna 2025; bere na vědomí šetření Komise ve věci možného porušení nařízení o digitálních trzích společností Google z důvodu odsouvání obsahu vydavatelů sdělovacích prostředků ve výsledcích vyhledávání na nižší pozice;</w:t>
            </w:r>
          </w:p>
        </w:tc>
        <w:tc>
          <w:tcPr>
            <w:tcW w:w="4876" w:type="dxa"/>
            <w:tcBorders>
              <w:top w:val="nil"/>
              <w:left w:val="nil"/>
              <w:bottom w:val="nil"/>
              <w:right w:val="nil"/>
            </w:tcBorders>
          </w:tcPr>
          <w:p>
            <w:pPr>
              <w:pStyle w:val="Normal6a"/>
            </w:pPr>
            <w:r>
              <w:t>29.</w:t>
            </w:r>
            <w:r>
              <w:tab/>
            </w:r>
            <w:r>
              <w:t xml:space="preserve">v souvislosti s mediálními společnostmi, které prodávají předplatné prostřednictvím aplikací, zdůrazňuje, že je důležité plně provést nařízení o digitálních trzích; v této souvislosti bere na vědomí </w:t>
            </w:r>
            <w:r>
              <w:rPr>
                <w:b/>
                <w:i/>
              </w:rPr>
              <w:t>spory týkající se</w:t>
            </w:r>
            <w:r>
              <w:t xml:space="preserve"> rozhodnutí Komise o nesplnění povinností ze strany společností Apple a Meta ze dne 23. dubna 2025; bere na vědomí </w:t>
            </w:r>
            <w:r>
              <w:rPr>
                <w:b/>
                <w:i/>
              </w:rPr>
              <w:t>sporné</w:t>
            </w:r>
            <w:r>
              <w:t xml:space="preserve"> šetření Komise ve věci možného porušení nařízení o digitálních trzích společností Google z důvodu odsouvání obsahu vydavatelů sdělovacích prostředků ve výsledcích vyhledávání na nižší pozice;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v souvislosti s mediálními společnostmi, které </w:t>
            </w:r>
            <w:r>
              <w:rPr>
                <w:b/>
                <w:i/>
              </w:rPr>
              <w:t>prodávají</w:t>
            </w:r>
            <w:r>
              <w:t xml:space="preserve"> předplatné prostřednictvím aplikací, zdůrazňuje, že je důležité plně provést nařízení o digitálních trzích</w:t>
            </w:r>
            <w:r>
              <w:rPr>
                <w:b/>
                <w:i/>
              </w:rPr>
              <w:t>;</w:t>
            </w:r>
            <w:r>
              <w:t xml:space="preserve"> </w:t>
            </w:r>
            <w:r>
              <w:rPr>
                <w:b/>
                <w:i/>
              </w:rPr>
              <w:t>v této</w:t>
            </w:r>
            <w:r>
              <w:t xml:space="preserve"> souvislosti </w:t>
            </w:r>
            <w:r>
              <w:rPr>
                <w:b/>
                <w:i/>
              </w:rPr>
              <w:t>bere na vědomí rozhodnutí Komise o nesplnění povinností ze strany společností Apple a Meta ze dne 23. dubna 2025;</w:t>
            </w:r>
            <w:r>
              <w:t xml:space="preserve"> </w:t>
            </w:r>
            <w:r>
              <w:rPr>
                <w:b/>
                <w:i/>
              </w:rPr>
              <w:t>bere na vědomí šetření Komise ve věci možného porušení nařízení o digitálních trzích společností Google z důvodu odsouvání obsahu</w:t>
            </w:r>
            <w:r>
              <w:t xml:space="preserve"> vydavatelů sdělovacích prostředků </w:t>
            </w:r>
            <w:r>
              <w:rPr>
                <w:b/>
                <w:i/>
              </w:rPr>
              <w:t>ve výsledcích vyhledávání na nižší pozice</w:t>
            </w:r>
            <w:r>
              <w:t>;</w:t>
            </w:r>
          </w:p>
        </w:tc>
        <w:tc>
          <w:tcPr>
            <w:tcW w:w="4876" w:type="dxa"/>
            <w:tcBorders>
              <w:top w:val="nil"/>
              <w:left w:val="nil"/>
              <w:bottom w:val="nil"/>
              <w:right w:val="nil"/>
            </w:tcBorders>
          </w:tcPr>
          <w:p>
            <w:pPr>
              <w:pStyle w:val="Normal6a"/>
            </w:pPr>
            <w:r>
              <w:t>29.</w:t>
            </w:r>
            <w:r>
              <w:tab/>
            </w:r>
            <w:r>
              <w:t xml:space="preserve">v souvislosti s mediálními společnostmi, které </w:t>
            </w:r>
            <w:r>
              <w:rPr>
                <w:b/>
                <w:i/>
              </w:rPr>
              <w:t>nabízejí</w:t>
            </w:r>
            <w:r>
              <w:t xml:space="preserve"> předplatné prostřednictvím aplikací, zdůrazňuje, že je důležité plně provést nařízení o digitálních trzích </w:t>
            </w:r>
            <w:r>
              <w:rPr>
                <w:b/>
                <w:i/>
              </w:rPr>
              <w:t>a účinně jej uplatňovat;</w:t>
            </w:r>
            <w:r>
              <w:t xml:space="preserve"> </w:t>
            </w:r>
            <w:r>
              <w:rPr>
                <w:b/>
                <w:i/>
              </w:rPr>
              <w:t>zdůrazňuje, že prosazování tohoto nařízení v</w:t>
            </w:r>
            <w:r>
              <w:t xml:space="preserve"> souvislosti </w:t>
            </w:r>
            <w:r>
              <w:rPr>
                <w:b/>
                <w:i/>
              </w:rPr>
              <w:t>s ekosystémy aplikací, vyhledáváním a digitální reklamou má zásadní význam z hlediska zajištění spravedlivého přístupu k publiku a příjmů</w:t>
            </w:r>
            <w:r>
              <w:t xml:space="preserve"> vydavatelů sdělovacích prostředků</w:t>
            </w:r>
            <w:r>
              <w:rPr>
                <w:b/>
                <w:i/>
              </w:rPr>
              <w:t>, a to i v souvislosti se službami založenými na umělé inteligenci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uznává, že používání materiálu chráněného autorským právem k trénování modelů umělé inteligence bez povolení může ohrozit příjmy mediálního odvětví;</w:t>
            </w:r>
            <w:r>
              <w:t xml:space="preserve"> </w:t>
            </w:r>
            <w:r>
              <w:rPr>
                <w:b/>
                <w:i/>
              </w:rPr>
              <w:t>vyzývá k vytvoření účinného rámce EU, který by zajistil transparentnost při používání obsahu chráněného autorským právem, vhodná licenční řešení a spravedlivou odměnu pro držitele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1113</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30.</w:t>
            </w:r>
            <w:r>
              <w:tab/>
            </w:r>
            <w:r>
              <w:rPr>
                <w:b/>
                <w:i/>
              </w:rPr>
              <w:t>vítá skutečnost, že společné sdělení obsahuje nová podpůrná opatření na podporu digitální a mediální gramotnosti, jako je Program pro odolnost médií, Program na podporu základních dovedností pro školy a posílení expertní skupiny pro mediální gramotnost, včetně zřízení nové sítě odborníků na mediální gramotnost, a aktualizované pokyny pro učitele a vzdělavatele;</w:t>
            </w:r>
            <w:r>
              <w:t xml:space="preserve"> </w:t>
            </w:r>
            <w:r>
              <w:rPr>
                <w:b/>
                <w:i/>
              </w:rPr>
              <w:t>zdůrazňuje, že nadcházející revize směrnice o audiovizuálních mediálních službách by měla posílit ustanovení o minimálních požadavcích na činnost členských států v oblasti mediální gramotnosti;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1114</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vítá skutečnost, že společné sdělení obsahuje nová podpůrná opatření na podporu digitální a mediální gramotnosti, jako je Program pro odolnost médií, Program na podporu základních dovedností pro školy a posílení expertní skupiny pro mediální gramotnost, včetně zřízení nové sítě odborníků na mediální gramotnost, a aktualizované pokyny pro učitele a vzdělavatele; zdůrazňuje, že nadcházející revize směrnice o audiovizuálních mediálních službách by měla posílit ustanovení o minimálních požadavcích na činnost členských států v oblasti mediální gramotnosti;</w:t>
            </w:r>
          </w:p>
        </w:tc>
        <w:tc>
          <w:tcPr>
            <w:tcW w:w="4876" w:type="dxa"/>
            <w:tcBorders>
              <w:top w:val="nil"/>
              <w:left w:val="nil"/>
              <w:bottom w:val="nil"/>
              <w:right w:val="nil"/>
            </w:tcBorders>
          </w:tcPr>
          <w:p>
            <w:pPr>
              <w:pStyle w:val="Normal6a"/>
            </w:pPr>
            <w:r>
              <w:t>30.</w:t>
            </w:r>
            <w:r>
              <w:tab/>
            </w:r>
            <w:r>
              <w:t xml:space="preserve">vítá skutečnost, že společné sdělení obsahuje nová podpůrná opatření na podporu digitální a mediální gramotnosti, jako je Program pro odolnost médií, Program na podporu základních dovedností pro školy a posílení expertní skupiny pro mediální gramotnost, včetně zřízení nové sítě odborníků na mediální gramotnost, a aktualizované pokyny pro učitele a vzdělavatele; </w:t>
            </w:r>
            <w:r>
              <w:rPr>
                <w:b/>
                <w:i/>
              </w:rPr>
              <w:t>poukazuje na úlohu kulturního vzdělávání, účasti na kulturním životě a přístupu ke kulturnímu dědictví při zvyšování demokratické gramotnosti, občanské angažovanosti a odolnosti vůči dezinformacím;</w:t>
            </w:r>
            <w:r>
              <w:t xml:space="preserve"> zdůrazňuje, že nadcházející revize směrnice o audiovizuálních mediálních službách by měla </w:t>
            </w:r>
            <w:r>
              <w:rPr>
                <w:b/>
                <w:i/>
              </w:rPr>
              <w:t>zajistit větší viditelnost spolehlivých a redakčně nezávislých zdrojů informací, mj. na online platformách, tak aby standardně upřednostňovaly spolehlivé zpravodajské zdroje, a</w:t>
            </w:r>
            <w:r>
              <w:t> posílit ustanovení o minimálních požadavcích na činnost členských států v oblasti mediální gramotnosti</w:t>
            </w:r>
            <w:r>
              <w:rPr>
                <w:b/>
                <w:i/>
              </w:rPr>
              <w:t>,</w:t>
            </w:r>
            <w:r>
              <w:t xml:space="preserve"> </w:t>
            </w:r>
            <w:r>
              <w:rPr>
                <w:b/>
                <w:i/>
              </w:rPr>
              <w:t>přičemž by se měla zaměřit především na mladé lidi a prvovoliče a na problematiku kritického porozumění obsahu vytvořeného umělou inteligencí a doporučovacím systémům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vítá skutečnost, že společné sdělení obsahuje nová podpůrná opatření na podporu digitální a mediální gramotnosti, jako je Program pro odolnost médií, Program na podporu základních dovedností pro školy a posílení expertní skupiny pro mediální gramotnost, včetně zřízení nové sítě odborníků na mediální gramotnost, a aktualizované pokyny pro učitele a vzdělavatele; zdůrazňuje, že nadcházející revize směrnice o audiovizuálních mediálních službách by </w:t>
            </w:r>
            <w:r>
              <w:rPr>
                <w:b/>
                <w:i/>
              </w:rPr>
              <w:t>měla posílit ustanovení o minimálních požadavcích na činnost členských států</w:t>
            </w:r>
            <w:r>
              <w:t xml:space="preserve"> v oblasti </w:t>
            </w:r>
            <w:r>
              <w:rPr>
                <w:b/>
                <w:i/>
              </w:rPr>
              <w:t>mediální gramotnosti</w:t>
            </w:r>
            <w:r>
              <w:t>;</w:t>
            </w:r>
          </w:p>
        </w:tc>
        <w:tc>
          <w:tcPr>
            <w:tcW w:w="4876" w:type="dxa"/>
            <w:tcBorders>
              <w:top w:val="nil"/>
              <w:left w:val="nil"/>
              <w:bottom w:val="nil"/>
              <w:right w:val="nil"/>
            </w:tcBorders>
          </w:tcPr>
          <w:p>
            <w:pPr>
              <w:pStyle w:val="Normal6a"/>
            </w:pPr>
            <w:r>
              <w:t>30.</w:t>
            </w:r>
            <w:r>
              <w:tab/>
            </w:r>
            <w:r>
              <w:t>vítá skutečnost, že společné sdělení obsahuje nová podpůrná opatření na podporu digitální a mediální gramotnosti, jako je Program pro odolnost médií, Program na podporu základních dovedností pro školy a posílení expertní skupiny pro mediální gramotnost, včetně zřízení nové sítě odborníků na mediální gramotnost, a aktualizované pokyny pro učitele a vzdělavatele</w:t>
            </w:r>
            <w:r>
              <w:rPr>
                <w:b/>
                <w:i/>
              </w:rPr>
              <w:t>, které musejí být i nadále prosty ideologické agendy a přijaty příslušnými orgány v členských státech</w:t>
            </w:r>
            <w:r>
              <w:t xml:space="preserve">; zdůrazňuje </w:t>
            </w:r>
            <w:r>
              <w:rPr>
                <w:b/>
                <w:i/>
              </w:rPr>
              <w:t>však, že oblast vzdělávání a mediální gramotnosti spadá v souladu s článkem 165 SFEU především do pravomoci členských států a že veškerá činnost Unie v této oblasti musí zůstat přísně podpůrná a dobrovolná a nesmí vést k harmonizaci činnosti členských států, přičemž je v jejím rámci nutné plně respektovat vnitrostátní vzdělávací systémy, kulturní rozmanitost a ústavní tradice;</w:t>
            </w:r>
            <w:r>
              <w:t xml:space="preserve"> </w:t>
            </w:r>
            <w:r>
              <w:rPr>
                <w:b/>
                <w:i/>
              </w:rPr>
              <w:t>zdůrazňuje dále</w:t>
            </w:r>
            <w:r>
              <w:t xml:space="preserve">, že nadcházející revize směrnice o audiovizuálních mediálních službách by </w:t>
            </w:r>
            <w:r>
              <w:rPr>
                <w:b/>
                <w:i/>
              </w:rPr>
              <w:t>neměla být využita k zavedení nepřímé harmonizace nebo závazných povinností</w:t>
            </w:r>
            <w:r>
              <w:t xml:space="preserve"> v oblasti </w:t>
            </w:r>
            <w:r>
              <w:rPr>
                <w:b/>
                <w:i/>
              </w:rPr>
              <w:t>vzdělávání či učebních osnov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vítá skutečnost, že společné sdělení obsahuje nová podpůrná opatření na podporu digitální a mediální gramotnosti, jako je Program pro odolnost médií, Program na podporu základních dovedností pro školy a posílení expertní skupiny pro mediální gramotnost, včetně zřízení nové sítě odborníků na mediální gramotnost, a aktualizované pokyny pro učitele a vzdělavatele; zdůrazňuje, že nadcházející revize směrnice o audiovizuálních mediálních službách by měla posílit ustanovení o minimálních požadavcích na činnost členských států v oblasti mediální gramotnosti;</w:t>
            </w:r>
          </w:p>
        </w:tc>
        <w:tc>
          <w:tcPr>
            <w:tcW w:w="4876" w:type="dxa"/>
            <w:tcBorders>
              <w:top w:val="nil"/>
              <w:left w:val="nil"/>
              <w:bottom w:val="nil"/>
              <w:right w:val="nil"/>
            </w:tcBorders>
          </w:tcPr>
          <w:p>
            <w:pPr>
              <w:pStyle w:val="Normal6a"/>
            </w:pPr>
            <w:r>
              <w:t>30.</w:t>
            </w:r>
            <w:r>
              <w:tab/>
            </w:r>
            <w:r>
              <w:t xml:space="preserve">vítá skutečnost, že společné sdělení obsahuje nová podpůrná opatření na podporu digitální a mediální gramotnosti, jako je Program pro odolnost médií, Program na podporu základních dovedností pro školy a posílení expertní skupiny pro mediální gramotnost, včetně zřízení nové sítě odborníků na mediální gramotnost, a aktualizované pokyny pro učitele a vzdělavatele; zdůrazňuje, že nadcházející revize směrnice o audiovizuálních mediálních službách by měla posílit ustanovení o minimálních požadavcích na činnost členských států v oblasti mediální gramotnosti; </w:t>
            </w:r>
            <w:r>
              <w:rPr>
                <w:b/>
                <w:i/>
              </w:rPr>
              <w:t>zdůrazňuje, že iniciativy v oblasti mediální a digitální gramotnosti představují nezbytnou dlouhodobou investici do demokratické odolnosti, musejí však být doplňkem, nikoli náhradou účinného prosazování právních předpisů a strukturálních opatření zaměřených na systémové faktory vedoucí k manipulaci s informacemi;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1117</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vítá skutečnost, že společné sdělení obsahuje nová podpůrná opatření na podporu digitální a mediální gramotnosti, jako je Program pro odolnost médií, Program na podporu základních dovedností pro školy a posílení expertní skupiny pro mediální gramotnost, včetně zřízení nové sítě odborníků na mediální gramotnost, a aktualizované pokyny pro učitele a </w:t>
            </w:r>
            <w:r>
              <w:rPr>
                <w:b/>
                <w:i/>
              </w:rPr>
              <w:t>vzdělavatele</w:t>
            </w:r>
            <w:r>
              <w:t>; zdůrazňuje, že nadcházející revize směrnice o audiovizuálních mediálních službách by měla posílit ustanovení o minimálních požadavcích na činnost členských států v oblasti mediální gramotnosti;</w:t>
            </w:r>
          </w:p>
        </w:tc>
        <w:tc>
          <w:tcPr>
            <w:tcW w:w="4876" w:type="dxa"/>
            <w:tcBorders>
              <w:top w:val="nil"/>
              <w:left w:val="nil"/>
              <w:bottom w:val="nil"/>
              <w:right w:val="nil"/>
            </w:tcBorders>
          </w:tcPr>
          <w:p>
            <w:pPr>
              <w:pStyle w:val="Normal6a"/>
            </w:pPr>
            <w:r>
              <w:t>30.</w:t>
            </w:r>
            <w:r>
              <w:tab/>
            </w:r>
            <w:r>
              <w:t>vítá skutečnost, že společné sdělení obsahuje nová podpůrná opatření na podporu digitální a mediální gramotnosti, jako je program pro odolnost médií, program na podporu základních dovedností pro školy a posílení expertní skupiny pro mediální gramotnost, včetně zřízení nové sítě odborníků na mediální gramotnost, a aktualizované pokyny pro učitele a </w:t>
            </w:r>
            <w:r>
              <w:rPr>
                <w:b/>
                <w:i/>
              </w:rPr>
              <w:t>pedagogy, které by měly zahrnovat umělou inteligenci a algoritmickou gramotnost, včetně deep fakes, doporučovacích systémů a mikrocílení, a měly by podporovat celoživotní vzdělávání dospělých a starších osob</w:t>
            </w:r>
            <w:r>
              <w:t>; zdůrazňuje, že nadcházející revize směrnice o audiovizuálních mediálních službách by měla posílit ustanovení o minimálních požadavcích na činnost členských států v oblasti mediální gramotnosti;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1118</w:t>
      </w:r>
      <w:r>
        <w:rPr>
          <w:rStyle w:val="HideTWBExt"/>
        </w:rPr>
        <w:t>&lt;/NumAm&gt;</w:t>
      </w:r>
    </w:p>
    <w:p>
      <w:pPr>
        <w:pStyle w:val="NormalBold"/>
      </w:pPr>
      <w:r>
        <w:rPr>
          <w:rStyle w:val="HideTWBExt"/>
          <w:b w:val="0"/>
        </w:rPr>
        <w:t>&lt;RepeatBlock-By&gt;</w:t>
      </w:r>
      <w:r>
        <w:rPr>
          <w:rStyle w:val="HideTWBExt"/>
          <w:b w:val="0"/>
        </w:rPr>
        <w:t>&lt;Members&gt;</w:t>
      </w:r>
      <w:r>
        <w:t>Konstantinos Arvanitis, Jonas Sjöstedt,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vítá skutečnost, že společné sdělení obsahuje nová podpůrná opatření na podporu digitální a mediální gramotnosti, jako je Program pro odolnost médií, Program na podporu základních dovedností pro školy a posílení expertní skupiny pro mediální gramotnost, včetně zřízení nové sítě odborníků na mediální gramotnost, a aktualizované pokyny pro učitele a vzdělavatele; zdůrazňuje, že nadcházející revize směrnice o audiovizuálních mediálních službách by měla posílit ustanovení o minimálních požadavcích na činnost členských států v oblasti mediální gramotnosti;</w:t>
            </w:r>
          </w:p>
        </w:tc>
        <w:tc>
          <w:tcPr>
            <w:tcW w:w="4876" w:type="dxa"/>
            <w:tcBorders>
              <w:top w:val="nil"/>
              <w:left w:val="nil"/>
              <w:bottom w:val="nil"/>
              <w:right w:val="nil"/>
            </w:tcBorders>
          </w:tcPr>
          <w:p>
            <w:pPr>
              <w:pStyle w:val="Normal6a"/>
            </w:pPr>
            <w:r>
              <w:t>30.</w:t>
            </w:r>
            <w:r>
              <w:tab/>
            </w:r>
            <w:r>
              <w:rPr>
                <w:b/>
                <w:i/>
              </w:rPr>
              <w:t>uznává, že digitální gramotnost a gramotnost v oblasti nových médií a umělé inteligence by měla být považována za základní pilíř jakékoli účinné dlouhodobé strategie v boji proti zahraniční manipulaci s informacemi a zahraničnímu vměšování;</w:t>
            </w:r>
            <w:r>
              <w:t xml:space="preserve"> vítá skutečnost, že společné sdělení obsahuje nová podpůrná opatření na podporu digitální a mediální gramotnosti, jako je Program pro odolnost médií, Program na podporu základních dovedností pro školy a posílení expertní skupiny pro mediální gramotnost, včetně zřízení nové sítě odborníků na mediální gramotnost, a aktualizované pokyny pro učitele a vzdělavatele; zdůrazňuje, že nadcházející revize směrnice o audiovizuálních mediálních službách by měla posílit ustanovení o minimálních požadavcích na činnost členských států v oblasti mediální gramotnosti;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1119</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rPr>
                <w:b/>
                <w:i/>
              </w:rPr>
              <w:t>vítá skutečnost</w:t>
            </w:r>
            <w:r>
              <w:t xml:space="preserve">, že společné sdělení obsahuje nová podpůrná opatření na podporu digitální </w:t>
            </w:r>
            <w:r>
              <w:rPr>
                <w:b/>
                <w:i/>
              </w:rPr>
              <w:t>a</w:t>
            </w:r>
            <w:r>
              <w:t xml:space="preserve"> mediální gramotnosti, jako je Program pro odolnost médií, Program na podporu základních dovedností pro školy a posílení expertní skupiny pro mediální gramotnost, včetně zřízení nové sítě odborníků na mediální gramotnost, a aktualizované pokyny pro učitele a vzdělavatele; zdůrazňuje, že nadcházející revize směrnice o audiovizuálních mediálních službách by měla posílit ustanovení o minimálních požadavcích na činnost členských států v oblasti mediální gramotnosti;</w:t>
            </w:r>
          </w:p>
        </w:tc>
        <w:tc>
          <w:tcPr>
            <w:tcW w:w="4876" w:type="dxa"/>
            <w:tcBorders>
              <w:top w:val="nil"/>
              <w:left w:val="nil"/>
              <w:bottom w:val="nil"/>
              <w:right w:val="nil"/>
            </w:tcBorders>
          </w:tcPr>
          <w:p>
            <w:pPr>
              <w:pStyle w:val="Normal6a"/>
            </w:pPr>
            <w:r>
              <w:t>30.</w:t>
            </w:r>
            <w:r>
              <w:tab/>
            </w:r>
            <w:r>
              <w:rPr>
                <w:b/>
                <w:i/>
              </w:rPr>
              <w:t>bere na vědomí</w:t>
            </w:r>
            <w:r>
              <w:t>, že společné sdělení obsahuje nová podpůrná opatření na podporu digitální mediální gramotnosti, jako je Program pro odolnost médií, Program na podporu základních dovedností pro školy a posílení expertní skupiny pro mediální gramotnost, včetně zřízení nové sítě odborníků na mediální gramotnost, a aktualizované pokyny pro učitele a vzdělavatele; zdůrazňuje, že nadcházející revize směrnice o audiovizuálních mediálních službách by měla posílit ustanovení o minimálních požadavcích na činnost členských států v oblasti mediální gramotnosti;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1120</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je přesvědčen, že snaha EU nalézt nástroje pro včasné vzdělávání dětí/žáků s cílem získat dovednosti, které by je ochránily před dezinformacemi a útoky na demokracii, přiměje nepřátelské síly v Unii, aby uzpůsobily, zintenzivnily a zdokonalily své manipulativní metody, a to jak tradiční, tak digitální;</w:t>
            </w:r>
            <w:r>
              <w:t xml:space="preserve"> </w:t>
            </w:r>
            <w:r>
              <w:rPr>
                <w:b/>
                <w:i/>
              </w:rPr>
              <w:t>je znepokojen tím, že tyto nepřátelské síly se soustředí právě na oblast vzdělávání – pilíř evropského vědomí – s cílem odvést jej prostřednictvím dobře vyškolených vektorů od jeho poslání, a to pod důmyslně skrytými záminkami, ale také vytvořit mezery, které by mohly celý eurosystém nabourat;</w:t>
            </w:r>
            <w:r>
              <w:t xml:space="preserve"> </w:t>
            </w:r>
            <w:r>
              <w:rPr>
                <w:b/>
                <w:i/>
              </w:rPr>
              <w:t>navrhuje, aby Komise pod záštitou Evropského parlamentu, což je orgán s přímý mandátem od občanů, který zastupuje jejich zájmy, podpořila vytvoření jednotné příručky s osvědčenými postupy v oblasti vzdělávání zaměřenými na odhalování nepravdivých zpráv a jemných manipulativních metod, kterou by pomohli vypracovat nezávislí odborníci a kterou by doporučila členským státům;</w:t>
            </w:r>
            <w:r>
              <w:t xml:space="preserve"> </w:t>
            </w:r>
            <w:r>
              <w:rPr>
                <w:b/>
                <w:i/>
              </w:rPr>
              <w:t>navrhuje, aby Komise pod vedením stejných odborníků, ale i studentů, kteří znají mentalitu svých vrstevníků nejlépe, podpořila vypracování jedinečných učebnic pro různé věkové skupiny, které by byly předloženy členským státům;</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1121</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konstatuje, že je třeba vyvinout další úsilí na podporu kritického myšlení v rámci vzdělávání, a pomoci tak neutralizovat dezinformace nebo jim dokonce předcházet;</w:t>
            </w:r>
            <w:r>
              <w:t xml:space="preserve"> </w:t>
            </w:r>
            <w:r>
              <w:rPr>
                <w:b/>
                <w:i/>
              </w:rPr>
              <w:t>vyzývá k začleňování mediální gramotnosti a digitální odborné přípravy do vzdělávání na vnitrostátní úrovni;</w:t>
            </w:r>
            <w:r>
              <w:t xml:space="preserve"> </w:t>
            </w:r>
            <w:r>
              <w:rPr>
                <w:b/>
                <w:i/>
              </w:rPr>
              <w:t>je toho názoru, že výuka mediální gramotnosti by se měla přizpůsobit spotřebním návykům cílových uživatelů sociálních médií, například přijetím modulárního souboru nástrojů pro mediální gramotnost, které by byly přizpůsobeny prostředí formálního a neformálního vzdělávání;</w:t>
            </w:r>
            <w:r>
              <w:t xml:space="preserve"> </w:t>
            </w:r>
            <w:r>
              <w:rPr>
                <w:b/>
                <w:i/>
              </w:rPr>
              <w:t>domnívá se, že výuku mediální gramotnosti by mohly doplnit workshopy a digitální občanské simulační hry, které by nabídly intenzivní herní zážitek;</w:t>
            </w:r>
            <w:r>
              <w:t xml:space="preserve"> </w:t>
            </w:r>
            <w:r>
              <w:rPr>
                <w:b/>
                <w:i/>
              </w:rPr>
              <w:t>podporuje vytváření digitálních nástrojů a platforem na evropské úrovni (generativní umělá inteligence, vyhledávač, sociální síť), které obyvatelům nabídnou spolehlivou alternativu k zahraničním platformám;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1122</w:t>
      </w:r>
      <w:r>
        <w:rPr>
          <w:rStyle w:val="HideTWBExt"/>
        </w:rPr>
        <w:t>&lt;/NumAm&gt;</w:t>
      </w:r>
    </w:p>
    <w:p>
      <w:pPr>
        <w:pStyle w:val="NormalBold"/>
      </w:pPr>
      <w:r>
        <w:rPr>
          <w:rStyle w:val="HideTWBExt"/>
          <w:b w:val="0"/>
        </w:rPr>
        <w:t>&lt;RepeatBlock-By&gt;</w:t>
      </w:r>
      <w:r>
        <w:rPr>
          <w:rStyle w:val="HideTWBExt"/>
          <w:b w:val="0"/>
        </w:rPr>
        <w:t>&lt;Members&gt;</w:t>
      </w:r>
      <w:r>
        <w:t>Michał Wawrykiewicz, Bartłomiej Sienkiewicz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navrhuje zřídit Evropskou akademii mediální gramotnosti (EMLA) jako stálou agenturu EU zaměřenou na odbornou přípravu učitelů, novinářů a státních zaměstnanců v oblasti odhalování a vyvracení zahraniční manipulace s informacemi;</w:t>
            </w:r>
            <w:r>
              <w:t xml:space="preserve"> </w:t>
            </w:r>
            <w:r>
              <w:rPr>
                <w:b/>
                <w:i/>
              </w:rPr>
              <w:t>důrazně doporučuje, aby se sídlo akademie nacházelo v polské Varšavě, a mohlo tak v boji proti ruským dezinformačním kampaním využit rozsáhlých operačních zkušeností této země a jejího strategického postavení;</w:t>
            </w:r>
            <w:r>
              <w:t xml:space="preserve"> </w:t>
            </w:r>
            <w:r>
              <w:rPr>
                <w:b/>
                <w:i/>
              </w:rPr>
              <w:t>zdůrazňuje, že akademie by měla sloužit jako hlavní centrum Unie pro rozvoj standardizovaných osnov mediální gramotnosti a koordinaci celoevropských iniciativ na zvyšování povědomí o dané problematice s cílem posílit odolnost společnosti;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1123</w:t>
      </w:r>
      <w:r>
        <w:rPr>
          <w:rStyle w:val="HideTWBExt"/>
        </w:rPr>
        <w:t>&lt;/NumAm&gt;</w:t>
      </w:r>
    </w:p>
    <w:p>
      <w:pPr>
        <w:pStyle w:val="NormalBold"/>
      </w:pPr>
      <w:r>
        <w:rPr>
          <w:rStyle w:val="HideTWBExt"/>
          <w:b w:val="0"/>
        </w:rPr>
        <w:t>&lt;RepeatBlock-By&gt;</w:t>
      </w:r>
      <w:r>
        <w:rPr>
          <w:rStyle w:val="HideTWBExt"/>
          <w:b w:val="0"/>
        </w:rPr>
        <w:t>&lt;Members&gt;</w:t>
      </w:r>
      <w:r>
        <w:t>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zdůrazňuje, že politika v oblasti mediální a digitální gramotnosti by měla být koncipována jako proces celoživotního vzdělávání, který by se vztahoval na všechny věkové a sociální kategorie, včetně dětí, dospívajících, dospělých a starších občanů;</w:t>
            </w:r>
            <w:r>
              <w:t xml:space="preserve"> </w:t>
            </w:r>
            <w:r>
              <w:rPr>
                <w:b/>
                <w:i/>
              </w:rPr>
              <w:t>poukazuje na to, že účinná odolnost vůči dezinformacím vyžaduje rozšíření kritického myšlení a analytických dovedností občanů, včetně jejich schopnosti posuzovat zdroje, rozpoznávat manipulační techniky, chápat algoritmickou amplifikaci a rozlišovat názory od ověřených informací;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1124</w:t>
      </w:r>
      <w:r>
        <w:rPr>
          <w:rStyle w:val="HideTWBExt"/>
        </w:rPr>
        <w:t>&lt;/NumAm&gt;</w:t>
      </w:r>
    </w:p>
    <w:p>
      <w:pPr>
        <w:pStyle w:val="NormalBold"/>
      </w:pPr>
      <w:r>
        <w:rPr>
          <w:rStyle w:val="HideTWBExt"/>
          <w:b w:val="0"/>
        </w:rPr>
        <w:t>&lt;RepeatBlock-By&gt;</w:t>
      </w:r>
      <w:r>
        <w:rPr>
          <w:rStyle w:val="HideTWBExt"/>
          <w:b w:val="0"/>
        </w:rPr>
        <w:t>&lt;Members&gt;</w:t>
      </w:r>
      <w:r>
        <w:t>Cynthia Ní Mhurchú, Helmut Brandstätter, Sophie Wilmès, Petras Auštrevičius,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vyzývá Komisi a členské státy, aby v souvislosti s programem pro odolnost sdělovacích prostředků a programem na podporu základních dovedností pro školy upřednostňovaly v případě dětí školního věku mediální a digitální gramotnost odpovídající jejich věku, včetně odborné přípravy učitelů a moderních učebních osnov zaměřených na algoritmickou amplifikaci, deep fakes, syntetická média a manipulativní chování na internetu, spolu s hodnotícími rámci s cílem určit a rozšířit účinné programy;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připomíná, že vzdělávací politika, včetně mediální gramotnosti dětí a dospělých, zůstává primárně v pravomoci členských států;</w:t>
            </w:r>
            <w:r>
              <w:t xml:space="preserve"> </w:t>
            </w:r>
            <w:r>
              <w:rPr>
                <w:b/>
                <w:i/>
              </w:rPr>
              <w:t>zdůrazňuje, že opatření Unie musejí respektovat subsidiaritu a vyhýbat se normativním přístupům k politickému nebo informačnímu úsudku;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1126</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30b.</w:t>
            </w:r>
            <w:r>
              <w:tab/>
            </w:r>
            <w:r>
              <w:rPr>
                <w:b/>
                <w:i/>
              </w:rPr>
              <w:t>trvá na tom, že jediným trvalým způsobem, jak zachovat nezávislá kvalitní média, je vyřešit strukturální slabiny mediálního odvětví a znovu zajistit hospodářskou životaschopnost mediálního ekosystému;</w:t>
            </w:r>
            <w:r>
              <w:t xml:space="preserve"> </w:t>
            </w:r>
            <w:r>
              <w:rPr>
                <w:b/>
                <w:i/>
              </w:rPr>
              <w:t>konstatuje, že za tímto účelem je třeba vytvořit novou rovnováhu na trzích s online reklamou a v oblasti distribuce obsahu, a přispět tak k odolnosti společnosti vůči hybridním hrozbám, dezinformacím a volební manipulaci;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1127</w:t>
      </w:r>
      <w:r>
        <w:rPr>
          <w:rStyle w:val="HideTWBExt"/>
        </w:rPr>
        <w:t>&lt;/NumAm&gt;</w:t>
      </w:r>
    </w:p>
    <w:p>
      <w:pPr>
        <w:pStyle w:val="NormalBold"/>
      </w:pPr>
      <w:r>
        <w:rPr>
          <w:rStyle w:val="HideTWBExt"/>
          <w:b w:val="0"/>
        </w:rPr>
        <w:t>&lt;RepeatBlock-By&gt;</w:t>
      </w:r>
      <w:r>
        <w:rPr>
          <w:rStyle w:val="HideTWBExt"/>
          <w:b w:val="0"/>
        </w:rPr>
        <w:t>&lt;Members&gt;</w:t>
      </w:r>
      <w:r>
        <w:t>Cynthia Ní Mhurchú, Helmut Brandstätter, Sophie Wilmès, Petras Auštrevičius,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30b.</w:t>
            </w:r>
            <w:r>
              <w:tab/>
            </w:r>
            <w:r>
              <w:rPr>
                <w:b/>
                <w:i/>
              </w:rPr>
              <w:t>vybízí k systematické výměně osvědčených postupů mezi vnitrostátními orgány a regulačními orgány působícími v oblasti mediální gramotnosti, mimo jiné prostřednictvím rozšířené expertní skupiny pro mediální gramotnost a Evropského střediska pro sledování digitálních médií;</w:t>
            </w:r>
            <w:r>
              <w:t xml:space="preserve"> </w:t>
            </w:r>
            <w:r>
              <w:rPr>
                <w:b/>
                <w:i/>
              </w:rPr>
              <w:t>poukazuje na hodnotu modelů zprostředkovaných regulačními orgány, které financují a svolávají aliance mnoha zúčastněných stran za účelem realizace praktických opatření v oblasti mediální gramotnosti;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1128</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30c.</w:t>
            </w:r>
            <w:r>
              <w:tab/>
            </w:r>
            <w:r>
              <w:rPr>
                <w:b/>
                <w:i/>
              </w:rPr>
              <w:t>doporučuje provést test dopadu iniciativy Štít pro demokracii, zejména v odvětví sdělovacích prostředků, na všechny příslušné iniciativy EU a obecněji s cílem zefektivnit analýzu hybridních hrozeb, zahraniční manipulace s informacemi a zahraničního vměšování v EU;</w:t>
            </w:r>
            <w:r>
              <w:t xml:space="preserve"> </w:t>
            </w:r>
            <w:r>
              <w:rPr>
                <w:b/>
                <w:i/>
              </w:rPr>
              <w:t>doporučuje dále věnovat maximální pozornost tomu, aby se zabránilo vytváření situací podobných nezákonným dotacím, které Orbánova vláda poskytuje provládním sdělovacím prostředkům v Maďarsku, s cílem zabránit narušení veřejného diskurzu;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1129</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30d.</w:t>
            </w:r>
            <w:r>
              <w:tab/>
            </w:r>
            <w:r>
              <w:rPr>
                <w:b/>
                <w:i/>
              </w:rPr>
              <w:t>konstatuje, že podle průzkumu evropského veřejného mínění, které provedla společnost Cluster17, by měl být Grok v EU zakázán, přičemž tento návrh podporuje v průměru 56 % Evropanů</w:t>
            </w:r>
            <w:r>
              <w:rPr>
                <w:b/>
                <w:i/>
                <w:vertAlign w:val="superscript"/>
              </w:rPr>
              <w:t>51f</w:t>
            </w:r>
            <w:r>
              <w:rPr>
                <w:b/>
                <w:i/>
              </w:rPr>
              <w:t>;</w:t>
            </w:r>
            <w:r>
              <w:t xml:space="preserve"> </w:t>
            </w:r>
            <w:r>
              <w:rPr>
                <w:b/>
                <w:i/>
              </w:rPr>
              <w:t>důrazně odsuzuje propagandu vycházející z tzv. „online encyklopedie“ Elona Muska – Grokipedie;</w:t>
            </w:r>
            <w:r>
              <w:t xml:space="preserve"> </w:t>
            </w:r>
            <w:r>
              <w:rPr>
                <w:b/>
                <w:i/>
              </w:rPr>
              <w:t>je znepokojen skutečností, že její obsah normalizuje nenávist tím, že zpochybňuje důvěryhodnost kritiků předních bílých nacionalistů, antisemitů a popíračů holocaustu;</w:t>
            </w:r>
            <w:r>
              <w:t xml:space="preserve"> </w:t>
            </w:r>
            <w:r>
              <w:rPr>
                <w:b/>
                <w:i/>
              </w:rPr>
              <w:t>vyzývá regulační a donucovací orgány členských států, aby prošetřily zákonnost Grokipedie v Evropské unii a přijaly příslušná opatření, pokud by porušovala jakoukoli regulaci digitální oblasti nebo právní předpisy EU proti nenávisti;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51f</w:t>
            </w:r>
            <w:r>
              <w:t xml:space="preserve"> </w:t>
            </w:r>
            <w:r>
              <w:rPr>
                <w:b/>
                <w:i/>
              </w:rPr>
              <w:t>https://cluster17.com/barometre-de-lopinion-publique-europeenne-pour-le-grand-continent-vague-5-trump-et-le-nouveau-clivage-geopolitique/.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1130</w:t>
      </w:r>
      <w:r>
        <w:rPr>
          <w:rStyle w:val="HideTWBExt"/>
        </w:rPr>
        <w:t>&lt;/NumAm&gt;</w:t>
      </w:r>
    </w:p>
    <w:p>
      <w:pPr>
        <w:pStyle w:val="NormalBold"/>
      </w:pPr>
      <w:r>
        <w:rPr>
          <w:rStyle w:val="HideTWBExt"/>
          <w:b w:val="0"/>
        </w:rPr>
        <w:t>&lt;RepeatBlock-By&gt;</w:t>
      </w:r>
      <w:r>
        <w:rPr>
          <w:rStyle w:val="HideTWBExt"/>
          <w:b w:val="0"/>
        </w:rPr>
        <w:t>&lt;Members&gt;</w:t>
      </w:r>
      <w:r>
        <w:t>Nathalie Loiseau, Sandro Gozi,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30e.</w:t>
            </w:r>
            <w:r>
              <w:tab/>
            </w:r>
            <w:r>
              <w:rPr>
                <w:b/>
                <w:i/>
              </w:rPr>
              <w:t>vyzývá k tomu, aby byl operační systém Google TV označen v souladu s nařízením o digitálních trzích za hlavní službu platformy;</w:t>
            </w:r>
            <w:r>
              <w:t xml:space="preserve"> </w:t>
            </w:r>
            <w:r>
              <w:rPr>
                <w:b/>
                <w:i/>
              </w:rPr>
              <w:t>připomíná, že distributoři obsahu mají povinnost zobrazovat většinu obsahu z certifikovaných médií, která produkují evropský obsah, nebo certifikovaných a kontrolovaných informací a konkrétněji z evropských „služeb obecného zájmu“;</w:t>
            </w:r>
            <w:r>
              <w:t xml:space="preserve"> </w:t>
            </w:r>
            <w:r>
              <w:rPr>
                <w:b/>
                <w:i/>
              </w:rPr>
              <w:t>trvá na tom, že tito aktéři mají technické prostředky k realizaci těchto opatření, která by pomohla bojovat proti mizení spolehlivých sdělovacích prostředků;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1131</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vítá ohlášenou aktualizaci doporučení Komise o bezpečnosti novinářů</w:t>
            </w:r>
            <w:r>
              <w:rPr>
                <w:vertAlign w:val="superscript"/>
              </w:rPr>
              <w:t>52</w:t>
            </w:r>
            <w:r>
              <w:t>a nadcházející přezkum doporučení, jež se týká strategických žalob proti účasti veřejnosti</w:t>
            </w:r>
            <w:r>
              <w:rPr>
                <w:vertAlign w:val="superscript"/>
              </w:rPr>
              <w:t>53</w:t>
            </w:r>
            <w:r>
              <w:t xml:space="preserve">; zdůrazňuje, že tyto aktualizace a přezkumy musí zohledňovat </w:t>
            </w:r>
            <w:r>
              <w:rPr>
                <w:b/>
                <w:i/>
              </w:rPr>
              <w:t>dopad</w:t>
            </w:r>
            <w:r>
              <w:t xml:space="preserve"> hrozeb, násilí, sabotáže a dalších </w:t>
            </w:r>
            <w:r>
              <w:rPr>
                <w:b/>
                <w:i/>
              </w:rPr>
              <w:t>způsobů maření</w:t>
            </w:r>
            <w:r>
              <w:t xml:space="preserve"> novinářské </w:t>
            </w:r>
            <w:r>
              <w:rPr>
                <w:b/>
                <w:i/>
              </w:rPr>
              <w:t>práce na ochranu</w:t>
            </w:r>
            <w:r>
              <w:t xml:space="preserve">, bezpečnost </w:t>
            </w:r>
            <w:r>
              <w:rPr>
                <w:b/>
                <w:i/>
              </w:rPr>
              <w:t>a postavení novinářů a dalších pracovníků médií v EU</w:t>
            </w:r>
            <w:r>
              <w:t>;</w:t>
            </w:r>
          </w:p>
        </w:tc>
        <w:tc>
          <w:tcPr>
            <w:tcW w:w="4876" w:type="dxa"/>
            <w:tcBorders>
              <w:top w:val="nil"/>
              <w:left w:val="nil"/>
              <w:bottom w:val="nil"/>
              <w:right w:val="nil"/>
            </w:tcBorders>
          </w:tcPr>
          <w:p>
            <w:pPr>
              <w:pStyle w:val="Normal6a"/>
            </w:pPr>
            <w:r>
              <w:t>31.</w:t>
            </w:r>
            <w:r>
              <w:tab/>
            </w:r>
            <w:r>
              <w:t>vítá ohlášenou aktualizaci doporučení Komise o bezpečnosti novinářů</w:t>
            </w:r>
            <w:r>
              <w:rPr>
                <w:vertAlign w:val="superscript"/>
              </w:rPr>
              <w:t>52</w:t>
            </w:r>
            <w:r>
              <w:t xml:space="preserve"> a nadcházející přezkum doporučení, jež se týká strategických žalob proti účasti veřejnosti</w:t>
            </w:r>
            <w:r>
              <w:rPr>
                <w:vertAlign w:val="superscript"/>
              </w:rPr>
              <w:t>53</w:t>
            </w:r>
            <w:r>
              <w:t xml:space="preserve">; zdůrazňuje, že tyto aktualizace a přezkumy musí zohledňovat </w:t>
            </w:r>
            <w:r>
              <w:rPr>
                <w:b/>
                <w:i/>
              </w:rPr>
              <w:t>vyvíjející se povahu</w:t>
            </w:r>
            <w:r>
              <w:t xml:space="preserve"> hrozeb, </w:t>
            </w:r>
            <w:r>
              <w:rPr>
                <w:b/>
                <w:i/>
              </w:rPr>
              <w:t>jimž čelí novináři a pracovníci sdělovacích prostředků, včetně nejen fyzického</w:t>
            </w:r>
            <w:r>
              <w:t xml:space="preserve"> násilí </w:t>
            </w:r>
            <w:r>
              <w:rPr>
                <w:b/>
                <w:i/>
              </w:rPr>
              <w:t>a šikanování na internetu, ale také zastrašování, strategických soudních sporů, ekonomického tlaku, sledování</w:t>
            </w:r>
            <w:r>
              <w:t xml:space="preserve">, sabotáže a dalších </w:t>
            </w:r>
            <w:r>
              <w:rPr>
                <w:b/>
                <w:i/>
              </w:rPr>
              <w:t>forem vměšování, jejichž cílem je bránit</w:t>
            </w:r>
            <w:r>
              <w:t xml:space="preserve"> novinářské </w:t>
            </w:r>
            <w:r>
              <w:rPr>
                <w:b/>
                <w:i/>
              </w:rPr>
              <w:t>práci;</w:t>
            </w:r>
            <w:r>
              <w:t xml:space="preserve"> </w:t>
            </w:r>
            <w:r>
              <w:rPr>
                <w:b/>
                <w:i/>
              </w:rPr>
              <w:t>zdůrazňuje, že zvláštní pozornost by měla být věnována odrazujícím účinkům vyvolaným přetrvávající atmosférou strachu, politickým tlakem nebo nepatřičným vměšováním veřejných či soukromých subjektů, které mohou odrazovat od investigativního zpravodajství, omezovat redakční nezávislost a vést k autocenzuře;</w:t>
            </w:r>
            <w:r>
              <w:t xml:space="preserve"> </w:t>
            </w:r>
            <w:r>
              <w:rPr>
                <w:b/>
                <w:i/>
              </w:rPr>
              <w:t>poukazuje na to</w:t>
            </w:r>
            <w:r>
              <w:t xml:space="preserve">, </w:t>
            </w:r>
            <w:r>
              <w:rPr>
                <w:b/>
                <w:i/>
              </w:rPr>
              <w:t>že bezpečné a příznivé prostředí pro žurnalistiku vyžaduje nejen právní záruky, ale také účinné prosazování právních předpisů, ochranné mechanismy a podpůrné struktury, které by zajistily, aby novináři, zejména investigativní reportéři, mohli vykonávat svou práci svobodně, bez obav z odvety, šikanování nebo ztráty živobytí, což povede v Unii k zachování plurality sdělovacích prostředků a práva veřejnosti na informace;</w:t>
            </w:r>
            <w:r>
              <w:t xml:space="preserve"> </w:t>
            </w:r>
            <w:r>
              <w:rPr>
                <w:b/>
                <w:i/>
              </w:rPr>
              <w:t>zdůrazňuje, že základní obrannou linii proti dezinformacím, manipulaci s informacemi a dalším formám vměšování, které se snaží omezit demokratickou diskuzi a podrýt důvěru veřejnosti, představuje rovněž posílení bezpečnosti, nezávislosti a pracovních podmínek novinářů;</w:t>
            </w:r>
            <w:r>
              <w:t xml:space="preserve"> </w:t>
            </w:r>
            <w:r>
              <w:rPr>
                <w:b/>
                <w:i/>
              </w:rPr>
              <w:t>vyzývá ke zpřísnění a rozšíření těchto ochranných rámců, tak aby zahrnovaly jak posílená opatření zajišťující fyzickou</w:t>
            </w:r>
            <w:r>
              <w:t xml:space="preserve"> bezpečnost </w:t>
            </w:r>
            <w:r>
              <w:rPr>
                <w:b/>
                <w:i/>
              </w:rPr>
              <w:t>– včetně ochrany před zastrašováním, šikanováním a nesmrtícími formami násilí –, tak i širší právní záruky, zejména prosazování dekriminalizace pomluvy, přístup k právní pomoci a účinné opravné prostředky proti zneužívání soudních sporů;</w:t>
            </w:r>
            <w:r>
              <w:t xml:space="preserve"> </w:t>
            </w:r>
            <w:r>
              <w:rPr>
                <w:b/>
                <w:i/>
              </w:rPr>
              <w:t>vyzývá dále k pevnému a koordinovanému postoji Unie vůči legislativním nebo regulačním opatřením, mj. vůči zákonům ve stylu tzv. „zahraničních agentů“, která by mohla stigmatizovat novináře, aktéry občanské společnosti nebo nezávislé sdělovací prostředky a omezit svobodu projevu, nezávislost sdělovacích prostředků a demokratickou účast;</w:t>
            </w:r>
            <w:r>
              <w:t xml:space="preserve"> </w:t>
            </w:r>
            <w:r>
              <w:rPr>
                <w:b/>
                <w:i/>
              </w:rPr>
              <w:t>v této souvislosti připomíná, že demokratické společnosti musejí rovněž chránit legitimní právo občanů, veřejných orgánů a zúčastněných stran vyjádřit nesouhlas nebo kritiku, pokud jde o mediální zpravodajství nebo redakční volbu, a že za tímto účelem by měly mít k dispozici přístupné a nezávislé mechanismy pro podávání stížností nebo odvolání – jako jsou tiskové rady nebo rady pro novinářskou etiku a další samoregulační orgány – za předpokladu, že je jejich vyjádření uplatňováno pokojně, transparentně a bez zastrašování, nátlaku, hospodářských odvetných opatření nebo pokusů o ovlivnění redakční nezávislosti a nevede k šikanování, hrozbám nebo nepřiměřenému tlaku, které by mohly narušit novinářskou svobodu nebo pluralitu</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52</w:t>
            </w:r>
            <w:r>
              <w:t xml:space="preserve"> </w:t>
            </w:r>
            <w:r>
              <w:t>Doporučení Komise (EU) 2021/1534 ze dne 16. září 2021 o zajištění ochrany, bezpečnosti a posílení postavení novinářů a dalších pracovníků sdělovacích prostředků v Evropské unii (Úř. věst. L 331, 20.9.2021, s. 8, ELI: http://data.europa.eu/eli/reco/2021/1534/oj).</w:t>
            </w:r>
          </w:p>
        </w:tc>
        <w:tc>
          <w:tcPr>
            <w:tcW w:w="4876" w:type="dxa"/>
            <w:tcBorders>
              <w:top w:val="nil"/>
              <w:left w:val="nil"/>
              <w:bottom w:val="nil"/>
              <w:right w:val="nil"/>
            </w:tcBorders>
          </w:tcPr>
          <w:p>
            <w:pPr>
              <w:pStyle w:val="Normal6a"/>
            </w:pPr>
            <w:r>
              <w:rPr>
                <w:vertAlign w:val="superscript"/>
              </w:rPr>
              <w:t>52</w:t>
            </w:r>
            <w:r>
              <w:t xml:space="preserve"> </w:t>
            </w:r>
            <w:r>
              <w:t>Doporučení Komise (EU) 2021/1534 ze dne 16. září 2021 o zajištění ochrany, bezpečnosti a posílení postavení novinářů a dalších pracovníků sdělovacích prostředků v Evropské unii (Úř. věst. L 331, 20.9.2021, s. 8, ELI: http://data.europa.eu/eli/reco/2021/1534/oj).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53</w:t>
            </w:r>
            <w:r>
              <w:t xml:space="preserve"> </w:t>
            </w:r>
            <w:r>
              <w:t>Doporučení Komise (EU) 2022/758 ze dne 27. dubna 2022 o ochraně novinářů a obránců lidských práv, kteří se podílejí na účasti veřejnosti, před zjevně neopodstatněnými nebo zneužívajícími soudními řízeními („strategické žaloby proti účasti veřejnosti“) (Úř. věst. L 138, 17.5.2022, s. 30, ELI: http://data.europa.eu/eli/reco/2022/758/oj).</w:t>
            </w:r>
          </w:p>
        </w:tc>
        <w:tc>
          <w:tcPr>
            <w:tcW w:w="4876" w:type="dxa"/>
            <w:tcBorders>
              <w:top w:val="nil"/>
              <w:left w:val="nil"/>
              <w:bottom w:val="nil"/>
              <w:right w:val="nil"/>
            </w:tcBorders>
          </w:tcPr>
          <w:p>
            <w:pPr>
              <w:pStyle w:val="Normal6a"/>
            </w:pPr>
            <w:r>
              <w:rPr>
                <w:vertAlign w:val="superscript"/>
              </w:rPr>
              <w:t>53</w:t>
            </w:r>
            <w:r>
              <w:t xml:space="preserve"> </w:t>
            </w:r>
            <w:r>
              <w:t>Doporučení Komise (EU) 2022/758 ze dne 27. dubna 2022 o ochraně novinářů a obránců lidských práv, kteří se podílejí na účasti veřejnosti, před zjevně neopodstatněnými nebo zneužívajícími soudními řízeními („strategické žaloby proti účasti veřejnosti“) (Úř. věst. L 138, 17.5.2022, s. 30, ELI: http://data.europa.eu/eli/reco/2022/758/oj).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vítá ohlášenou aktualizaci doporučení Komise o bezpečnosti novinářů</w:t>
            </w:r>
            <w:r>
              <w:rPr>
                <w:vertAlign w:val="superscript"/>
              </w:rPr>
              <w:t>52</w:t>
            </w:r>
            <w:r>
              <w:t>a nadcházející přezkum doporučení, jež se týká strategických žalob proti účasti veřejnosti</w:t>
            </w:r>
            <w:r>
              <w:rPr>
                <w:vertAlign w:val="superscript"/>
              </w:rPr>
              <w:t>53</w:t>
            </w:r>
            <w:r>
              <w:t xml:space="preserve">; zdůrazňuje, že tyto aktualizace a přezkumy musí zohledňovat </w:t>
            </w:r>
            <w:r>
              <w:rPr>
                <w:b/>
                <w:i/>
              </w:rPr>
              <w:t>dopad</w:t>
            </w:r>
            <w:r>
              <w:t xml:space="preserve"> hrozeb, násilí, sabotáže a dalších způsobů maření novinářské práce na ochranu, bezpečnost a postavení novinářů a dalších pracovníků médií v EU;</w:t>
            </w:r>
          </w:p>
        </w:tc>
        <w:tc>
          <w:tcPr>
            <w:tcW w:w="4876" w:type="dxa"/>
            <w:tcBorders>
              <w:top w:val="nil"/>
              <w:left w:val="nil"/>
              <w:bottom w:val="nil"/>
              <w:right w:val="nil"/>
            </w:tcBorders>
          </w:tcPr>
          <w:p>
            <w:pPr>
              <w:pStyle w:val="Normal6a"/>
            </w:pPr>
            <w:r>
              <w:t>31.</w:t>
            </w:r>
            <w:r>
              <w:tab/>
            </w:r>
            <w:r>
              <w:t>vítá ohlášenou aktualizaci doporučení Komise o bezpečnosti novinářů</w:t>
            </w:r>
            <w:r>
              <w:rPr>
                <w:vertAlign w:val="superscript"/>
              </w:rPr>
              <w:t>52</w:t>
            </w:r>
            <w:r>
              <w:t xml:space="preserve"> a nadcházející přezkum doporučení, jež se týká strategických žalob proti účasti veřejnosti</w:t>
            </w:r>
            <w:r>
              <w:rPr>
                <w:vertAlign w:val="superscript"/>
              </w:rPr>
              <w:t>53</w:t>
            </w:r>
            <w:r>
              <w:t xml:space="preserve">; zdůrazňuje, že tyto aktualizace a přezkumy musí zohledňovat </w:t>
            </w:r>
            <w:r>
              <w:rPr>
                <w:b/>
                <w:i/>
              </w:rPr>
              <w:t>vliv</w:t>
            </w:r>
            <w:r>
              <w:t xml:space="preserve"> hrozeb, násilí</w:t>
            </w:r>
            <w:r>
              <w:rPr>
                <w:b/>
                <w:i/>
              </w:rPr>
              <w:t>, včetně únosů a vražd, zastrašování</w:t>
            </w:r>
            <w:r>
              <w:t xml:space="preserve">, sabotáže a dalších způsobů maření novinářské práce na ochranu, bezpečnost a postavení novinářů a dalších pracovníků médií v EU; </w:t>
            </w:r>
            <w:r>
              <w:rPr>
                <w:b/>
                <w:i/>
              </w:rPr>
              <w:t>připomíná rozsáhlé veřejné rozhořčení vyvolané vraždami investigativních novinářů, jako byli Ján Kuciak a Daphne Caruana Galiziová, a zdůrazňuje, že dosud nebyly zcela vyjasněny všechny okolnosti spojené s těmito nepřijatelnými trestnými činy a nebylo jasně stanoveno, kdo za ně nese odpovědnost;</w:t>
            </w:r>
            <w:r>
              <w:t xml:space="preserve"> </w:t>
            </w:r>
            <w:r>
              <w:rPr>
                <w:b/>
                <w:i/>
              </w:rPr>
              <w:t>v této souvislosti vyjadřuje hluboké znepokojení nad nedávno zveřejněnými informacemi o hrozbě vraždy a mučení investigativního opozičního novináře, které poskytl úředník polské státní ochranné služby;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52</w:t>
            </w:r>
            <w:r>
              <w:t xml:space="preserve"> </w:t>
            </w:r>
            <w:r>
              <w:t>Doporučení Komise (EU) 2021/1534 ze dne 16. září 2021 o zajištění ochrany, bezpečnosti a posílení postavení novinářů a dalších pracovníků sdělovacích prostředků v Evropské unii (Úř. věst. L 331, 20.9.2021, s. 8, ELI: http://data.europa.eu/eli/reco/2021/1534/oj).</w:t>
            </w:r>
          </w:p>
        </w:tc>
        <w:tc>
          <w:tcPr>
            <w:tcW w:w="4876" w:type="dxa"/>
            <w:tcBorders>
              <w:top w:val="nil"/>
              <w:left w:val="nil"/>
              <w:bottom w:val="nil"/>
              <w:right w:val="nil"/>
            </w:tcBorders>
          </w:tcPr>
          <w:p>
            <w:pPr>
              <w:pStyle w:val="Normal6a"/>
            </w:pPr>
            <w:r>
              <w:rPr>
                <w:vertAlign w:val="superscript"/>
              </w:rPr>
              <w:t>52</w:t>
            </w:r>
            <w:r>
              <w:t xml:space="preserve"> </w:t>
            </w:r>
            <w:r>
              <w:t>Doporučení Komise (EU) 2021/1534 ze dne 16. září 2021 o zajištění ochrany, bezpečnosti a posílení postavení novinářů a dalších pracovníků sdělovacích prostředků v Evropské unii (Úř. věst. L 331, 20.9.2021, s. 8, ELI: http://data.europa.eu/eli/reco/2021/1534/oj).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53</w:t>
            </w:r>
            <w:r>
              <w:t xml:space="preserve"> </w:t>
            </w:r>
            <w:r>
              <w:t>Doporučení Komise (EU) 2022/758 ze dne 27. dubna 2022 o ochraně novinářů a obránců lidských práv, kteří se podílejí na účasti veřejnosti, před zjevně neopodstatněnými nebo zneužívajícími soudními řízeními („strategické žaloby proti účasti veřejnosti“) (Úř. věst. L 138, 17.5.2022, s. 30, ELI: http://data.europa.eu/eli/reco/2022/758/oj).</w:t>
            </w:r>
          </w:p>
        </w:tc>
        <w:tc>
          <w:tcPr>
            <w:tcW w:w="4876" w:type="dxa"/>
            <w:tcBorders>
              <w:top w:val="nil"/>
              <w:left w:val="nil"/>
              <w:bottom w:val="nil"/>
              <w:right w:val="nil"/>
            </w:tcBorders>
          </w:tcPr>
          <w:p>
            <w:pPr>
              <w:pStyle w:val="Normal6a"/>
            </w:pPr>
            <w:r>
              <w:rPr>
                <w:vertAlign w:val="superscript"/>
              </w:rPr>
              <w:t>53</w:t>
            </w:r>
            <w:r>
              <w:t xml:space="preserve"> </w:t>
            </w:r>
            <w:r>
              <w:t>Doporučení Komise (EU) 2022/758 ze dne 27. dubna 2022 o ochraně novinářů a obránců lidských práv, kteří se podílejí na účasti veřejnosti, před zjevně neopodstatněnými nebo zneužívajícími soudními řízeními („strategické žaloby proti účasti veřejnosti“) (Úř. věst. L 138, 17.5.2022, s. 30, ELI: http://data.europa.eu/eli/reco/2022/758/oj).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vítá ohlášenou aktualizaci doporučení Komise o bezpečnosti novinářů</w:t>
            </w:r>
            <w:r>
              <w:rPr>
                <w:vertAlign w:val="superscript"/>
              </w:rPr>
              <w:t>52</w:t>
            </w:r>
            <w:r>
              <w:t>a nadcházející přezkum doporučení, jež se týká strategických žalob proti účasti veřejnosti</w:t>
            </w:r>
            <w:r>
              <w:rPr>
                <w:vertAlign w:val="superscript"/>
              </w:rPr>
              <w:t>53</w:t>
            </w:r>
            <w:r>
              <w:t>; zdůrazňuje, že tyto aktualizace a přezkumy musí zohledňovat dopad hrozeb, násilí, sabotáže a dalších způsobů maření novinářské práce na ochranu, bezpečnost a postavení novinářů a dalších pracovníků médií v EU;</w:t>
            </w:r>
          </w:p>
        </w:tc>
        <w:tc>
          <w:tcPr>
            <w:tcW w:w="4876" w:type="dxa"/>
            <w:tcBorders>
              <w:top w:val="nil"/>
              <w:left w:val="nil"/>
              <w:bottom w:val="nil"/>
              <w:right w:val="nil"/>
            </w:tcBorders>
          </w:tcPr>
          <w:p>
            <w:pPr>
              <w:pStyle w:val="Normal6a"/>
            </w:pPr>
            <w:r>
              <w:t>31.</w:t>
            </w:r>
            <w:r>
              <w:tab/>
            </w:r>
            <w:r>
              <w:t>vítá ohlášenou aktualizaci doporučení Komise o bezpečnosti novinářů</w:t>
            </w:r>
            <w:r>
              <w:rPr>
                <w:vertAlign w:val="superscript"/>
              </w:rPr>
              <w:t>52</w:t>
            </w:r>
            <w:r>
              <w:t xml:space="preserve"> a nadcházející přezkum doporučení, jež se týká strategických žalob proti účasti veřejnosti</w:t>
            </w:r>
            <w:r>
              <w:rPr>
                <w:vertAlign w:val="superscript"/>
              </w:rPr>
              <w:t>53</w:t>
            </w:r>
            <w:r>
              <w:t xml:space="preserve">; zdůrazňuje, že tyto aktualizace a přezkumy musí zohledňovat dopad hrozeb, násilí, sabotáže a dalších způsobů maření novinářské práce na ochranu, bezpečnost a postavení novinářů a dalších pracovníků médií v EU; </w:t>
            </w:r>
            <w:r>
              <w:rPr>
                <w:b/>
                <w:i/>
              </w:rPr>
              <w:t>vyzývá k rozšíření směrnice proti strategickým žalobám proti účasti veřejnosti, tak aby chránila také zástupce a organizace občanské společnosti, analytická střediska, vydavatele, mediální organizace, oznamovatele, obránce lidských práv a politiky;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52</w:t>
            </w:r>
            <w:r>
              <w:t xml:space="preserve"> </w:t>
            </w:r>
            <w:r>
              <w:t>Doporučení Komise (EU) 2021/1534 ze dne 16. září 2021 o zajištění ochrany, bezpečnosti a posílení postavení novinářů a dalších pracovníků sdělovacích prostředků v Evropské unii (Úř. věst. L 331, 20.9.2021, s. 8, ELI: http://data.europa.eu/eli/reco/2021/1534/oj).</w:t>
            </w:r>
          </w:p>
        </w:tc>
        <w:tc>
          <w:tcPr>
            <w:tcW w:w="4876" w:type="dxa"/>
            <w:tcBorders>
              <w:top w:val="nil"/>
              <w:left w:val="nil"/>
              <w:bottom w:val="nil"/>
              <w:right w:val="nil"/>
            </w:tcBorders>
          </w:tcPr>
          <w:p>
            <w:pPr>
              <w:pStyle w:val="Normal6a"/>
            </w:pPr>
            <w:r>
              <w:rPr>
                <w:vertAlign w:val="superscript"/>
              </w:rPr>
              <w:t>52</w:t>
            </w:r>
            <w:r>
              <w:t xml:space="preserve"> </w:t>
            </w:r>
            <w:r>
              <w:t>Doporučení Komise (EU) 2021/1534 ze dne 16. září 2021 o zajištění ochrany, bezpečnosti a posílení postavení novinářů a dalších pracovníků sdělovacích prostředků v Evropské unii (Úř. věst. L 331, 20.9.2021, s. 8, ELI: http://data.europa.eu/eli/reco/2021/1534/oj).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53</w:t>
            </w:r>
            <w:r>
              <w:t xml:space="preserve"> </w:t>
            </w:r>
            <w:r>
              <w:t>Doporučení Komise (EU) 2022/758 ze dne 27. dubna 2022 o ochraně novinářů a obránců lidských práv, kteří se podílejí na účasti veřejnosti, před zjevně neopodstatněnými nebo zneužívajícími soudními řízeními („strategické žaloby proti účasti veřejnosti“) (Úř. věst. L 138, 17.5.2022, s. 30, ELI: http://data.europa.eu/eli/reco/2022/758/oj).</w:t>
            </w:r>
          </w:p>
        </w:tc>
        <w:tc>
          <w:tcPr>
            <w:tcW w:w="4876" w:type="dxa"/>
            <w:tcBorders>
              <w:top w:val="nil"/>
              <w:left w:val="nil"/>
              <w:bottom w:val="nil"/>
              <w:right w:val="nil"/>
            </w:tcBorders>
          </w:tcPr>
          <w:p>
            <w:pPr>
              <w:pStyle w:val="Normal6a"/>
            </w:pPr>
            <w:r>
              <w:rPr>
                <w:vertAlign w:val="superscript"/>
              </w:rPr>
              <w:t>53</w:t>
            </w:r>
            <w:r>
              <w:t xml:space="preserve"> </w:t>
            </w:r>
            <w:r>
              <w:t>Doporučení Komise (EU) 2022/758 ze dne 27. dubna 2022 o ochraně novinářů a obránců lidských práv, kteří se podílejí na účasti veřejnosti, před zjevně neopodstatněnými nebo zneužívajícími soudními řízeními („strategické žaloby proti účasti veřejnosti“) (Úř. věst. L 138, 17.5.2022, s. 30, ELI: http://data.europa.eu/eli/reco/2022/758/oj).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1134</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vítá ohlášenou aktualizaci doporučení Komise o bezpečnosti novinářů</w:t>
            </w:r>
            <w:r>
              <w:rPr>
                <w:vertAlign w:val="superscript"/>
              </w:rPr>
              <w:t>52</w:t>
            </w:r>
            <w:r>
              <w:t>a nadcházející přezkum doporučení, jež se týká strategických žalob proti účasti veřejnosti</w:t>
            </w:r>
            <w:r>
              <w:rPr>
                <w:vertAlign w:val="superscript"/>
              </w:rPr>
              <w:t>53</w:t>
            </w:r>
            <w:r>
              <w:t>; zdůrazňuje, že tyto aktualizace a přezkumy musí zohledňovat dopad hrozeb, násilí, sabotáže a dalších způsobů maření novinářské práce na ochranu, bezpečnost a postavení novinářů a dalších pracovníků médií v EU;</w:t>
            </w:r>
          </w:p>
        </w:tc>
        <w:tc>
          <w:tcPr>
            <w:tcW w:w="4876" w:type="dxa"/>
            <w:tcBorders>
              <w:top w:val="nil"/>
              <w:left w:val="nil"/>
              <w:bottom w:val="nil"/>
              <w:right w:val="nil"/>
            </w:tcBorders>
          </w:tcPr>
          <w:p>
            <w:pPr>
              <w:pStyle w:val="Normal6a"/>
            </w:pPr>
            <w:r>
              <w:t>31.</w:t>
            </w:r>
            <w:r>
              <w:tab/>
            </w:r>
            <w:r>
              <w:t>vítá ohlášenou aktualizaci doporučení Komise o bezpečnosti novinářů</w:t>
            </w:r>
            <w:r>
              <w:rPr>
                <w:vertAlign w:val="superscript"/>
              </w:rPr>
              <w:t>52</w:t>
            </w:r>
            <w:r>
              <w:t xml:space="preserve"> a nadcházející přezkum doporučení, jež se týká strategických žalob proti účasti veřejnosti</w:t>
            </w:r>
            <w:r>
              <w:rPr>
                <w:vertAlign w:val="superscript"/>
              </w:rPr>
              <w:t>53</w:t>
            </w:r>
            <w:r>
              <w:t xml:space="preserve">; zdůrazňuje, že tyto aktualizace a přezkumy musí zohledňovat dopad hrozeb, násilí, sabotáže a dalších způsobů maření novinářské práce na ochranu, bezpečnost a postavení novinářů a dalších pracovníků médií v EU; </w:t>
            </w:r>
            <w:r>
              <w:rPr>
                <w:b/>
                <w:i/>
              </w:rPr>
              <w:t>vyzývá k zavedení zvláštních přitěžujících okolností do trestního práva u trestných činů spáchaných proti novinářům, pokud jsou tyto činy motivovány jejich profesní činností nebo s ní souvisejí;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52</w:t>
            </w:r>
            <w:r>
              <w:t xml:space="preserve"> </w:t>
            </w:r>
            <w:r>
              <w:t>Doporučení Komise (EU) 2021/1534 ze dne 16. září 2021 o zajištění ochrany, bezpečnosti a posílení postavení novinářů a dalších pracovníků sdělovacích prostředků v Evropské unii (Úř. věst. L 331, 20.9.2021, s. 8, ELI: http://data.europa.eu/eli/reco/2021/1534/oj).</w:t>
            </w:r>
          </w:p>
        </w:tc>
        <w:tc>
          <w:tcPr>
            <w:tcW w:w="4876" w:type="dxa"/>
            <w:tcBorders>
              <w:top w:val="nil"/>
              <w:left w:val="nil"/>
              <w:bottom w:val="nil"/>
              <w:right w:val="nil"/>
            </w:tcBorders>
          </w:tcPr>
          <w:p>
            <w:pPr>
              <w:pStyle w:val="Normal6a"/>
            </w:pPr>
            <w:r>
              <w:rPr>
                <w:vertAlign w:val="superscript"/>
              </w:rPr>
              <w:t>52</w:t>
            </w:r>
            <w:r>
              <w:t xml:space="preserve"> </w:t>
            </w:r>
            <w:r>
              <w:t>Doporučení Komise (EU) 2021/1534 ze dne 16. září 2021 o zajištění ochrany, bezpečnosti a posílení postavení novinářů a dalších pracovníků sdělovacích prostředků v Evropské unii (Úř. věst. L 331, 20.9.2021, s. 8, ELI: http://data.europa.eu/eli/reco/2021/1534/oj).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53</w:t>
            </w:r>
            <w:r>
              <w:t xml:space="preserve"> </w:t>
            </w:r>
            <w:r>
              <w:t>Doporučení Komise (EU) 2022/758 ze dne 27. dubna 2022 o ochraně novinářů a obránců lidských práv, kteří se podílejí na účasti veřejnosti, před zjevně neopodstatněnými nebo zneužívajícími soudními řízeními („strategické žaloby proti účasti veřejnosti“) (Úř. věst. L 138, 17.5.2022, s. 30, ELI: http://data.europa.eu/eli/reco/2022/758/oj).</w:t>
            </w:r>
          </w:p>
        </w:tc>
        <w:tc>
          <w:tcPr>
            <w:tcW w:w="4876" w:type="dxa"/>
            <w:tcBorders>
              <w:top w:val="nil"/>
              <w:left w:val="nil"/>
              <w:bottom w:val="nil"/>
              <w:right w:val="nil"/>
            </w:tcBorders>
          </w:tcPr>
          <w:p>
            <w:pPr>
              <w:pStyle w:val="Normal6a"/>
            </w:pPr>
            <w:r>
              <w:rPr>
                <w:vertAlign w:val="superscript"/>
              </w:rPr>
              <w:t>53</w:t>
            </w:r>
            <w:r>
              <w:t xml:space="preserve"> </w:t>
            </w:r>
            <w:r>
              <w:t>Doporučení Komise (EU) 2022/758 ze dne 27. dubna 2022 o ochraně novinářů a obránců lidských práv, kteří se podílejí na účasti veřejnosti, před zjevně neopodstatněnými nebo zneužívajícími soudními řízeními („strategické žaloby proti účasti veřejnosti“) (Úř. věst. L 138, 17.5.2022, s. 30, ELI: http://data.europa.eu/eli/reco/2022/758/oj).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1135</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vítá ohlášenou aktualizaci doporučení Komise o bezpečnosti novinářů</w:t>
            </w:r>
            <w:r>
              <w:rPr>
                <w:vertAlign w:val="superscript"/>
              </w:rPr>
              <w:t>52</w:t>
            </w:r>
            <w:r>
              <w:t>a nadcházející přezkum doporučení, jež se týká strategických žalob proti účasti veřejnosti</w:t>
            </w:r>
            <w:r>
              <w:rPr>
                <w:vertAlign w:val="superscript"/>
              </w:rPr>
              <w:t>53</w:t>
            </w:r>
            <w:r>
              <w:t>; zdůrazňuje, že tyto aktualizace a přezkumy musí zohledňovat dopad hrozeb, násilí, sabotáže a dalších způsobů maření novinářské práce na ochranu, bezpečnost a postavení novinářů a dalších pracovníků médií v EU;</w:t>
            </w:r>
          </w:p>
        </w:tc>
        <w:tc>
          <w:tcPr>
            <w:tcW w:w="4876" w:type="dxa"/>
            <w:tcBorders>
              <w:top w:val="nil"/>
              <w:left w:val="nil"/>
              <w:bottom w:val="nil"/>
              <w:right w:val="nil"/>
            </w:tcBorders>
          </w:tcPr>
          <w:p>
            <w:pPr>
              <w:pStyle w:val="Normal6a"/>
            </w:pPr>
            <w:r>
              <w:t>31.</w:t>
            </w:r>
            <w:r>
              <w:tab/>
            </w:r>
            <w:r>
              <w:t>vítá ohlášenou aktualizaci doporučení Komise o bezpečnosti novinářů</w:t>
            </w:r>
            <w:r>
              <w:rPr>
                <w:vertAlign w:val="superscript"/>
              </w:rPr>
              <w:t>52</w:t>
            </w:r>
            <w:r>
              <w:t xml:space="preserve"> a nadcházející přezkum doporučení, jež se týká strategických žalob proti účasti veřejnosti</w:t>
            </w:r>
            <w:r>
              <w:rPr>
                <w:vertAlign w:val="superscript"/>
              </w:rPr>
              <w:t>53</w:t>
            </w:r>
            <w:r>
              <w:t xml:space="preserve">; zdůrazňuje, že tyto aktualizace a přezkumy musí zohledňovat dopad hrozeb, násilí, sabotáže a dalších způsobů maření novinářské práce </w:t>
            </w:r>
            <w:r>
              <w:rPr>
                <w:b/>
                <w:i/>
              </w:rPr>
              <w:t>a legitimní uplatňování základního práva na svobodu projevu a informací</w:t>
            </w:r>
            <w:r>
              <w:t xml:space="preserve"> na ochranu, bezpečnost a postavení novinářů a dalších pracovníků médií v EU</w:t>
            </w:r>
            <w:r>
              <w:rPr>
                <w:b/>
                <w:i/>
              </w:rPr>
              <w:t>, ale také na obránce lidských práv a další osoby, které se veřejně angažují</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52</w:t>
            </w:r>
            <w:r>
              <w:t xml:space="preserve"> </w:t>
            </w:r>
            <w:r>
              <w:t>Doporučení Komise (EU) 2021/1534 ze dne 16. září 2021 o zajištění ochrany, bezpečnosti a posílení postavení novinářů a dalších pracovníků sdělovacích prostředků v Evropské unii (Úř. věst. L 331, 20.9.2021, s. 8, ELI: http://data.europa.eu/eli/reco/2021/1534/oj).</w:t>
            </w:r>
          </w:p>
        </w:tc>
        <w:tc>
          <w:tcPr>
            <w:tcW w:w="4876" w:type="dxa"/>
            <w:tcBorders>
              <w:top w:val="nil"/>
              <w:left w:val="nil"/>
              <w:bottom w:val="nil"/>
              <w:right w:val="nil"/>
            </w:tcBorders>
          </w:tcPr>
          <w:p>
            <w:pPr>
              <w:pStyle w:val="Normal6a"/>
            </w:pPr>
            <w:r>
              <w:rPr>
                <w:vertAlign w:val="superscript"/>
              </w:rPr>
              <w:t>52</w:t>
            </w:r>
            <w:r>
              <w:t xml:space="preserve"> </w:t>
            </w:r>
            <w:r>
              <w:t>Doporučení Komise (EU) 2021/1534 ze dne 16. září 2021 o zajištění ochrany, bezpečnosti a posílení postavení novinářů a dalších pracovníků sdělovacích prostředků v Evropské unii (Úř. věst. L 331, 20.9.2021, s. 8, ELI: http://data.europa.eu/eli/reco/2021/1534/oj).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53</w:t>
            </w:r>
            <w:r>
              <w:t xml:space="preserve"> </w:t>
            </w:r>
            <w:r>
              <w:t>Doporučení Komise (EU) 2022/758 ze dne 27. dubna 2022 o ochraně novinářů a obránců lidských práv, kteří se podílejí na účasti veřejnosti, před zjevně neopodstatněnými nebo zneužívajícími soudními řízeními („strategické žaloby proti účasti veřejnosti“) (Úř. věst. L 138, 17.5.2022, s. 30, ELI: http://data.europa.eu/eli/reco/2022/758/oj).</w:t>
            </w:r>
          </w:p>
        </w:tc>
        <w:tc>
          <w:tcPr>
            <w:tcW w:w="4876" w:type="dxa"/>
            <w:tcBorders>
              <w:top w:val="nil"/>
              <w:left w:val="nil"/>
              <w:bottom w:val="nil"/>
              <w:right w:val="nil"/>
            </w:tcBorders>
          </w:tcPr>
          <w:p>
            <w:pPr>
              <w:pStyle w:val="Normal6a"/>
            </w:pPr>
            <w:r>
              <w:rPr>
                <w:vertAlign w:val="superscript"/>
              </w:rPr>
              <w:t>53</w:t>
            </w:r>
            <w:r>
              <w:t xml:space="preserve"> </w:t>
            </w:r>
            <w:r>
              <w:t>Doporučení Komise (EU) 2022/758 ze dne 27. dubna 2022 o ochraně novinářů a obránců lidských práv, kteří se podílejí na účasti veřejnosti, před zjevně neopodstatněnými nebo zneužívajícími soudními řízeními („strategické žaloby proti účasti veřejnosti“) (Úř. věst. L 138, 17.5.2022, s. 30, ELI: http://data.europa.eu/eli/reco/2022/758/oj).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1136</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vítá ohlášenou aktualizaci doporučení Komise o bezpečnosti novinářů</w:t>
            </w:r>
            <w:r>
              <w:rPr>
                <w:vertAlign w:val="superscript"/>
              </w:rPr>
              <w:t>52</w:t>
            </w:r>
            <w:r>
              <w:t>a nadcházející přezkum doporučení, jež se týká strategických žalob proti účasti veřejnosti</w:t>
            </w:r>
            <w:r>
              <w:rPr>
                <w:vertAlign w:val="superscript"/>
              </w:rPr>
              <w:t>53</w:t>
            </w:r>
            <w:r>
              <w:t>; zdůrazňuje, že tyto aktualizace a přezkumy musí zohledňovat dopad hrozeb, násilí, sabotáže a dalších způsobů maření novinářské práce na ochranu, bezpečnost a postavení novinářů a dalších pracovníků médií v EU;</w:t>
            </w:r>
          </w:p>
        </w:tc>
        <w:tc>
          <w:tcPr>
            <w:tcW w:w="4876" w:type="dxa"/>
            <w:tcBorders>
              <w:top w:val="nil"/>
              <w:left w:val="nil"/>
              <w:bottom w:val="nil"/>
              <w:right w:val="nil"/>
            </w:tcBorders>
          </w:tcPr>
          <w:p>
            <w:pPr>
              <w:pStyle w:val="Normal6a"/>
            </w:pPr>
            <w:r>
              <w:t>31.</w:t>
            </w:r>
            <w:r>
              <w:tab/>
            </w:r>
            <w:r>
              <w:t>vítá ohlášenou aktualizaci doporučení Komise o bezpečnosti novinářů</w:t>
            </w:r>
            <w:r>
              <w:rPr>
                <w:vertAlign w:val="superscript"/>
              </w:rPr>
              <w:t>52</w:t>
            </w:r>
            <w:r>
              <w:t xml:space="preserve"> a nadcházející přezkum doporučení, jež se týká strategických žalob proti účasti veřejnosti</w:t>
            </w:r>
            <w:r>
              <w:rPr>
                <w:vertAlign w:val="superscript"/>
              </w:rPr>
              <w:t>53</w:t>
            </w:r>
            <w:r>
              <w:t xml:space="preserve">; zdůrazňuje, že tyto aktualizace a přezkumy musí zohledňovat dopad hrozeb, násilí, sabotáže a dalších způsobů maření novinářské práce na ochranu, bezpečnost a postavení novinářů a dalších pracovníků médií v EU; </w:t>
            </w:r>
            <w:r>
              <w:rPr>
                <w:b/>
                <w:i/>
              </w:rPr>
              <w:t>vyzývá k vytvoření specializovaného mechanismu právní a odborné podpory na ochranu novinářů před vydáváním se za jinou osobu na základě umělé inteligence a koordinovanými deep fake kampaněmi;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52</w:t>
            </w:r>
            <w:r>
              <w:t xml:space="preserve"> </w:t>
            </w:r>
            <w:r>
              <w:t>Doporučení Komise (EU) 2021/1534 ze dne 16. září 2021 o zajištění ochrany, bezpečnosti a posílení postavení novinářů a dalších pracovníků sdělovacích prostředků v Evropské unii (Úř. věst. L 331, 20.9.2021, s. 8, ELI: http://data.europa.eu/eli/reco/2021/1534/oj).</w:t>
            </w:r>
          </w:p>
        </w:tc>
        <w:tc>
          <w:tcPr>
            <w:tcW w:w="4876" w:type="dxa"/>
            <w:tcBorders>
              <w:top w:val="nil"/>
              <w:left w:val="nil"/>
              <w:bottom w:val="nil"/>
              <w:right w:val="nil"/>
            </w:tcBorders>
          </w:tcPr>
          <w:p>
            <w:pPr>
              <w:pStyle w:val="Normal6a"/>
            </w:pPr>
            <w:r>
              <w:rPr>
                <w:vertAlign w:val="superscript"/>
              </w:rPr>
              <w:t>52</w:t>
            </w:r>
            <w:r>
              <w:t xml:space="preserve"> </w:t>
            </w:r>
            <w:r>
              <w:t>Doporučení Komise (EU) 2021/1534 ze dne 16. září 2021 o zajištění ochrany, bezpečnosti a posílení postavení novinářů a dalších pracovníků sdělovacích prostředků v Evropské unii (Úř. věst. L 331, 20.9.2021, s. 8, ELI: http://data.europa.eu/eli/reco/2021/1534/oj).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53</w:t>
            </w:r>
            <w:r>
              <w:t xml:space="preserve"> </w:t>
            </w:r>
            <w:r>
              <w:t>Doporučení Komise (EU) 2022/758 ze dne 27. dubna 2022 o ochraně novinářů a obránců lidských práv, kteří se podílejí na účasti veřejnosti, před zjevně neopodstatněnými nebo zneužívajícími soudními řízeními („strategické žaloby proti účasti veřejnosti“) (Úř. věst. L 138, 17.5.2022, s. 30, ELI: http://data.europa.eu/eli/reco/2022/758/oj).</w:t>
            </w:r>
          </w:p>
        </w:tc>
        <w:tc>
          <w:tcPr>
            <w:tcW w:w="4876" w:type="dxa"/>
            <w:tcBorders>
              <w:top w:val="nil"/>
              <w:left w:val="nil"/>
              <w:bottom w:val="nil"/>
              <w:right w:val="nil"/>
            </w:tcBorders>
          </w:tcPr>
          <w:p>
            <w:pPr>
              <w:pStyle w:val="Normal6a"/>
            </w:pPr>
            <w:r>
              <w:rPr>
                <w:vertAlign w:val="superscript"/>
              </w:rPr>
              <w:t>53</w:t>
            </w:r>
            <w:r>
              <w:t xml:space="preserve"> </w:t>
            </w:r>
            <w:r>
              <w:t>Doporučení Komise (EU) 2022/758 ze dne 27. dubna 2022 o ochraně novinářů a obránců lidských práv, kteří se podílejí na účasti veřejnosti, před zjevně neopodstatněnými nebo zneužívajícími soudními řízeními („strategické žaloby proti účasti veřejnosti“) (Úř. věst. L 138, 17.5.2022, s. 30, ELI: http://data.europa.eu/eli/reco/2022/758/oj).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1137</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zdůrazňuje, že je důležité chránit novináře před zneužívajícími soudními řízeními; vítá v tomto ohledu přijetí směrnice proti strategickým soudním řízením proti účasti veřejnosti</w:t>
            </w:r>
            <w:r>
              <w:rPr>
                <w:vertAlign w:val="superscript"/>
              </w:rPr>
              <w:t>54</w:t>
            </w:r>
            <w:r>
              <w:t>a ohlášenou aktualizaci mandátu a složení skupiny odborníků proti zneužívajícím soudním řízením proti účasti veřejnosti; vyzývá členské státy, aby byly v probíhajícím procesu provádění ambiciózní, a Komisi, aby i nadále poskytovala podporu; žádá Komisi, aby vypracovala komplexní hodnotící zprávu o účinnosti provádění;</w:t>
            </w:r>
          </w:p>
        </w:tc>
        <w:tc>
          <w:tcPr>
            <w:tcW w:w="4876" w:type="dxa"/>
            <w:tcBorders>
              <w:top w:val="nil"/>
              <w:left w:val="nil"/>
              <w:bottom w:val="nil"/>
              <w:right w:val="nil"/>
            </w:tcBorders>
          </w:tcPr>
          <w:p>
            <w:pPr>
              <w:pStyle w:val="Normal6a"/>
            </w:pPr>
            <w:r>
              <w:t>32.</w:t>
            </w:r>
            <w:r>
              <w:tab/>
            </w:r>
            <w:r>
              <w:t>zdůrazňuje, že je důležité chránit novináře před zneužívajícími soudními řízeními; vítá v tomto ohledu přijetí směrnice proti strategickým soudním řízením proti účasti veřejnosti</w:t>
            </w:r>
            <w:r>
              <w:rPr>
                <w:vertAlign w:val="superscript"/>
              </w:rPr>
              <w:t>54</w:t>
            </w:r>
            <w:r>
              <w:t xml:space="preserve"> a ohlášenou aktualizaci mandátu a složení skupiny odborníků proti zneužívajícím soudním řízením proti účasti veřejnosti; vyzývá členské státy, aby byly v probíhajícím procesu provádění ambiciózní, a Komisi, aby i nadále poskytovala podporu; žádá Komisi, aby vypracovala komplexní hodnotící zprávu o účinnosti provádění; </w:t>
            </w:r>
            <w:r>
              <w:rPr>
                <w:b/>
                <w:i/>
              </w:rPr>
              <w:t>vyzývá k zajištění neomezeného a účinného uplatňování nejen uvedené směrnice, ale také doporučení Komise z roku 2022 o ochraně novinářů a obránců lidských práv před zjevně neopodstatněnými nebo zneužívajícími soudními řízeními, a to i v čistě vnitrostátních případech, a případně prostřednictvím nezbytných úprav trestního a správního práva;</w:t>
            </w:r>
            <w:r>
              <w:t xml:space="preserve"> </w:t>
            </w:r>
            <w:r>
              <w:rPr>
                <w:b/>
                <w:i/>
              </w:rPr>
              <w:t>poukazuje na význam opatření týkajících se odborné přípravy, zvyšování povědomí o dané problematice, podpůrných mechanismů a systematického monitorování;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54</w:t>
            </w:r>
            <w:r>
              <w:t xml:space="preserve"> </w:t>
            </w:r>
            <w:r>
              <w:t>Směrnice Evropského parlamentu a Rady (EU) 2024/1069 ze dne 11. dubna 2024 o ochraně osob zapojených do účasti veřejnosti před zjevně neopodstatněnými žalobními návrhy nebo zneužívajícími soudními řízeními („strategická soudní řízení proti účasti veřejnosti“) (Úř. věst. L, 2024/1069, 16.4.2024, ELI: http://data.europa.</w:t>
            </w:r>
            <w:r>
              <w:rPr>
                <w:b/>
                <w:i/>
              </w:rPr>
              <w:t>eu/eli/dir/2024/1069/oj)</w:t>
            </w:r>
            <w:r>
              <w:t>.</w:t>
            </w:r>
          </w:p>
        </w:tc>
        <w:tc>
          <w:tcPr>
            <w:tcW w:w="4876" w:type="dxa"/>
            <w:tcBorders>
              <w:top w:val="nil"/>
              <w:left w:val="nil"/>
              <w:bottom w:val="nil"/>
              <w:right w:val="nil"/>
            </w:tcBorders>
          </w:tcPr>
          <w:p>
            <w:pPr>
              <w:pStyle w:val="Normal6a"/>
            </w:pPr>
            <w:r>
              <w:rPr>
                <w:vertAlign w:val="superscript"/>
              </w:rPr>
              <w:t>54</w:t>
            </w:r>
            <w:r>
              <w:t xml:space="preserve"> </w:t>
            </w:r>
            <w:r>
              <w:t>Směrnice Evropského parlamentu a Rady (EU) 2024/1069 ze dne 11. dubna 2024 o ochraně osob zapojených do účasti veřejnosti před zjevně neopodstatněnými žalobními návrhy nebo zneužívajícími soudními řízeními („strategická soudní řízení proti účasti veřejnosti“) (Úř. věst. L, 2024/1069, 16.4.2024, ELI: http://data.europa.</w:t>
            </w:r>
            <w:r>
              <w:rPr>
                <w:b/>
                <w:i/>
              </w:rPr>
              <w:t>eu/eli/dir/2024/ 1069/oj)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1138</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zdůrazňuje, že je důležité chránit novináře před zneužívajícími soudními řízeními; vítá v tomto ohledu přijetí směrnice proti strategickým soudním řízením proti účasti veřejnosti</w:t>
            </w:r>
            <w:r>
              <w:rPr>
                <w:vertAlign w:val="superscript"/>
              </w:rPr>
              <w:t>54</w:t>
            </w:r>
            <w:r>
              <w:t>a ohlášenou aktualizaci mandátu a složení skupiny odborníků proti zneužívajícím soudním řízením proti účasti veřejnosti; vyzývá členské státy, aby byly v probíhajícím procesu provádění ambiciózní, a Komisi, aby i nadále poskytovala podporu; žádá Komisi, aby vypracovala komplexní hodnotící zprávu o účinnosti provádění;</w:t>
            </w:r>
          </w:p>
        </w:tc>
        <w:tc>
          <w:tcPr>
            <w:tcW w:w="4876" w:type="dxa"/>
            <w:tcBorders>
              <w:top w:val="nil"/>
              <w:left w:val="nil"/>
              <w:bottom w:val="nil"/>
              <w:right w:val="nil"/>
            </w:tcBorders>
          </w:tcPr>
          <w:p>
            <w:pPr>
              <w:pStyle w:val="Normal6a"/>
            </w:pPr>
            <w:r>
              <w:t>32.</w:t>
            </w:r>
            <w:r>
              <w:tab/>
            </w:r>
            <w:r>
              <w:t xml:space="preserve">zdůrazňuje, že je důležité chránit novináře před zneužívajícími soudními řízeními </w:t>
            </w:r>
            <w:r>
              <w:rPr>
                <w:b/>
                <w:i/>
              </w:rPr>
              <w:t>a nezákonným používáním technologií špionážního softwaru s cílem sledovat novináře a mediální aktéry;</w:t>
            </w:r>
            <w:r>
              <w:t xml:space="preserve"> </w:t>
            </w:r>
            <w:r>
              <w:rPr>
                <w:b/>
                <w:i/>
              </w:rPr>
              <w:t>připomíná, že v Evropském aktu o svobodě sdělovacích prostředků je přísně zakázána jakákoli nezákonná forma sledování nebo špionáže novinářů a mediálních aktérů;</w:t>
            </w:r>
            <w:r>
              <w:t xml:space="preserve"> </w:t>
            </w:r>
            <w:r>
              <w:rPr>
                <w:b/>
                <w:i/>
              </w:rPr>
              <w:t>zdůrazňuje, že špionáž novináře představuje omezení i podle článků 7, 8 a 11 Listiny základních práv Evropské unie</w:t>
            </w:r>
            <w:r>
              <w:t>; vítá v tomto ohledu přijetí směrnice proti strategickým soudním řízením proti účasti veřejnosti</w:t>
            </w:r>
            <w:r>
              <w:rPr>
                <w:vertAlign w:val="superscript"/>
              </w:rPr>
              <w:t>54</w:t>
            </w:r>
            <w:r>
              <w:rPr>
                <w:b/>
                <w:i/>
              </w:rPr>
              <w:t> </w:t>
            </w:r>
            <w:r>
              <w:t>a ohlášenou aktualizaci mandátu a složení skupiny odborníků proti zneužívajícím soudním řízením proti účasti veřejnosti; vyzývá členské státy, aby byly v probíhajícím procesu provádění ambiciózní, a Komisi, aby i nadále poskytovala podporu; žádá Komisi, aby vypracovala komplexní hodnotící zprávu o účinnosti provádění;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54</w:t>
            </w:r>
            <w:r>
              <w:t xml:space="preserve"> </w:t>
            </w:r>
            <w:r>
              <w:t>Směrnice Evropského parlamentu a Rady (EU) 2024/1069 ze dne 11. dubna 2024 o ochraně osob zapojených do účasti veřejnosti před zjevně neopodstatněnými žalobními návrhy nebo zneužívajícími soudními řízeními („strategická soudní řízení proti účasti veřejnosti“) (Úř. věst. L, 2024/1069, 16.4.2024, ELI: http://data.europa.</w:t>
            </w:r>
            <w:r>
              <w:rPr>
                <w:b/>
                <w:i/>
              </w:rPr>
              <w:t>eu/eli/dir/2024/1069/oj)</w:t>
            </w:r>
            <w:r>
              <w:t>.</w:t>
            </w:r>
          </w:p>
        </w:tc>
        <w:tc>
          <w:tcPr>
            <w:tcW w:w="4876" w:type="dxa"/>
            <w:tcBorders>
              <w:top w:val="nil"/>
              <w:left w:val="nil"/>
              <w:bottom w:val="nil"/>
              <w:right w:val="nil"/>
            </w:tcBorders>
          </w:tcPr>
          <w:p>
            <w:pPr>
              <w:pStyle w:val="Normal6a"/>
            </w:pPr>
            <w:r>
              <w:rPr>
                <w:vertAlign w:val="superscript"/>
              </w:rPr>
              <w:t>54</w:t>
            </w:r>
            <w:r>
              <w:t xml:space="preserve"> </w:t>
            </w:r>
            <w:r>
              <w:t>Směrnice Evropského parlamentu a Rady (EU) 2024/1069 ze dne 11. dubna 2024 o ochraně osob zapojených do účasti veřejnosti před zjevně neopodstatněnými žalobními návrhy nebo zneužívajícími soudními řízeními („strategická soudní řízení proti účasti veřejnosti“) (Úř. věst. L, 2024/1069, 16.4.2024, ELI: http://data.europa.</w:t>
            </w:r>
            <w:r>
              <w:rPr>
                <w:b/>
                <w:i/>
              </w:rPr>
              <w:t>eu/eli/dir/2024/ 1069/oj)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zdůrazňuje, že je důležité chránit novináře před zneužívajícími soudními řízeními; vítá v tomto ohledu přijetí směrnice proti strategickým soudním řízením proti účasti veřejnosti</w:t>
            </w:r>
            <w:r>
              <w:rPr>
                <w:vertAlign w:val="superscript"/>
              </w:rPr>
              <w:t>54</w:t>
            </w:r>
            <w:r>
              <w:t xml:space="preserve">a ohlášenou aktualizaci mandátu a složení skupiny odborníků proti zneužívajícím soudním řízením proti účasti veřejnosti; vyzývá členské státy, aby byly v probíhajícím procesu provádění ambiciózní, a Komisi, aby i nadále poskytovala podporu; žádá Komisi, aby vypracovala komplexní hodnotící zprávu o účinnosti </w:t>
            </w:r>
            <w:r>
              <w:rPr>
                <w:b/>
                <w:i/>
              </w:rPr>
              <w:t>provádění</w:t>
            </w:r>
            <w:r>
              <w:t>;</w:t>
            </w:r>
          </w:p>
        </w:tc>
        <w:tc>
          <w:tcPr>
            <w:tcW w:w="4876" w:type="dxa"/>
            <w:tcBorders>
              <w:top w:val="nil"/>
              <w:left w:val="nil"/>
              <w:bottom w:val="nil"/>
              <w:right w:val="nil"/>
            </w:tcBorders>
          </w:tcPr>
          <w:p>
            <w:pPr>
              <w:pStyle w:val="Normal6a"/>
            </w:pPr>
            <w:r>
              <w:t>32.</w:t>
            </w:r>
            <w:r>
              <w:tab/>
            </w:r>
            <w:r>
              <w:t>zdůrazňuje, že je důležité chránit novináře před zneužívajícími soudními řízeními; vítá v tomto ohledu přijetí směrnice proti strategickým soudním řízením proti účasti veřejnosti</w:t>
            </w:r>
            <w:r>
              <w:rPr>
                <w:vertAlign w:val="superscript"/>
              </w:rPr>
              <w:t>54</w:t>
            </w:r>
            <w:r>
              <w:rPr>
                <w:b/>
                <w:i/>
              </w:rPr>
              <w:t> </w:t>
            </w:r>
            <w:r>
              <w:t xml:space="preserve">a ohlášenou aktualizaci mandátu a složení skupiny odborníků proti zneužívajícím soudním řízením proti účasti veřejnosti; vyzývá členské státy, aby byly v probíhajícím procesu provádění ambiciózní, a Komisi, aby i nadále poskytovala podporu; žádá Komisi, aby vypracovala komplexní hodnotící zprávu o účinnosti </w:t>
            </w:r>
            <w:r>
              <w:rPr>
                <w:b/>
                <w:i/>
              </w:rPr>
              <w:t>jejího uplatňování, která by obsahovala posouzení rozsahu žalob podaných vládou v Polsku a právníky napojenými na polské orgány proti nezávislým sdělovacím prostředkům a novinářům</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54</w:t>
            </w:r>
            <w:r>
              <w:t xml:space="preserve"> </w:t>
            </w:r>
            <w:r>
              <w:t>Směrnice Evropského parlamentu a Rady (EU) 2024/1069 ze dne 11. dubna 2024 o ochraně osob zapojených do účasti veřejnosti před zjevně neopodstatněnými žalobními návrhy nebo zneužívajícími soudními řízeními („strategická soudní řízení proti účasti veřejnosti“) (Úř. věst. L, 2024/1069, 16.4.2024, ELI: http://data.europa.</w:t>
            </w:r>
            <w:r>
              <w:rPr>
                <w:b/>
                <w:i/>
              </w:rPr>
              <w:t>eu/eli/dir/2024/1069/oj)</w:t>
            </w:r>
            <w:r>
              <w:t>.</w:t>
            </w:r>
          </w:p>
        </w:tc>
        <w:tc>
          <w:tcPr>
            <w:tcW w:w="4876" w:type="dxa"/>
            <w:tcBorders>
              <w:top w:val="nil"/>
              <w:left w:val="nil"/>
              <w:bottom w:val="nil"/>
              <w:right w:val="nil"/>
            </w:tcBorders>
          </w:tcPr>
          <w:p>
            <w:pPr>
              <w:pStyle w:val="Normal6a"/>
            </w:pPr>
            <w:r>
              <w:rPr>
                <w:vertAlign w:val="superscript"/>
              </w:rPr>
              <w:t>54</w:t>
            </w:r>
            <w:r>
              <w:t xml:space="preserve"> </w:t>
            </w:r>
            <w:r>
              <w:t>Směrnice Evropského parlamentu a Rady (EU) 2024/1069 ze dne 11. dubna 2024 o ochraně osob zapojených do účasti veřejnosti před zjevně neopodstatněnými žalobními návrhy nebo zneužívajícími soudními řízeními („strategická soudní řízení proti účasti veřejnosti“) (Úř. věst. L, 2024/1069, 16.4.2024, ELI: http://data.europa.</w:t>
            </w:r>
            <w:r>
              <w:rPr>
                <w:b/>
                <w:i/>
              </w:rPr>
              <w:t>eu/eli/dir/2024/ 1069/oj)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zdůrazňuje, že je důležité chránit novináře před zneužívajícími soudními řízeními; vítá v tomto ohledu přijetí směrnice proti strategickým soudním řízením proti účasti veřejnosti</w:t>
            </w:r>
            <w:r>
              <w:rPr>
                <w:b/>
                <w:i/>
                <w:vertAlign w:val="superscript"/>
              </w:rPr>
              <w:t>54</w:t>
            </w:r>
            <w:r>
              <w:rPr>
                <w:b/>
                <w:i/>
              </w:rPr>
              <w:t>a</w:t>
            </w:r>
            <w:r>
              <w:t xml:space="preserve"> ohlášenou aktualizaci mandátu a složení skupiny odborníků proti zneužívajícím soudním řízením proti účasti veřejnosti; vyzývá členské státy, aby byly v probíhajícím procesu provádění ambiciózní, a Komisi, aby i nadále poskytovala podporu; žádá Komisi, aby vypracovala komplexní hodnotící zprávu o účinnosti provádění;</w:t>
            </w:r>
          </w:p>
        </w:tc>
        <w:tc>
          <w:tcPr>
            <w:tcW w:w="4876" w:type="dxa"/>
            <w:tcBorders>
              <w:top w:val="nil"/>
              <w:left w:val="nil"/>
              <w:bottom w:val="nil"/>
              <w:right w:val="nil"/>
            </w:tcBorders>
          </w:tcPr>
          <w:p>
            <w:pPr>
              <w:pStyle w:val="Normal6a"/>
            </w:pPr>
            <w:r>
              <w:t>32.</w:t>
            </w:r>
            <w:r>
              <w:tab/>
            </w:r>
            <w:r>
              <w:t xml:space="preserve">zdůrazňuje, že je důležité chránit novináře </w:t>
            </w:r>
            <w:r>
              <w:rPr>
                <w:b/>
                <w:i/>
              </w:rPr>
              <w:t>a občanskou společnost</w:t>
            </w:r>
            <w:r>
              <w:t xml:space="preserve"> před zneužívajícími soudními řízeními; vítá v tomto ohledu přijetí směrnice proti strategickým soudním řízením proti účasti veřejnosti 54 ohlášenou aktualizaci mandátu a složení skupiny odborníků proti zneužívajícím soudním řízením proti účasti veřejnosti; vyzývá členské státy, aby byly v probíhajícím procesu provádění ambiciózní, a Komisi, aby i nadále poskytovala podporu </w:t>
            </w:r>
            <w:r>
              <w:rPr>
                <w:b/>
                <w:i/>
              </w:rPr>
              <w:t>a přednostně zajistila úplné a včasné uplatňování směrnice</w:t>
            </w:r>
            <w:r>
              <w:t>; žádá Komisi, aby vypracovala komplexní hodnotící zprávu o účinnosti provádění;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54</w:t>
            </w:r>
            <w:r>
              <w:t xml:space="preserve"> </w:t>
            </w:r>
            <w:r>
              <w:rPr>
                <w:b/>
                <w:i/>
              </w:rPr>
              <w:t>Směrnice Evropského parlamentu a Rady (EU) 2024/1069 ze dne 11. dubna 2024 o ochraně osob zapojených do účasti veřejnosti před zjevně neopodstatněnými žalobními návrhy nebo zneužívajícími soudními řízeními („strategická soudní řízení proti účasti veřejnosti“) (Úř. věst. L, 2024/1069, 16.4.2024, ELI: http://data.europa.eu/eli/dir/2024/1069/oj).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1141</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zdůrazňuje, že je důležité chránit novináře před zneužívajícími soudními řízeními; vítá v tomto ohledu přijetí směrnice proti strategickým soudním řízením proti účasti veřejnosti</w:t>
            </w:r>
            <w:r>
              <w:rPr>
                <w:vertAlign w:val="superscript"/>
              </w:rPr>
              <w:t>54</w:t>
            </w:r>
            <w:r>
              <w:t>a ohlášenou aktualizaci mandátu a složení skupiny odborníků proti zneužívajícím soudním řízením proti účasti veřejnosti; vyzývá členské státy, aby byly v probíhajícím procesu provádění ambiciózní, a Komisi, aby i nadále poskytovala podporu; žádá Komisi, aby vypracovala komplexní hodnotící zprávu o účinnosti provádění;</w:t>
            </w:r>
          </w:p>
        </w:tc>
        <w:tc>
          <w:tcPr>
            <w:tcW w:w="4876" w:type="dxa"/>
            <w:tcBorders>
              <w:top w:val="nil"/>
              <w:left w:val="nil"/>
              <w:bottom w:val="nil"/>
              <w:right w:val="nil"/>
            </w:tcBorders>
          </w:tcPr>
          <w:p>
            <w:pPr>
              <w:pStyle w:val="Normal6a"/>
            </w:pPr>
            <w:r>
              <w:t>32.</w:t>
            </w:r>
            <w:r>
              <w:tab/>
            </w:r>
            <w:r>
              <w:t xml:space="preserve">zdůrazňuje, že je důležité chránit novináře před zneužívajícími soudními řízeními </w:t>
            </w:r>
            <w:r>
              <w:rPr>
                <w:b/>
                <w:i/>
              </w:rPr>
              <w:t>a krádeží totožnosti</w:t>
            </w:r>
            <w:r>
              <w:t>; vítá v tomto ohledu přijetí směrnice proti strategickým soudním řízením proti účasti veřejnosti</w:t>
            </w:r>
            <w:r>
              <w:rPr>
                <w:vertAlign w:val="superscript"/>
              </w:rPr>
              <w:t>54</w:t>
            </w:r>
            <w:r>
              <w:rPr>
                <w:b/>
                <w:i/>
              </w:rPr>
              <w:t> </w:t>
            </w:r>
            <w:r>
              <w:t>a ohlášenou aktualizaci mandátu a složení skupiny odborníků proti zneužívajícím soudním řízením proti účasti veřejnosti; vyzývá členské státy, aby byly v probíhajícím procesu provádění ambiciózní, a Komisi, aby i nadále poskytovala podporu; žádá Komisi, aby vypracovala komplexní hodnotící zprávu o účinnosti provádění;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54</w:t>
            </w:r>
            <w:r>
              <w:t xml:space="preserve"> </w:t>
            </w:r>
            <w:r>
              <w:t>Směrnice Evropského parlamentu a Rady (EU) 2024/1069 ze dne 11. dubna 2024 o ochraně osob zapojených do účasti veřejnosti před zjevně neopodstatněnými žalobními návrhy nebo zneužívajícími soudními řízeními („strategická soudní řízení proti účasti veřejnosti“) (Úř. věst. L, 2024/1069, 16.4.2024, ELI: http://data.europa.</w:t>
            </w:r>
            <w:r>
              <w:rPr>
                <w:b/>
                <w:i/>
              </w:rPr>
              <w:t>eu/eli/dir/2024/1069/oj)</w:t>
            </w:r>
            <w:r>
              <w:t>.</w:t>
            </w:r>
          </w:p>
        </w:tc>
        <w:tc>
          <w:tcPr>
            <w:tcW w:w="4876" w:type="dxa"/>
            <w:tcBorders>
              <w:top w:val="nil"/>
              <w:left w:val="nil"/>
              <w:bottom w:val="nil"/>
              <w:right w:val="nil"/>
            </w:tcBorders>
          </w:tcPr>
          <w:p>
            <w:pPr>
              <w:pStyle w:val="Normal6a"/>
            </w:pPr>
            <w:r>
              <w:rPr>
                <w:vertAlign w:val="superscript"/>
              </w:rPr>
              <w:t>54</w:t>
            </w:r>
            <w:r>
              <w:t xml:space="preserve"> </w:t>
            </w:r>
            <w:r>
              <w:t>Směrnice Evropského parlamentu a Rady (EU) 2024/1069 ze dne 11. dubna 2024 o ochraně osob zapojených do účasti veřejnosti před zjevně neopodstatněnými žalobními návrhy nebo zneužívajícími soudními řízeními („strategická soudní řízení proti účasti veřejnosti“) (Úř. věst. L, 2024/1069, 16.4.2024, ELI: http://data.europa.</w:t>
            </w:r>
            <w:r>
              <w:rPr>
                <w:b/>
                <w:i/>
              </w:rPr>
              <w:t>eu/eli/dir/2024/ 1069/oj)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1142</w:t>
      </w:r>
      <w:r>
        <w:rPr>
          <w:rStyle w:val="HideTWBExt"/>
        </w:rPr>
        <w:t>&lt;/NumAm&gt;</w:t>
      </w:r>
    </w:p>
    <w:p>
      <w:pPr>
        <w:pStyle w:val="NormalBold"/>
      </w:pPr>
      <w:r>
        <w:rPr>
          <w:rStyle w:val="HideTWBExt"/>
          <w:b w:val="0"/>
        </w:rPr>
        <w:t>&lt;RepeatBlock-By&gt;</w:t>
      </w:r>
      <w:r>
        <w:rPr>
          <w:rStyle w:val="HideTWBExt"/>
          <w:b w:val="0"/>
        </w:rPr>
        <w:t>&lt;Members&gt;</w:t>
      </w:r>
      <w:r>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zdůrazňuje, že je třeba chránit novináře a mediální aktéry před špionážním softwarem, invazivními sledovacími technologiemi a dalšími formami digitálních hrozeb;</w:t>
            </w:r>
            <w:r>
              <w:t xml:space="preserve"> </w:t>
            </w:r>
            <w:r>
              <w:rPr>
                <w:b/>
                <w:i/>
              </w:rPr>
              <w:t>připomíná, že v Evropském aktu o svobodě sdělovacích prostředků je přísně zakázána jakákoli nezákonná forma sledování nebo špionáže novinářů a mediálních aktérů;</w:t>
            </w:r>
            <w:r>
              <w:t xml:space="preserve"> </w:t>
            </w:r>
            <w:r>
              <w:rPr>
                <w:b/>
                <w:i/>
              </w:rPr>
              <w:t>poukazuje na to, že špionáž novináře představuje omezení i podle článků 7, 8 a 11 Listiny základních práv Evropské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1143</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zdůrazňuje, že je důležité chránit anonymní účast veřejnosti plným a řádným uplatňováním práva na soukromí a práva na ochranu osobních údajů, které jsou nezbytným předpokladem pro výkon dalších základních lidských práv;</w:t>
            </w:r>
            <w:r>
              <w:t xml:space="preserve"> </w:t>
            </w:r>
            <w:r>
              <w:rPr>
                <w:b/>
                <w:i/>
              </w:rPr>
              <w:t>vyzývá členské státy, aby zavedly vhodné a účinné záruky na ochranu totožnosti anonymních veřejných účastníků a důvěrných zdrojů;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1144</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vyzývá k zavedení evropského statusu ochrany pro novináře zapojené do investigativních činností souvisejících se zahraničním vměšováním, hybridními hrozbami a manipulací s informacemi, včetně právní pomoci financované Unií, přístupu k fondům pro mimořádné události a přeshraniční ochrany zdrojů, a to v koordinaci s členskými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vítá předběžnou dohodu o nařízení o přímých zahraničních investicích</w:t>
            </w:r>
            <w:r>
              <w:rPr>
                <w:vertAlign w:val="superscript"/>
              </w:rPr>
              <w:t>55</w:t>
            </w:r>
            <w:r>
              <w:t>, zejména ustanovení, která zahrnují mediální odvětví jako faktor, který je třeba vzít v úvahu při určování, zda investice může negativně ovlivnit bezpečnost nebo veřejný pořádek; vyjadřuje nicméně politování nad tím, že mediální odvětví není uvedeno v povinné oblasti působnosti v příloze nařízení;</w:t>
            </w:r>
          </w:p>
        </w:tc>
        <w:tc>
          <w:tcPr>
            <w:tcW w:w="4876" w:type="dxa"/>
            <w:tcBorders>
              <w:top w:val="nil"/>
              <w:left w:val="nil"/>
              <w:bottom w:val="nil"/>
              <w:right w:val="nil"/>
            </w:tcBorders>
          </w:tcPr>
          <w:p>
            <w:pPr>
              <w:pStyle w:val="Normal6a"/>
            </w:pPr>
            <w:r>
              <w:t>33.</w:t>
            </w:r>
            <w:r>
              <w:tab/>
            </w:r>
            <w:r>
              <w:t>vítá předběžnou dohodu o nařízení o přímých zahraničních investicích</w:t>
            </w:r>
            <w:r>
              <w:rPr>
                <w:vertAlign w:val="superscript"/>
              </w:rPr>
              <w:t>55</w:t>
            </w:r>
            <w:r>
              <w:t xml:space="preserve">, zejména ustanovení, která zahrnují mediální odvětví jako faktor, který je třeba vzít v úvahu při určování, zda investice může negativně ovlivnit bezpečnost nebo veřejný pořádek; vyjadřuje nicméně politování nad tím, že mediální odvětví není uvedeno v povinné oblasti působnosti v příloze nařízení; </w:t>
            </w:r>
            <w:r>
              <w:rPr>
                <w:b/>
                <w:i/>
              </w:rPr>
              <w:t>konstatuje rovněž, že nadměrná koncentrace na mediálním trhu, včetně dominantního postavení sdělovacích prostředků vlastněných subjekty z jiných evropských států, může rovněž ovlivnit integritu informačního prostoru a řádné fungování demokratických procesů v členských státech;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55</w:t>
            </w:r>
            <w:r>
              <w:t xml:space="preserve"> </w:t>
            </w:r>
            <w:r>
              <w:t>Nařízení Evropského parlamentu a Rady (EU) 2019/452 ze dne 19. března 2019, kterým se stanoví rámec pro prověřování přímých zahraničních investic směřujících do Unie (Úř. věst. L 79I, 21.3.2019, s. 1, ELI: http://data.europa.eu/eli/reg/2019/452/oj).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1146</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rPr>
                <w:b/>
                <w:i/>
              </w:rPr>
              <w:t>vítá předběžnou dohodu o nařízení o přímých zahraničních investicích</w:t>
            </w:r>
            <w:r>
              <w:rPr>
                <w:b/>
                <w:i/>
                <w:vertAlign w:val="superscript"/>
              </w:rPr>
              <w:t>55</w:t>
            </w:r>
            <w:r>
              <w:t xml:space="preserve">, zejména ustanovení, která zahrnují mediální odvětví jako faktor, který je třeba vzít v úvahu při určování, zda investice může </w:t>
            </w:r>
            <w:r>
              <w:rPr>
                <w:b/>
                <w:i/>
              </w:rPr>
              <w:t>negativně ovlivnit</w:t>
            </w:r>
            <w:r>
              <w:t xml:space="preserve"> bezpečnost nebo veřejný pořádek; vyjadřuje nicméně politování nad tím, že mediální odvětví není uvedeno v povinné oblasti působnosti v příloze nařízení;</w:t>
            </w:r>
          </w:p>
        </w:tc>
        <w:tc>
          <w:tcPr>
            <w:tcW w:w="4876" w:type="dxa"/>
            <w:tcBorders>
              <w:top w:val="nil"/>
              <w:left w:val="nil"/>
              <w:bottom w:val="nil"/>
              <w:right w:val="nil"/>
            </w:tcBorders>
          </w:tcPr>
          <w:p>
            <w:pPr>
              <w:pStyle w:val="Normal6a"/>
            </w:pPr>
            <w:r>
              <w:t>33.</w:t>
            </w:r>
            <w:r>
              <w:tab/>
            </w:r>
            <w:r>
              <w:rPr>
                <w:b/>
                <w:i/>
              </w:rPr>
              <w:t>zdůrazňuje, že je třeba chránit mediální prostředí před koncentrací podniků, jak je stanoveno v aktu o svobodě sdělovacích prostředků, který musí členské státy provádět a prosazovat, a zdůrazňuje potřebu větší transparentnosti investic do evropských zpravodajských médií s cílem chránit veřejnou diskuzi před zahraničním vměšováním</w:t>
            </w:r>
            <w:r>
              <w:t xml:space="preserve">, zejména ustanovení, která zahrnují mediální odvětví jako faktor, který je třeba vzít v úvahu při určování </w:t>
            </w:r>
            <w:r>
              <w:rPr>
                <w:b/>
                <w:i/>
              </w:rPr>
              <w:t>toho</w:t>
            </w:r>
            <w:r>
              <w:t xml:space="preserve">, zda investice může </w:t>
            </w:r>
            <w:r>
              <w:rPr>
                <w:b/>
                <w:i/>
              </w:rPr>
              <w:t>mít negativní vliv na</w:t>
            </w:r>
            <w:r>
              <w:t xml:space="preserve"> bezpečnost nebo veřejný pořádek; vyjadřuje nicméně politování nad tím, že mediální odvětví není uvedeno v povinné oblasti působnosti v příloze nařízení;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55</w:t>
            </w:r>
            <w:r>
              <w:t xml:space="preserve"> </w:t>
            </w:r>
            <w:r>
              <w:rPr>
                <w:b/>
                <w:i/>
              </w:rPr>
              <w:t>Nařízení Evropského parlamentu a Rady (EU) 2019/452 ze dne 19. března 2019, kterým se stanoví rámec pro prověřování přímých zahraničních investic směřujících do Unie (Úř. věst. L 79I, 21.3.2019, s. 1, ELI: http://data.europa.eu/eli/reg/2019/452/oj).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1147</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vyzývá Komisi, aby vytvořila mechanismy monitorování a transparentnosti, pokud jde o akvizice společností, které působí v citlivých odvětvích, třetími zeměmi, včetně sdělovacích prostředků, kritické infrastruktury a nových technologií, s cílem zabránit neprůhledným formám politického vlivu nebo hospodářské závislosti, které by mohly být zneužity k zasahování do demokratických procesů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vyzývá Komisi a členské státy, aby v souvislosti s pluralitou sdělovacích prostředků a nezávislou žurnalistikou pečlivě analyzovaly důsledky změny politiky pomoci ze strany vlády USA a aby v případě potřeby přijaly opatření k zaplnění mezery na mediálních trzích jak v EU, tak v příhraničních regionech; vítá mimořádné </w:t>
            </w:r>
            <w:r>
              <w:rPr>
                <w:b/>
                <w:i/>
              </w:rPr>
              <w:t>financování</w:t>
            </w:r>
            <w:r>
              <w:t xml:space="preserve"> EU poskytnuté </w:t>
            </w:r>
            <w:r>
              <w:rPr>
                <w:b/>
                <w:i/>
              </w:rPr>
              <w:t>rozhlasové organizaci Svobodná Evropa (RFE/RL)</w:t>
            </w:r>
            <w:r>
              <w:t xml:space="preserve">; vyzývá k vypracování řešení, které by </w:t>
            </w:r>
            <w:r>
              <w:rPr>
                <w:b/>
                <w:i/>
              </w:rPr>
              <w:t>RFE/RL poskytlo</w:t>
            </w:r>
            <w:r>
              <w:t xml:space="preserve"> stabilní a dlouhodobé financování;</w:t>
            </w:r>
          </w:p>
        </w:tc>
        <w:tc>
          <w:tcPr>
            <w:tcW w:w="4876" w:type="dxa"/>
            <w:tcBorders>
              <w:top w:val="nil"/>
              <w:left w:val="nil"/>
              <w:bottom w:val="nil"/>
              <w:right w:val="nil"/>
            </w:tcBorders>
          </w:tcPr>
          <w:p>
            <w:pPr>
              <w:pStyle w:val="Normal6a"/>
            </w:pPr>
            <w:r>
              <w:t>34.</w:t>
            </w:r>
            <w:r>
              <w:tab/>
            </w:r>
            <w:r>
              <w:t xml:space="preserve">vyzývá Komisi a členské státy, aby v souvislosti s pluralitou sdělovacích prostředků a nezávislou žurnalistikou pečlivě analyzovaly důsledky změny politiky pomoci ze strany vlády USA a aby v případě potřeby přijaly opatření k zaplnění mezery na mediálních trzích jak v EU, tak v příhraničních regionech; </w:t>
            </w:r>
            <w:r>
              <w:rPr>
                <w:b/>
                <w:i/>
              </w:rPr>
              <w:t>konstatuje, že zjištění auditu ukázala, že tyto finanční prostředky nebyly vždy vynakládány dostatečně spolehlivým a transparentním způsobem a že v některých případech byly zneužity na podporu ideologicky předpojatých programů;</w:t>
            </w:r>
            <w:r>
              <w:t xml:space="preserve"> vítá mimořádné </w:t>
            </w:r>
            <w:r>
              <w:rPr>
                <w:b/>
                <w:i/>
              </w:rPr>
              <w:t>finanční prostředky</w:t>
            </w:r>
            <w:r>
              <w:t xml:space="preserve"> EU poskytnuté </w:t>
            </w:r>
            <w:r>
              <w:rPr>
                <w:b/>
                <w:i/>
              </w:rPr>
              <w:t>stanici RFE/RL a vyzývá k podpoře dalších důvěryhodných a dlouhodobých sdělovacích prostředků, které posilují svrchovanost a demokratické procesy ve východním sousedství, jako jsou Charta 97 a Radio Racyja</w:t>
            </w:r>
            <w:r>
              <w:t xml:space="preserve">; vyzývá k vypracování řešení, které by </w:t>
            </w:r>
            <w:r>
              <w:rPr>
                <w:b/>
                <w:i/>
              </w:rPr>
              <w:t>jim zajistilo</w:t>
            </w:r>
            <w:r>
              <w:t xml:space="preserve"> stabilní a dlouhodobé financování;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1149</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vyzývá Komisi a členské státy, aby </w:t>
            </w:r>
            <w:r>
              <w:rPr>
                <w:b/>
                <w:i/>
              </w:rPr>
              <w:t>v souvislosti s pluralitou</w:t>
            </w:r>
            <w:r>
              <w:t xml:space="preserve"> sdělovacích prostředků a nezávislou </w:t>
            </w:r>
            <w:r>
              <w:rPr>
                <w:b/>
                <w:i/>
              </w:rPr>
              <w:t>žurnalistikou pečlivě analyzovaly důsledky změny politiky pomoci ze strany vlády USA</w:t>
            </w:r>
            <w:r>
              <w:t xml:space="preserve"> a aby </w:t>
            </w:r>
            <w:r>
              <w:rPr>
                <w:b/>
                <w:i/>
              </w:rPr>
              <w:t>v případě potřeby přijaly opatření k zaplnění mezery na mediálních trzích jak v EU, tak v příhraničních regionech</w:t>
            </w:r>
            <w:r>
              <w:t xml:space="preserve">; </w:t>
            </w:r>
            <w:r>
              <w:rPr>
                <w:b/>
                <w:i/>
              </w:rPr>
              <w:t>vítá mimořádné financování EU poskytnuté rozhlasové organizaci Svobodná Evropa (RFE/RL);</w:t>
            </w:r>
            <w:r>
              <w:t xml:space="preserve"> </w:t>
            </w:r>
            <w:r>
              <w:rPr>
                <w:b/>
                <w:i/>
              </w:rPr>
              <w:t>vyzývá k vypracování řešení, které by RFE/RL poskytlo stabilní a dlouhodobé financování;</w:t>
            </w:r>
          </w:p>
        </w:tc>
        <w:tc>
          <w:tcPr>
            <w:tcW w:w="4876" w:type="dxa"/>
            <w:tcBorders>
              <w:top w:val="nil"/>
              <w:left w:val="nil"/>
              <w:bottom w:val="nil"/>
              <w:right w:val="nil"/>
            </w:tcBorders>
          </w:tcPr>
          <w:p>
            <w:pPr>
              <w:pStyle w:val="Normal6a"/>
            </w:pPr>
            <w:r>
              <w:t>34.</w:t>
            </w:r>
            <w:r>
              <w:tab/>
            </w:r>
            <w:r>
              <w:t xml:space="preserve">vyzývá Komisi a členské státy, aby </w:t>
            </w:r>
            <w:r>
              <w:rPr>
                <w:b/>
                <w:i/>
              </w:rPr>
              <w:t>pečlivě analyzovaly důsledky změn současné geopolitické situace, pokud jde o pluralitu</w:t>
            </w:r>
            <w:r>
              <w:t xml:space="preserve"> sdělovacích prostředků a nezávislou </w:t>
            </w:r>
            <w:r>
              <w:rPr>
                <w:b/>
                <w:i/>
              </w:rPr>
              <w:t>žurnalistiku,</w:t>
            </w:r>
            <w:r>
              <w:t xml:space="preserve"> a aby </w:t>
            </w:r>
            <w:r>
              <w:rPr>
                <w:b/>
                <w:i/>
              </w:rPr>
              <w:t>toto posouzení pravidelně aktualizovaly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1150</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vyzývá Komisi a členské státy, aby </w:t>
            </w:r>
            <w:r>
              <w:rPr>
                <w:b/>
                <w:i/>
              </w:rPr>
              <w:t>v souvislosti s pluralitou sdělovacích prostředků a nezávislou žurnalistikou</w:t>
            </w:r>
            <w:r>
              <w:t xml:space="preserve"> pečlivě </w:t>
            </w:r>
            <w:r>
              <w:rPr>
                <w:b/>
                <w:i/>
              </w:rPr>
              <w:t>analyzovaly</w:t>
            </w:r>
            <w:r>
              <w:t xml:space="preserve"> důsledky </w:t>
            </w:r>
            <w:r>
              <w:rPr>
                <w:b/>
                <w:i/>
              </w:rPr>
              <w:t>změny politiky pomoci ze strany vlády USA a aby v případě potřeby přijaly opatření k zaplnění mezery na mediálních trzích jak v EU, tak v příhraničních regionech;</w:t>
            </w:r>
            <w:r>
              <w:t xml:space="preserve"> </w:t>
            </w:r>
            <w:r>
              <w:rPr>
                <w:b/>
                <w:i/>
              </w:rPr>
              <w:t>vítá mimořádné financování EU poskytnuté rozhlasové organizaci Svobodná Evropa (RFE/RL);</w:t>
            </w:r>
            <w:r>
              <w:t xml:space="preserve"> </w:t>
            </w:r>
            <w:r>
              <w:rPr>
                <w:b/>
                <w:i/>
              </w:rPr>
              <w:t>vyzývá k vypracování řešení, které by RFE/RL poskytlo stabilní a dlouhodobé financování</w:t>
            </w:r>
            <w:r>
              <w:t>;</w:t>
            </w:r>
          </w:p>
        </w:tc>
        <w:tc>
          <w:tcPr>
            <w:tcW w:w="4876" w:type="dxa"/>
            <w:tcBorders>
              <w:top w:val="nil"/>
              <w:left w:val="nil"/>
              <w:bottom w:val="nil"/>
              <w:right w:val="nil"/>
            </w:tcBorders>
          </w:tcPr>
          <w:p>
            <w:pPr>
              <w:pStyle w:val="Normal6a"/>
            </w:pPr>
            <w:r>
              <w:t>34.</w:t>
            </w:r>
            <w:r>
              <w:tab/>
            </w:r>
            <w:r>
              <w:t xml:space="preserve">vyzývá Komisi a členské státy, aby pečlivě </w:t>
            </w:r>
            <w:r>
              <w:rPr>
                <w:b/>
                <w:i/>
              </w:rPr>
              <w:t>posoudily</w:t>
            </w:r>
            <w:r>
              <w:t xml:space="preserve"> důsledky </w:t>
            </w:r>
            <w:r>
              <w:rPr>
                <w:b/>
                <w:i/>
              </w:rPr>
              <w:t>toho, jak vláda USA charakterizuje akt o digitálních službách jako vyvrcholení desetiletého evropského úsilí umlčet politickou opozici a potlačit online narativy kritické vůči politickému zřízení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1151</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vyzývá Komisi a členské státy, aby v souvislosti s pluralitou sdělovacích prostředků a nezávislou žurnalistikou </w:t>
            </w:r>
            <w:r>
              <w:rPr>
                <w:b/>
                <w:i/>
              </w:rPr>
              <w:t>pečlivě analyzovaly důsledky změny politiky pomoci ze strany vlády USA a aby v případě potřeby přijaly opatření k zaplnění mezery na mediálních trzích jak v EU, tak v příhraničních regionech</w:t>
            </w:r>
            <w:r>
              <w:t>; vítá mimořádné financování EU poskytnuté rozhlasové organizaci Svobodná Evropa (RFE/RL); vyzývá k vypracování řešení, které by RFE/RL poskytlo stabilní a dlouhodobé financování;</w:t>
            </w:r>
          </w:p>
        </w:tc>
        <w:tc>
          <w:tcPr>
            <w:tcW w:w="4876" w:type="dxa"/>
            <w:tcBorders>
              <w:top w:val="nil"/>
              <w:left w:val="nil"/>
              <w:bottom w:val="nil"/>
              <w:right w:val="nil"/>
            </w:tcBorders>
          </w:tcPr>
          <w:p>
            <w:pPr>
              <w:pStyle w:val="Normal6a"/>
            </w:pPr>
            <w:r>
              <w:t>34.</w:t>
            </w:r>
            <w:r>
              <w:tab/>
            </w:r>
            <w:r>
              <w:t xml:space="preserve">vyzývá Komisi a členské státy, aby </w:t>
            </w:r>
            <w:r>
              <w:rPr>
                <w:b/>
                <w:i/>
              </w:rPr>
              <w:t>pečlivě analyzovaly důsledky změny politiky pomoci ze strany vlády USA</w:t>
            </w:r>
            <w:r>
              <w:t xml:space="preserve"> v souvislosti s pluralitou sdělovacích prostředků a nezávislou žurnalistikou; vítá mimořádné financování EU poskytnuté rozhlasové organizaci Svobodná Evropa (RFE/RL); vyzývá k vypracování řešení, které by RFE/RL poskytlo stabilní a dlouhodobé financování;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1152</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vyzývá Komisi a členské státy, aby v souvislosti s pluralitou sdělovacích prostředků a nezávislou žurnalistikou </w:t>
            </w:r>
            <w:r>
              <w:rPr>
                <w:b/>
                <w:i/>
              </w:rPr>
              <w:t>pečlivě analyzovaly důsledky změny politiky pomoci ze strany vlády USA</w:t>
            </w:r>
            <w:r>
              <w:t xml:space="preserve"> a aby v případě potřeby </w:t>
            </w:r>
            <w:r>
              <w:rPr>
                <w:b/>
                <w:i/>
              </w:rPr>
              <w:t>přijaly opatření</w:t>
            </w:r>
            <w:r>
              <w:t xml:space="preserve"> k zaplnění mezery na mediálních trzích </w:t>
            </w:r>
            <w:r>
              <w:rPr>
                <w:b/>
                <w:i/>
              </w:rPr>
              <w:t>jak v EU, tak</w:t>
            </w:r>
            <w:r>
              <w:t xml:space="preserve"> v příhraničních regionech; vítá mimořádné financování EU poskytnuté rozhlasové organizaci Svobodná Evropa (RFE/RL); vyzývá k vypracování řešení, které by RFE/RL poskytlo stabilní a dlouhodobé financování;</w:t>
            </w:r>
          </w:p>
        </w:tc>
        <w:tc>
          <w:tcPr>
            <w:tcW w:w="4876" w:type="dxa"/>
            <w:tcBorders>
              <w:top w:val="nil"/>
              <w:left w:val="nil"/>
              <w:bottom w:val="nil"/>
              <w:right w:val="nil"/>
            </w:tcBorders>
          </w:tcPr>
          <w:p>
            <w:pPr>
              <w:pStyle w:val="Normal6a"/>
            </w:pPr>
            <w:r>
              <w:t>34.</w:t>
            </w:r>
            <w:r>
              <w:tab/>
            </w:r>
            <w:r>
              <w:t xml:space="preserve">vyzývá Komisi a členské státy, aby </w:t>
            </w:r>
            <w:r>
              <w:rPr>
                <w:b/>
                <w:i/>
              </w:rPr>
              <w:t>pečlivě analyzovaly důsledky změny politiky pomoci ze strany vlády USA</w:t>
            </w:r>
            <w:r>
              <w:t xml:space="preserve"> v souvislosti s pluralitou sdělovacích prostředků a nezávislou žurnalistikou a aby v případě potřeby </w:t>
            </w:r>
            <w:r>
              <w:rPr>
                <w:b/>
                <w:i/>
              </w:rPr>
              <w:t>podnikly kroky</w:t>
            </w:r>
            <w:r>
              <w:t xml:space="preserve"> k zaplnění mezery</w:t>
            </w:r>
            <w:r>
              <w:rPr>
                <w:b/>
                <w:i/>
              </w:rPr>
              <w:t>, která zůstala</w:t>
            </w:r>
            <w:r>
              <w:t xml:space="preserve"> na mediálních trzích </w:t>
            </w:r>
            <w:r>
              <w:rPr>
                <w:b/>
                <w:i/>
              </w:rPr>
              <w:t>v EU i</w:t>
            </w:r>
            <w:r>
              <w:t xml:space="preserve"> v příhraničních regionech</w:t>
            </w:r>
            <w:r>
              <w:rPr>
                <w:b/>
                <w:i/>
              </w:rPr>
              <w:t>, a to i prostřednictvím nástroje Globální Evropa</w:t>
            </w:r>
            <w:r>
              <w:t>; vítá mimořádné financování EU poskytnuté rozhlasové organizaci Svobodná Evropa (RFE/RL); vyzývá k vypracování řešení, které by RFE/RL poskytlo stabilní a dlouhodobé financování;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1153</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vyzývá Komisi a členské státy, aby v souvislosti s pluralitou sdělovacích prostředků a nezávislou žurnalistikou pečlivě analyzovaly důsledky změny politiky pomoci ze strany vlády USA a aby v případě potřeby přijaly opatření k zaplnění mezery na mediálních trzích jak v EU, tak v příhraničních regionech; vítá mimořádné financování EU poskytnuté rozhlasové organizaci Svobodná Evropa (RFE/RL); vyzývá k vypracování řešení, které by RFE/RL poskytlo stabilní a dlouhodobé financování;</w:t>
            </w:r>
          </w:p>
        </w:tc>
        <w:tc>
          <w:tcPr>
            <w:tcW w:w="4876" w:type="dxa"/>
            <w:tcBorders>
              <w:top w:val="nil"/>
              <w:left w:val="nil"/>
              <w:bottom w:val="nil"/>
              <w:right w:val="nil"/>
            </w:tcBorders>
          </w:tcPr>
          <w:p>
            <w:pPr>
              <w:pStyle w:val="Normal6a"/>
            </w:pPr>
            <w:r>
              <w:t>34.</w:t>
            </w:r>
            <w:r>
              <w:tab/>
            </w:r>
            <w:r>
              <w:t xml:space="preserve">vyzývá Komisi a členské státy, aby v souvislosti s pluralitou sdělovacích prostředků a nezávislou žurnalistikou pečlivě analyzovaly důsledky změny politiky </w:t>
            </w:r>
            <w:r>
              <w:rPr>
                <w:b/>
                <w:i/>
              </w:rPr>
              <w:t>zahraniční</w:t>
            </w:r>
            <w:r>
              <w:t xml:space="preserve"> pomoci ze strany vlády USA a aby v případě potřeby přijaly opatření k zaplnění mezery na mediálních trzích jak v EU, tak v příhraničních regionech; vítá mimořádné financování EU poskytnuté rozhlasové organizaci Svobodná Evropa (RFE/RL); vyzývá k vypracování řešení, které by RFE/RL poskytlo stabilní a dlouhodobé financování;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1154</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vítá navrhovanou revizi směrnice EU o autorském právu;</w:t>
            </w:r>
            <w:r>
              <w:t xml:space="preserve"> </w:t>
            </w:r>
            <w:r>
              <w:rPr>
                <w:b/>
                <w:i/>
              </w:rPr>
              <w:t>vyzývá k přijetí jasnějších a přísnějších pravidel, která by zohledňovala vývoj generativní umělé inteligence, včetně spolupráce s nezávislými sdělovacími prostředky s cílem zajistit, aby výstupy umělé inteligence odrážely zpravodajský obsah;</w:t>
            </w:r>
            <w:r>
              <w:t xml:space="preserve"> </w:t>
            </w:r>
            <w:r>
              <w:rPr>
                <w:b/>
                <w:i/>
              </w:rPr>
              <w:t>trvá na tom, že vydavatelské a mediální domy si musí zachovat plnou kontrolu nad tím, zda a jak umělá inteligence využívá jejich obsah, včetně jasného souhlasu a férových plateb;</w:t>
            </w:r>
            <w:r>
              <w:t xml:space="preserve"> </w:t>
            </w:r>
            <w:r>
              <w:rPr>
                <w:b/>
                <w:i/>
              </w:rPr>
              <w:t>trvá na tom, že je třeba zajistit plnou transparentnost všech údajů používaných umělou inteligencí, aby se zajistilo, že tvůrci se budou moci opřít o svá práva;</w:t>
            </w:r>
            <w:r>
              <w:t xml:space="preserve"> </w:t>
            </w:r>
            <w:r>
              <w:rPr>
                <w:b/>
                <w:i/>
              </w:rPr>
              <w:t>je toho názoru, že u všech společností zabývajících se umělou inteligencí, které nedodržují pravidla transparentnosti, by se mělo předpokládat, že použily obsah chráněný autorským právem;</w:t>
            </w:r>
            <w:r>
              <w:t xml:space="preserve"> </w:t>
            </w:r>
            <w:r>
              <w:rPr>
                <w:b/>
                <w:i/>
              </w:rPr>
              <w:t>je toho názoru, že na obsah vytvořený plně umělou inteligencí by se neměla vztahovat autorská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1155</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zpochybňuje důvody pro přidělování finančních prostředků EU na mediální projekty spojené se třetími zeměmi nebo zahraničními mocnostmi, které usilují o strategický nebo politický vliv;</w:t>
            </w:r>
            <w:r>
              <w:t xml:space="preserve"> </w:t>
            </w:r>
            <w:r>
              <w:rPr>
                <w:b/>
                <w:i/>
              </w:rPr>
              <w:t>zdůrazňuje, že financování Unie nesmí nikdy podporovat subjekty, které se snaží zasahovat do politické diskuze nebo demokratických procesů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1156</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vyzývá Komisi a členské státy, aby podporovaly svobodné a redakčně nezávislé sdělovací prostředky v regionech, které jsou neúměrně postiženy dezinformacemi a propagandou, a to i v Rusku, na západním Balkáně, ve východní Evropě a na globálním Jihu;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vítá rozšířený mandát střediska EDMO;</w:t>
            </w:r>
            <w:r>
              <w:t xml:space="preserve"> </w:t>
            </w:r>
            <w:r>
              <w:rPr>
                <w:b/>
                <w:i/>
              </w:rPr>
              <w:t>vyjadřuje však politování nad tím, že tento rozšířený mandát není spojen s rozšířeným rozpočtem a že financování střediska EDMO se stále odhaduje na přibližně 1,2 milionu EUR ročně;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vyzývá Komisi, aby výslovně podporovala kandidátské a potenciálně kandidátské země při vytváření a provádění právních rámců, které jsou v souladu se souborem digitálních pravidel EU, včetně aktu o digitálních službách a evropského aktu o svobodě médií, a to tím, že poskytne jasné pokyny pro sbližování s EU, usnadní vzájemné výměny a případně umožní postupné začlenění do příslušných mechanismů EU pro prosazování a spolupráci;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1159</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vyzývá regulační orgány členských států, aby prosazovaly svůj mandát vyplývající z aktu o digitálních službách, pokud jde o platformy, jejich algoritmy a doporučovací systémy;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1160</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34c.</w:t>
            </w:r>
            <w:r>
              <w:tab/>
            </w:r>
            <w:r>
              <w:rPr>
                <w:b/>
                <w:i/>
              </w:rPr>
              <w:t>zdůrazňuje, že je třeba posílit příslušné postupy během volebních období;</w:t>
            </w:r>
            <w:r>
              <w:t xml:space="preserve"> </w:t>
            </w:r>
            <w:r>
              <w:rPr>
                <w:b/>
                <w:i/>
              </w:rPr>
              <w:t>vyzývá Komisi, aby vypracovala nebo aktualizovala pokyny týkající se systémových rizik a neautentického chování během volebních období s cílem umožnit členským státům ukládat na vnitrostátní úrovni další povinnosti velmi velkým online platformám;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1161</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34d.</w:t>
            </w:r>
            <w:r>
              <w:tab/>
            </w:r>
            <w:r>
              <w:rPr>
                <w:b/>
                <w:i/>
              </w:rPr>
              <w:t>trvá na tom, že přístup do evropského informačního prostoru je třeba podmínit dodržováním pravidel EU týkajících se spravedlivého, svobodného a pluralitního zacházení s informacemi;</w:t>
            </w:r>
            <w:r>
              <w:t xml:space="preserve"> </w:t>
            </w:r>
            <w:r>
              <w:rPr>
                <w:b/>
                <w:i/>
              </w:rPr>
              <w:t>trvá na tom, že je nezbytné napravit nerovnováhu mezi sdělovacími prostředky, které jsou pod redakční kontrolou zahraničních vlád a těmi, které mohou svobodně šířit svůj obsah, zatímco sdělovací prostředky usazené na území EU podléhají legitimním požadavkům ex ante, jako je spravedlivé, nezávislé zacházení s informacemi a řádné respektování plurality myšlenek a názorů;</w:t>
            </w:r>
            <w:r>
              <w:t xml:space="preserve"> </w:t>
            </w:r>
            <w:r>
              <w:rPr>
                <w:b/>
                <w:i/>
              </w:rPr>
              <w:t>vyzývá k úpravě směrnice o audiovizuálních mediálních službách s cílem odstranit rozdíl mezi sdělovacími prostředky usazenými v EU a sdělovacími prostředky usazenými ve třetí zemi a uplatňovat stejný soubor povinností na všechny audiovizuální mediální služby, pokud je jejich obsah k dispozici evropskému publiku;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1162</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zdůrazňuje, že sítě pro ověřování faktů podporované občanskou společností mohou hrát úlohu při odhalování dezinformačních kampaní a boji proti nim a poskytovat cenné poznatky pro posouzení rizik v souladu s aktem o digitálních službách;</w:t>
            </w:r>
            <w:r>
              <w:t xml:space="preserve"> </w:t>
            </w:r>
            <w:r>
              <w:rPr>
                <w:b/>
                <w:i/>
              </w:rPr>
              <w:t>konstatuje, že nezávislé organizace pro ověřování faktů potřebují pro svou činnost stabilní podmínky;</w:t>
            </w:r>
            <w:r>
              <w:t xml:space="preserve"> </w:t>
            </w:r>
            <w:r>
              <w:rPr>
                <w:b/>
                <w:i/>
              </w:rPr>
              <w:t>domnívá se, že nástrojem k dosažení tohoto cíle by mohla být evropská síť ověřovatelů faktů, jejíž zřízení Komise oznámila v roce 2025;</w:t>
            </w:r>
            <w:r>
              <w:t xml:space="preserve"> </w:t>
            </w:r>
            <w:r>
              <w:rPr>
                <w:b/>
                <w:i/>
              </w:rPr>
              <w:t>zdůrazňuje, že aby byly organizace ověřující fakta důvěryhodné a efektivní, musí dodržovat přísné normy politické neutrality, nezávislosti a metodické objektivity;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1163</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zdůrazňuje, že sítě pro ověřování faktů podporované občanskou společností mohou hrát úlohu při odhalování dezinformačních kampaní a boji proti nim a poskytovat cenné poznatky pro posouzení rizik v souladu s aktem o digitálních službách; konstatuje, že nezávislé organizace pro ověřování faktů potřebují </w:t>
            </w:r>
            <w:r>
              <w:rPr>
                <w:b/>
                <w:i/>
              </w:rPr>
              <w:t>pro svou činnost</w:t>
            </w:r>
            <w:r>
              <w:t xml:space="preserve"> stabilní podmínky; domnívá se, že nástrojem k dosažení tohoto cíle by mohla být evropská síť ověřovatelů faktů, jejíž zřízení Komise oznámila v roce 2025; zdůrazňuje, že aby byly organizace </w:t>
            </w:r>
            <w:r>
              <w:rPr>
                <w:b/>
                <w:i/>
              </w:rPr>
              <w:t>ověřující fakta</w:t>
            </w:r>
            <w:r>
              <w:t xml:space="preserve"> důvěryhodné a </w:t>
            </w:r>
            <w:r>
              <w:rPr>
                <w:b/>
                <w:i/>
              </w:rPr>
              <w:t>efektivní</w:t>
            </w:r>
            <w:r>
              <w:t>, musí dodržovat přísné normy politické neutrality, nezávislosti a metodické objektivity;</w:t>
            </w:r>
          </w:p>
        </w:tc>
        <w:tc>
          <w:tcPr>
            <w:tcW w:w="4876" w:type="dxa"/>
            <w:tcBorders>
              <w:top w:val="nil"/>
              <w:left w:val="nil"/>
              <w:bottom w:val="nil"/>
              <w:right w:val="nil"/>
            </w:tcBorders>
          </w:tcPr>
          <w:p>
            <w:pPr>
              <w:pStyle w:val="Normal6a"/>
            </w:pPr>
            <w:r>
              <w:t>35.</w:t>
            </w:r>
            <w:r>
              <w:tab/>
            </w:r>
            <w:r>
              <w:t xml:space="preserve">zdůrazňuje, že sítě pro ověřování faktů podporované občanskou společností mohou hrát úlohu při odhalování dezinformačních kampaní a boji proti nim a poskytovat cenné poznatky pro posouzení rizik v souladu s aktem o digitálních službách; konstatuje, že nezávislé organizace pro ověřování faktů potřebují </w:t>
            </w:r>
            <w:r>
              <w:rPr>
                <w:b/>
                <w:i/>
              </w:rPr>
              <w:t>finanční podporu a</w:t>
            </w:r>
            <w:r>
              <w:t xml:space="preserve"> stabilní podmínky </w:t>
            </w:r>
            <w:r>
              <w:rPr>
                <w:b/>
                <w:i/>
              </w:rPr>
              <w:t>pro svou činnost</w:t>
            </w:r>
            <w:r>
              <w:t xml:space="preserve">; domnívá se, že nástrojem k dosažení tohoto cíle by mohla být evropská síť ověřovatelů faktů, jejíž zřízení Komise oznámila v roce 2025; zdůrazňuje, že aby byly organizace </w:t>
            </w:r>
            <w:r>
              <w:rPr>
                <w:b/>
                <w:i/>
              </w:rPr>
              <w:t>pro ověřování faktů</w:t>
            </w:r>
            <w:r>
              <w:t xml:space="preserve"> důvěryhodné a </w:t>
            </w:r>
            <w:r>
              <w:rPr>
                <w:b/>
                <w:i/>
              </w:rPr>
              <w:t>účinné</w:t>
            </w:r>
            <w:r>
              <w:t>, musí dodržovat přísné normy politické neutrality, nezávislosti a metodické objektivity</w:t>
            </w:r>
            <w:r>
              <w:rPr>
                <w:b/>
                <w:i/>
              </w:rPr>
              <w:t>, aby se omezila jejich případná předpojatost</w:t>
            </w:r>
            <w:r>
              <w:t xml:space="preserve">; </w:t>
            </w:r>
            <w:r>
              <w:rPr>
                <w:b/>
                <w:i/>
              </w:rPr>
              <w:t>konstatuje, že ověřování faktů je možné pouze se spolehlivým přístupem k údajům, a proto trvá na tom, že je třeba zajistit přístup k úložištím platforem, aby bylo možné lépe sledovat kampaně zaměřené na vměšování;</w:t>
            </w:r>
            <w:r>
              <w:t xml:space="preserve"> </w:t>
            </w:r>
            <w:r>
              <w:rPr>
                <w:b/>
                <w:i/>
              </w:rPr>
              <w:t>trvá na tom, že je třeba vytvořit synergie mezi evropskými soukromými společnostmi, které se specializují na špičkové nástroje pro odhalování a analýzu dezinformačních kampaní a vměšování a které je používají, členskými státy a orgány EU;</w:t>
            </w:r>
            <w:r>
              <w:t xml:space="preserve"> </w:t>
            </w:r>
            <w:r>
              <w:rPr>
                <w:b/>
                <w:i/>
              </w:rPr>
              <w:t>konstatuje, že odhalování dezinformací někdy zvyšuje jejich dopad, a že jakákoli reakce by proto měla být úměrná očekávanému dopadu konkrétní kampaně;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zdůrazňuje, že sítě pro ověřování faktů podporované občanskou společností mohou hrát úlohu při odhalování dezinformačních kampaní a boji proti nim a poskytovat cenné poznatky pro posouzení rizik v souladu s aktem o digitálních službách; konstatuje, že nezávislé organizace pro ověřování faktů potřebují pro svou činnost stabilní podmínky; domnívá se, že nástrojem k dosažení tohoto cíle by mohla být evropská síť ověřovatelů faktů, jejíž zřízení Komise oznámila v roce 2025; zdůrazňuje, že aby byly organizace ověřující fakta důvěryhodné a efektivní, musí dodržovat přísné normy politické neutrality, nezávislosti a metodické objektivity;</w:t>
            </w:r>
          </w:p>
        </w:tc>
        <w:tc>
          <w:tcPr>
            <w:tcW w:w="4876" w:type="dxa"/>
            <w:tcBorders>
              <w:top w:val="nil"/>
              <w:left w:val="nil"/>
              <w:bottom w:val="nil"/>
              <w:right w:val="nil"/>
            </w:tcBorders>
          </w:tcPr>
          <w:p>
            <w:pPr>
              <w:pStyle w:val="Normal6a"/>
            </w:pPr>
            <w:r>
              <w:t>35.</w:t>
            </w:r>
            <w:r>
              <w:tab/>
            </w:r>
            <w:r>
              <w:t xml:space="preserve">zdůrazňuje, že sítě pro ověřování faktů podporované občanskou společností mohou hrát úlohu při odhalování dezinformačních kampaní a boji proti nim a poskytovat cenné poznatky pro posouzení rizik v souladu s aktem o digitálních službách; konstatuje, že nezávislé organizace pro ověřování faktů potřebují pro svou činnost stabilní podmínky; domnívá se, že nástrojem k dosažení tohoto cíle by mohla být evropská síť ověřovatelů faktů, jejíž zřízení Komise oznámila v roce 2025; zdůrazňuje, že aby byly organizace ověřující fakta důvěryhodné a efektivní, musí dodržovat přísné normy politické neutrality, nezávislosti a metodické objektivity; </w:t>
            </w:r>
            <w:r>
              <w:rPr>
                <w:b/>
                <w:i/>
              </w:rPr>
              <w:t>opakuje, že online platformy mají povinnost podporovat nezávislé ověřování faktů poskytováním nezbytných technických nástrojů a financování za tímto účelem;</w:t>
            </w:r>
            <w:r>
              <w:t xml:space="preserve"> </w:t>
            </w:r>
            <w:r>
              <w:rPr>
                <w:b/>
                <w:i/>
              </w:rPr>
              <w:t>zdůrazňuje, že má-li být spolupráce účinná, musí rovněž probíhat mezi ověřovateli faktů, výzkumnými pracovníky zpravodajských služeb s otevřeným zdrojovým kódem, novináři, komunikátory a tvůrci politik;</w:t>
            </w:r>
            <w:r>
              <w:t xml:space="preserve"> </w:t>
            </w:r>
            <w:r>
              <w:rPr>
                <w:b/>
                <w:i/>
              </w:rPr>
              <w:t>vyzývá Komisi, aby rozšířila strukturovanou finanční a technickou podporu a podporu budování kapacit na ověřovatele faktů a sítě ověřovatelů faktů v kandidátských a potenciálně kandidátských zemích na základě modelu podpory poskytované Evropské síti ověřovatelů faktů;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zdůrazňuje, že sítě pro ověřování faktů podporované občanskou společností mohou hrát úlohu při odhalování dezinformačních kampaní a boji proti nim a poskytovat cenné poznatky pro posouzení rizik v souladu s aktem o digitálních službách; konstatuje, že nezávislé organizace pro ověřování faktů potřebují pro svou činnost stabilní podmínky; domnívá se, že nástrojem k dosažení tohoto cíle by mohla být evropská síť ověřovatelů faktů, jejíž zřízení Komise oznámila v roce 2025; zdůrazňuje, že aby byly organizace </w:t>
            </w:r>
            <w:r>
              <w:rPr>
                <w:b/>
                <w:i/>
              </w:rPr>
              <w:t>ověřující fakta</w:t>
            </w:r>
            <w:r>
              <w:t xml:space="preserve"> důvěryhodné a </w:t>
            </w:r>
            <w:r>
              <w:rPr>
                <w:b/>
                <w:i/>
              </w:rPr>
              <w:t>efektivní, musí</w:t>
            </w:r>
            <w:r>
              <w:t xml:space="preserve"> dodržovat přísné normy politické neutrality</w:t>
            </w:r>
            <w:r>
              <w:rPr>
                <w:b/>
                <w:i/>
              </w:rPr>
              <w:t>,</w:t>
            </w:r>
            <w:r>
              <w:t xml:space="preserve"> nezávislosti </w:t>
            </w:r>
            <w:r>
              <w:rPr>
                <w:b/>
                <w:i/>
              </w:rPr>
              <w:t>a metodické objektivity</w:t>
            </w:r>
            <w:r>
              <w:t>;</w:t>
            </w:r>
          </w:p>
        </w:tc>
        <w:tc>
          <w:tcPr>
            <w:tcW w:w="4876" w:type="dxa"/>
            <w:tcBorders>
              <w:top w:val="nil"/>
              <w:left w:val="nil"/>
              <w:bottom w:val="nil"/>
              <w:right w:val="nil"/>
            </w:tcBorders>
          </w:tcPr>
          <w:p>
            <w:pPr>
              <w:pStyle w:val="Normal6a"/>
            </w:pPr>
            <w:r>
              <w:t>35.</w:t>
            </w:r>
            <w:r>
              <w:tab/>
            </w:r>
            <w:r>
              <w:t xml:space="preserve">zdůrazňuje, že sítě pro ověřování faktů podporované občanskou společností mohou hrát úlohu při odhalování dezinformačních kampaní a boji proti nim a poskytovat cenné poznatky pro posouzení rizik v souladu s aktem o digitálních službách; konstatuje, že nezávislé organizace pro ověřování faktů potřebují pro svou činnost stabilní podmínky; domnívá se, že nástrojem k dosažení tohoto cíle by mohla být evropská síť ověřovatelů faktů, jejíž zřízení Komise oznámila v roce 2025; zdůrazňuje, že aby byly organizace </w:t>
            </w:r>
            <w:r>
              <w:rPr>
                <w:b/>
                <w:i/>
              </w:rPr>
              <w:t>pro ověřování faktů</w:t>
            </w:r>
            <w:r>
              <w:t xml:space="preserve"> důvěryhodné a </w:t>
            </w:r>
            <w:r>
              <w:rPr>
                <w:b/>
                <w:i/>
              </w:rPr>
              <w:t>účinné, musí přímo i nepřímo</w:t>
            </w:r>
            <w:r>
              <w:t xml:space="preserve"> dodržovat přísné normy politické neutrality </w:t>
            </w:r>
            <w:r>
              <w:rPr>
                <w:b/>
                <w:i/>
              </w:rPr>
              <w:t>a</w:t>
            </w:r>
            <w:r>
              <w:t xml:space="preserve"> nezávislosti </w:t>
            </w:r>
            <w:r>
              <w:rPr>
                <w:b/>
                <w:i/>
              </w:rPr>
              <w:t>na jakémkoli poskytovateli online platforem</w:t>
            </w:r>
            <w:r>
              <w:t xml:space="preserve"> </w:t>
            </w:r>
            <w:r>
              <w:rPr>
                <w:b/>
                <w:i/>
              </w:rPr>
              <w:t>a metodickou objektivitu</w:t>
            </w:r>
            <w:r>
              <w:t xml:space="preserve">; </w:t>
            </w:r>
            <w:r>
              <w:rPr>
                <w:b/>
                <w:i/>
              </w:rPr>
              <w:t>vítá plány stanovené ve sdělení o Evropském štítu pro demokracii na ochranu činnosti ověřovatelů faktů;</w:t>
            </w:r>
            <w:r>
              <w:t xml:space="preserve"> </w:t>
            </w:r>
            <w:r>
              <w:rPr>
                <w:b/>
                <w:i/>
              </w:rPr>
              <w:t>poukazuje na to, že prostředí dezinformačních kampaní se neustále mění a od tradičního dezinformačního obsahu se přesouvá k šíření narativů s využitím doporučovacích mechanismů online platforem;</w:t>
            </w:r>
            <w:r>
              <w:t xml:space="preserve"> </w:t>
            </w:r>
            <w:r>
              <w:rPr>
                <w:b/>
                <w:i/>
              </w:rPr>
              <w:t>vyzývá Komisi, aby rozšířila strukturovanou finanční a technickou podporu a podporu budování kapacit na ověřovatele faktů a sítě ověřovatelů faktů v kandidátských a potenciálně kandidátských zemích;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1166</w:t>
      </w:r>
      <w:r>
        <w:rPr>
          <w:rStyle w:val="HideTWBExt"/>
        </w:rPr>
        <w:t>&lt;/NumAm&gt;</w:t>
      </w:r>
    </w:p>
    <w:p>
      <w:pPr>
        <w:pStyle w:val="NormalBold"/>
      </w:pPr>
      <w:r>
        <w:rPr>
          <w:rStyle w:val="HideTWBExt"/>
          <w:b w:val="0"/>
        </w:rPr>
        <w:t>&lt;RepeatBlock-By&gt;</w:t>
      </w:r>
      <w:r>
        <w:rPr>
          <w:rStyle w:val="HideTWBExt"/>
          <w:b w:val="0"/>
        </w:rPr>
        <w:t>&lt;Members&gt;</w:t>
      </w:r>
      <w:r>
        <w:t>Sandro Gozi, Sophie Wilmès, Cynthia Ní Mhurchú, Helmut Brandstätter,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zdůrazňuje, že sítě pro ověřování faktů </w:t>
            </w:r>
            <w:r>
              <w:rPr>
                <w:b/>
                <w:i/>
              </w:rPr>
              <w:t>podporované občanskou společností</w:t>
            </w:r>
            <w:r>
              <w:t xml:space="preserve"> mohou hrát úlohu při odhalování dezinformačních kampaní a boji proti nim a </w:t>
            </w:r>
            <w:r>
              <w:rPr>
                <w:b/>
                <w:i/>
              </w:rPr>
              <w:t>poskytovat</w:t>
            </w:r>
            <w:r>
              <w:t xml:space="preserve"> cenné poznatky pro posouzení rizik </w:t>
            </w:r>
            <w:r>
              <w:rPr>
                <w:b/>
                <w:i/>
              </w:rPr>
              <w:t>v souladu s aktem</w:t>
            </w:r>
            <w:r>
              <w:t xml:space="preserve"> o digitálních službách; konstatuje, že nezávislé organizace pro ověřování faktů potřebují pro svou činnost stabilní podmínky; domnívá se, že nástrojem k dosažení tohoto cíle by mohla být evropská síť ověřovatelů faktů, jejíž zřízení Komise oznámila v roce 2025; zdůrazňuje, že aby byly organizace ověřující fakta důvěryhodné a efektivní, musí dodržovat přísné normy politické neutrality, nezávislosti a metodické objektivity;</w:t>
            </w:r>
          </w:p>
        </w:tc>
        <w:tc>
          <w:tcPr>
            <w:tcW w:w="4876" w:type="dxa"/>
            <w:tcBorders>
              <w:top w:val="nil"/>
              <w:left w:val="nil"/>
              <w:bottom w:val="nil"/>
              <w:right w:val="nil"/>
            </w:tcBorders>
          </w:tcPr>
          <w:p>
            <w:pPr>
              <w:pStyle w:val="Normal6a"/>
            </w:pPr>
            <w:r>
              <w:t>35.</w:t>
            </w:r>
            <w:r>
              <w:tab/>
            </w:r>
            <w:r>
              <w:t xml:space="preserve">zdůrazňuje, že sítě pro ověřování faktů </w:t>
            </w:r>
            <w:r>
              <w:rPr>
                <w:b/>
                <w:i/>
              </w:rPr>
              <w:t>založené na společnosti</w:t>
            </w:r>
            <w:r>
              <w:t xml:space="preserve"> mohou hrát </w:t>
            </w:r>
            <w:r>
              <w:rPr>
                <w:b/>
                <w:i/>
              </w:rPr>
              <w:t>zásadní</w:t>
            </w:r>
            <w:r>
              <w:t xml:space="preserve"> úlohu při odhalování dezinformačních kampaní a boji proti nim a </w:t>
            </w:r>
            <w:r>
              <w:rPr>
                <w:b/>
                <w:i/>
              </w:rPr>
              <w:t>poskytnout</w:t>
            </w:r>
            <w:r>
              <w:t xml:space="preserve"> cenné poznatky pro posouzení rizik </w:t>
            </w:r>
            <w:r>
              <w:rPr>
                <w:b/>
                <w:i/>
              </w:rPr>
              <w:t>podle nařízení</w:t>
            </w:r>
            <w:r>
              <w:t xml:space="preserve"> o digitálních službách</w:t>
            </w:r>
            <w:r>
              <w:rPr>
                <w:b/>
                <w:i/>
              </w:rPr>
              <w:t>;</w:t>
            </w:r>
            <w:r>
              <w:t xml:space="preserve"> </w:t>
            </w:r>
            <w:r>
              <w:rPr>
                <w:b/>
                <w:i/>
              </w:rPr>
              <w:t>vyjadřuje politování nad tím, že některé platformy se rozhodly nahradit nezávislé ověřovatele faktů komunitními poznámkami</w:t>
            </w:r>
            <w:r>
              <w:t xml:space="preserve">; konstatuje, že nezávislé organizace pro ověřování faktů potřebují pro svou činnost stabilní podmínky; domnívá se, že nástrojem k dosažení tohoto cíle by mohla být evropská síť ověřovatelů faktů, jejíž zřízení Komise oznámila v roce 2025; zdůrazňuje, že aby byly organizace ověřující fakta důvěryhodné a efektivní, musí dodržovat přísné normy politické neutrality, nezávislosti a metodické objektivity; </w:t>
            </w:r>
            <w:r>
              <w:rPr>
                <w:b/>
                <w:i/>
              </w:rPr>
              <w:t>zdůrazňuje proto, že je důležité zajistit, aby ověřovatelé faktů a další nezávislé subjekty působící v oblasti monitorování a analýzy zahraničních manipulací s informacemi a vměšování a dezinformačních kampaní na internetu měli k dispozici odpovídající a trvalé zdroje, které jim umožní vykonávat tuto činnost nezávisle na vládě státu;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1167</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zdůrazňuje, že sítě pro ověřování faktů podporované občanskou společností mohou hrát úlohu při odhalování dezinformačních kampaní a boji proti nim a poskytovat cenné poznatky pro posouzení rizik v souladu s aktem o digitálních službách; konstatuje, že nezávislé organizace pro ověřování faktů potřebují pro svou činnost stabilní podmínky; domnívá se, že nástrojem k dosažení tohoto cíle by mohla být evropská síť ověřovatelů faktů, jejíž zřízení Komise oznámila v roce 2025; zdůrazňuje, že aby byly organizace ověřující fakta důvěryhodné a efektivní, musí dodržovat přísné normy politické neutrality, nezávislosti a metodické objektivity;</w:t>
            </w:r>
          </w:p>
        </w:tc>
        <w:tc>
          <w:tcPr>
            <w:tcW w:w="4876" w:type="dxa"/>
            <w:tcBorders>
              <w:top w:val="nil"/>
              <w:left w:val="nil"/>
              <w:bottom w:val="nil"/>
              <w:right w:val="nil"/>
            </w:tcBorders>
          </w:tcPr>
          <w:p>
            <w:pPr>
              <w:pStyle w:val="Normal6a"/>
            </w:pPr>
            <w:r>
              <w:t>35.</w:t>
            </w:r>
            <w:r>
              <w:tab/>
            </w:r>
            <w:r>
              <w:t xml:space="preserve">zdůrazňuje, že sítě pro ověřování faktů podporované občanskou společností mohou hrát úlohu při odhalování dezinformačních kampaní a boji proti nim a poskytovat cenné poznatky pro posouzení rizik v souladu s aktem o digitálních službách; konstatuje, že nezávislé organizace pro ověřování faktů potřebují pro svou činnost stabilní podmínky; </w:t>
            </w:r>
            <w:r>
              <w:rPr>
                <w:b/>
                <w:i/>
              </w:rPr>
              <w:t>vyjadřuje v této souvislosti politování nad nedávnými rozhodnutími některých velkých technologických společností omezit nebo ukončit partnerství a podpůrné struktury pro nezávislé iniciativy v oblasti ověřování faktů, což může oslabit ekosystém integrity informací a podkopat kolektivní úsilí v boji proti dezinformacím;</w:t>
            </w:r>
            <w:r>
              <w:t xml:space="preserve"> domnívá se, že nástrojem k dosažení tohoto cíle by mohla být evropská síť ověřovatelů faktů, jejíž zřízení Komise oznámila v roce 2025; zdůrazňuje, že aby byly organizace ověřující fakta důvěryhodné a efektivní, musí dodržovat přísné normy politické neutrality, nezávislosti a metodické objektivity;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zdůrazňuje, že sítě pro ověřování faktů podporované občanskou společností mohou hrát úlohu při odhalování dezinformačních kampaní a boji proti nim a poskytovat cenné poznatky pro posouzení rizik v souladu s aktem o digitálních službách; konstatuje, že nezávislé organizace pro ověřování faktů potřebují </w:t>
            </w:r>
            <w:r>
              <w:rPr>
                <w:b/>
                <w:i/>
              </w:rPr>
              <w:t>pro svou činnost</w:t>
            </w:r>
            <w:r>
              <w:t xml:space="preserve"> stabilní podmínky; domnívá se, že nástrojem k dosažení tohoto cíle by mohla být evropská síť ověřovatelů faktů, jejíž zřízení Komise oznámila v roce 2025; zdůrazňuje, že aby byly organizace ověřující fakta důvěryhodné a efektivní, musí dodržovat přísné normy politické neutrality, nezávislosti a metodické objektivity;</w:t>
            </w:r>
          </w:p>
        </w:tc>
        <w:tc>
          <w:tcPr>
            <w:tcW w:w="4876" w:type="dxa"/>
            <w:tcBorders>
              <w:top w:val="nil"/>
              <w:left w:val="nil"/>
              <w:bottom w:val="nil"/>
              <w:right w:val="nil"/>
            </w:tcBorders>
          </w:tcPr>
          <w:p>
            <w:pPr>
              <w:pStyle w:val="Normal6a"/>
            </w:pPr>
            <w:r>
              <w:t>35.</w:t>
            </w:r>
            <w:r>
              <w:tab/>
            </w:r>
            <w:r>
              <w:t>zdůrazňuje, že sítě pro ověřování faktů podporované občanskou společností mohou hrát úlohu při odhalování dezinformačních kampaní a boji proti nim a poskytovat cenné poznatky pro posouzení rizik v souladu s aktem o digitálních službách; konstatuje, že nezávislé</w:t>
            </w:r>
            <w:r>
              <w:rPr>
                <w:b/>
                <w:i/>
              </w:rPr>
              <w:t>, důvěryhodné a nestranné</w:t>
            </w:r>
            <w:r>
              <w:t xml:space="preserve"> organizace pro ověřování faktů potřebují stabilní podmínky </w:t>
            </w:r>
            <w:r>
              <w:rPr>
                <w:b/>
                <w:i/>
              </w:rPr>
              <w:t>pro svou činnost</w:t>
            </w:r>
            <w:r>
              <w:t xml:space="preserve">; domnívá se, že nástrojem k dosažení tohoto cíle by mohla být evropská síť ověřovatelů faktů, jejíž zřízení Komise oznámila v roce 2025; zdůrazňuje, že aby byly organizace ověřující fakta důvěryhodné a efektivní, musí dodržovat přísné normy politické neutrality, nezávislosti a metodické objektivity; </w:t>
            </w:r>
            <w:r>
              <w:rPr>
                <w:b/>
                <w:i/>
              </w:rPr>
              <w:t>konstatuje, že některé platformy přešly od tradičních systémů třetích stran pro ověřování faktů ke komunitním mechanismům ověřování obsahu, jako jsou komunitní poznámky;</w:t>
            </w:r>
            <w:r>
              <w:t xml:space="preserve"> </w:t>
            </w:r>
            <w:r>
              <w:rPr>
                <w:b/>
                <w:i/>
              </w:rPr>
              <w:t>konstatuje, že navzdory dřívější kritice se alarmující předpovědi týkající se těchto modelů dosud neuskutečnily;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1169</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zdůrazňuje, že sítě pro ověřování faktů podporované občanskou společností mohou hrát úlohu při odhalování dezinformačních kampaní a boji proti nim a poskytovat cenné poznatky pro posouzení rizik v souladu s aktem o digitálních službách; konstatuje, že nezávislé organizace pro ověřování faktů potřebují </w:t>
            </w:r>
            <w:r>
              <w:rPr>
                <w:b/>
                <w:i/>
              </w:rPr>
              <w:t>pro svou činnost</w:t>
            </w:r>
            <w:r>
              <w:t xml:space="preserve"> stabilní podmínky; domnívá se, že nástrojem k dosažení tohoto cíle by mohla být evropská síť ověřovatelů faktů, jejíž zřízení Komise oznámila v roce 2025; zdůrazňuje, že aby byly organizace </w:t>
            </w:r>
            <w:r>
              <w:rPr>
                <w:b/>
                <w:i/>
              </w:rPr>
              <w:t>ověřující fakta</w:t>
            </w:r>
            <w:r>
              <w:t xml:space="preserve"> důvěryhodné a </w:t>
            </w:r>
            <w:r>
              <w:rPr>
                <w:b/>
                <w:i/>
              </w:rPr>
              <w:t>efektivní</w:t>
            </w:r>
            <w:r>
              <w:t>, musí dodržovat přísné normy politické neutrality, nezávislosti a metodické objektivity;</w:t>
            </w:r>
          </w:p>
        </w:tc>
        <w:tc>
          <w:tcPr>
            <w:tcW w:w="4876" w:type="dxa"/>
            <w:tcBorders>
              <w:top w:val="nil"/>
              <w:left w:val="nil"/>
              <w:bottom w:val="nil"/>
              <w:right w:val="nil"/>
            </w:tcBorders>
          </w:tcPr>
          <w:p>
            <w:pPr>
              <w:pStyle w:val="Normal6a"/>
            </w:pPr>
            <w:r>
              <w:t>35.</w:t>
            </w:r>
            <w:r>
              <w:tab/>
            </w:r>
            <w:r>
              <w:t xml:space="preserve">zdůrazňuje, že sítě pro ověřování faktů podporované občanskou společností mohou hrát úlohu při odhalování dezinformačních kampaní a boji proti nim a poskytovat cenné poznatky pro posouzení rizik v souladu s aktem o digitálních službách; konstatuje, že nezávislé organizace pro ověřování faktů potřebují stabilní podmínky </w:t>
            </w:r>
            <w:r>
              <w:rPr>
                <w:b/>
                <w:i/>
              </w:rPr>
              <w:t>pro svou činnost, které budou zajištěny čistě soukromým financováním</w:t>
            </w:r>
            <w:r>
              <w:t xml:space="preserve">; domnívá se, že nástrojem k dosažení tohoto cíle by mohla být evropská síť ověřovatelů faktů, jejíž zřízení Komise oznámila v roce 2025; zdůrazňuje, že aby byly organizace </w:t>
            </w:r>
            <w:r>
              <w:rPr>
                <w:b/>
                <w:i/>
              </w:rPr>
              <w:t>pro ověřování faktů</w:t>
            </w:r>
            <w:r>
              <w:t xml:space="preserve"> důvěryhodné a </w:t>
            </w:r>
            <w:r>
              <w:rPr>
                <w:b/>
                <w:i/>
              </w:rPr>
              <w:t>účinné</w:t>
            </w:r>
            <w:r>
              <w:t xml:space="preserve">, musí dodržovat přísné normy politické neutrality, nezávislosti a metodické objektivity </w:t>
            </w:r>
            <w:r>
              <w:rPr>
                <w:b/>
                <w:i/>
              </w:rPr>
              <w:t>a musí zůstat institucionálně, finančně a redakčně nezávislé na Komisi a dalších veřejných orgánech</w:t>
            </w:r>
            <w:r>
              <w:t xml:space="preserve">; </w:t>
            </w:r>
            <w:r>
              <w:rPr>
                <w:b/>
                <w:i/>
              </w:rPr>
              <w:t>varuje před přeměnou sítí pro ověřování faktů na kvaziregulační subjekty nebo pomocné donucovací orgány v rámci správních struktur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zdůrazňuje, že sítě pro ověřování faktů </w:t>
            </w:r>
            <w:r>
              <w:rPr>
                <w:b/>
                <w:i/>
              </w:rPr>
              <w:t>podporované občanskou společností</w:t>
            </w:r>
            <w:r>
              <w:t xml:space="preserve"> mohou hrát úlohu při odhalování dezinformačních kampaní a boji proti nim a </w:t>
            </w:r>
            <w:r>
              <w:rPr>
                <w:b/>
                <w:i/>
              </w:rPr>
              <w:t>poskytovat</w:t>
            </w:r>
            <w:r>
              <w:t xml:space="preserve"> cenné poznatky pro </w:t>
            </w:r>
            <w:r>
              <w:rPr>
                <w:b/>
                <w:i/>
              </w:rPr>
              <w:t>posouzení</w:t>
            </w:r>
            <w:r>
              <w:t xml:space="preserve"> rizik </w:t>
            </w:r>
            <w:r>
              <w:rPr>
                <w:b/>
                <w:i/>
              </w:rPr>
              <w:t>v souladu s aktem</w:t>
            </w:r>
            <w:r>
              <w:t xml:space="preserve"> o digitálních službách; konstatuje, že nezávislé organizace pro ověřování faktů potřebují </w:t>
            </w:r>
            <w:r>
              <w:rPr>
                <w:b/>
                <w:i/>
              </w:rPr>
              <w:t>pro svou činnost</w:t>
            </w:r>
            <w:r>
              <w:t xml:space="preserve"> stabilní podmínky; domnívá se, že </w:t>
            </w:r>
            <w:r>
              <w:rPr>
                <w:b/>
                <w:i/>
              </w:rPr>
              <w:t>nástrojem k dosažení tohoto cíle by mohla být</w:t>
            </w:r>
            <w:r>
              <w:t xml:space="preserve"> evropská síť ověřovatelů faktů, jejíž zřízení Komise oznámila v roce 2025; zdůrazňuje, že aby byly organizace ověřující fakta důvěryhodné a efektivní, musí dodržovat přísné normy politické neutrality, nezávislosti a metodické objektivity;</w:t>
            </w:r>
          </w:p>
        </w:tc>
        <w:tc>
          <w:tcPr>
            <w:tcW w:w="4876" w:type="dxa"/>
            <w:tcBorders>
              <w:top w:val="nil"/>
              <w:left w:val="nil"/>
              <w:bottom w:val="nil"/>
              <w:right w:val="nil"/>
            </w:tcBorders>
          </w:tcPr>
          <w:p>
            <w:pPr>
              <w:pStyle w:val="Normal6a"/>
            </w:pPr>
            <w:r>
              <w:t>35.</w:t>
            </w:r>
            <w:r>
              <w:tab/>
            </w:r>
            <w:r>
              <w:t xml:space="preserve">zdůrazňuje, že </w:t>
            </w:r>
            <w:r>
              <w:rPr>
                <w:b/>
                <w:i/>
              </w:rPr>
              <w:t>nezávislé</w:t>
            </w:r>
            <w:r>
              <w:t xml:space="preserve"> sítě pro ověřování faktů mohou hrát úlohu při odhalování dezinformačních kampaní a boji proti nim a </w:t>
            </w:r>
            <w:r>
              <w:rPr>
                <w:b/>
                <w:i/>
              </w:rPr>
              <w:t>poskytnout</w:t>
            </w:r>
            <w:r>
              <w:t xml:space="preserve"> cenné poznatky pro </w:t>
            </w:r>
            <w:r>
              <w:rPr>
                <w:b/>
                <w:i/>
              </w:rPr>
              <w:t>posuzování a zmírňování</w:t>
            </w:r>
            <w:r>
              <w:t xml:space="preserve"> rizik </w:t>
            </w:r>
            <w:r>
              <w:rPr>
                <w:b/>
                <w:i/>
              </w:rPr>
              <w:t>podle nařízení</w:t>
            </w:r>
            <w:r>
              <w:t xml:space="preserve"> o digitálních službách; konstatuje, že nezávislé organizace pro ověřování faktů potřebují </w:t>
            </w:r>
            <w:r>
              <w:rPr>
                <w:b/>
                <w:i/>
              </w:rPr>
              <w:t>udržitelné a ekonomicky životaschopné</w:t>
            </w:r>
            <w:r>
              <w:t xml:space="preserve"> stabilní podmínky </w:t>
            </w:r>
            <w:r>
              <w:rPr>
                <w:b/>
                <w:i/>
              </w:rPr>
              <w:t>pro svou činnost</w:t>
            </w:r>
            <w:r>
              <w:t>; domnívá se, že Evropská síť ověřovatelů faktů, jejíž zřízení Komise oznámila v roce 2025</w:t>
            </w:r>
            <w:r>
              <w:rPr>
                <w:b/>
                <w:i/>
              </w:rPr>
              <w:t>, by mohla být nástrojem na podporu nezávislých evropských organizací zabývajících se ověřováním faktů;</w:t>
            </w:r>
            <w:r>
              <w:t xml:space="preserve"> </w:t>
            </w:r>
            <w:r>
              <w:rPr>
                <w:b/>
                <w:i/>
              </w:rPr>
              <w:t>vybízí ke spolupráci se stávající nezávislou Evropskou sítí norem pro ověřování faktů (EFCSN)</w:t>
            </w:r>
            <w:r>
              <w:t>; zdůrazňuje, že aby byly organizace ověřující fakta důvěryhodné a efektivní, musí dodržovat přísné normy politické neutrality, nezávislosti a metodické objektivity;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1171</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zdůrazňuje, že sítě pro ověřování faktů podporované občanskou společností mohou hrát úlohu při odhalování dezinformačních kampaní a boji proti nim a poskytovat cenné poznatky pro posouzení rizik v souladu s aktem o digitálních službách; konstatuje, že nezávislé organizace pro ověřování faktů potřebují pro svou činnost stabilní podmínky; domnívá se, že nástrojem k dosažení tohoto cíle by mohla být evropská síť ověřovatelů faktů, jejíž zřízení Komise oznámila v roce 2025; zdůrazňuje, že aby byly organizace ověřující fakta důvěryhodné a efektivní, musí dodržovat přísné normy politické neutrality, nezávislosti a metodické objektivity;</w:t>
            </w:r>
          </w:p>
        </w:tc>
        <w:tc>
          <w:tcPr>
            <w:tcW w:w="4876" w:type="dxa"/>
            <w:tcBorders>
              <w:top w:val="nil"/>
              <w:left w:val="nil"/>
              <w:bottom w:val="nil"/>
              <w:right w:val="nil"/>
            </w:tcBorders>
          </w:tcPr>
          <w:p>
            <w:pPr>
              <w:pStyle w:val="Normal6a"/>
            </w:pPr>
            <w:r>
              <w:t>35.</w:t>
            </w:r>
            <w:r>
              <w:tab/>
            </w:r>
            <w:r>
              <w:t xml:space="preserve">zdůrazňuje, že sítě pro ověřování faktů podporované občanskou společností mohou hrát úlohu při odhalování dezinformačních kampaní a boji proti nim a poskytovat cenné poznatky pro posouzení rizik v souladu s aktem o digitálních službách; konstatuje, že nezávislé organizace pro ověřování faktů potřebují pro svou činnost stabilní podmínky; domnívá se, že nástrojem k dosažení tohoto cíle by mohla být evropská síť ověřovatelů faktů, jejíž zřízení Komise oznámila v roce 2025; zdůrazňuje, že aby byly organizace ověřující fakta důvěryhodné a efektivní, musí dodržovat přísné normy politické neutrality, nezávislosti a metodické objektivity; </w:t>
            </w:r>
            <w:r>
              <w:rPr>
                <w:b/>
                <w:i/>
              </w:rPr>
              <w:t>vyjadřuje znepokojení nad tím, že projekty SOMA a EDMO nedokázaly zajistit velkou viditelnost a zapojení odborníků na mediální gramotnost a ověřovatelů faktů;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zdůrazňuje, že sítě pro ověřování faktů </w:t>
            </w:r>
            <w:r>
              <w:rPr>
                <w:b/>
                <w:i/>
              </w:rPr>
              <w:t>podporované občanskou společností</w:t>
            </w:r>
            <w:r>
              <w:t xml:space="preserve"> mohou </w:t>
            </w:r>
            <w:r>
              <w:rPr>
                <w:b/>
                <w:i/>
              </w:rPr>
              <w:t>hrát úlohu při</w:t>
            </w:r>
            <w:r>
              <w:t xml:space="preserve"> odhalování dezinformačních kampaní a </w:t>
            </w:r>
            <w:r>
              <w:rPr>
                <w:b/>
                <w:i/>
              </w:rPr>
              <w:t>boji proti nim a poskytovat</w:t>
            </w:r>
            <w:r>
              <w:t xml:space="preserve"> cenné poznatky pro posouzení rizik </w:t>
            </w:r>
            <w:r>
              <w:rPr>
                <w:b/>
                <w:i/>
              </w:rPr>
              <w:t>v souladu s aktem</w:t>
            </w:r>
            <w:r>
              <w:t xml:space="preserve"> o digitálních službách; </w:t>
            </w:r>
            <w:r>
              <w:rPr>
                <w:b/>
                <w:i/>
              </w:rPr>
              <w:t>konstatuje, že nezávislé</w:t>
            </w:r>
            <w:r>
              <w:t xml:space="preserve"> organizace pro ověřování faktů potřebují pro svou činnost </w:t>
            </w:r>
            <w:r>
              <w:rPr>
                <w:b/>
                <w:i/>
              </w:rPr>
              <w:t>stabilní podmínky;</w:t>
            </w:r>
            <w:r>
              <w:t xml:space="preserve"> </w:t>
            </w:r>
            <w:r>
              <w:rPr>
                <w:b/>
                <w:i/>
              </w:rPr>
              <w:t>domnívá se, že nástrojem k dosažení tohoto cíle by mohla být evropská síť ověřovatelů</w:t>
            </w:r>
            <w:r>
              <w:t xml:space="preserve"> faktů</w:t>
            </w:r>
            <w:r>
              <w:rPr>
                <w:b/>
                <w:i/>
              </w:rPr>
              <w:t>, jejíž zřízení Komise oznámila v roce 2025</w:t>
            </w:r>
            <w:r>
              <w:t xml:space="preserve">; zdůrazňuje, že aby </w:t>
            </w:r>
            <w:r>
              <w:rPr>
                <w:b/>
                <w:i/>
              </w:rPr>
              <w:t>byly organizace ověřující fakta důvěryhodné a efektivní, musí dodržovat přísné normy politické neutrality, nezávislosti a metodické objektivity</w:t>
            </w:r>
            <w:r>
              <w:t>;</w:t>
            </w:r>
          </w:p>
        </w:tc>
        <w:tc>
          <w:tcPr>
            <w:tcW w:w="4876" w:type="dxa"/>
            <w:tcBorders>
              <w:top w:val="nil"/>
              <w:left w:val="nil"/>
              <w:bottom w:val="nil"/>
              <w:right w:val="nil"/>
            </w:tcBorders>
          </w:tcPr>
          <w:p>
            <w:pPr>
              <w:pStyle w:val="Normal6a"/>
            </w:pPr>
            <w:r>
              <w:t>35.</w:t>
            </w:r>
            <w:r>
              <w:tab/>
            </w:r>
            <w:r>
              <w:t xml:space="preserve">zdůrazňuje, že </w:t>
            </w:r>
            <w:r>
              <w:rPr>
                <w:b/>
                <w:i/>
              </w:rPr>
              <w:t>nezávislé</w:t>
            </w:r>
            <w:r>
              <w:t xml:space="preserve"> sítě pro ověřování faktů mohou </w:t>
            </w:r>
            <w:r>
              <w:rPr>
                <w:b/>
                <w:i/>
              </w:rPr>
              <w:t>přispět k</w:t>
            </w:r>
            <w:r>
              <w:t xml:space="preserve"> odhalování </w:t>
            </w:r>
            <w:r>
              <w:rPr>
                <w:b/>
                <w:i/>
              </w:rPr>
              <w:t>koordinovaných</w:t>
            </w:r>
            <w:r>
              <w:t xml:space="preserve"> dezinformačních kampaní a </w:t>
            </w:r>
            <w:r>
              <w:rPr>
                <w:b/>
                <w:i/>
              </w:rPr>
              <w:t>poskytnout</w:t>
            </w:r>
            <w:r>
              <w:t xml:space="preserve"> cenné poznatky pro posouzení rizik </w:t>
            </w:r>
            <w:r>
              <w:rPr>
                <w:b/>
                <w:i/>
              </w:rPr>
              <w:t>podle nařízení</w:t>
            </w:r>
            <w:r>
              <w:t xml:space="preserve"> o digitálních službách; </w:t>
            </w:r>
            <w:r>
              <w:rPr>
                <w:b/>
                <w:i/>
              </w:rPr>
              <w:t>zdůrazňuje, že</w:t>
            </w:r>
            <w:r>
              <w:t xml:space="preserve"> organizace pro ověřování faktů potřebují </w:t>
            </w:r>
            <w:r>
              <w:rPr>
                <w:b/>
                <w:i/>
              </w:rPr>
              <w:t>stabilní podmínky</w:t>
            </w:r>
            <w:r>
              <w:t xml:space="preserve"> pro svou činnost </w:t>
            </w:r>
            <w:r>
              <w:rPr>
                <w:b/>
                <w:i/>
              </w:rPr>
              <w:t>a musí dodržovat vysoké standardy nezávislosti, transparentnosti a metodické přísnosti;</w:t>
            </w:r>
            <w:r>
              <w:t xml:space="preserve"> </w:t>
            </w:r>
            <w:r>
              <w:rPr>
                <w:b/>
                <w:i/>
              </w:rPr>
              <w:t>zdůrazňuje, že ověřování</w:t>
            </w:r>
            <w:r>
              <w:t xml:space="preserve"> faktů </w:t>
            </w:r>
            <w:r>
              <w:rPr>
                <w:b/>
                <w:i/>
              </w:rPr>
              <w:t>by mělo upřednostňovat koordinovanou manipulaci před jednotlivými částmi obsahu</w:t>
            </w:r>
            <w:r>
              <w:t xml:space="preserve">; zdůrazňuje, že aby </w:t>
            </w:r>
            <w:r>
              <w:rPr>
                <w:b/>
                <w:i/>
              </w:rPr>
              <w:t>bylo účinné, musí rovněž existovat spolupráce mezi ověřovateli faktů, výzkumnými pracovníky zpravodajských služeb s otevřeným zdrojovým kódem, novináři, komunikátory a tvůrci politik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1173</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zdůrazňuje, že sítě pro ověřování faktů </w:t>
            </w:r>
            <w:r>
              <w:rPr>
                <w:b/>
                <w:i/>
              </w:rPr>
              <w:t>podporované občanskou společností</w:t>
            </w:r>
            <w:r>
              <w:t xml:space="preserve"> mohou hrát </w:t>
            </w:r>
            <w:r>
              <w:rPr>
                <w:b/>
                <w:i/>
              </w:rPr>
              <w:t>úlohu</w:t>
            </w:r>
            <w:r>
              <w:t xml:space="preserve"> při odhalování dezinformačních kampaní a boji proti nim a </w:t>
            </w:r>
            <w:r>
              <w:rPr>
                <w:b/>
                <w:i/>
              </w:rPr>
              <w:t>poskytovat</w:t>
            </w:r>
            <w:r>
              <w:t xml:space="preserve"> cenné poznatky pro posouzení rizik </w:t>
            </w:r>
            <w:r>
              <w:rPr>
                <w:b/>
                <w:i/>
              </w:rPr>
              <w:t>v souladu s aktem</w:t>
            </w:r>
            <w:r>
              <w:t xml:space="preserve"> o digitálních službách; konstatuje, že nezávislé organizace pro ověřování faktů potřebují pro svou činnost stabilní podmínky; domnívá se, že </w:t>
            </w:r>
            <w:r>
              <w:rPr>
                <w:b/>
                <w:i/>
              </w:rPr>
              <w:t>nástrojem</w:t>
            </w:r>
            <w:r>
              <w:t xml:space="preserve"> k dosažení tohoto cíle by mohla být evropská síť ověřovatelů faktů, </w:t>
            </w:r>
            <w:r>
              <w:rPr>
                <w:b/>
                <w:i/>
              </w:rPr>
              <w:t>jejíž zřízení</w:t>
            </w:r>
            <w:r>
              <w:t xml:space="preserve"> Komise oznámila v roce 2025; zdůrazňuje, že aby byly organizace ověřující fakta důvěryhodné a efektivní, musí dodržovat přísné normy politické neutrality, nezávislosti a metodické objektivity;</w:t>
            </w:r>
          </w:p>
        </w:tc>
        <w:tc>
          <w:tcPr>
            <w:tcW w:w="4876" w:type="dxa"/>
            <w:tcBorders>
              <w:top w:val="nil"/>
              <w:left w:val="nil"/>
              <w:bottom w:val="nil"/>
              <w:right w:val="nil"/>
            </w:tcBorders>
          </w:tcPr>
          <w:p>
            <w:pPr>
              <w:pStyle w:val="Normal6a"/>
            </w:pPr>
            <w:r>
              <w:t>35.</w:t>
            </w:r>
            <w:r>
              <w:tab/>
            </w:r>
            <w:r>
              <w:t xml:space="preserve">zdůrazňuje, že </w:t>
            </w:r>
            <w:r>
              <w:rPr>
                <w:b/>
                <w:i/>
              </w:rPr>
              <w:t>společenské</w:t>
            </w:r>
            <w:r>
              <w:t xml:space="preserve"> sítě pro ověřování faktů</w:t>
            </w:r>
            <w:r>
              <w:rPr>
                <w:b/>
                <w:i/>
              </w:rPr>
              <w:t>, jakož i komunitní přístupy, jako jsou Poznámky Společenství,</w:t>
            </w:r>
            <w:r>
              <w:t xml:space="preserve"> mohou hrát </w:t>
            </w:r>
            <w:r>
              <w:rPr>
                <w:b/>
                <w:i/>
              </w:rPr>
              <w:t>roli</w:t>
            </w:r>
            <w:r>
              <w:t xml:space="preserve"> při odhalování dezinformačních kampaní a boji proti nim a </w:t>
            </w:r>
            <w:r>
              <w:rPr>
                <w:b/>
                <w:i/>
              </w:rPr>
              <w:t>poskytnout</w:t>
            </w:r>
            <w:r>
              <w:t xml:space="preserve"> cenné poznatky pro posouzení rizik </w:t>
            </w:r>
            <w:r>
              <w:rPr>
                <w:b/>
                <w:i/>
              </w:rPr>
              <w:t>podle nařízení</w:t>
            </w:r>
            <w:r>
              <w:t xml:space="preserve"> o digitálních službách; konstatuje, že nezávislé organizace pro ověřování faktů potřebují pro svou činnost stabilní podmínky; domnívá se, že </w:t>
            </w:r>
            <w:r>
              <w:rPr>
                <w:b/>
                <w:i/>
              </w:rPr>
              <w:t>jedním z nástrojů</w:t>
            </w:r>
            <w:r>
              <w:t xml:space="preserve"> k dosažení tohoto cíle by mohla být Evropská síť ověřovatelů faktů, </w:t>
            </w:r>
            <w:r>
              <w:rPr>
                <w:b/>
                <w:i/>
              </w:rPr>
              <w:t>kterou</w:t>
            </w:r>
            <w:r>
              <w:t xml:space="preserve"> Komise oznámila v roce 2025; zdůrazňuje, že aby byly organizace ověřující fakta důvěryhodné a efektivní, musí dodržovat přísné normy politické neutrality, nezávislosti a metodické objektivity;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1174</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zdůrazňuje, že sítě pro ověřování faktů </w:t>
            </w:r>
            <w:r>
              <w:rPr>
                <w:b/>
                <w:i/>
              </w:rPr>
              <w:t>podporované občanskou společností mohou hrát úlohu při odhalování dezinformačních kampaní a boji proti nim a poskytovat cenné poznatky pro posouzení rizik v souladu s aktem o digitálních službách;</w:t>
            </w:r>
            <w:r>
              <w:t xml:space="preserve"> </w:t>
            </w:r>
            <w:r>
              <w:rPr>
                <w:b/>
                <w:i/>
              </w:rPr>
              <w:t>konstatuje, že</w:t>
            </w:r>
            <w:r>
              <w:t xml:space="preserve"> nezávislé </w:t>
            </w:r>
            <w:r>
              <w:rPr>
                <w:b/>
                <w:i/>
              </w:rPr>
              <w:t>organizace pro ověřování faktů potřebují pro svou činnost stabilní podmínky;</w:t>
            </w:r>
            <w:r>
              <w:t xml:space="preserve"> domnívá se, že </w:t>
            </w:r>
            <w:r>
              <w:rPr>
                <w:b/>
                <w:i/>
              </w:rPr>
              <w:t>nástrojem k dosažení tohoto cíle by mohla být evropská síť ověřovatelů faktů, jejíž zřízení Komise oznámila v roce 2025</w:t>
            </w:r>
            <w:r>
              <w:t xml:space="preserve">; zdůrazňuje, že </w:t>
            </w:r>
            <w:r>
              <w:rPr>
                <w:b/>
                <w:i/>
              </w:rPr>
              <w:t>aby byly organizace ověřující fakta důvěryhodné a efektivní, musí dodržovat přísné normy</w:t>
            </w:r>
            <w:r>
              <w:t xml:space="preserve"> politické </w:t>
            </w:r>
            <w:r>
              <w:rPr>
                <w:b/>
                <w:i/>
              </w:rPr>
              <w:t>neutrality, nezávislosti a metodické objektivity</w:t>
            </w:r>
            <w:r>
              <w:t>;</w:t>
            </w:r>
          </w:p>
        </w:tc>
        <w:tc>
          <w:tcPr>
            <w:tcW w:w="4876" w:type="dxa"/>
            <w:tcBorders>
              <w:top w:val="nil"/>
              <w:left w:val="nil"/>
              <w:bottom w:val="nil"/>
              <w:right w:val="nil"/>
            </w:tcBorders>
          </w:tcPr>
          <w:p>
            <w:pPr>
              <w:pStyle w:val="Normal6a"/>
            </w:pPr>
            <w:r>
              <w:t>35.</w:t>
            </w:r>
            <w:r>
              <w:tab/>
            </w:r>
            <w:r>
              <w:t xml:space="preserve">zdůrazňuje, že sítě pro ověřování faktů </w:t>
            </w:r>
            <w:r>
              <w:rPr>
                <w:b/>
                <w:i/>
              </w:rPr>
              <w:t>založené na společnosti, které zřizuje a spravuje Komise, nelze považovat za</w:t>
            </w:r>
            <w:r>
              <w:t xml:space="preserve"> nezávislé</w:t>
            </w:r>
            <w:r>
              <w:rPr>
                <w:b/>
                <w:i/>
              </w:rPr>
              <w:t>, a</w:t>
            </w:r>
            <w:r>
              <w:t xml:space="preserve"> domnívá se, že </w:t>
            </w:r>
            <w:r>
              <w:rPr>
                <w:b/>
                <w:i/>
              </w:rPr>
              <w:t>existuje riziko, že tyto struktury mohou sloužit institucionálním zájmům a utvářet vnímání veřejnosti</w:t>
            </w:r>
            <w:r>
              <w:t xml:space="preserve">; zdůrazňuje, že </w:t>
            </w:r>
            <w:r>
              <w:rPr>
                <w:b/>
                <w:i/>
              </w:rPr>
              <w:t>to může mít odrazující účinek na svobodu projevu a může to ovlivnit volební procesy i</w:t>
            </w:r>
            <w:r>
              <w:t xml:space="preserve"> politické </w:t>
            </w:r>
            <w:r>
              <w:rPr>
                <w:b/>
                <w:i/>
              </w:rPr>
              <w:t>a klima ve společnosti</w:t>
            </w:r>
            <w:r>
              <w:t xml:space="preserve">; </w:t>
            </w:r>
            <w:r>
              <w:rPr>
                <w:b/>
                <w:i/>
              </w:rPr>
              <w:t>vyzývá proto Komisi, aby nepřistupovala k vytváření takové sítě pod svým řízením;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1175</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zdůrazňuje zvláštní zranitelnost dětí a mladých lidí vůči rychlému šíření informací a misinformací na sociálních sítích a dalších online platformách vzhledem k vysoké míře digitální expozice této skupiny a formativní fázi jejího kognitivního a občanského rozvoje;</w:t>
            </w:r>
            <w:r>
              <w:t xml:space="preserve"> </w:t>
            </w:r>
            <w:r>
              <w:rPr>
                <w:b/>
                <w:i/>
              </w:rPr>
              <w:t>zdůrazňuje, že je třeba posílit záruky přiměřené věku s cílem chránit nezletilé osoby před nepravdivým nebo zavádějícím obsahem, manipulativními postupy designu a škodlivou algoritmickou amplifikací a zároveň podporovat mediální gramotnost, kritické myšlení a digitální vzdělávání ve všech členských státech;</w:t>
            </w:r>
            <w:r>
              <w:t xml:space="preserve"> </w:t>
            </w:r>
            <w:r>
              <w:rPr>
                <w:b/>
                <w:i/>
              </w:rPr>
              <w:t>vítá připravovaný akt o digitální spravedlnosti jako příležitost k posílení ochrany spotřebitelů a uživatelů v digitálním prostředí, zejména nezletilých osob, a vyzývá k tomu, aby zahrnoval důkladnou transparentnost, odpovědnost a standardní bezpečnostní normy pro platformy již od fáze návrhu;</w:t>
            </w:r>
            <w:r>
              <w:t xml:space="preserve"> </w:t>
            </w:r>
            <w:r>
              <w:rPr>
                <w:b/>
                <w:i/>
              </w:rPr>
              <w:t>dále vyzývá Komisi a členské státy, aby posoudily proveditelnost a přiměřenost zavedení harmonizované prahové hodnoty evropské digitální zletilosti, například ve věku 15 let, doprovázené jasnými mechanismy rodičovského dohledu a zárukami založenými na právech, a to s cílem zajistit vysokou a jednotnou úroveň ochrany mladých uživatelů při plném dodržování základních práv a zásad ochrany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1176</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je obzvláště znepokojen nedávným rozhodnutím Trumpovy vlády uvalit sankce na občanskou společnost a úředníky, kteří se zabývají obranou obětí nenávistných verbálních projevů nebo provádějí výzkum v tomto ohledu;</w:t>
            </w:r>
            <w:r>
              <w:t xml:space="preserve"> </w:t>
            </w:r>
            <w:r>
              <w:rPr>
                <w:b/>
                <w:i/>
              </w:rPr>
              <w:t>vyjadřuje politování nad tímto neodůvodněným rozhodnutím vlády USA a vyjadřuje plnou solidaritu s dotčenými občany EU;</w:t>
            </w:r>
            <w:r>
              <w:t xml:space="preserve"> </w:t>
            </w:r>
            <w:r>
              <w:rPr>
                <w:b/>
                <w:i/>
              </w:rPr>
              <w:t>důrazně vyzývá Komisi, aby se postavila tomuto úsilí zahraničních aktérů, jehož cílem je zastrašit subjekty občanské společnosti nebo regulační orgány v EU, což má dopad na demokracii, svobodu projevu, svobodu provádět výzkum nebo podnikání;</w:t>
            </w:r>
            <w:r>
              <w:t xml:space="preserve"> </w:t>
            </w:r>
            <w:r>
              <w:rPr>
                <w:b/>
                <w:i/>
              </w:rPr>
              <w:t>vyzývá Komisi, aby připravila opatření na ochranu aktérů, kteří jsou terčem těchto útoků, a vytvořila podpůrné mechanismy;</w:t>
            </w:r>
            <w:r>
              <w:t xml:space="preserve"> </w:t>
            </w:r>
            <w:r>
              <w:rPr>
                <w:b/>
                <w:i/>
              </w:rPr>
              <w:t>domnívá se, že zákaz vydat americká víza vztahující se na pět občanů EU představuje bezprecedentní a nepřijatelný útok na regulační suverenitu EU a nebezpečný precedens pro nezávislost evropských orgánů;</w:t>
            </w:r>
            <w:r>
              <w:t xml:space="preserve"> </w:t>
            </w:r>
            <w:r>
              <w:rPr>
                <w:b/>
                <w:i/>
              </w:rPr>
              <w:t>vyzývá vládu USA, aby přehodnotila svá opatření a tento zákaz neprodleně zrušila;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konstatuje, že ačkoli je ověřování faktů důležitým nástrojem boje proti dezinformacím, může být samo o sobě zneužíváno nebo vnímáno jako nástroj manipulace, pokud postrádá transparentnost, pluralitu, prokazatelné odborné znalosti nebo jasnou odpovědnost;</w:t>
            </w:r>
            <w:r>
              <w:t xml:space="preserve"> </w:t>
            </w:r>
            <w:r>
              <w:rPr>
                <w:b/>
                <w:i/>
              </w:rPr>
              <w:t>zdůrazňuje proto, že jsou zapotřebí spolehlivé záruky, včetně plné transparentnosti, pokud jde o zdroje financování, metodiky a správní struktury, přísného oddělení od politických nebo obchodních zájmů, možnosti vzájemného hodnocení a odůvodněného zpochybnění posouzení a vhodných nezávislých mechanismů dohledu;</w:t>
            </w:r>
            <w:r>
              <w:t xml:space="preserve"> </w:t>
            </w:r>
            <w:r>
              <w:rPr>
                <w:b/>
                <w:i/>
              </w:rPr>
              <w:t>zdůrazňuje, že tyto záruky mají zásadní význam pro zachování důvěry veřejnosti a zajištění toho, aby ověřování faktů sloužilo jako podpora otevřeného, pluralitního a demokratického informačního prostředí, a nikoli jako mechanismus cenzury;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1178</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vyzývá Radu, Komisi a vysokou představitelku, aby důrazně reagovaly na praktiky, které oslabují veřejnoprávní vysílání v EU a kandidátských zemích, zejména plným začleněním kritérií svobody sdělovacích prostředků do hodnocení stavu právního státu, mechanismů podmíněnosti a nástrojů financování;</w:t>
            </w:r>
            <w:r>
              <w:t xml:space="preserve"> </w:t>
            </w:r>
            <w:r>
              <w:rPr>
                <w:b/>
                <w:i/>
              </w:rPr>
              <w:t>naléhavě vyzývá Komisi, aby sledovala hrozby pro nezávislost veřejnoprávních sdělovacích prostředků a aby využila všech dostupných nástrojů k zajištění souladu s hodnotami EU a vzala na vědomí, že útoky na veřejnoprávní vysílání přímo podkopávají důvěru v instituce, demokratickou odolnost a přístup ke spolehlivým informacím;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1179</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vyzývá k omezení organizací a sítí pro ověřování faktů podporovaných Unií;</w:t>
            </w:r>
            <w:r>
              <w:t xml:space="preserve"> </w:t>
            </w:r>
            <w:r>
              <w:rPr>
                <w:b/>
                <w:i/>
              </w:rPr>
              <w:t>zpochybňuje, že jsou zapotřebí centralizované struktury EU pro ověřování faktů, a varuje, že institucionalizace těchto orgánů může vytvořit de facto systém cenzury, který podkopává svobodu projevu, pluralitu sdělovacích prostředků a otevřenou demokratickou diskuzi.</w:t>
            </w:r>
            <w:r>
              <w:t xml:space="preserve"> </w:t>
            </w:r>
            <w:r>
              <w:rPr>
                <w:b/>
                <w:i/>
              </w:rPr>
              <w:t>zdůrazňuje, že určování „pravdy“ není úlohou orgánů EU a že boj proti dezinformacím by se měl opírat o transparentnost a svobodnou výměnu myšlenek, a nikoli o ověřovatele faktů podporované Unií, kteří mohou vnucovat ideologickou předpojatost nebo marginalizovat legitimní nesouhlas;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1180</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zdůrazňuje úlohu nezávislých ověřovatelů faktů z řad online komunit, kteří se organicky utvářejí v rámci každé velmi velké online platformy a kteří mohou při identifikaci dezinformací a boji proti nim spolupracovat s organizacemi občanské společnosti, novináři a akademickými sítěmi;</w:t>
            </w:r>
            <w:r>
              <w:t xml:space="preserve"> </w:t>
            </w:r>
            <w:r>
              <w:rPr>
                <w:b/>
                <w:i/>
              </w:rPr>
              <w:t>vyzývá Komisi a členské státy, aby vzaly na vědomí jejich přínos v rámci Unie pro boj proti dezinformacím a poskytly jim technickou podporu při plném zachování redakční nezávislosti a svobody projevu;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1181</w:t>
      </w:r>
      <w:r>
        <w:rPr>
          <w:rStyle w:val="HideTWBExt"/>
        </w:rPr>
        <w:t>&lt;/NumAm&gt;</w:t>
      </w:r>
    </w:p>
    <w:p>
      <w:pPr>
        <w:pStyle w:val="NormalBold"/>
      </w:pPr>
      <w:r>
        <w:rPr>
          <w:rStyle w:val="HideTWBExt"/>
          <w:b w:val="0"/>
        </w:rPr>
        <w:t>&lt;RepeatBlock-By&gt;</w:t>
      </w:r>
      <w:r>
        <w:rPr>
          <w:rStyle w:val="HideTWBExt"/>
          <w:b w:val="0"/>
        </w:rPr>
        <w:t>&lt;Members&gt;</w:t>
      </w:r>
      <w:r>
        <w:t>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konstatuje, že sítě pro ověřování faktů přispívají k demokratické odolnosti pouze tehdy, jsou-li zcela nezávislé na politickém vlivu;</w:t>
            </w:r>
            <w:r>
              <w:t xml:space="preserve"> </w:t>
            </w:r>
            <w:r>
              <w:rPr>
                <w:b/>
                <w:i/>
              </w:rPr>
              <w:t>zdůrazňuje, že financování ze strany politických institucí, včetně Evropské komise, může ohrozit vnímanou nebo skutečnou neutralitu, což může vést k riziku neobjektivního výběru obsahu a oslabit důvěru veřejnosti v ověřování faktů coby nástroje boje proti dezinformacím;</w:t>
            </w:r>
            <w:r>
              <w:t xml:space="preserve"> </w:t>
            </w:r>
            <w:r>
              <w:rPr>
                <w:b/>
                <w:i/>
              </w:rPr>
              <w:t>vyzývá proto k přísným zárukám ve všech rámcích štítu pro demokracii, aby byla zajištěna plná transparentnost;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zdůrazňuje, že profesionální žurnalistika evropských poskytovatelů mediálních služeb se na veřejnost dostává v mantinelech redakční odpovědnosti a v souladu s právními předpisy EU a vnitrostátními právními předpisy;</w:t>
            </w:r>
            <w:r>
              <w:t xml:space="preserve"> </w:t>
            </w:r>
            <w:r>
              <w:rPr>
                <w:b/>
                <w:i/>
              </w:rPr>
              <w:t>vyzývá k poskytnutí záruk, které zajistí, aby velmi velké online platformy a velmi velké internetové vyhledávače neodůvodněně neodstraňovaly a neodsouvaly viditelnost a spravedlivé pořadí zákonného evropského redakčního mediálního obsahu a aby do něj jinak nezasahovaly a také aby systémy určování pořadí zůstaly transparentní a nediskriminační;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1183</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varuje, že zavedení minimálních norem nebo modelů pro žurnalistiku je liberální demokratické společnosti cizí a hrozí, že to fakticky povede k udělování licencí, stratifikaci nebo přednostnímu zacházení s mediálními aktéry a marginalizaci zákonné novinářské činnosti mimo tyto rámce;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1184</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konstatuje, že vytvoření sítě evropských ověřovatelů faktů by vyžadovalo předchozí posouzení s cílem zajistit, aby tyto organizace nebyly vystaveny politickým nebo informačním předsudkům;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1185</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trvá na tom, že je třeba zajistit náležité zdůraznění podpory nezávislých sdělovacích prostředků a žurnalistiky;</w:t>
            </w:r>
            <w:r>
              <w:t xml:space="preserve"> </w:t>
            </w:r>
            <w:r>
              <w:rPr>
                <w:b/>
                <w:i/>
              </w:rPr>
              <w:t>připomíná, že demokracie je chráněna pouze v případě, že se občanům dostanou spolehlivé informace;</w:t>
            </w:r>
            <w:r>
              <w:t xml:space="preserve"> </w:t>
            </w:r>
            <w:r>
              <w:rPr>
                <w:b/>
                <w:i/>
              </w:rPr>
              <w:t>požaduje, aby algoritmy sociálních médií standardně upřednostňovaly spolehlivé zpravodajské zdroje před propagací dezinformací a propagandy;</w:t>
            </w:r>
            <w:r>
              <w:t xml:space="preserve"> </w:t>
            </w:r>
            <w:r>
              <w:rPr>
                <w:b/>
                <w:i/>
              </w:rPr>
              <w:t>domnívá se, že veškerá opatření v této oblasti by měla být spojena s úsilím o zajištění demonetizace dezinformací jako způsobu, jak motivovat k dodržování předpisů;</w:t>
            </w:r>
            <w:r>
              <w:t xml:space="preserve"> </w:t>
            </w:r>
            <w:r>
              <w:rPr>
                <w:b/>
                <w:i/>
              </w:rPr>
              <w:t>v tomto smyslu připomíná, že je třeba zajistit dostupnost spolehlivých informací ve všech jejich podobách na internetu i mimo něj;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1186</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vyzývá k zavedení a přísnému prosazování jasných a závazných záruk proti zneužívání špionážního softwaru a dalších technologií cíleného sledování narušujících soukromí, zejména pokud jde o novináře, pracovníky sdělovacích prostředků a redakční organizace;</w:t>
            </w:r>
            <w:r>
              <w:t xml:space="preserve"> </w:t>
            </w:r>
            <w:r>
              <w:rPr>
                <w:b/>
                <w:i/>
              </w:rPr>
              <w:t>zdůrazňuje, že je třeba stanovit pevná právní omezení a nezávislé mechanismy dohledu, jimiž se bude řídit získávání, zavádění a povolování těchto nástrojů s cílem zabránit zneužívání, které oslabuje svobodu sdělovacích prostředků, důvěrnost zdrojů a demokratickou odpovědnost;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nesouhlasí s tím, aby oficiální součástí Štítu byla institucionalizace předběžného vyvracení nepravdivých informací („prebunking“) nebo predikativních nástrojů k prognóze narativu; zdůrazňuje, že demokratická odolnost vyžaduje, aby občané byli schopni vyhodnocovat konkurenční tvrzení, a že předjímající zásahy by mohly změnit politický nesouhlas v řízený problém „kognitivní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1188</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konstatuje, že ve Spojených státech společnost Meta ukončila svůj program ověřování faktů třetí stranou poté, co se stal nástrojem cenzury;</w:t>
            </w:r>
            <w:r>
              <w:t xml:space="preserve"> </w:t>
            </w:r>
            <w:r>
              <w:rPr>
                <w:b/>
                <w:i/>
              </w:rPr>
              <w:t>a vyzývá EU, aby tento příklad následovala a snížila institucionální podporu ověřovatelům faktů;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35c.</w:t>
            </w:r>
            <w:r>
              <w:tab/>
            </w:r>
            <w:r>
              <w:rPr>
                <w:b/>
                <w:i/>
              </w:rPr>
              <w:t>zdůrazňuje, že místní a regionální sdělovací prostředky představují kritickou vrstvu demokratické odolnosti a měly by být uznány jako nepřímá, ale zásadní složka Evropského štítu pro demokracii vzhledem k jejich úloze prvořadé odpovědnosti při monitorování místní správy, odhalování korupce a řešení otázek, které mají bezprostřední význam pro občany;</w:t>
            </w:r>
            <w:r>
              <w:t xml:space="preserve"> </w:t>
            </w:r>
            <w:r>
              <w:rPr>
                <w:b/>
                <w:i/>
              </w:rPr>
              <w:t>vyjadřuje znepokojení nad rostoucím výskytem „místních zpravodajských pouští“, což je částečně způsobeno strukturálními ekonomickými tlaky a dominantním postavením velkých digitálních platforem, které oslabují viditelnost a finanční udržitelnost komunitní žurnalistiky;</w:t>
            </w:r>
            <w:r>
              <w:t xml:space="preserve"> </w:t>
            </w:r>
            <w:r>
              <w:rPr>
                <w:b/>
                <w:i/>
              </w:rPr>
              <w:t>zdůrazňuje, že eroze místních informačních ekosystémů zvyšuje zranitelnost vůči dezinformacím, manipulaci a sociální polarizaci na místní úrovni;</w:t>
            </w:r>
            <w:r>
              <w:t xml:space="preserve"> </w:t>
            </w:r>
            <w:r>
              <w:rPr>
                <w:b/>
                <w:i/>
              </w:rPr>
              <w:t>vyzývá proto k přijetí cílených opatření Unie a členských států k posílení udržitelnosti, dostupnosti a inovační kapacity místních a regionálních sdělovacích prostředků, čímž se posílí pluralita sdělovacích prostředků, občanská důvěra a celková odolnost demokratického informačního prostoru;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1190</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35c.</w:t>
            </w:r>
            <w:r>
              <w:tab/>
            </w:r>
            <w:r>
              <w:rPr>
                <w:b/>
                <w:i/>
              </w:rPr>
              <w:t>trvá na tom, že účinná opatření na zdůraznění významu sdělovacích prostředků musí mít podobu pozitivního a negativního kurátorství;</w:t>
            </w:r>
            <w:r>
              <w:t xml:space="preserve"> </w:t>
            </w:r>
            <w:r>
              <w:rPr>
                <w:b/>
                <w:i/>
              </w:rPr>
              <w:t>připomíná, že pozitivní kurátorství by posílilo obsah z důvěryhodných zdrojů informací a učinilo by jej snadno přístupným a viditelným, zatímco negativní kurátorství by odstranilo veškeré zakázané praktiky;</w:t>
            </w:r>
            <w:r>
              <w:t xml:space="preserve"> </w:t>
            </w:r>
            <w:r>
              <w:rPr>
                <w:b/>
                <w:i/>
              </w:rPr>
              <w:t>vzhledem k tomu, že určení sdělovacích prostředků v rámci opatření náležitého zdůraznění by mohlo být provedeno 1) odvětvovými definicemi, jako jsou „mediální služby obecného zájmu“, jak jsou definovány vnitrostátními orgány, 2) dobrovolnými kodexy chování nebo jinými profesními normami, jako je iniciativa Journalism Trust Initiative;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1191</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35c.</w:t>
            </w:r>
            <w:r>
              <w:tab/>
            </w:r>
            <w:r>
              <w:rPr>
                <w:b/>
                <w:i/>
              </w:rPr>
              <w:t>vyzývá Komisi, aby již dále neodkládala posuzování decentralizovaných nápravných mechanismů vycházejících z potřeb uživatelů, včetně komunitních kontextových systémů, jako potenciálně méně rušivých alternativ k centralizovaným strukturám moderování nebo ověřování faktů, s cílem zachovat pluralitu a minimalizovat riziko nadměrného dosahu;</w:t>
            </w:r>
            <w:r>
              <w:t xml:space="preserve"> </w:t>
            </w:r>
            <w:r>
              <w:rPr>
                <w:b/>
                <w:i/>
              </w:rPr>
              <w:t>konstatuje, že centralizované struktury pro ověřování faktů mohou umožnit rychlejší reakci na nově se objevující narativy, zatímco decentralizované komunitní systémy mohou umožnit širší škálu názorů a napadení;</w:t>
            </w:r>
            <w:r>
              <w:t xml:space="preserve"> </w:t>
            </w:r>
            <w:r>
              <w:rPr>
                <w:b/>
                <w:i/>
              </w:rPr>
              <w:t>vzhledem k tomu, že by měly být zohledněny relativní silné stránky a omezení obou přístupů;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1192</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35d.</w:t>
            </w:r>
            <w:r>
              <w:tab/>
            </w:r>
            <w:r>
              <w:rPr>
                <w:b/>
                <w:i/>
              </w:rPr>
              <w:t>je znepokojen skutečností, že rostoucí podíl reklamních zdrojů zachycují platformy pro sdílení obsahu, které nefinancují zprávy ani tvůrčí obsah na úkor jiných aktérů;</w:t>
            </w:r>
            <w:r>
              <w:t xml:space="preserve"> </w:t>
            </w:r>
            <w:r>
              <w:rPr>
                <w:b/>
                <w:i/>
              </w:rPr>
              <w:t>vzhledem k tomu, že podle zprávy francouzského úřadu ARCOM a ministerstva kultury z roku 2023 získaly sdělovací prostředky investující do zpravodajského obsahu a audiovizuální a kinematografické tvorby v roce 201 265 % příjmů z reklamy;</w:t>
            </w:r>
            <w:r>
              <w:t xml:space="preserve"> </w:t>
            </w:r>
            <w:r>
              <w:rPr>
                <w:b/>
                <w:i/>
              </w:rPr>
              <w:t>vzhledem k tomu, že o deset let později, v roce 2022, se toto číslo snížilo na 40 % a očekává se, že do roku 2030 bude činit jen 29 %;</w:t>
            </w:r>
            <w:r>
              <w:t xml:space="preserve"> </w:t>
            </w:r>
            <w:r>
              <w:rPr>
                <w:b/>
                <w:i/>
              </w:rPr>
              <w:t>vzhledem k tomu, že pouze pro francouzské sdělovací prostředky to představuje ztrátu 800 milionů EUR;</w:t>
            </w:r>
            <w:r>
              <w:t xml:space="preserve"> </w:t>
            </w:r>
            <w:r>
              <w:rPr>
                <w:b/>
                <w:i/>
              </w:rPr>
              <w:t>vzhledem k tomu, že společnosti Meta, Alphabet, Amazon a TikTok získávají 45 % těchto příjmů;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1193</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35d.</w:t>
            </w:r>
            <w:r>
              <w:tab/>
            </w:r>
            <w:r>
              <w:rPr>
                <w:b/>
                <w:i/>
              </w:rPr>
              <w:t>zdůrazňuje, že je důležité zachovat úlohu veřejnoprávních sdělovacích prostředků při zajišťování všeobecného přístupu ke spolehlivému, objektivnímu a nezávisle produkovanému zpravodajskému obsahu na tradičních i digitálních platformách;</w:t>
            </w:r>
            <w:r>
              <w:t xml:space="preserve"> </w:t>
            </w:r>
            <w:r>
              <w:rPr>
                <w:b/>
                <w:i/>
              </w:rPr>
              <w:t>zdůrazňuje, že nezávislé a široce důvěryhodné veřejnoprávní sdělovací prostředky představují klíčovou občanskou záruku a pilíř sociální soudržnosti, zejména v období krize, nestability nebo zvýšené informační krize, neboť poskytují ověřené informace, bojují proti manipulaci a zajišťují kontinuitu komunikace ve veřejném zájmu pro všechny segmenty společnosti;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1194</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35e.</w:t>
            </w:r>
            <w:r>
              <w:tab/>
            </w:r>
            <w:r>
              <w:rPr>
                <w:b/>
                <w:i/>
              </w:rPr>
              <w:t>je znepokojen koncentrací sdělovacích prostředků, která ohrožuje nezávislost a pluralitu mediálního prostředí;</w:t>
            </w:r>
            <w:r>
              <w:t xml:space="preserve"> </w:t>
            </w:r>
            <w:r>
              <w:rPr>
                <w:b/>
                <w:i/>
              </w:rPr>
              <w:t>vzhledem k tomu, že kontrola koncentrace v odvětví sdělovacích prostředků by se měla opírat o dva aspekty:</w:t>
            </w:r>
            <w:r>
              <w:t xml:space="preserve"> </w:t>
            </w:r>
            <w:r>
              <w:rPr>
                <w:b/>
                <w:i/>
              </w:rPr>
              <w:t>hospodářskou kontrolu a kontrolu plurality;</w:t>
            </w:r>
            <w:r>
              <w:t xml:space="preserve"> </w:t>
            </w:r>
            <w:r>
              <w:rPr>
                <w:b/>
                <w:i/>
              </w:rPr>
              <w:t>domnívá se, že článek 22 nařízení o Evropském aktu o svobodě sdělovacích prostředků by měl být chápán jako ustanovení o demokratické infrastruktuře, nikoli jako technická příloha kontroly spojování podniků;</w:t>
            </w:r>
            <w:r>
              <w:t xml:space="preserve"> </w:t>
            </w:r>
            <w:r>
              <w:rPr>
                <w:b/>
                <w:i/>
              </w:rPr>
              <w:t>konstatuje však, že tento nástroj je koncipován pro budoucnost a nezabývá se fúzemi, k nimž již došlo;</w:t>
            </w:r>
            <w:r>
              <w:t xml:space="preserve"> </w:t>
            </w:r>
            <w:r>
              <w:rPr>
                <w:b/>
                <w:i/>
              </w:rPr>
              <w:t>domnívá se, že by měla být zavedena opatření na obnovu pluralismu s cílem obnovit pluralismus tam, kde byl narušen;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1195</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Občanská společnost</w:t>
            </w:r>
          </w:p>
        </w:tc>
        <w:tc>
          <w:tcPr>
            <w:tcW w:w="4876" w:type="dxa"/>
            <w:tcBorders>
              <w:top w:val="nil"/>
              <w:left w:val="nil"/>
              <w:bottom w:val="nil"/>
              <w:right w:val="nil"/>
            </w:tcBorders>
          </w:tcPr>
          <w:p>
            <w:pPr>
              <w:pStyle w:val="Normal6a"/>
            </w:pPr>
            <w:r>
              <w:t xml:space="preserve">Občanská společnost </w:t>
            </w:r>
            <w:r>
              <w:rPr>
                <w:b/>
                <w:i/>
              </w:rPr>
              <w:t>a demokratická účast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1196</w:t>
      </w:r>
      <w:r>
        <w:rPr>
          <w:rStyle w:val="HideTWBExt"/>
        </w:rPr>
        <w:t>&lt;/NumAm&gt;</w:t>
      </w:r>
    </w:p>
    <w:p>
      <w:pPr>
        <w:pStyle w:val="NormalBold"/>
      </w:pPr>
      <w:r>
        <w:rPr>
          <w:rStyle w:val="HideTWBExt"/>
          <w:b w:val="0"/>
        </w:rPr>
        <w:t>&lt;RepeatBlock-By&gt;</w:t>
      </w:r>
      <w:r>
        <w:rPr>
          <w:rStyle w:val="HideTWBExt"/>
          <w:b w:val="0"/>
        </w:rPr>
        <w:t>&lt;Members&gt;</w:t>
      </w:r>
      <w:r>
        <w:t>Fabrice Leggeri, Virginie Joron, Marieke Ehlers,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zdůrazňuje klíčovou úlohu občanské společnosti při obraně naší demokracie, a to nejen tím, že působí jako strážce a odhaluje zahraniční pokusy zasahovat do demokratických procesů a aktivně proti nim bojuje, ale také tím, že je základní silou v dlouhodobém úsilí o budování silnějších a odolnějších společností;</w:t>
            </w:r>
            <w:r>
              <w:t xml:space="preserve"> </w:t>
            </w:r>
            <w:r>
              <w:rPr>
                <w:b/>
                <w:i/>
              </w:rPr>
              <w:t>poukazuje zejména na důležitou úlohu občanské společnosti při prosazování hodnot zakotvených v článku 2 SEU;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zdůrazňuje klíčovou úlohu občanské společnosti </w:t>
            </w:r>
            <w:r>
              <w:rPr>
                <w:b/>
                <w:i/>
              </w:rPr>
              <w:t>při obraně naší demokracie, a to nejen tím, že působí jako strážce a odhaluje zahraniční pokusy zasahovat do demokratických procesů a aktivně proti nim bojuje, ale také tím, že je základní silou v dlouhodobém úsilí o budování silnějších a odolnějších společností;</w:t>
            </w:r>
            <w:r>
              <w:t xml:space="preserve"> </w:t>
            </w:r>
            <w:r>
              <w:rPr>
                <w:b/>
                <w:i/>
              </w:rPr>
              <w:t>poukazuje zejména na důležitou úlohu</w:t>
            </w:r>
            <w:r>
              <w:t xml:space="preserve"> občanské společnosti </w:t>
            </w:r>
            <w:r>
              <w:rPr>
                <w:b/>
                <w:i/>
              </w:rPr>
              <w:t>při prosazování hodnot zakotvených v článku 2 SEU</w:t>
            </w:r>
            <w:r>
              <w:t>;</w:t>
            </w:r>
          </w:p>
        </w:tc>
        <w:tc>
          <w:tcPr>
            <w:tcW w:w="4876" w:type="dxa"/>
            <w:tcBorders>
              <w:top w:val="nil"/>
              <w:left w:val="nil"/>
              <w:bottom w:val="nil"/>
              <w:right w:val="nil"/>
            </w:tcBorders>
          </w:tcPr>
          <w:p>
            <w:pPr>
              <w:pStyle w:val="Normal6a"/>
            </w:pPr>
            <w:r>
              <w:t>36.</w:t>
            </w:r>
            <w:r>
              <w:tab/>
            </w:r>
            <w:r>
              <w:t>zdůrazňuje klíčovou úlohu</w:t>
            </w:r>
            <w:r>
              <w:rPr>
                <w:b/>
                <w:i/>
              </w:rPr>
              <w:t>, kterou může hrát občanská společnost v oblasti demokratické odolnosti;</w:t>
            </w:r>
            <w:r>
              <w:t xml:space="preserve"> </w:t>
            </w:r>
            <w:r>
              <w:rPr>
                <w:b/>
                <w:i/>
              </w:rPr>
              <w:t>zdůrazňuje však, že organizace</w:t>
            </w:r>
            <w:r>
              <w:t xml:space="preserve"> občanské společnosti </w:t>
            </w:r>
            <w:r>
              <w:rPr>
                <w:b/>
                <w:i/>
              </w:rPr>
              <w:t>mohou být obětmi zahraničního vměšování, a pokud nejsou dostatečně chráněny, mohou být potenciálními faktory tohoto vměšování;</w:t>
            </w:r>
            <w:r>
              <w:t xml:space="preserve"> </w:t>
            </w:r>
            <w:r>
              <w:rPr>
                <w:b/>
                <w:i/>
              </w:rPr>
              <w:t>zdůrazňuje, že posílení odolnosti musí zahrnovat spolehlivá, přiměřená a vymahatelná opatření v oblasti transparentnosti, prověřování a odpovědnosti, aniž by se rozšířil politický dohled nebo kontrola obsahu nad rámec zákonné činnosti</w:t>
            </w:r>
            <w:r>
              <w:t xml:space="preserve"> občanské společnosti </w:t>
            </w:r>
            <w:r>
              <w:rPr>
                <w:b/>
                <w:i/>
              </w:rPr>
              <w:t>v Unii;</w:t>
            </w:r>
            <w:r>
              <w:t xml:space="preserve"> </w:t>
            </w:r>
            <w:r>
              <w:rPr>
                <w:b/>
                <w:i/>
              </w:rPr>
              <w:t>připomíná, že Komise tím, že v minulosti nepřijatelným způsobem využívala finanční prostředky, přeměnila organizace občanské společnosti na zesilovače své vlastní politické agendy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1198</w:t>
      </w:r>
      <w:r>
        <w:rPr>
          <w:rStyle w:val="HideTWBExt"/>
        </w:rPr>
        <w:t>&lt;/NumAm&gt;</w:t>
      </w:r>
    </w:p>
    <w:p>
      <w:pPr>
        <w:pStyle w:val="NormalBold"/>
      </w:pPr>
      <w:r>
        <w:rPr>
          <w:rStyle w:val="HideTWBExt"/>
          <w:b w:val="0"/>
        </w:rPr>
        <w:t>&lt;RepeatBlock-By&gt;</w:t>
      </w:r>
      <w:r>
        <w:rPr>
          <w:rStyle w:val="HideTWBExt"/>
          <w:b w:val="0"/>
        </w:rPr>
        <w:t>&lt;Members&gt;</w:t>
      </w:r>
      <w:r>
        <w:t>Ana Catarina Mendes, Evin Incir,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zdůrazňuje klíčovou úlohu občanské společnosti při obraně naší demokracie, a to nejen tím, že působí jako strážce a odhaluje zahraniční pokusy zasahovat do demokratických procesů a aktivně proti nim bojuje, ale také tím, že je základní silou v dlouhodobém úsilí o budování silnějších a odolnějších společností; poukazuje zejména na důležitou úlohu občanské společnosti při prosazování hodnot zakotvených v článku 2 SEU;</w:t>
            </w:r>
          </w:p>
        </w:tc>
        <w:tc>
          <w:tcPr>
            <w:tcW w:w="4876" w:type="dxa"/>
            <w:tcBorders>
              <w:top w:val="nil"/>
              <w:left w:val="nil"/>
              <w:bottom w:val="nil"/>
              <w:right w:val="nil"/>
            </w:tcBorders>
          </w:tcPr>
          <w:p>
            <w:pPr>
              <w:pStyle w:val="Normal6a"/>
            </w:pPr>
            <w:r>
              <w:t>36.</w:t>
            </w:r>
            <w:r>
              <w:tab/>
            </w:r>
            <w:r>
              <w:t xml:space="preserve">zdůrazňuje klíčovou úlohu občanské společnosti při obraně naší demokracie, a to nejen tím, že působí jako strážce a odhaluje zahraniční pokusy zasahovat do demokratických procesů a aktivně proti nim bojuje, ale také tím, že je základní silou v dlouhodobém úsilí o budování silnějších a odolnějších společností; poukazuje zejména na důležitou úlohu občanské společnosti při prosazování hodnot zakotvených v článku 2 SEU; </w:t>
            </w:r>
            <w:r>
              <w:rPr>
                <w:b/>
                <w:i/>
              </w:rPr>
              <w:t>zdůrazňuje, že je důležité zachovat a posílit základní financování organizací občanské společnosti v mnoha členských státech, a je si vědom jejich zásadního přínosu k demokratickým hodnotám;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1199</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zdůrazňuje klíčovou úlohu občanské společnosti při obraně naší demokracie, a to nejen tím, že působí jako strážce a odhaluje zahraniční pokusy zasahovat do demokratických procesů a aktivně proti nim bojuje, ale také tím, že je základní silou v dlouhodobém úsilí o budování silnějších a odolnějších společností; poukazuje zejména na důležitou úlohu občanské společnosti při prosazování hodnot zakotvených v článku 2 SEU;</w:t>
            </w:r>
          </w:p>
        </w:tc>
        <w:tc>
          <w:tcPr>
            <w:tcW w:w="4876" w:type="dxa"/>
            <w:tcBorders>
              <w:top w:val="nil"/>
              <w:left w:val="nil"/>
              <w:bottom w:val="nil"/>
              <w:right w:val="nil"/>
            </w:tcBorders>
          </w:tcPr>
          <w:p>
            <w:pPr>
              <w:pStyle w:val="Normal6a"/>
            </w:pPr>
            <w:r>
              <w:t>36.</w:t>
            </w:r>
            <w:r>
              <w:tab/>
            </w:r>
            <w:r>
              <w:t xml:space="preserve">zdůrazňuje klíčovou úlohu občanské společnosti při obraně naší demokracie, a to nejen tím, že působí jako strážce a odhaluje zahraniční pokusy zasahovat do demokratických procesů a aktivně proti nim bojuje, ale také tím, že je základní silou v dlouhodobém úsilí o budování silnějších a odolnějších společností; poukazuje zejména na důležitou úlohu občanské společnosti při prosazování hodnot zakotvených v článku 2 SEU; </w:t>
            </w:r>
            <w:r>
              <w:rPr>
                <w:b/>
                <w:i/>
              </w:rPr>
              <w:t>bere na vědomí společný politický narativ, podle něhož extremističtí političtí aktéři svádějí na organizace občanské společnosti ve veřejné sféře vinu, což zvyšuje zranitelnost občanské společnosti jako celku;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zdůrazňuje klíčovou úlohu občanské společnosti při </w:t>
            </w:r>
            <w:r>
              <w:rPr>
                <w:b/>
                <w:i/>
              </w:rPr>
              <w:t>obraně</w:t>
            </w:r>
            <w:r>
              <w:t xml:space="preserve"> naší demokracie, a to nejen tím, že působí jako strážce a odhaluje zahraniční pokusy zasahovat do demokratických procesů a aktivně proti nim bojuje, ale také tím, že je základní silou v dlouhodobém úsilí o budování silnějších a odolnějších společností; poukazuje zejména na důležitou úlohu občanské společnosti při prosazování hodnot zakotvených v článku 2 SEU;</w:t>
            </w:r>
          </w:p>
        </w:tc>
        <w:tc>
          <w:tcPr>
            <w:tcW w:w="4876" w:type="dxa"/>
            <w:tcBorders>
              <w:top w:val="nil"/>
              <w:left w:val="nil"/>
              <w:bottom w:val="nil"/>
              <w:right w:val="nil"/>
            </w:tcBorders>
          </w:tcPr>
          <w:p>
            <w:pPr>
              <w:pStyle w:val="Normal6a"/>
            </w:pPr>
            <w:r>
              <w:t>36.</w:t>
            </w:r>
            <w:r>
              <w:tab/>
            </w:r>
            <w:r>
              <w:t xml:space="preserve">zdůrazňuje klíčovou úlohu </w:t>
            </w:r>
            <w:r>
              <w:rPr>
                <w:b/>
                <w:i/>
              </w:rPr>
              <w:t>živé</w:t>
            </w:r>
            <w:r>
              <w:t xml:space="preserve"> občanské společnosti při </w:t>
            </w:r>
            <w:r>
              <w:rPr>
                <w:b/>
                <w:i/>
              </w:rPr>
              <w:t>podpoře státních institucí, pokud jde o obranu</w:t>
            </w:r>
            <w:r>
              <w:t xml:space="preserve"> naší demokracie, a to nejen tím, že působí jako strážce a odhaluje zahraniční pokusy zasahovat do demokratických procesů a aktivně proti nim bojuje, ale také tím, že je základní silou v dlouhodobém úsilí o budování silnějších a odolnějších společností; poukazuje zejména na důležitou úlohu občanské společnosti při prosazování hodnot zakotvených v článku 2 SEU; </w:t>
            </w:r>
            <w:r>
              <w:rPr>
                <w:b/>
                <w:i/>
              </w:rPr>
              <w:t>připomíná, že aktivní a nezávislá občanská společnost představuje jeden ze základních pilířů fungující demokracie;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1201</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zdůrazňuje klíčovou úlohu občanské společnosti při </w:t>
            </w:r>
            <w:r>
              <w:rPr>
                <w:b/>
                <w:i/>
              </w:rPr>
              <w:t>obraně naší demokracie, a to nejen tím, že působí jako strážce a odhaluje zahraniční pokusy zasahovat do demokratických procesů a aktivně proti nim bojuje, ale také tím</w:t>
            </w:r>
            <w:r>
              <w:t xml:space="preserve">, že je </w:t>
            </w:r>
            <w:r>
              <w:rPr>
                <w:b/>
                <w:i/>
              </w:rPr>
              <w:t>základní silou v dlouhodobém úsilí o budování silnějších a odolnějších společností;</w:t>
            </w:r>
            <w:r>
              <w:t xml:space="preserve"> </w:t>
            </w:r>
            <w:r>
              <w:rPr>
                <w:b/>
                <w:i/>
              </w:rPr>
              <w:t>poukazuje zejména na důležitou úlohu</w:t>
            </w:r>
            <w:r>
              <w:t xml:space="preserve"> občanské společnosti </w:t>
            </w:r>
            <w:r>
              <w:rPr>
                <w:b/>
                <w:i/>
              </w:rPr>
              <w:t>při prosazování hodnot zakotvených v článku 2 SEU</w:t>
            </w:r>
            <w:r>
              <w:t>;</w:t>
            </w:r>
          </w:p>
        </w:tc>
        <w:tc>
          <w:tcPr>
            <w:tcW w:w="4876" w:type="dxa"/>
            <w:tcBorders>
              <w:top w:val="nil"/>
              <w:left w:val="nil"/>
              <w:bottom w:val="nil"/>
              <w:right w:val="nil"/>
            </w:tcBorders>
          </w:tcPr>
          <w:p>
            <w:pPr>
              <w:pStyle w:val="Normal6a"/>
            </w:pPr>
            <w:r>
              <w:t>36.</w:t>
            </w:r>
            <w:r>
              <w:tab/>
            </w:r>
            <w:r>
              <w:t xml:space="preserve">zdůrazňuje klíčovou úlohu občanské společnosti při </w:t>
            </w:r>
            <w:r>
              <w:rPr>
                <w:b/>
                <w:i/>
              </w:rPr>
              <w:t>přispívání k nepolitickým veřejně prospěšným činnostem;</w:t>
            </w:r>
            <w:r>
              <w:t xml:space="preserve"> </w:t>
            </w:r>
            <w:r>
              <w:rPr>
                <w:b/>
                <w:i/>
              </w:rPr>
              <w:t>zdůrazňuje</w:t>
            </w:r>
            <w:r>
              <w:t xml:space="preserve">, že je </w:t>
            </w:r>
            <w:r>
              <w:rPr>
                <w:b/>
                <w:i/>
              </w:rPr>
              <w:t>důležité zajistit transparentnost a jasně rozlišovat mezi veřejně prospěšnými činnostmi občanské společnosti a politickou podporou;</w:t>
            </w:r>
            <w:r>
              <w:t xml:space="preserve"> </w:t>
            </w:r>
            <w:r>
              <w:rPr>
                <w:b/>
                <w:i/>
              </w:rPr>
              <w:t>domnívá se, že Unie by měla podporovat organizace</w:t>
            </w:r>
            <w:r>
              <w:t xml:space="preserve"> občanské společnosti </w:t>
            </w:r>
            <w:r>
              <w:rPr>
                <w:b/>
                <w:i/>
              </w:rPr>
              <w:t>zapojené do nepolitických veřejně prospěšných činností a vyloučit subjekty, které provádějí politické kampaně nebo prosazují politické zájmy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1202</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zdůrazňuje klíčovou úlohu občanské společnosti při obraně naší demokracie, a to nejen tím, že působí jako strážce a odhaluje </w:t>
            </w:r>
            <w:r>
              <w:rPr>
                <w:b/>
                <w:i/>
              </w:rPr>
              <w:t>zahraniční pokusy zasahovat</w:t>
            </w:r>
            <w:r>
              <w:t xml:space="preserve"> do demokratických procesů a aktivně proti nim bojuje, ale také tím, že je základní silou v dlouhodobém úsilí o budování silnějších a odolnějších společností; poukazuje zejména na důležitou úlohu občanské společnosti při prosazování hodnot zakotvených v článku 2 SEU;</w:t>
            </w:r>
          </w:p>
        </w:tc>
        <w:tc>
          <w:tcPr>
            <w:tcW w:w="4876" w:type="dxa"/>
            <w:tcBorders>
              <w:top w:val="nil"/>
              <w:left w:val="nil"/>
              <w:bottom w:val="nil"/>
              <w:right w:val="nil"/>
            </w:tcBorders>
          </w:tcPr>
          <w:p>
            <w:pPr>
              <w:pStyle w:val="Normal6a"/>
            </w:pPr>
            <w:r>
              <w:t>36.</w:t>
            </w:r>
            <w:r>
              <w:tab/>
            </w:r>
            <w:r>
              <w:t xml:space="preserve">zdůrazňuje klíčovou úlohu občanské společnosti při obraně naší demokracie, a to nejen tím, že působí jako strážce a odhaluje </w:t>
            </w:r>
            <w:r>
              <w:rPr>
                <w:b/>
                <w:i/>
              </w:rPr>
              <w:t>zlovolné zásahy</w:t>
            </w:r>
            <w:r>
              <w:t xml:space="preserve"> do demokratických procesů a aktivně proti nim bojuje, ale také tím, že je základní silou v dlouhodobém úsilí o budování silnějších a odolnějších společností; poukazuje zejména na důležitou úlohu občanské společnosti při prosazování hodnot zakotvených v článku 2 SEU;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1203</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vyzývá Komisi, aby neprodleně iniciovala financování nezávisle řízeného evropského protějšku Citizen Lab se sídlem v Torontu, jehož úkolem bude poskytovat operativní výzkum založený na zpravodajských informacích o hrozbách pro demokracii, lidská práva a globální bezpečnost v digitálním ekosystému;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1204</w:t>
      </w:r>
      <w:r>
        <w:rPr>
          <w:rStyle w:val="HideTWBExt"/>
        </w:rPr>
        <w:t>&lt;/NumAm&gt;</w:t>
      </w:r>
    </w:p>
    <w:p>
      <w:pPr>
        <w:pStyle w:val="NormalBold"/>
      </w:pPr>
      <w:r>
        <w:rPr>
          <w:rStyle w:val="HideTWBExt"/>
          <w:b w:val="0"/>
        </w:rPr>
        <w:t>&lt;RepeatBlock-By&gt;</w:t>
      </w:r>
      <w:r>
        <w:rPr>
          <w:rStyle w:val="HideTWBExt"/>
          <w:b w:val="0"/>
        </w:rPr>
        <w:t>&lt;Members&gt;</w:t>
      </w:r>
      <w:r>
        <w:t>Fabrice Leggeri, Virginie Joron, Marieke Ehlers,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vítá strategii EU pro občanskou společnost, kterou zveřejnila Komise spolu se sdělením o Evropském štítu pro demokracii;</w:t>
            </w:r>
            <w:r>
              <w:t xml:space="preserve"> </w:t>
            </w:r>
            <w:r>
              <w:rPr>
                <w:b/>
                <w:i/>
              </w:rPr>
              <w:t>vítá přístup Komise, který propojuje tuto strategii s činností týkající se štítu jako nástroj k dalšímu posílení občanské angažovanosti;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1205</w:t>
      </w:r>
      <w:r>
        <w:rPr>
          <w:rStyle w:val="HideTWBExt"/>
        </w:rPr>
        <w:t>&lt;/NumAm&gt;</w:t>
      </w:r>
    </w:p>
    <w:p>
      <w:pPr>
        <w:pStyle w:val="NormalBold"/>
      </w:pPr>
      <w:r>
        <w:rPr>
          <w:rStyle w:val="HideTWBExt"/>
          <w:b w:val="0"/>
        </w:rPr>
        <w:t>&lt;RepeatBlock-By&gt;</w:t>
      </w:r>
      <w:r>
        <w:rPr>
          <w:rStyle w:val="HideTWBExt"/>
          <w:b w:val="0"/>
        </w:rPr>
        <w:t>&lt;Members&gt;</w:t>
      </w:r>
      <w:r>
        <w:t>Jaroslav Bžoch, Marieke Ehlers, António Tânger Corrêa,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vítá strategii EU pro občanskou společnost, kterou zveřejnila</w:t>
            </w:r>
            <w:r>
              <w:t xml:space="preserve"> Komise </w:t>
            </w:r>
            <w:r>
              <w:rPr>
                <w:b/>
                <w:i/>
              </w:rPr>
              <w:t>spolu se sdělením o Evropském štítu pro demokracii;</w:t>
            </w:r>
            <w:r>
              <w:t xml:space="preserve"> </w:t>
            </w:r>
            <w:r>
              <w:rPr>
                <w:b/>
                <w:i/>
              </w:rPr>
              <w:t>vítá přístup Komise, který propojuje tuto strategii s činností týkající se štítu jako nástroj k dalšímu posílení</w:t>
            </w:r>
            <w:r>
              <w:t xml:space="preserve"> občanské </w:t>
            </w:r>
            <w:r>
              <w:rPr>
                <w:b/>
                <w:i/>
              </w:rPr>
              <w:t>angažovanosti</w:t>
            </w:r>
            <w:r>
              <w:t>;</w:t>
            </w:r>
          </w:p>
        </w:tc>
        <w:tc>
          <w:tcPr>
            <w:tcW w:w="4876" w:type="dxa"/>
            <w:tcBorders>
              <w:top w:val="nil"/>
              <w:left w:val="nil"/>
              <w:bottom w:val="nil"/>
              <w:right w:val="nil"/>
            </w:tcBorders>
          </w:tcPr>
          <w:p>
            <w:pPr>
              <w:pStyle w:val="Normal6a"/>
            </w:pPr>
            <w:r>
              <w:t>37.</w:t>
            </w:r>
            <w:r>
              <w:tab/>
            </w:r>
            <w:r>
              <w:rPr>
                <w:b/>
                <w:i/>
              </w:rPr>
              <w:t>zdůrazňuje, že</w:t>
            </w:r>
            <w:r>
              <w:t xml:space="preserve"> Komise </w:t>
            </w:r>
            <w:r>
              <w:rPr>
                <w:b/>
                <w:i/>
              </w:rPr>
              <w:t>může podporovat organizace občanské společnosti, které vykonávají veřejně prospěšné činnosti, a to i v oblasti zdravotní péče, sociálních služeb, odborného vzdělávání nebo rekvalifikace pracovníků, ochrany přírody a pomoci obětem násilí;</w:t>
            </w:r>
            <w:r>
              <w:t xml:space="preserve"> </w:t>
            </w:r>
            <w:r>
              <w:rPr>
                <w:b/>
                <w:i/>
              </w:rPr>
              <w:t>zdůrazňuje, že finanční prostředky Unie pro organizace</w:t>
            </w:r>
            <w:r>
              <w:t xml:space="preserve"> občanské </w:t>
            </w:r>
            <w:r>
              <w:rPr>
                <w:b/>
                <w:i/>
              </w:rPr>
              <w:t>společnosti by neměly být využívány na podporu organizací, které se primárně zabývají politickými činnostmi, lobbingem nebo činnostmi zaměřenými na ovlivňování veřejného mínění a voleb, včetně tzv. politických nevládních organizací</w:t>
            </w:r>
            <w:r>
              <w:t xml:space="preserve">; </w:t>
            </w:r>
            <w:r>
              <w:rPr>
                <w:b/>
                <w:i/>
              </w:rPr>
              <w:t>vyzývá Komisi, aby ukončila financování těchto organizací a zdržela se opatření, která by posílila jejich úlohu;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vítá</w:t>
            </w:r>
            <w:r>
              <w:t xml:space="preserve"> strategii EU pro občanskou společnost, kterou zveřejnila Komise </w:t>
            </w:r>
            <w:r>
              <w:rPr>
                <w:b/>
                <w:i/>
              </w:rPr>
              <w:t>spolu se sdělením o Evropském štítu</w:t>
            </w:r>
            <w:r>
              <w:t xml:space="preserve"> pro demokracii</w:t>
            </w:r>
            <w:r>
              <w:rPr>
                <w:b/>
                <w:i/>
              </w:rPr>
              <w:t>;</w:t>
            </w:r>
            <w:r>
              <w:t xml:space="preserve"> </w:t>
            </w:r>
            <w:r>
              <w:rPr>
                <w:b/>
                <w:i/>
              </w:rPr>
              <w:t>vítá</w:t>
            </w:r>
            <w:r>
              <w:t xml:space="preserve"> přístup </w:t>
            </w:r>
            <w:r>
              <w:rPr>
                <w:b/>
                <w:i/>
              </w:rPr>
              <w:t>Komise, který propojuje tuto strategii s činností týkající se štítu jako nástroj k dalšímu posílení občanské angažovanosti</w:t>
            </w:r>
            <w:r>
              <w:t>;</w:t>
            </w:r>
          </w:p>
        </w:tc>
        <w:tc>
          <w:tcPr>
            <w:tcW w:w="4876" w:type="dxa"/>
            <w:tcBorders>
              <w:top w:val="nil"/>
              <w:left w:val="nil"/>
              <w:bottom w:val="nil"/>
              <w:right w:val="nil"/>
            </w:tcBorders>
          </w:tcPr>
          <w:p>
            <w:pPr>
              <w:pStyle w:val="Normal6a"/>
            </w:pPr>
            <w:r>
              <w:t>37.</w:t>
            </w:r>
            <w:r>
              <w:tab/>
            </w:r>
            <w:r>
              <w:rPr>
                <w:b/>
                <w:i/>
              </w:rPr>
              <w:t>bere na vědomí</w:t>
            </w:r>
            <w:r>
              <w:t xml:space="preserve"> strategii EU pro občanskou společnost, kterou zveřejnila Komise</w:t>
            </w:r>
            <w:r>
              <w:rPr>
                <w:b/>
                <w:i/>
              </w:rPr>
              <w:t>;</w:t>
            </w:r>
            <w:r>
              <w:t xml:space="preserve"> </w:t>
            </w:r>
            <w:r>
              <w:rPr>
                <w:b/>
                <w:i/>
              </w:rPr>
              <w:t>vyjadřuje výhrady, pokud jde o propojení této strategie s Evropským štítem</w:t>
            </w:r>
            <w:r>
              <w:t xml:space="preserve"> pro demokracii</w:t>
            </w:r>
            <w:r>
              <w:rPr>
                <w:b/>
                <w:i/>
              </w:rPr>
              <w:t>, neboť takový</w:t>
            </w:r>
            <w:r>
              <w:t xml:space="preserve"> přístup </w:t>
            </w:r>
            <w:r>
              <w:rPr>
                <w:b/>
                <w:i/>
              </w:rPr>
              <w:t>by mohl stírat hranici mezi demokratickou účastí a prosazováním politik;</w:t>
            </w:r>
            <w:r>
              <w:t xml:space="preserve"> </w:t>
            </w:r>
            <w:r>
              <w:rPr>
                <w:b/>
                <w:i/>
              </w:rPr>
              <w:t>zdůrazňuje, že občanská angažovanost by neměla být využívána k prosazování předem stanovených politických cílů nebo k posilování jednotného ideologického výkladu hodnot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vítá</w:t>
            </w:r>
            <w:r>
              <w:t xml:space="preserve"> strategii EU pro občanskou společnost, kterou zveřejnila Komise spolu se sdělením o Evropském štítu pro demokracii; vítá přístup Komise, který propojuje tuto strategii s činností týkající se štítu jako nástroj k dalšímu posílení občanské angažovanosti;</w:t>
            </w:r>
          </w:p>
        </w:tc>
        <w:tc>
          <w:tcPr>
            <w:tcW w:w="4876" w:type="dxa"/>
            <w:tcBorders>
              <w:top w:val="nil"/>
              <w:left w:val="nil"/>
              <w:bottom w:val="nil"/>
              <w:right w:val="nil"/>
            </w:tcBorders>
          </w:tcPr>
          <w:p>
            <w:pPr>
              <w:pStyle w:val="Normal6a"/>
            </w:pPr>
            <w:r>
              <w:t>37.</w:t>
            </w:r>
            <w:r>
              <w:tab/>
            </w:r>
            <w:r>
              <w:rPr>
                <w:b/>
                <w:i/>
              </w:rPr>
              <w:t>bere na vědomí</w:t>
            </w:r>
            <w:r>
              <w:t xml:space="preserve"> strategii EU pro občanskou společnost, kterou zveřejnila Komise spolu se sdělením o Evropském štítu pro demokracii; vítá přístup Komise, který propojuje tuto strategii s činností týkající se štítu jako nástroj k dalšímu posílení občanské angažovanosti; </w:t>
            </w:r>
            <w:r>
              <w:rPr>
                <w:b/>
                <w:i/>
              </w:rPr>
              <w:t>zdůrazňuje, že k řádné obraně úlohy občanské společnosti v demokratických procesech je zapotřebí ambicióznější přístup;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1208</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Juan Fernando López Aguilar, Pina Picierno, Birgit Sippel, Christel Schaldemose,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upozorňuje na zmenšující se občanský prostor a rostoucí tlak, který je vyvíjen na organizace občanské společnosti a obránce lidských práv, zejména ty, kteří se zabývají právy LGBTIQ+ osob, právy žen, podporou migrantů a bojem proti rasismu, mimo jiné prostřednictvím politicky motivovaných vyšetřování a snižování finančních prostředků;</w:t>
            </w:r>
            <w:r>
              <w:t xml:space="preserve"> </w:t>
            </w:r>
            <w:r>
              <w:rPr>
                <w:b/>
                <w:i/>
              </w:rPr>
              <w:t>zdůrazňuje jejich zásadní úlohu při podpoře demokracie, základních práv a sociální spravedlnosti a vyzývá Komisi a členské státy, aby zajistily spolehlivé, udržitelné a diverzifikované financování, které půjde nad rámec krátkodobých projektových grantů a bude zahrnovat stabilní provozní podporu, budování kapacit a lepší přístup pro menší a místní organizace, což občanské společnosti v celé Unii umožní účinně a nezávisle fungovat a přispívat k odolné demokratické společnosti;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1209</w:t>
      </w:r>
      <w:r>
        <w:rPr>
          <w:rStyle w:val="HideTWBExt"/>
        </w:rPr>
        <w:t>&lt;/NumAm&gt;</w:t>
      </w:r>
    </w:p>
    <w:p>
      <w:pPr>
        <w:pStyle w:val="NormalBold"/>
      </w:pPr>
      <w:r>
        <w:rPr>
          <w:rStyle w:val="HideTWBExt"/>
          <w:b w:val="0"/>
        </w:rPr>
        <w:t>&lt;RepeatBlock-By&gt;</w:t>
      </w:r>
      <w:r>
        <w:rPr>
          <w:rStyle w:val="HideTWBExt"/>
          <w:b w:val="0"/>
        </w:rPr>
        <w:t>&lt;Members&gt;</w:t>
      </w:r>
      <w:r>
        <w:t>Kim Van Sparrentak, Hannah Neumann</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zdůrazňuje, že občanská společnost je často terčem zahraničního vměšování, včetně nadnárodních represí, a má proto dobré předpoklady k tomu, aby usnadňovala komunitní informační činnosti a podporovala navrhování účinných řešení;</w:t>
            </w:r>
            <w:r>
              <w:t xml:space="preserve"> </w:t>
            </w:r>
            <w:r>
              <w:rPr>
                <w:b/>
                <w:i/>
              </w:rPr>
              <w:t>vyzývá Komisi, aby zapojila občanskou společnost nejen do činností zaměřených na boj proti zahraničnímu vměšování, ale aby aktivněji využívala její odborné znalosti a zkušenosti při formulování politik;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je znepokojen postupným omezováním přístupu nezávislých výzkumných pracovníků a organizací občanské společnosti k údajům platforem, což brání odhalování a analýze dezinformací a koordinovaného neautentického chování;</w:t>
            </w:r>
            <w:r>
              <w:t xml:space="preserve"> </w:t>
            </w:r>
            <w:r>
              <w:rPr>
                <w:b/>
                <w:i/>
              </w:rPr>
              <w:t>vyzývá Komisi, aby zajistila účinné prosazování povinností přístupu k údajům podle nařízení o digitálních službách, včetně smysluplného a včasného přístupu k údajům nezbytným pro výzkum ve veřejném zájmu;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1211</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zdůrazňuje, že projekty financované z veřejných prostředků by neměly provádět činnosti namířené proti členským státům nebo Unii a jejím hodnotám;</w:t>
            </w:r>
            <w:r>
              <w:t xml:space="preserve"> </w:t>
            </w:r>
            <w:r>
              <w:rPr>
                <w:b/>
                <w:i/>
              </w:rPr>
              <w:t>vyzývá k přísnému monitorování provádění projektů;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vyzývá Komisi, aby posílila svou činnost v oblasti občanského dialogu a vytvořila za tímto účelem nové nástroje;</w:t>
            </w:r>
            <w:r>
              <w:t xml:space="preserve"> </w:t>
            </w:r>
            <w:r>
              <w:rPr>
                <w:b/>
                <w:i/>
              </w:rPr>
              <w:t>vítá v této souvislosti závazek Komise zřídit do roku 2026 funkční platformu občanské společnosti s cílem podpořit systematičtější přístup, který bude využíván k posílení dialogu v souladu s hodnotami EU;</w:t>
            </w:r>
            <w:r>
              <w:t xml:space="preserve"> </w:t>
            </w:r>
            <w:r>
              <w:rPr>
                <w:b/>
                <w:i/>
              </w:rPr>
              <w:t>domnívá se, že ohlášené on-line znalostní centrum pro občanský prostor může přispět ke koordinaci činností organizací občanské společnosti v oblasti ochrany demokracie a boje proti hybridním hrozbám a zahraniční manipulaci s informacemi a vměšování a zlepšit informovanost o situaci;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1213</w:t>
      </w:r>
      <w:r>
        <w:rPr>
          <w:rStyle w:val="HideTWBExt"/>
        </w:rPr>
        <w:t>&lt;/NumAm&gt;</w:t>
      </w:r>
    </w:p>
    <w:p>
      <w:pPr>
        <w:pStyle w:val="NormalBold"/>
      </w:pPr>
      <w:r>
        <w:rPr>
          <w:rStyle w:val="HideTWBExt"/>
          <w:b w:val="0"/>
        </w:rPr>
        <w:t>&lt;RepeatBlock-By&gt;</w:t>
      </w:r>
      <w:r>
        <w:rPr>
          <w:rStyle w:val="HideTWBExt"/>
          <w:b w:val="0"/>
        </w:rPr>
        <w:t>&lt;Members&gt;</w:t>
      </w:r>
      <w:r>
        <w:t>Fabrice Leggeri, Virginie Joron,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vyzývá Komisi, aby </w:t>
            </w:r>
            <w:r>
              <w:rPr>
                <w:b/>
                <w:i/>
              </w:rPr>
              <w:t>posílila svou činnost v oblasti občanského dialogu a vytvořila za tímto účelem nové nástroje;</w:t>
            </w:r>
            <w:r>
              <w:t xml:space="preserve"> </w:t>
            </w:r>
            <w:r>
              <w:rPr>
                <w:b/>
                <w:i/>
              </w:rPr>
              <w:t>vítá v této souvislosti závazek Komise zřídit do roku 2026 funkční platformu</w:t>
            </w:r>
            <w:r>
              <w:t xml:space="preserve"> občanské společnosti </w:t>
            </w:r>
            <w:r>
              <w:rPr>
                <w:b/>
                <w:i/>
              </w:rPr>
              <w:t>s cílem podpořit systematičtější přístup, který bude využíván k posílení dialogu v souladu s hodnotami EU;</w:t>
            </w:r>
            <w:r>
              <w:t xml:space="preserve"> </w:t>
            </w:r>
            <w:r>
              <w:rPr>
                <w:b/>
                <w:i/>
              </w:rPr>
              <w:t>domnívá se, že ohlášené on-line znalostní centrum pro občanský prostor může přispět ke koordinaci činností organizací občanské společnosti v oblasti ochrany demokracie a boje</w:t>
            </w:r>
            <w:r>
              <w:t xml:space="preserve"> proti </w:t>
            </w:r>
            <w:r>
              <w:rPr>
                <w:b/>
                <w:i/>
              </w:rPr>
              <w:t>hybridním hrozbám a zahraniční manipulaci s informacemi a vměšování a zlepšit informovanost o situaci</w:t>
            </w:r>
            <w:r>
              <w:t>;</w:t>
            </w:r>
          </w:p>
        </w:tc>
        <w:tc>
          <w:tcPr>
            <w:tcW w:w="4876" w:type="dxa"/>
            <w:tcBorders>
              <w:top w:val="nil"/>
              <w:left w:val="nil"/>
              <w:bottom w:val="nil"/>
              <w:right w:val="nil"/>
            </w:tcBorders>
          </w:tcPr>
          <w:p>
            <w:pPr>
              <w:pStyle w:val="Normal6a"/>
            </w:pPr>
            <w:r>
              <w:t>38.</w:t>
            </w:r>
            <w:r>
              <w:tab/>
            </w:r>
            <w:r>
              <w:t xml:space="preserve">vyzývá Komisi, aby </w:t>
            </w:r>
            <w:r>
              <w:rPr>
                <w:b/>
                <w:i/>
              </w:rPr>
              <w:t>zastavila své plány na vytvoření platformy občanské společnosti, jejímž cílem by bylo ovlivňovat politická rozhodnutí;</w:t>
            </w:r>
            <w:r>
              <w:t xml:space="preserve"> </w:t>
            </w:r>
            <w:r>
              <w:rPr>
                <w:b/>
                <w:i/>
              </w:rPr>
              <w:t>zdůrazňuje, že organizace</w:t>
            </w:r>
            <w:r>
              <w:t xml:space="preserve"> občanské společnosti </w:t>
            </w:r>
            <w:r>
              <w:rPr>
                <w:b/>
                <w:i/>
              </w:rPr>
              <w:t>nesmí být využívány jako náhrada za činnosti členských států, ani jako nástroj namířený</w:t>
            </w:r>
            <w:r>
              <w:t xml:space="preserve"> proti </w:t>
            </w:r>
            <w:r>
              <w:rPr>
                <w:b/>
                <w:i/>
              </w:rPr>
              <w:t>politickým rozhodnutím členských států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1214</w:t>
      </w:r>
      <w:r>
        <w:rPr>
          <w:rStyle w:val="HideTWBExt"/>
        </w:rPr>
        <w:t>&lt;/NumAm&gt;</w:t>
      </w:r>
    </w:p>
    <w:p>
      <w:pPr>
        <w:pStyle w:val="NormalBold"/>
      </w:pPr>
      <w:r>
        <w:rPr>
          <w:rStyle w:val="HideTWBExt"/>
          <w:b w:val="0"/>
        </w:rPr>
        <w:t>&lt;RepeatBlock-By&gt;</w:t>
      </w:r>
      <w:r>
        <w:rPr>
          <w:rStyle w:val="HideTWBExt"/>
          <w:b w:val="0"/>
        </w:rPr>
        <w:t>&lt;Members&gt;</w:t>
      </w:r>
      <w:r>
        <w:t>Ana Catarina Mendes, Evin Incir,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vyzývá Komisi, aby posílila svou činnost v oblasti občanského dialogu a vytvořila za tímto účelem nové nástroje; vítá v této souvislosti závazek Komise zřídit do roku 2026 funkční platformu občanské společnosti s cílem podpořit systematičtější přístup, který bude využíván k posílení dialogu v souladu s hodnotami EU; domnívá se, že ohlášené on-line znalostní centrum pro občanský prostor může přispět ke koordinaci činností organizací občanské společnosti v oblasti ochrany demokracie a boje proti hybridním hrozbám a zahraniční manipulaci s informacemi a vměšování a zlepšit informovanost o situaci;</w:t>
            </w:r>
          </w:p>
        </w:tc>
        <w:tc>
          <w:tcPr>
            <w:tcW w:w="4876" w:type="dxa"/>
            <w:tcBorders>
              <w:top w:val="nil"/>
              <w:left w:val="nil"/>
              <w:bottom w:val="nil"/>
              <w:right w:val="nil"/>
            </w:tcBorders>
          </w:tcPr>
          <w:p>
            <w:pPr>
              <w:pStyle w:val="Normal6a"/>
            </w:pPr>
            <w:r>
              <w:t>38.</w:t>
            </w:r>
            <w:r>
              <w:tab/>
            </w:r>
            <w:r>
              <w:t xml:space="preserve">vyzývá Komisi, aby posílila svou činnost v oblasti občanského dialogu a vytvořila za tímto účelem nové nástroje; vítá v této souvislosti závazek Komise zřídit do roku 2026 funkční platformu občanské společnosti s cílem podpořit systematičtější přístup, který bude využíván k posílení dialogu v souladu s hodnotami EU; domnívá se, že ohlášené on-line znalostní centrum pro občanský prostor může přispět ke koordinaci činností organizací občanské společnosti v oblasti ochrany demokracie a boje proti hybridním hrozbám a zahraniční manipulaci s informacemi a vměšování a zlepšit informovanost o situaci; </w:t>
            </w:r>
            <w:r>
              <w:rPr>
                <w:b/>
                <w:i/>
              </w:rPr>
              <w:t>zdůrazňuje, že je třeba v rámci možností v tomto dialogu spolupracovat s organizacemi občanské společnosti z kandidátských a potenciálních kandidátských zemí, zejména s těmi, které se soustavně zapojují do podpory digitálního sladění, integrity informací a demokratické odolnosti;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vyzývá Komisi, aby posílila svou činnost v oblasti občanského dialogu a vytvořila za tímto účelem nové nástroje; vítá v této souvislosti závazek Komise zřídit do roku 2026 funkční platformu občanské společnosti s cílem podpořit systematičtější přístup, který bude využíván k posílení dialogu v souladu s hodnotami EU; domnívá se, že ohlášené on-line znalostní centrum pro občanský prostor může přispět ke koordinaci činností organizací občanské společnosti v oblasti ochrany demokracie a boje proti hybridním hrozbám a zahraniční manipulaci s informacemi a vměšování a zlepšit informovanost o situaci;</w:t>
            </w:r>
          </w:p>
        </w:tc>
        <w:tc>
          <w:tcPr>
            <w:tcW w:w="4876" w:type="dxa"/>
            <w:tcBorders>
              <w:top w:val="nil"/>
              <w:left w:val="nil"/>
              <w:bottom w:val="nil"/>
              <w:right w:val="nil"/>
            </w:tcBorders>
          </w:tcPr>
          <w:p>
            <w:pPr>
              <w:pStyle w:val="Normal6a"/>
            </w:pPr>
            <w:r>
              <w:t>38.</w:t>
            </w:r>
            <w:r>
              <w:tab/>
            </w:r>
            <w:r>
              <w:t xml:space="preserve">vyzývá Komisi, aby posílila svou činnost v oblasti občanského dialogu a vytvořila za tímto účelem nové nástroje; vítá v této souvislosti závazek Komise zřídit do roku 2026 funkční platformu občanské společnosti s cílem podpořit systematičtější přístup, který bude využíván k posílení dialogu v souladu s hodnotami EU; domnívá se, že ohlášené on-line znalostní centrum pro občanský prostor může přispět ke koordinaci činností organizací občanské společnosti v oblasti ochrany demokracie a boje proti hybridním hrozbám a zahraniční manipulaci s informacemi a vměšování a zlepšit informovanost o situaci; </w:t>
            </w:r>
            <w:r>
              <w:rPr>
                <w:b/>
                <w:i/>
              </w:rPr>
              <w:t>zdůrazňuje, že do tohoto dialogu je třeba zapojit organizace občanské společnosti z kandidátských a potenciálních kandidátských zemí, zejména ty, které se soustavně zapojují do podpory digitálního sladění, integrity informací a demokratické odolnosti;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1216</w:t>
      </w:r>
      <w:r>
        <w:rPr>
          <w:rStyle w:val="HideTWBExt"/>
        </w:rPr>
        <w:t>&lt;/NumAm&gt;</w:t>
      </w:r>
    </w:p>
    <w:p>
      <w:pPr>
        <w:pStyle w:val="NormalBold"/>
      </w:pPr>
      <w:r>
        <w:rPr>
          <w:rStyle w:val="HideTWBExt"/>
          <w:b w:val="0"/>
        </w:rPr>
        <w:t>&lt;RepeatBlock-By&gt;</w:t>
      </w:r>
      <w:r>
        <w:rPr>
          <w:rStyle w:val="HideTWBExt"/>
          <w:b w:val="0"/>
        </w:rPr>
        <w:t>&lt;Members&gt;</w:t>
      </w:r>
      <w:r>
        <w:t>Kim Van Sparrentak, Hannah Neumann</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vyzývá Komisi, aby posílila svou činnost v oblasti občanského dialogu a vytvořila za tímto účelem nové nástroje; vítá v této souvislosti závazek Komise zřídit do roku 2026 funkční platformu občanské společnosti s cílem podpořit systematičtější přístup, který bude využíván k posílení dialogu v souladu s hodnotami EU; domnívá se, že ohlášené on-line znalostní centrum pro občanský prostor může přispět ke koordinaci činností organizací občanské společnosti v oblasti ochrany demokracie a boje proti hybridním hrozbám </w:t>
            </w:r>
            <w:r>
              <w:rPr>
                <w:b/>
                <w:i/>
              </w:rPr>
              <w:t>a</w:t>
            </w:r>
            <w:r>
              <w:t xml:space="preserve"> zahraniční manipulaci s informacemi a vměšování a zlepšit informovanost o situaci;</w:t>
            </w:r>
          </w:p>
        </w:tc>
        <w:tc>
          <w:tcPr>
            <w:tcW w:w="4876" w:type="dxa"/>
            <w:tcBorders>
              <w:top w:val="nil"/>
              <w:left w:val="nil"/>
              <w:bottom w:val="nil"/>
              <w:right w:val="nil"/>
            </w:tcBorders>
          </w:tcPr>
          <w:p>
            <w:pPr>
              <w:pStyle w:val="Normal6a"/>
            </w:pPr>
            <w:r>
              <w:t>38.</w:t>
            </w:r>
            <w:r>
              <w:tab/>
            </w:r>
            <w:r>
              <w:t xml:space="preserve">vyzývá Komisi, aby posílila svou činnost v oblasti občanského dialogu a vytvořila za tímto účelem nové nástroje; vítá v této souvislosti závazek Komise zřídit do roku 2026 funkční platformu občanské společnosti s cílem podpořit systematičtější přístup, který bude využíván k posílení dialogu v souladu s hodnotami EU; </w:t>
            </w:r>
            <w:r>
              <w:rPr>
                <w:b/>
                <w:i/>
              </w:rPr>
              <w:t>zdůrazňuje, že je třeba spravedlivě odměňovat smysluplnou účast v platformě občanské společnosti s ohledem na omezené zdroje občanské společnosti;</w:t>
            </w:r>
            <w:r>
              <w:t xml:space="preserve"> domnívá se, že ohlášené on-line znalostní centrum pro občanský prostor může přispět ke koordinaci činností organizací občanské společnosti v oblasti ochrany demokracie a boje proti hybridním hrozbám</w:t>
            </w:r>
            <w:r>
              <w:rPr>
                <w:b/>
                <w:i/>
              </w:rPr>
              <w:t>,</w:t>
            </w:r>
            <w:r>
              <w:t xml:space="preserve"> zahraniční manipulaci s informacemi a vměšování a </w:t>
            </w:r>
            <w:r>
              <w:rPr>
                <w:b/>
                <w:i/>
              </w:rPr>
              <w:t>nadnárodní represi a</w:t>
            </w:r>
            <w:r>
              <w:t xml:space="preserve"> zlepšit informovanost o situaci;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1217</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vyzývá Komisi, aby </w:t>
            </w:r>
            <w:r>
              <w:rPr>
                <w:b/>
                <w:i/>
              </w:rPr>
              <w:t>posílila svou činnost v oblasti občanského dialogu a vytvořila za tímto účelem nové nástroje;</w:t>
            </w:r>
            <w:r>
              <w:t xml:space="preserve"> </w:t>
            </w:r>
            <w:r>
              <w:rPr>
                <w:b/>
                <w:i/>
              </w:rPr>
              <w:t>vítá v této souvislosti závazek Komise zřídit do roku 2026 funkční platformu</w:t>
            </w:r>
            <w:r>
              <w:t xml:space="preserve"> občanské společnosti </w:t>
            </w:r>
            <w:r>
              <w:rPr>
                <w:b/>
                <w:i/>
              </w:rPr>
              <w:t>s cílem podpořit systematičtější přístup, který bude využíván k posílení dialogu v souladu s hodnotami EU;</w:t>
            </w:r>
            <w:r>
              <w:t xml:space="preserve"> </w:t>
            </w:r>
            <w:r>
              <w:rPr>
                <w:b/>
                <w:i/>
              </w:rPr>
              <w:t>domnívá se, že ohlášené on-line znalostní centrum pro občanský prostor může přispět ke koordinaci činností</w:t>
            </w:r>
            <w:r>
              <w:t xml:space="preserve"> organizací </w:t>
            </w:r>
            <w:r>
              <w:rPr>
                <w:b/>
                <w:i/>
              </w:rPr>
              <w:t>občanské společnosti v oblasti ochrany demokracie a boje proti hybridním hrozbám a zahraniční manipulaci s informacemi a vměšování a zlepšit informovanost o situaci</w:t>
            </w:r>
            <w:r>
              <w:t>;</w:t>
            </w:r>
          </w:p>
        </w:tc>
        <w:tc>
          <w:tcPr>
            <w:tcW w:w="4876" w:type="dxa"/>
            <w:tcBorders>
              <w:top w:val="nil"/>
              <w:left w:val="nil"/>
              <w:bottom w:val="nil"/>
              <w:right w:val="nil"/>
            </w:tcBorders>
          </w:tcPr>
          <w:p>
            <w:pPr>
              <w:pStyle w:val="Normal6a"/>
            </w:pPr>
            <w:r>
              <w:t>38.</w:t>
            </w:r>
            <w:r>
              <w:tab/>
            </w:r>
            <w:r>
              <w:t xml:space="preserve">vyzývá Komisi, aby </w:t>
            </w:r>
            <w:r>
              <w:rPr>
                <w:b/>
                <w:i/>
              </w:rPr>
              <w:t>se zdržela vytváření dalších nástrojů zaměřených na vytvoření platformy</w:t>
            </w:r>
            <w:r>
              <w:t xml:space="preserve"> občanské společnosti</w:t>
            </w:r>
            <w:r>
              <w:rPr>
                <w:b/>
                <w:i/>
              </w:rPr>
              <w:t>, která by posílila úlohu tzv. politických nevládních</w:t>
            </w:r>
            <w:r>
              <w:t xml:space="preserve"> organizací</w:t>
            </w:r>
            <w:r>
              <w:rPr>
                <w:b/>
                <w:i/>
              </w:rPr>
              <w:t>;</w:t>
            </w:r>
            <w:r>
              <w:t xml:space="preserve"> </w:t>
            </w:r>
            <w:r>
              <w:rPr>
                <w:b/>
                <w:i/>
              </w:rPr>
              <w:t>zdůrazňuje, že občané mají právo veřejně vyjadřovat svůj názor a podílet se na politickém životě, a to i prostřednictvím voleb a zapojení do politických činností, včetně spolupráce politických stran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vyzývá Komisi, aby </w:t>
            </w:r>
            <w:r>
              <w:rPr>
                <w:b/>
                <w:i/>
              </w:rPr>
              <w:t>posílila svou činnost v oblasti občanského dialogu a vytvořila za tímto účelem nové nástroje;</w:t>
            </w:r>
            <w:r>
              <w:t xml:space="preserve"> </w:t>
            </w:r>
            <w:r>
              <w:rPr>
                <w:b/>
                <w:i/>
              </w:rPr>
              <w:t>vítá v této souvislosti závazek Komise zřídit do roku 2026 funkční platformu občanské společnosti s cílem podpořit systematičtější přístup, který bude využíván k posílení dialogu v souladu s hodnotami EU;</w:t>
            </w:r>
            <w:r>
              <w:t xml:space="preserve"> </w:t>
            </w:r>
            <w:r>
              <w:rPr>
                <w:b/>
                <w:i/>
              </w:rPr>
              <w:t>domnívá se, že ohlášené on-line znalostní centrum</w:t>
            </w:r>
            <w:r>
              <w:t xml:space="preserve"> pro občanský </w:t>
            </w:r>
            <w:r>
              <w:rPr>
                <w:b/>
                <w:i/>
              </w:rPr>
              <w:t>prostor může přispět ke koordinaci činností organizací</w:t>
            </w:r>
            <w:r>
              <w:t xml:space="preserve"> občanské společnosti v oblasti </w:t>
            </w:r>
            <w:r>
              <w:rPr>
                <w:b/>
                <w:i/>
              </w:rPr>
              <w:t>ochrany demokracie a</w:t>
            </w:r>
            <w:r>
              <w:t xml:space="preserve"> boje proti </w:t>
            </w:r>
            <w:r>
              <w:rPr>
                <w:b/>
                <w:i/>
              </w:rPr>
              <w:t>hybridním hrozbám a</w:t>
            </w:r>
            <w:r>
              <w:t xml:space="preserve"> zahraniční manipulaci s informacemi a vměšování </w:t>
            </w:r>
            <w:r>
              <w:rPr>
                <w:b/>
                <w:i/>
              </w:rPr>
              <w:t>a zlepšit informovanost o situaci</w:t>
            </w:r>
            <w:r>
              <w:t>;</w:t>
            </w:r>
          </w:p>
        </w:tc>
        <w:tc>
          <w:tcPr>
            <w:tcW w:w="4876" w:type="dxa"/>
            <w:tcBorders>
              <w:top w:val="nil"/>
              <w:left w:val="nil"/>
              <w:bottom w:val="nil"/>
              <w:right w:val="nil"/>
            </w:tcBorders>
          </w:tcPr>
          <w:p>
            <w:pPr>
              <w:pStyle w:val="Normal6a"/>
            </w:pPr>
            <w:r>
              <w:t>38.</w:t>
            </w:r>
            <w:r>
              <w:tab/>
            </w:r>
            <w:r>
              <w:t xml:space="preserve">vyzývá Komisi, aby </w:t>
            </w:r>
            <w:r>
              <w:rPr>
                <w:b/>
                <w:i/>
              </w:rPr>
              <w:t>k vytváření nových nástrojů</w:t>
            </w:r>
            <w:r>
              <w:t xml:space="preserve"> pro občanský </w:t>
            </w:r>
            <w:r>
              <w:rPr>
                <w:b/>
                <w:i/>
              </w:rPr>
              <w:t>dialog přistupovala zdrženlivě;</w:t>
            </w:r>
            <w:r>
              <w:t xml:space="preserve"> </w:t>
            </w:r>
            <w:r>
              <w:rPr>
                <w:b/>
                <w:i/>
              </w:rPr>
              <w:t>varuje před vytvářením stálých nebo centralizovaných platforem, které by mohly upřednostňovat vybrané zúčastněné strany nebo vytvářet paralelní kanály vlivu mimo zavedené demokratické procesy;</w:t>
            </w:r>
            <w:r>
              <w:t xml:space="preserve"> </w:t>
            </w:r>
            <w:r>
              <w:rPr>
                <w:b/>
                <w:i/>
              </w:rPr>
              <w:t>nesouhlasí se zřízením funkční platformy</w:t>
            </w:r>
            <w:r>
              <w:t xml:space="preserve"> občanské společnosti v </w:t>
            </w:r>
            <w:r>
              <w:rPr>
                <w:b/>
                <w:i/>
              </w:rPr>
              <w:t>rámci štítu pro demokracii;</w:t>
            </w:r>
            <w:r>
              <w:t xml:space="preserve"> </w:t>
            </w:r>
            <w:r>
              <w:rPr>
                <w:b/>
                <w:i/>
              </w:rPr>
              <w:t>zdůrazňuje, že jakákoli výměna s nevládními subjekty musí zůstat transparentní a přísně doplňovat zastupitelskou demokracii, aniž by byly svěřeny poradní nebo koordinační funkce v</w:t>
            </w:r>
            <w:r>
              <w:t xml:space="preserve"> oblasti </w:t>
            </w:r>
            <w:r>
              <w:rPr>
                <w:b/>
                <w:i/>
              </w:rPr>
              <w:t>demokratické odolnosti nebo</w:t>
            </w:r>
            <w:r>
              <w:t xml:space="preserve"> boje proti zahraniční manipulaci s informacemi a vměšování;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1219</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vyzývá Komisi, aby posílila svou činnost v oblasti občanského dialogu a vytvořila za tímto účelem nové nástroje; vítá v této souvislosti závazek Komise zřídit do roku 2026 funkční platformu občanské společnosti s cílem podpořit systematičtější přístup, který bude využíván k posílení dialogu v souladu s hodnotami EU; domnívá se, že ohlášené on-line znalostní centrum pro občanský prostor může přispět ke koordinaci činností organizací občanské společnosti v oblasti ochrany demokracie a boje proti </w:t>
            </w:r>
            <w:r>
              <w:rPr>
                <w:b/>
                <w:i/>
              </w:rPr>
              <w:t>hybridním hrozbám a</w:t>
            </w:r>
            <w:r>
              <w:t xml:space="preserve"> zahraniční manipulaci s informacemi a vměšování a zlepšit informovanost o situaci;</w:t>
            </w:r>
          </w:p>
        </w:tc>
        <w:tc>
          <w:tcPr>
            <w:tcW w:w="4876" w:type="dxa"/>
            <w:tcBorders>
              <w:top w:val="nil"/>
              <w:left w:val="nil"/>
              <w:bottom w:val="nil"/>
              <w:right w:val="nil"/>
            </w:tcBorders>
          </w:tcPr>
          <w:p>
            <w:pPr>
              <w:pStyle w:val="Normal6a"/>
            </w:pPr>
            <w:r>
              <w:t>38.</w:t>
            </w:r>
            <w:r>
              <w:tab/>
            </w:r>
            <w:r>
              <w:t>vyzývá Komisi, aby posílila svou činnost v oblasti občanského dialogu a vytvořila za tímto účelem nové nástroje; vítá v této souvislosti závazek Komise zřídit do roku 2026 funkční platformu občanské společnosti s cílem podpořit systematičtější přístup, který bude využíván k posílení dialogu v souladu s hodnotami EU; domnívá se, že ohlášené on-line znalostní centrum pro občanský prostor může přispět ke koordinaci činností organizací občanské společnosti v oblasti ochrany demokracie a boje proti zahraniční manipulaci s informacemi a vměšování a zlepšit informovanost o situaci;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1220</w:t>
      </w:r>
      <w:r>
        <w:rPr>
          <w:rStyle w:val="HideTWBExt"/>
        </w:rPr>
        <w:t>&lt;/NumAm&gt;</w:t>
      </w:r>
    </w:p>
    <w:p>
      <w:pPr>
        <w:pStyle w:val="NormalBold"/>
      </w:pPr>
      <w:r>
        <w:rPr>
          <w:rStyle w:val="HideTWBExt"/>
          <w:b w:val="0"/>
        </w:rPr>
        <w:t>&lt;RepeatBlock-By&gt;</w:t>
      </w:r>
      <w:r>
        <w:rPr>
          <w:rStyle w:val="HideTWBExt"/>
          <w:b w:val="0"/>
        </w:rPr>
        <w:t>&lt;Members&gt;</w:t>
      </w:r>
      <w:r>
        <w:t>Ana Catarina Mendes, Evin Incir,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zdůrazňuje, že je důležité aktivně zapojovat mladé lidi do demokratického života a považovat je za klíčové aktéry při posilování občanské a politické účasti.</w:t>
            </w:r>
            <w:r>
              <w:t xml:space="preserve"> </w:t>
            </w:r>
            <w:r>
              <w:rPr>
                <w:b/>
                <w:i/>
              </w:rPr>
              <w:t>vyzývá k podpoře nových forem zapojení, mimo jiné prostřednictvím rozvoje participativních digitálních platforem, rad mládeže, participativního sestavování rozpočtu a iniciativ na místní úrovni, s cílem zajistit smysluplné zapojení do rozhodovacích procesů na místní, státní a evropské úrovni.</w:t>
            </w:r>
            <w:r>
              <w:t xml:space="preserve"> </w:t>
            </w:r>
            <w:r>
              <w:rPr>
                <w:b/>
                <w:i/>
              </w:rPr>
              <w:t>zdůrazňuje, že je třeba podporovat demokratické inovace vedené mladými lidmi, zvyšovat občanskou a mediální gramotnost a vytvářet inkluzivní prostor, v němž mohou mladí lidé utvářet politiky, přispívat k veřejné diskusi a budovat důvěru v demokratické instituce;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1221</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vyzývá Komisi, aby věnovala zvláštní pozornost kandidátským a potenciálním kandidátským zemím a zavedla mechanismy pravidelného a strukturovaného dialogu s iniciativami a aktéry občanské společnosti v celém regionu, zejména s těmi, kteří se soustavně podílejí na zajištění integrity voleb, boji proti dezinformacím a podpoře integrity informací a demokratické odolnosti, a to na základě inkluzivního přístupu založeného na lidských právech, a aby zajistila, že tento dialog bude smysluplně propojen s prováděním Evropského štítu pro demokracii a strategie EU pro občanskou společnost;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1222</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38b.</w:t>
            </w:r>
            <w:r>
              <w:tab/>
            </w:r>
            <w:r>
              <w:rPr>
                <w:b/>
                <w:i/>
              </w:rPr>
              <w:t>zdůrazňuje, že mladí lidé jsou neúměrně vystaveni dezinformacím, zahraničnímu vměšování a manipulativnímu obsahu vytvořenému umělou inteligencí, neboť jsou více závislí na online platformách a sociálních médiích, pokud jde o informace, komunikaci a politickou mobilizaci;</w:t>
            </w:r>
            <w:r>
              <w:t xml:space="preserve"> </w:t>
            </w:r>
            <w:r>
              <w:rPr>
                <w:b/>
                <w:i/>
              </w:rPr>
              <w:t>zdůrazňuje, že posílení účasti mladých lidí proto není pouze otázkou začleňování, ale klíčovým prvkem demokratické odolnosti a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1223</w:t>
      </w:r>
      <w:r>
        <w:rPr>
          <w:rStyle w:val="HideTWBExt"/>
        </w:rPr>
        <w:t>&lt;/NumAm&gt;</w:t>
      </w:r>
    </w:p>
    <w:p>
      <w:pPr>
        <w:pStyle w:val="NormalBold"/>
      </w:pPr>
      <w:r>
        <w:rPr>
          <w:rStyle w:val="HideTWBExt"/>
          <w:b w:val="0"/>
        </w:rPr>
        <w:t>&lt;RepeatBlock-By&gt;</w:t>
      </w:r>
      <w:r>
        <w:rPr>
          <w:rStyle w:val="HideTWBExt"/>
          <w:b w:val="0"/>
        </w:rPr>
        <w:t>&lt;Members&gt;</w:t>
      </w:r>
      <w:r>
        <w:t>Fabrice Leggeri, Virginie Joron, Marieke Ehlers,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39.</w:t>
            </w:r>
            <w:r>
              <w:tab/>
            </w:r>
            <w:r>
              <w:rPr>
                <w:b/>
                <w:i/>
              </w:rPr>
              <w:t>zdůrazňuje význam konkrétních programů financování, jako je program Občané, rovnost, práva a hodnoty (CERV);</w:t>
            </w:r>
            <w:r>
              <w:t xml:space="preserve"> </w:t>
            </w:r>
            <w:r>
              <w:rPr>
                <w:b/>
                <w:i/>
              </w:rPr>
              <w:t>vítá myšlenku Komise zachovat program CERV a začlenit jej do nového programu AgoraEU na období 2028–2034;</w:t>
            </w:r>
            <w:r>
              <w:t xml:space="preserve"> </w:t>
            </w:r>
            <w:r>
              <w:rPr>
                <w:b/>
                <w:i/>
              </w:rPr>
              <w:t>vyzývá Komisi, aby zajistila, aby financování této složky programu AgoraEU odpovídalo potřebám organizací občanské společnosti a bylo prováděno pod přímým řízením Komise;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rPr>
                <w:b/>
                <w:i/>
              </w:rPr>
              <w:t>zdůrazňuje význam konkrétních</w:t>
            </w:r>
            <w:r>
              <w:t xml:space="preserve"> programů financování</w:t>
            </w:r>
            <w:r>
              <w:rPr>
                <w:b/>
                <w:i/>
              </w:rPr>
              <w:t>, jako je program</w:t>
            </w:r>
            <w:r>
              <w:t xml:space="preserve"> Občané, rovnost, práva a hodnoty (CERV)</w:t>
            </w:r>
            <w:r>
              <w:rPr>
                <w:b/>
                <w:i/>
              </w:rPr>
              <w:t>;</w:t>
            </w:r>
            <w:r>
              <w:t xml:space="preserve"> </w:t>
            </w:r>
            <w:r>
              <w:rPr>
                <w:b/>
                <w:i/>
              </w:rPr>
              <w:t>vítá myšlenku Komise zachovat program CERV a začlenit jej do nového programu</w:t>
            </w:r>
            <w:r>
              <w:t xml:space="preserve"> AgoraEU </w:t>
            </w:r>
            <w:r>
              <w:rPr>
                <w:b/>
                <w:i/>
              </w:rPr>
              <w:t>na období 2028–2034;</w:t>
            </w:r>
            <w:r>
              <w:t xml:space="preserve"> </w:t>
            </w:r>
            <w:r>
              <w:rPr>
                <w:b/>
                <w:i/>
              </w:rPr>
              <w:t>vyzývá Komisi, aby zajistila, aby</w:t>
            </w:r>
            <w:r>
              <w:t xml:space="preserve"> financování </w:t>
            </w:r>
            <w:r>
              <w:rPr>
                <w:b/>
                <w:i/>
              </w:rPr>
              <w:t>této složky programu AgoraEU odpovídalo potřebám organizací občanské společnosti a bylo prováděno</w:t>
            </w:r>
            <w:r>
              <w:t xml:space="preserve"> pod přímým řízením Komise;</w:t>
            </w:r>
          </w:p>
        </w:tc>
        <w:tc>
          <w:tcPr>
            <w:tcW w:w="4876" w:type="dxa"/>
            <w:tcBorders>
              <w:top w:val="nil"/>
              <w:left w:val="nil"/>
              <w:bottom w:val="nil"/>
              <w:right w:val="nil"/>
            </w:tcBorders>
          </w:tcPr>
          <w:p>
            <w:pPr>
              <w:pStyle w:val="Normal6a"/>
            </w:pPr>
            <w:r>
              <w:t>39.</w:t>
            </w:r>
            <w:r>
              <w:tab/>
            </w:r>
            <w:r>
              <w:rPr>
                <w:b/>
                <w:i/>
              </w:rPr>
              <w:t>je znepokojen pokračujícím rozšiřováním</w:t>
            </w:r>
            <w:r>
              <w:t xml:space="preserve"> programů financování </w:t>
            </w:r>
            <w:r>
              <w:rPr>
                <w:b/>
                <w:i/>
              </w:rPr>
              <w:t>Unie určených organizacím občanské společnosti, a to i v rámci programu</w:t>
            </w:r>
            <w:r>
              <w:t xml:space="preserve"> Občané, rovnost, práva a hodnoty (CERV) </w:t>
            </w:r>
            <w:r>
              <w:rPr>
                <w:b/>
                <w:i/>
              </w:rPr>
              <w:t>a navrhovaného rámce</w:t>
            </w:r>
            <w:r>
              <w:t xml:space="preserve"> AgoraEU</w:t>
            </w:r>
            <w:r>
              <w:rPr>
                <w:b/>
                <w:i/>
              </w:rPr>
              <w:t>, které nemohou přeměnit nevládní organizace na subjekty financované a pověřené EU, podobně jako nevládní organizace ovládané státem;</w:t>
            </w:r>
            <w:r>
              <w:t xml:space="preserve"> </w:t>
            </w:r>
            <w:r>
              <w:rPr>
                <w:b/>
                <w:i/>
              </w:rPr>
              <w:t>připomíná, že přidělení těchto finančních prostředků vyvolalo otázky ohledně politické rovnováhy, transparentnosti a nepřímého vlivu na veřejnou diskusi;</w:t>
            </w:r>
            <w:r>
              <w:t xml:space="preserve"> </w:t>
            </w:r>
            <w:r>
              <w:rPr>
                <w:b/>
                <w:i/>
              </w:rPr>
              <w:t>zdůrazňuje, že finanční prostředky Unie nesmí být využívány k podpoře konkrétních ideologických agend nebo k</w:t>
            </w:r>
            <w:r>
              <w:t xml:space="preserve"> financování </w:t>
            </w:r>
            <w:r>
              <w:rPr>
                <w:b/>
                <w:i/>
              </w:rPr>
              <w:t>subjektů zapojených do politické obhajoby proti vládám členských států nebo demokratickým rozhodnutím;</w:t>
            </w:r>
            <w:r>
              <w:t xml:space="preserve"> </w:t>
            </w:r>
            <w:r>
              <w:rPr>
                <w:b/>
                <w:i/>
              </w:rPr>
              <w:t>vyzývá k přísnějším zárukám, plné transparentnosti a politické neutralitě při veškerém budoucím financování a nesouhlasí s centralizací tohoto financování</w:t>
            </w:r>
            <w:r>
              <w:t xml:space="preserve"> pod přímým řízením Komise;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1225</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rPr>
                <w:b/>
                <w:i/>
              </w:rPr>
              <w:t>zdůrazňuje význam</w:t>
            </w:r>
            <w:r>
              <w:t xml:space="preserve"> konkrétních programů financování, jako je program Občané, rovnost, práva a hodnoty (CERV); </w:t>
            </w:r>
            <w:r>
              <w:rPr>
                <w:b/>
                <w:i/>
              </w:rPr>
              <w:t>vítá myšlenku Komise zachovat program</w:t>
            </w:r>
            <w:r>
              <w:t xml:space="preserve"> CERV a </w:t>
            </w:r>
            <w:r>
              <w:rPr>
                <w:b/>
                <w:i/>
              </w:rPr>
              <w:t>začlenit jej</w:t>
            </w:r>
            <w:r>
              <w:t xml:space="preserve"> do nového programu AgoraEU na období 2028–2034; </w:t>
            </w:r>
            <w:r>
              <w:rPr>
                <w:b/>
                <w:i/>
              </w:rPr>
              <w:t>vyzývá Komisi, aby zajistila, aby financování této složky programu AgoraEU odpovídalo potřebám organizací občanské společnosti a bylo prováděno pod přímým řízením Komise;</w:t>
            </w:r>
          </w:p>
        </w:tc>
        <w:tc>
          <w:tcPr>
            <w:tcW w:w="4876" w:type="dxa"/>
            <w:tcBorders>
              <w:top w:val="nil"/>
              <w:left w:val="nil"/>
              <w:bottom w:val="nil"/>
              <w:right w:val="nil"/>
            </w:tcBorders>
          </w:tcPr>
          <w:p>
            <w:pPr>
              <w:pStyle w:val="Normal6a"/>
            </w:pPr>
            <w:r>
              <w:t>39.</w:t>
            </w:r>
            <w:r>
              <w:tab/>
            </w:r>
            <w:r>
              <w:rPr>
                <w:b/>
                <w:i/>
              </w:rPr>
              <w:t>je si vědom existence</w:t>
            </w:r>
            <w:r>
              <w:t xml:space="preserve"> konkrétních programů financování, jako je program Občané, rovnost, práva a hodnoty (CERV); </w:t>
            </w:r>
            <w:r>
              <w:rPr>
                <w:b/>
                <w:i/>
              </w:rPr>
              <w:t>konstatuje, že probíhají diskuse o zachování programu</w:t>
            </w:r>
            <w:r>
              <w:t xml:space="preserve"> CERV a </w:t>
            </w:r>
            <w:r>
              <w:rPr>
                <w:b/>
                <w:i/>
              </w:rPr>
              <w:t>jeho začlenění</w:t>
            </w:r>
            <w:r>
              <w:t xml:space="preserve"> do nového programu AgoraEU na období 2028–2034;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1226</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zdůrazňuje význam konkrétních programů financování, jako je program Občané, rovnost, práva a hodnoty (CERV); vítá myšlenku Komise zachovat program CERV a začlenit jej do nového programu AgoraEU na období 2028–2034; vyzývá Komisi, aby zajistila</w:t>
            </w:r>
            <w:r>
              <w:rPr>
                <w:b/>
                <w:i/>
              </w:rPr>
              <w:t>, aby</w:t>
            </w:r>
            <w:r>
              <w:t xml:space="preserve"> financování této složky programu AgoraEU </w:t>
            </w:r>
            <w:r>
              <w:rPr>
                <w:b/>
                <w:i/>
              </w:rPr>
              <w:t>odpovídalo</w:t>
            </w:r>
            <w:r>
              <w:t xml:space="preserve"> potřebám organizací občanské společnosti a bylo prováděno pod přímým řízením Komise;</w:t>
            </w:r>
          </w:p>
        </w:tc>
        <w:tc>
          <w:tcPr>
            <w:tcW w:w="4876" w:type="dxa"/>
            <w:tcBorders>
              <w:top w:val="nil"/>
              <w:left w:val="nil"/>
              <w:bottom w:val="nil"/>
              <w:right w:val="nil"/>
            </w:tcBorders>
          </w:tcPr>
          <w:p>
            <w:pPr>
              <w:pStyle w:val="Normal6a"/>
            </w:pPr>
            <w:r>
              <w:t>39.</w:t>
            </w:r>
            <w:r>
              <w:tab/>
            </w:r>
            <w:r>
              <w:t xml:space="preserve">zdůrazňuje význam konkrétních programů financování, jako je program Občané, rovnost, práva a hodnoty (CERV); vítá myšlenku Komise zachovat program CERV a začlenit jej do nového programu AgoraEU na období 2028–2034; vyzývá Komisi, aby zajistila </w:t>
            </w:r>
            <w:r>
              <w:rPr>
                <w:b/>
                <w:i/>
              </w:rPr>
              <w:t>dostatečně a předvídatelné</w:t>
            </w:r>
            <w:r>
              <w:t xml:space="preserve"> financování této složky programu AgoraEU</w:t>
            </w:r>
            <w:r>
              <w:rPr>
                <w:b/>
                <w:i/>
              </w:rPr>
              <w:t>, které odpovídá</w:t>
            </w:r>
            <w:r>
              <w:t xml:space="preserve"> potřebám organizací občanské společnosti a bylo prováděno pod přímým řízením Komise;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1227</w:t>
      </w:r>
      <w:r>
        <w:rPr>
          <w:rStyle w:val="HideTWBExt"/>
        </w:rPr>
        <w:t>&lt;/NumAm&gt;</w:t>
      </w:r>
    </w:p>
    <w:p>
      <w:pPr>
        <w:pStyle w:val="NormalBold"/>
      </w:pPr>
      <w:r>
        <w:rPr>
          <w:rStyle w:val="HideTWBExt"/>
          <w:b w:val="0"/>
        </w:rPr>
        <w:t>&lt;RepeatBlock-By&gt;</w:t>
      </w:r>
      <w:r>
        <w:rPr>
          <w:rStyle w:val="HideTWBExt"/>
          <w:b w:val="0"/>
        </w:rPr>
        <w:t>&lt;Members&gt;</w:t>
      </w:r>
      <w:r>
        <w:t>Tomáš Zdechovský, Dan-Ştefan Motreanu, Lukas Mandl, Sandra Kalniete, Marta Wcisło, Fredis Beleris,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zdůrazňuje význam </w:t>
            </w:r>
            <w:r>
              <w:rPr>
                <w:b/>
                <w:i/>
              </w:rPr>
              <w:t>konkrétních</w:t>
            </w:r>
            <w:r>
              <w:t xml:space="preserve"> programů financování</w:t>
            </w:r>
            <w:r>
              <w:rPr>
                <w:b/>
                <w:i/>
              </w:rPr>
              <w:t>, jako je program Občané, rovnost, práva a hodnoty (CERV);</w:t>
            </w:r>
            <w:r>
              <w:t xml:space="preserve"> </w:t>
            </w:r>
            <w:r>
              <w:rPr>
                <w:b/>
                <w:i/>
              </w:rPr>
              <w:t>vítá myšlenku Komise zachovat program CERV a začlenit jej do nového programu AgoraEU na období 2028–2034;</w:t>
            </w:r>
            <w:r>
              <w:t xml:space="preserve"> </w:t>
            </w:r>
            <w:r>
              <w:rPr>
                <w:b/>
                <w:i/>
              </w:rPr>
              <w:t>vyzývá Komisi, aby zajistila, aby financování této složky programu AgoraEU odpovídalo potřebám organizací</w:t>
            </w:r>
            <w:r>
              <w:t xml:space="preserve"> občanské společnosti </w:t>
            </w:r>
            <w:r>
              <w:rPr>
                <w:b/>
                <w:i/>
              </w:rPr>
              <w:t>a bylo prováděno pod přímým řízením</w:t>
            </w:r>
            <w:r>
              <w:t xml:space="preserve"> Komise;</w:t>
            </w:r>
          </w:p>
        </w:tc>
        <w:tc>
          <w:tcPr>
            <w:tcW w:w="4876" w:type="dxa"/>
            <w:tcBorders>
              <w:top w:val="nil"/>
              <w:left w:val="nil"/>
              <w:bottom w:val="nil"/>
              <w:right w:val="nil"/>
            </w:tcBorders>
          </w:tcPr>
          <w:p>
            <w:pPr>
              <w:pStyle w:val="Normal6a"/>
            </w:pPr>
            <w:r>
              <w:t>39.</w:t>
            </w:r>
            <w:r>
              <w:tab/>
            </w:r>
            <w:r>
              <w:t xml:space="preserve">zdůrazňuje význam programů financování </w:t>
            </w:r>
            <w:r>
              <w:rPr>
                <w:b/>
                <w:i/>
              </w:rPr>
              <w:t>EU na podporu sdělovacích prostředků a</w:t>
            </w:r>
            <w:r>
              <w:t xml:space="preserve"> občanské společnosti</w:t>
            </w:r>
            <w:r>
              <w:rPr>
                <w:b/>
                <w:i/>
              </w:rPr>
              <w:t>, včetně programů CERV a Kreativní Evropa;</w:t>
            </w:r>
            <w:r>
              <w:t xml:space="preserve"> </w:t>
            </w:r>
            <w:r>
              <w:rPr>
                <w:b/>
                <w:i/>
              </w:rPr>
              <w:t>vítá záměr</w:t>
            </w:r>
            <w:r>
              <w:t xml:space="preserve"> Komise </w:t>
            </w:r>
            <w:r>
              <w:rPr>
                <w:b/>
                <w:i/>
              </w:rPr>
              <w:t>zajistit kontinuitu v rámci budoucího VFR</w:t>
            </w:r>
            <w:r>
              <w:t xml:space="preserve">; </w:t>
            </w:r>
            <w:r>
              <w:rPr>
                <w:b/>
                <w:i/>
              </w:rPr>
              <w:t>vyzývá k přijetí včasných a přiměřeně financovaných opatření, včetně programu pro odolnost médií, s cílem překlenout přechod do příštího období financování;</w:t>
            </w:r>
            <w:r>
              <w:t xml:space="preserve"> </w:t>
            </w:r>
            <w:r>
              <w:rPr>
                <w:b/>
                <w:i/>
              </w:rPr>
              <w:t>a to i prostřednictvím zvětšení rozsahu programu;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rPr>
                <w:b/>
                <w:i/>
              </w:rPr>
              <w:t>zdůrazňuje, že je třeba zvýšit finanční transparentnost, pokud jde o financování organizací občanské společnosti obecně, a zejména v souvislosti s podporou ze strany třetích zemí;</w:t>
            </w:r>
            <w:r>
              <w:t xml:space="preserve"> </w:t>
            </w:r>
            <w:r>
              <w:rPr>
                <w:b/>
                <w:i/>
              </w:rPr>
              <w:t>připomíná, že organizace občanské společnosti mohou být a byly využívány nepřátelskými subjekty ze zemí mimo EU jako nástroje k nezákonnému ovlivňování demokratických procesů v EU a jejích členských státech;</w:t>
            </w:r>
            <w:r>
              <w:t xml:space="preserve"> zdůrazňuje, že Parlament má jako orgán zvláštní odpovědnost přispívat k reformám v této oblasti s ohledem na tzv. skandál Qatargate; poukazuje však na to, že opatření k řešení této otázky by měla být koncipována tak, aby nemohla být zneužita ke stigmatizaci legitimních aktivit občanské společnosti jako takové;</w:t>
            </w:r>
          </w:p>
        </w:tc>
        <w:tc>
          <w:tcPr>
            <w:tcW w:w="4876" w:type="dxa"/>
            <w:tcBorders>
              <w:top w:val="nil"/>
              <w:left w:val="nil"/>
              <w:bottom w:val="nil"/>
              <w:right w:val="nil"/>
            </w:tcBorders>
          </w:tcPr>
          <w:p>
            <w:pPr>
              <w:pStyle w:val="Normal6a"/>
            </w:pPr>
            <w:r>
              <w:t>40.</w:t>
            </w:r>
            <w:r>
              <w:tab/>
            </w:r>
            <w:r>
              <w:t>zdůrazňuje, že Parlament má jako orgán zvláštní odpovědnost přispívat k reformám v této oblasti s ohledem na tzv. skandál Qatargate</w:t>
            </w:r>
            <w:r>
              <w:rPr>
                <w:b/>
                <w:i/>
              </w:rPr>
              <w:t>;</w:t>
            </w:r>
            <w:r>
              <w:t xml:space="preserve"> </w:t>
            </w:r>
            <w:r>
              <w:rPr>
                <w:b/>
                <w:i/>
              </w:rPr>
              <w:t>konstatuje, že v současné době mohou poslanci přijímat platby od klientů, které nemusí zveřejňovat, a je si vědom rizika zneužití;</w:t>
            </w:r>
            <w:r>
              <w:t xml:space="preserve"> </w:t>
            </w:r>
            <w:r>
              <w:rPr>
                <w:b/>
                <w:i/>
              </w:rPr>
              <w:t>konstatuje, že jeden z klíčových obviněných ve skandále Qatargate pozval bývalého komisaře do správní rady organizace, kterou zneužil jako pro svou vlivovou operaci, a že tento bývalý komisař obdržel souhlas etického výboru Komise, přestože tato přední organizace není registrována v rejstříku transparentnosti EU, a proto nezveřejnila zdroje svého financování, a je si vědom nedostatků stávajícího systému, v němž jsou stávající pravidla integrity prosazována výhradně tím, že se členové téže instituce vzájemně kontrolují;</w:t>
            </w:r>
            <w:r>
              <w:t xml:space="preserve"> </w:t>
            </w:r>
            <w:r>
              <w:rPr>
                <w:b/>
                <w:i/>
              </w:rPr>
              <w:t>domnívá se, že je třeba dále reformovat jednací řád Parlamentu s cílem odstranit stávající mezery v oblasti transparentnosti a integrity a prosazovat stávající pravidla;</w:t>
            </w:r>
            <w:r>
              <w:t xml:space="preserve"> </w:t>
            </w:r>
            <w:r>
              <w:rPr>
                <w:b/>
                <w:i/>
              </w:rPr>
              <w:t>vyzývá k zavedení odrazujících minimálních sankcí v případě porušení pravidel EP, k přísnějšímu zákazu vedlejších pracovních míst lobbistů, která jasně zahrnují poradenské služby, k prohlášení o vedlejších příjmech od prvního centu a k reformě poradního výboru pro chování poslanců, včetně nezávislých externích odborníků;</w:t>
            </w:r>
            <w:r>
              <w:t xml:space="preserve"> </w:t>
            </w:r>
            <w:r>
              <w:rPr>
                <w:b/>
                <w:i/>
              </w:rPr>
              <w:t>konstatuje, že s příštím víceletým finančním rámcem (VFR) vstoupí v platnost změny finančního nařízení, podle nichž bude mnoho dostupných údajů o příjemcích finančních prostředků EU, které jsou k dispozici na portálu pro financování a nabídková řízení a v systému pro finanční transparentnost, a údajů o zástupcích zájmových skupin v rejstříku transparentnosti, sloučeno do jediné brány;</w:t>
            </w:r>
            <w:r>
              <w:t xml:space="preserve"> </w:t>
            </w:r>
            <w:r>
              <w:rPr>
                <w:b/>
                <w:i/>
              </w:rPr>
              <w:t>domnívá se, že interinstitucionální dohodu o rejstříku transparentnosti EU je třeba dále reformovat tak, aby všechny subjekty byly povinny zveřejňovat jak výdaje konkrétně na činnosti spadající do oblasti působnosti rejstříku, tak svůj celkový rozpočet, aby bylo možné porovnávat počty napříč všemi skupinami zapsaných subjektů</w:t>
            </w:r>
            <w:r>
              <w:t xml:space="preserve">; poukazuje však na to, že opatření k řešení této otázky by měla být koncipována tak, aby nemohla být zneužita ke stigmatizaci legitimních aktivit občanské společnosti jako takové; </w:t>
            </w:r>
            <w:r>
              <w:rPr>
                <w:b/>
                <w:i/>
              </w:rPr>
              <w:t>zavazuje se, že bude plnit všechny své povinnosti vyplývající z interinstitucionální dohody o nezávislém orgánu EU pro etiku;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1229</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zdůrazňuje, že je třeba zvýšit finanční transparentnost, pokud jde o financování organizací občanské společnosti obecně, a zejména v souvislosti s podporou ze strany třetích zemí; připomíná, že organizace občanské společnosti mohou být a byly využívány nepřátelskými subjekty ze zemí mimo EU jako nástroje k nezákonnému ovlivňování demokratických procesů v EU a jejích členských státech; zdůrazňuje, že Parlament má jako orgán zvláštní odpovědnost přispívat k reformám v této oblasti s ohledem na tzv. skandál Qatargate; poukazuje však na to, že opatření k řešení této otázky by měla být koncipována tak, aby nemohla být zneužita ke stigmatizaci legitimních aktivit občanské společnosti jako takové;</w:t>
            </w:r>
          </w:p>
        </w:tc>
        <w:tc>
          <w:tcPr>
            <w:tcW w:w="4876" w:type="dxa"/>
            <w:tcBorders>
              <w:top w:val="nil"/>
              <w:left w:val="nil"/>
              <w:bottom w:val="nil"/>
              <w:right w:val="nil"/>
            </w:tcBorders>
          </w:tcPr>
          <w:p>
            <w:pPr>
              <w:pStyle w:val="Normal6a"/>
            </w:pPr>
            <w:r>
              <w:t>40.</w:t>
            </w:r>
            <w:r>
              <w:tab/>
            </w:r>
            <w:r>
              <w:t xml:space="preserve">zdůrazňuje, že je třeba zvýšit finanční transparentnost, pokud jde o financování organizací občanské společnosti obecně, a zejména v souvislosti s podporou ze strany třetích zemí; připomíná, že organizace občanské společnosti mohou být a byly využívány </w:t>
            </w:r>
            <w:r>
              <w:rPr>
                <w:b/>
                <w:i/>
              </w:rPr>
              <w:t>Komisí a</w:t>
            </w:r>
            <w:r>
              <w:t xml:space="preserve"> nepřátelskými subjekty ze zemí mimo EU jako nástroje k nezákonnému ovlivňování demokratických procesů v EU a jejích členských státech; zdůrazňuje, že Parlament má jako orgán zvláštní odpovědnost přispívat k reformám v této oblasti s ohledem na tzv. skandál Qatargate; poukazuje však na to, že opatření k řešení této otázky by měla být koncipována tak, aby nemohla být zneužita ke stigmatizaci legitimních aktivit občanské společnosti jako takové; </w:t>
            </w:r>
            <w:r>
              <w:rPr>
                <w:b/>
                <w:i/>
              </w:rPr>
              <w:t>vyzývá k větší jasnosti a transparentnosti, pokud jde o úlohu nevládních organizací a dalších subjektů občanské společnosti zapojených do provádění Evropského štítu pro demokracii, včetně jejich zdrojů financování, cílů v oblasti prosazování a veškerých údajně regulačních funkcí, které vykonávají, s cílem zajistit demokratickou odpovědnost;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1230</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zdůrazňuje, že je třeba zvýšit finanční transparentnost, pokud jde o financování organizací občanské společnosti obecně, a zejména v souvislosti s podporou ze strany třetích zemí; připomíná, že organizace občanské společnosti mohou být a byly využívány nepřátelskými subjekty ze zemí mimo EU jako nástroje k nezákonnému ovlivňování demokratických procesů v EU a jejích členských státech; zdůrazňuje, že </w:t>
            </w:r>
            <w:r>
              <w:rPr>
                <w:b/>
                <w:i/>
              </w:rPr>
              <w:t>Parlament má</w:t>
            </w:r>
            <w:r>
              <w:t xml:space="preserve"> jako orgán zvláštní odpovědnost přispívat k reformám v této oblasti s ohledem na tzv. skandál </w:t>
            </w:r>
            <w:r>
              <w:rPr>
                <w:b/>
                <w:i/>
              </w:rPr>
              <w:t>Qatargate</w:t>
            </w:r>
            <w:r>
              <w:t>; poukazuje však na to, že opatření k řešení této otázky by měla být koncipována tak, aby nemohla být zneužita ke stigmatizaci legitimních aktivit občanské společnosti jako takové;</w:t>
            </w:r>
          </w:p>
        </w:tc>
        <w:tc>
          <w:tcPr>
            <w:tcW w:w="4876" w:type="dxa"/>
            <w:tcBorders>
              <w:top w:val="nil"/>
              <w:left w:val="nil"/>
              <w:bottom w:val="nil"/>
              <w:right w:val="nil"/>
            </w:tcBorders>
          </w:tcPr>
          <w:p>
            <w:pPr>
              <w:pStyle w:val="Normal6a"/>
            </w:pPr>
            <w:r>
              <w:t>40.</w:t>
            </w:r>
            <w:r>
              <w:tab/>
            </w:r>
            <w:r>
              <w:t xml:space="preserve">zdůrazňuje, že je třeba zvýšit finanční transparentnost, pokud jde o financování organizací občanské společnosti obecně, a zejména v souvislosti s podporou ze strany třetích zemí; připomíná, že organizace občanské společnosti mohou být a byly využívány nepřátelskými subjekty ze zemí mimo EU jako nástroje k nezákonnému ovlivňování demokratických procesů v EU a jejích členských státech; zdůrazňuje, že jako orgán </w:t>
            </w:r>
            <w:r>
              <w:rPr>
                <w:b/>
                <w:i/>
              </w:rPr>
              <w:t>má Parlament</w:t>
            </w:r>
            <w:r>
              <w:t xml:space="preserve"> zvláštní odpovědnost přispívat k reformám v této oblasti s ohledem na tzv. skandál </w:t>
            </w:r>
            <w:r>
              <w:rPr>
                <w:b/>
                <w:i/>
              </w:rPr>
              <w:t>Katargate, odsouzení asistenta bývalého poslance EP AfD Maximiliana Kraha za špionáž pro Čínu a údajné uplácení poslance EP Petra Bystroně Kremlem za šíření ruské propagandy</w:t>
            </w:r>
            <w:r>
              <w:t xml:space="preserve">; poukazuje však na to, že opatření k řešení této otázky by měla být koncipována tak, aby nemohla být zneužita ke stigmatizaci legitimních aktivit občanské společnosti jako takové; </w:t>
            </w:r>
            <w:r>
              <w:rPr>
                <w:b/>
                <w:i/>
              </w:rPr>
              <w:t>varuje před zneužíváním reforem transparentnosti a správních požadavků jako politické záminky nebo jako nástroje autoritářských aktérů k podkopávání demokracie a zájmů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1231</w:t>
      </w:r>
      <w:r>
        <w:rPr>
          <w:rStyle w:val="HideTWBExt"/>
        </w:rPr>
        <w:t>&lt;/NumAm&gt;</w:t>
      </w:r>
    </w:p>
    <w:p>
      <w:pPr>
        <w:pStyle w:val="NormalBold"/>
      </w:pPr>
      <w:r>
        <w:rPr>
          <w:rStyle w:val="HideTWBExt"/>
          <w:b w:val="0"/>
        </w:rPr>
        <w:t>&lt;RepeatBlock-By&gt;</w:t>
      </w:r>
      <w:r>
        <w:rPr>
          <w:rStyle w:val="HideTWBExt"/>
          <w:b w:val="0"/>
        </w:rPr>
        <w:t>&lt;Members&gt;</w:t>
      </w:r>
      <w:r>
        <w:t>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zdůrazňuje, že je třeba </w:t>
            </w:r>
            <w:r>
              <w:rPr>
                <w:b/>
                <w:i/>
              </w:rPr>
              <w:t>zvýšit</w:t>
            </w:r>
            <w:r>
              <w:t xml:space="preserve"> finanční </w:t>
            </w:r>
            <w:r>
              <w:rPr>
                <w:b/>
                <w:i/>
              </w:rPr>
              <w:t>transparentnost</w:t>
            </w:r>
            <w:r>
              <w:t>, pokud jde o financování organizací občanské společnosti obecně, a zejména v souvislosti s podporou ze strany třetích zemí; připomíná, že organizace občanské společnosti mohou být a byly využívány nepřátelskými subjekty ze zemí mimo EU jako nástroje k nezákonnému ovlivňování demokratických procesů v EU a jejích členských státech; zdůrazňuje, že Parlament má jako orgán zvláštní odpovědnost přispívat k reformám v této oblasti s ohledem na tzv. skandál Qatargate; poukazuje však na to, že opatření k řešení této otázky by měla být koncipována tak, aby nemohla být zneužita ke stigmatizaci legitimních aktivit občanské společnosti jako takové;</w:t>
            </w:r>
          </w:p>
        </w:tc>
        <w:tc>
          <w:tcPr>
            <w:tcW w:w="4876" w:type="dxa"/>
            <w:tcBorders>
              <w:top w:val="nil"/>
              <w:left w:val="nil"/>
              <w:bottom w:val="nil"/>
              <w:right w:val="nil"/>
            </w:tcBorders>
          </w:tcPr>
          <w:p>
            <w:pPr>
              <w:pStyle w:val="Normal6a"/>
            </w:pPr>
            <w:r>
              <w:t>40.</w:t>
            </w:r>
            <w:r>
              <w:tab/>
            </w:r>
            <w:r>
              <w:t xml:space="preserve">zdůrazňuje, že je třeba </w:t>
            </w:r>
            <w:r>
              <w:rPr>
                <w:b/>
                <w:i/>
              </w:rPr>
              <w:t>plné</w:t>
            </w:r>
            <w:r>
              <w:t xml:space="preserve"> finanční </w:t>
            </w:r>
            <w:r>
              <w:rPr>
                <w:b/>
                <w:i/>
              </w:rPr>
              <w:t>transparentnosti</w:t>
            </w:r>
            <w:r>
              <w:t xml:space="preserve">, pokud jde o financování organizací občanské společnosti obecně, a zejména v souvislosti s podporou ze strany třetích zemí; připomíná, že organizace občanské společnosti mohou být a byly využívány nepřátelskými subjekty ze zemí mimo EU jako nástroje k nezákonnému ovlivňování demokratických procesů v EU a jejích členských státech; zdůrazňuje, že Parlament má jako orgán zvláštní odpovědnost přispívat k reformám v této oblasti s ohledem na tzv. skandál Qatargate; poukazuje však na to, že opatření k řešení této otázky by měla být koncipována tak, aby nemohla být zneužita ke stigmatizaci legitimních aktivit občanské společnosti jako takové; </w:t>
            </w:r>
            <w:r>
              <w:rPr>
                <w:b/>
                <w:i/>
              </w:rPr>
              <w:t>zdůrazňuje, že EU by se v tomto ohledu měla ujmout vedení ve svých podmínkách financování a pracovních programech, zejména prostřednictvím závazných doložek o transparentnosti a integritě, aby byla zajištěna interinstitucionální rovnováha pravomocí a obecná zásada dělby moci (trias politica);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1232</w:t>
      </w:r>
      <w:r>
        <w:rPr>
          <w:rStyle w:val="HideTWBExt"/>
        </w:rPr>
        <w:t>&lt;/NumAm&gt;</w:t>
      </w:r>
    </w:p>
    <w:p>
      <w:pPr>
        <w:pStyle w:val="NormalBold"/>
      </w:pPr>
      <w:r>
        <w:rPr>
          <w:rStyle w:val="HideTWBExt"/>
          <w:b w:val="0"/>
        </w:rPr>
        <w:t>&lt;RepeatBlock-By&gt;</w:t>
      </w:r>
      <w:r>
        <w:rPr>
          <w:rStyle w:val="HideTWBExt"/>
          <w:b w:val="0"/>
        </w:rPr>
        <w:t>&lt;Members&gt;</w:t>
      </w:r>
      <w:r>
        <w:t>Fabrice Leggeri, Virginie Joron,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zdůrazňuje, že je třeba zvýšit finanční transparentnost, pokud jde o financování organizací občanské společnosti obecně, </w:t>
            </w:r>
            <w:r>
              <w:rPr>
                <w:b/>
                <w:i/>
              </w:rPr>
              <w:t>a zejména</w:t>
            </w:r>
            <w:r>
              <w:t xml:space="preserve"> v souvislosti s podporou ze strany třetích zemí; připomíná, že organizace občanské společnosti mohou být a byly využívány </w:t>
            </w:r>
            <w:r>
              <w:rPr>
                <w:b/>
                <w:i/>
              </w:rPr>
              <w:t>nepřátelskými</w:t>
            </w:r>
            <w:r>
              <w:t xml:space="preserve"> subjekty ze zemí mimo EU jako nástroje k nezákonnému ovlivňování demokratických procesů v EU a jejích členských státech; zdůrazňuje, že Parlament má jako orgán zvláštní odpovědnost přispívat k reformám v této oblasti s ohledem na tzv. skandál Qatargate; poukazuje však na to, že opatření k řešení této otázky by měla být koncipována tak, aby nemohla být zneužita ke stigmatizaci legitimních aktivit občanské společnosti jako takové;</w:t>
            </w:r>
          </w:p>
        </w:tc>
        <w:tc>
          <w:tcPr>
            <w:tcW w:w="4876" w:type="dxa"/>
            <w:tcBorders>
              <w:top w:val="nil"/>
              <w:left w:val="nil"/>
              <w:bottom w:val="nil"/>
              <w:right w:val="nil"/>
            </w:tcBorders>
          </w:tcPr>
          <w:p>
            <w:pPr>
              <w:pStyle w:val="Normal6a"/>
            </w:pPr>
            <w:r>
              <w:t>40.</w:t>
            </w:r>
            <w:r>
              <w:tab/>
            </w:r>
            <w:r>
              <w:t xml:space="preserve">zdůrazňuje, že je třeba zvýšit finanční transparentnost, pokud jde o financování organizací občanské společnosti obecně, </w:t>
            </w:r>
            <w:r>
              <w:rPr>
                <w:b/>
                <w:i/>
              </w:rPr>
              <w:t>včetně transparentnosti ohledně financování poskytovaného Komisí, jakož i</w:t>
            </w:r>
            <w:r>
              <w:t xml:space="preserve"> v souvislosti s podporou </w:t>
            </w:r>
            <w:r>
              <w:rPr>
                <w:b/>
                <w:i/>
              </w:rPr>
              <w:t>především</w:t>
            </w:r>
            <w:r>
              <w:t xml:space="preserve"> ze strany třetích zemí; připomíná, že organizace občanské společnosti mohou být a byly využívány subjekty ze zemí mimo EU</w:t>
            </w:r>
            <w:r>
              <w:rPr>
                <w:b/>
                <w:i/>
              </w:rPr>
              <w:t>, militantními organizacemi a islamistickými skupinami</w:t>
            </w:r>
            <w:r>
              <w:t xml:space="preserve"> jako nástroje k nezákonnému ovlivňování demokratických procesů v EU a jejích členských státech</w:t>
            </w:r>
            <w:r>
              <w:rPr>
                <w:b/>
                <w:i/>
              </w:rPr>
              <w:t>;</w:t>
            </w:r>
            <w:r>
              <w:t xml:space="preserve"> </w:t>
            </w:r>
            <w:r>
              <w:rPr>
                <w:b/>
                <w:i/>
              </w:rPr>
              <w:t>dále bere na vědomí obavy týkající se možného využití některých organizací občanské společnosti jako nástrojů k prosazování institucionálních nebo politických zájmů</w:t>
            </w:r>
            <w:r>
              <w:t>; zdůrazňuje, že Parlament má jako orgán zvláštní odpovědnost přispívat k reformám v této oblasti s ohledem na tzv. skandál Qatargate; poukazuje však na to, že opatření k řešení této otázky by měla být koncipována tak, aby nemohla být zneužita ke stigmatizaci legitimních aktivit občanské společnosti jako takové;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1233</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zdůrazňuje, že je třeba zvýšit finanční transparentnost, pokud jde o financování organizací občanské společnosti obecně, </w:t>
            </w:r>
            <w:r>
              <w:rPr>
                <w:b/>
                <w:i/>
              </w:rPr>
              <w:t>a zejména</w:t>
            </w:r>
            <w:r>
              <w:t xml:space="preserve"> v souvislosti s podporou ze strany třetích zemí; připomíná, že organizace občanské společnosti mohou být a byly využívány nepřátelskými subjekty ze zemí mimo EU jako nástroje k nezákonnému ovlivňování demokratických procesů v </w:t>
            </w:r>
            <w:r>
              <w:rPr>
                <w:b/>
                <w:i/>
              </w:rPr>
              <w:t>EU a jejích</w:t>
            </w:r>
            <w:r>
              <w:t xml:space="preserve"> členských státech; zdůrazňuje, že Parlament má jako orgán zvláštní odpovědnost přispívat k reformám v této oblasti s ohledem na tzv. skandál Qatargate; poukazuje však na to, že opatření k řešení této otázky by měla být koncipována tak, aby nemohla být zneužita ke stigmatizaci legitimních aktivit občanské společnosti jako takové;</w:t>
            </w:r>
          </w:p>
        </w:tc>
        <w:tc>
          <w:tcPr>
            <w:tcW w:w="4876" w:type="dxa"/>
            <w:tcBorders>
              <w:top w:val="nil"/>
              <w:left w:val="nil"/>
              <w:bottom w:val="nil"/>
              <w:right w:val="nil"/>
            </w:tcBorders>
          </w:tcPr>
          <w:p>
            <w:pPr>
              <w:pStyle w:val="Normal6a"/>
            </w:pPr>
            <w:r>
              <w:t>40.</w:t>
            </w:r>
            <w:r>
              <w:tab/>
            </w:r>
            <w:r>
              <w:t xml:space="preserve">zdůrazňuje, že je třeba zvýšit finanční transparentnost, pokud jde o financování organizací občanské společnosti obecně, </w:t>
            </w:r>
            <w:r>
              <w:rPr>
                <w:b/>
                <w:i/>
              </w:rPr>
              <w:t>včetně transparentnosti ohledně financování poskytovaného Komisí, jakož i</w:t>
            </w:r>
            <w:r>
              <w:t xml:space="preserve"> v souvislosti s podporou </w:t>
            </w:r>
            <w:r>
              <w:rPr>
                <w:b/>
                <w:i/>
              </w:rPr>
              <w:t>především</w:t>
            </w:r>
            <w:r>
              <w:t xml:space="preserve"> ze strany třetích zemí; připomíná, že organizace občanské společnosti mohou být a byly využívány nepřátelskými subjekty ze zemí mimo EU jako nástroje k nezákonnému ovlivňování demokratických procesů v </w:t>
            </w:r>
            <w:r>
              <w:rPr>
                <w:b/>
                <w:i/>
              </w:rPr>
              <w:t>Unii a</w:t>
            </w:r>
            <w:r>
              <w:t xml:space="preserve"> členských státech</w:t>
            </w:r>
            <w:r>
              <w:rPr>
                <w:b/>
                <w:i/>
              </w:rPr>
              <w:t>;</w:t>
            </w:r>
            <w:r>
              <w:t xml:space="preserve"> </w:t>
            </w:r>
            <w:r>
              <w:rPr>
                <w:b/>
                <w:i/>
              </w:rPr>
              <w:t>dále bere na vědomí obavy týkající se možného využití některých organizací občanské společnosti jako nástrojů k prosazování institucionálních nebo politických zájmů</w:t>
            </w:r>
            <w:r>
              <w:t>; zdůrazňuje, že Parlament má jako orgán zvláštní odpovědnost přispívat k reformám v této oblasti s ohledem na tzv. skandál Qatargate; poukazuje však na to, že opatření k řešení této otázky by měla být koncipována tak, aby nemohla být zneužita ke stigmatizaci legitimních aktivit občanské společnosti jako takové;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1234</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zdůrazňuje, že je třeba zvýšit finanční transparentnost, pokud jde o financování organizací občanské společnosti obecně, a zejména v souvislosti s podporou ze strany třetích zemí; připomíná, že organizace občanské společnosti mohou být a byly využívány nepřátelskými subjekty ze zemí mimo EU jako nástroje k nezákonnému ovlivňování demokratických procesů v EU a jejích členských státech; zdůrazňuje, že Parlament má jako orgán zvláštní odpovědnost přispívat k reformám v této oblasti s ohledem na tzv. skandál Qatargate; poukazuje však na to, že opatření k řešení této otázky by měla být koncipována tak, aby nemohla být zneužita ke stigmatizaci legitimních aktivit občanské společnosti jako takové;</w:t>
            </w:r>
          </w:p>
        </w:tc>
        <w:tc>
          <w:tcPr>
            <w:tcW w:w="4876" w:type="dxa"/>
            <w:tcBorders>
              <w:top w:val="nil"/>
              <w:left w:val="nil"/>
              <w:bottom w:val="nil"/>
              <w:right w:val="nil"/>
            </w:tcBorders>
          </w:tcPr>
          <w:p>
            <w:pPr>
              <w:pStyle w:val="Normal6a"/>
            </w:pPr>
            <w:r>
              <w:t>40.</w:t>
            </w:r>
            <w:r>
              <w:tab/>
            </w:r>
            <w:r>
              <w:t xml:space="preserve">zdůrazňuje, že je třeba zvýšit finanční transparentnost, pokud jde o financování organizací občanské společnosti obecně, a zejména v souvislosti s podporou ze strany třetích zemí; připomíná, že organizace občanské společnosti mohou být a byly využívány nepřátelskými subjekty ze zemí mimo EU jako nástroje k nezákonnému ovlivňování demokratických procesů v EU a jejích členských státech; zdůrazňuje, že Parlament má jako orgán zvláštní odpovědnost přispívat k reformám v této oblasti s ohledem na tzv. skandál Qatargate; poukazuje však na to, že opatření k řešení této otázky by měla být koncipována tak, aby nemohla být zneužita ke stigmatizaci legitimních aktivit občanské společnosti jako takové; </w:t>
            </w:r>
            <w:r>
              <w:rPr>
                <w:b/>
                <w:i/>
              </w:rPr>
              <w:t>zdůrazňuje, že je důležité zveřejňovat názvy nevládních organizací, s nimiž Evropská komise uzavřela smlouvy, aby byla zajištěna plná transparentnost a veřejná odpovědnost činností financovaných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zdůrazňuje, že je třeba zvýšit finanční transparentnost, pokud jde o financování organizací občanské společnosti obecně, a zejména v souvislosti s podporou ze strany třetích zemí; připomíná, že organizace občanské společnosti mohou být a byly využívány nepřátelskými subjekty ze zemí mimo EU jako nástroje k nezákonnému ovlivňování demokratických procesů v EU a jejích členských státech; zdůrazňuje, že Parlament má jako orgán zvláštní odpovědnost přispívat k reformám v této oblasti s ohledem na tzv. skandál Qatargate; poukazuje však na to, že opatření k řešení této otázky by měla být koncipována tak, aby nemohla být zneužita ke stigmatizaci legitimních aktivit občanské společnosti jako takové;</w:t>
            </w:r>
          </w:p>
        </w:tc>
        <w:tc>
          <w:tcPr>
            <w:tcW w:w="4876" w:type="dxa"/>
            <w:tcBorders>
              <w:top w:val="nil"/>
              <w:left w:val="nil"/>
              <w:bottom w:val="nil"/>
              <w:right w:val="nil"/>
            </w:tcBorders>
          </w:tcPr>
          <w:p>
            <w:pPr>
              <w:pStyle w:val="Normal6a"/>
            </w:pPr>
            <w:r>
              <w:t>40.</w:t>
            </w:r>
            <w:r>
              <w:tab/>
            </w:r>
            <w:r>
              <w:t xml:space="preserve">zdůrazňuje, že je třeba zvýšit finanční transparentnost, pokud jde o financování organizací občanské společnosti obecně, a zejména v souvislosti s podporou ze strany třetích zemí; připomíná, že organizace občanské společnosti mohou být a byly využívány nepřátelskými subjekty ze zemí mimo EU jako nástroje k nezákonnému ovlivňování demokratických procesů v EU a jejích členských státech; zdůrazňuje, že Parlament má jako orgán zvláštní odpovědnost přispívat k reformám v této oblasti s ohledem na tzv. skandál Qatargate; </w:t>
            </w:r>
            <w:r>
              <w:rPr>
                <w:b/>
                <w:i/>
              </w:rPr>
              <w:t>zdůrazňuje, že požadavky na transparentnost musí platit stejně pro všechny organizace občanské společnosti, včetně těch, které dostávají finanční prostředky Unie nebo jednají v úzké spolupráci s orgány a institucemi Unie;</w:t>
            </w:r>
            <w:r>
              <w:t xml:space="preserve"> poukazuje však na to, že opatření k řešení této otázky by měla být koncipována tak, aby nemohla být zneužita ke stigmatizaci legitimních aktivit občanské společnosti jako takové;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1236</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zdůrazňuje, že je třeba zvýšit finanční transparentnost, pokud jde o financování organizací občanské společnosti obecně, a zejména v souvislosti s podporou ze strany třetích zemí; připomíná, že organizace občanské společnosti mohou být a byly využívány nepřátelskými subjekty ze zemí mimo EU jako nástroje k nezákonnému ovlivňování demokratických procesů v EU a jejích členských státech; zdůrazňuje, že Parlament </w:t>
            </w:r>
            <w:r>
              <w:rPr>
                <w:b/>
                <w:i/>
              </w:rPr>
              <w:t>má</w:t>
            </w:r>
            <w:r>
              <w:t xml:space="preserve"> jako orgán zvláštní odpovědnost </w:t>
            </w:r>
            <w:r>
              <w:rPr>
                <w:b/>
                <w:i/>
              </w:rPr>
              <w:t>přispívat k reformám v této oblasti</w:t>
            </w:r>
            <w:r>
              <w:t xml:space="preserve"> s ohledem na </w:t>
            </w:r>
            <w:r>
              <w:rPr>
                <w:b/>
                <w:i/>
              </w:rPr>
              <w:t>tzv. skandál Qatargate</w:t>
            </w:r>
            <w:r>
              <w:t>; poukazuje však na to, že opatření k řešení této otázky by měla být koncipována tak, aby nemohla být zneužita ke stigmatizaci legitimních aktivit občanské společnosti jako takové;</w:t>
            </w:r>
          </w:p>
        </w:tc>
        <w:tc>
          <w:tcPr>
            <w:tcW w:w="4876" w:type="dxa"/>
            <w:tcBorders>
              <w:top w:val="nil"/>
              <w:left w:val="nil"/>
              <w:bottom w:val="nil"/>
              <w:right w:val="nil"/>
            </w:tcBorders>
          </w:tcPr>
          <w:p>
            <w:pPr>
              <w:pStyle w:val="Normal6a"/>
            </w:pPr>
            <w:r>
              <w:t>40.</w:t>
            </w:r>
            <w:r>
              <w:tab/>
            </w:r>
            <w:r>
              <w:t xml:space="preserve">zdůrazňuje, že je třeba zvýšit finanční transparentnost, pokud jde o financování organizací občanské společnosti obecně, a zejména v souvislosti s podporou ze strany třetích zemí; připomíná, že organizace občanské společnosti mohou být a byly využívány nepřátelskými subjekty ze zemí mimo EU jako nástroje k nezákonnému ovlivňování demokratických procesů v EU a jejích členských státech; zdůrazňuje, že Parlament jako orgán </w:t>
            </w:r>
            <w:r>
              <w:rPr>
                <w:b/>
                <w:i/>
              </w:rPr>
              <w:t>nese</w:t>
            </w:r>
            <w:r>
              <w:t xml:space="preserve"> zvláštní odpovědnost </w:t>
            </w:r>
            <w:r>
              <w:rPr>
                <w:b/>
                <w:i/>
              </w:rPr>
              <w:t>za posílení standardů integrity, transparentnosti a odpovědnosti</w:t>
            </w:r>
            <w:r>
              <w:t xml:space="preserve"> s ohledem na </w:t>
            </w:r>
            <w:r>
              <w:rPr>
                <w:b/>
                <w:i/>
              </w:rPr>
              <w:t>zkušenosti získané z minulých případů korupce a zahraničního vměšování</w:t>
            </w:r>
            <w:r>
              <w:t>; poukazuje však na to, že opatření k řešení této otázky by měla být koncipována tak, aby nemohla být zneužita ke stigmatizaci legitimních aktivit občanské společnosti jako takové;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Juan Fernando López Aguilar, Pina Picierno, Birgit Sippel, Christel Schaldemose,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zdůrazňuje, že je třeba zvýšit finanční transparentnost, pokud jde o financování </w:t>
            </w:r>
            <w:r>
              <w:rPr>
                <w:b/>
                <w:i/>
              </w:rPr>
              <w:t>organizací občanské společnosti</w:t>
            </w:r>
            <w:r>
              <w:t xml:space="preserve"> obecně, a zejména v souvislosti s podporou ze strany třetích zemí; připomíná, že organizace </w:t>
            </w:r>
            <w:r>
              <w:rPr>
                <w:b/>
                <w:i/>
              </w:rPr>
              <w:t>občanské společnosti</w:t>
            </w:r>
            <w:r>
              <w:t xml:space="preserve"> mohou být a </w:t>
            </w:r>
            <w:r>
              <w:rPr>
                <w:b/>
                <w:i/>
              </w:rPr>
              <w:t>byly</w:t>
            </w:r>
            <w:r>
              <w:t xml:space="preserve"> využívány nepřátelskými subjekty ze zemí mimo EU jako nástroje k nezákonnému ovlivňování demokratických procesů v EU a jejích členských státech; zdůrazňuje, že Parlament má jako orgán zvláštní odpovědnost přispívat k reformám v této oblasti s ohledem na tzv. </w:t>
            </w:r>
            <w:r>
              <w:rPr>
                <w:b/>
                <w:i/>
              </w:rPr>
              <w:t>skandál Qatargate;</w:t>
            </w:r>
            <w:r>
              <w:t xml:space="preserve"> </w:t>
            </w:r>
            <w:r>
              <w:rPr>
                <w:b/>
                <w:i/>
              </w:rPr>
              <w:t>poukazuje však na to, že opatření k řešení této otázky by měla být koncipována tak, aby nemohla být zneužita ke stigmatizaci legitimních aktivit občanské</w:t>
            </w:r>
            <w:r>
              <w:t xml:space="preserve"> společnosti </w:t>
            </w:r>
            <w:r>
              <w:rPr>
                <w:b/>
                <w:i/>
              </w:rPr>
              <w:t>jako takové</w:t>
            </w:r>
            <w:r>
              <w:t>;</w:t>
            </w:r>
          </w:p>
        </w:tc>
        <w:tc>
          <w:tcPr>
            <w:tcW w:w="4876" w:type="dxa"/>
            <w:tcBorders>
              <w:top w:val="nil"/>
              <w:left w:val="nil"/>
              <w:bottom w:val="nil"/>
              <w:right w:val="nil"/>
            </w:tcBorders>
          </w:tcPr>
          <w:p>
            <w:pPr>
              <w:pStyle w:val="Normal6a"/>
            </w:pPr>
            <w:r>
              <w:t>40.</w:t>
            </w:r>
            <w:r>
              <w:tab/>
            </w:r>
            <w:r>
              <w:t xml:space="preserve">zdůrazňuje, že je třeba zvýšit finanční transparentnost, pokud jde o financování </w:t>
            </w:r>
            <w:r>
              <w:rPr>
                <w:b/>
                <w:i/>
              </w:rPr>
              <w:t>zástupců zájmových skupin</w:t>
            </w:r>
            <w:r>
              <w:t xml:space="preserve"> obecně, a zejména v souvislosti s podporou ze strany třetích zemí; připomíná, že organizace </w:t>
            </w:r>
            <w:r>
              <w:rPr>
                <w:b/>
                <w:i/>
              </w:rPr>
              <w:t>zástupců zájmových skupin</w:t>
            </w:r>
            <w:r>
              <w:t xml:space="preserve"> mohou být a </w:t>
            </w:r>
            <w:r>
              <w:rPr>
                <w:b/>
                <w:i/>
              </w:rPr>
              <w:t>jsou</w:t>
            </w:r>
            <w:r>
              <w:t xml:space="preserve"> využívány nepřátelskými subjekty ze zemí mimo EU jako nástroje k nezákonnému ovlivňování demokratických procesů v EU a jejích členských státech; zdůrazňuje, že Parlament má jako orgán zvláštní odpovědnost přispívat k reformám v této oblasti s ohledem na tzv. </w:t>
            </w:r>
            <w:r>
              <w:rPr>
                <w:b/>
                <w:i/>
              </w:rPr>
              <w:t>skandály Kataru a</w:t>
            </w:r>
            <w:r>
              <w:t xml:space="preserve"> společnosti </w:t>
            </w:r>
            <w:r>
              <w:rPr>
                <w:b/>
                <w:i/>
              </w:rPr>
              <w:t>Huawei;</w:t>
            </w:r>
            <w:r>
              <w:t xml:space="preserve"> </w:t>
            </w:r>
            <w:r>
              <w:rPr>
                <w:b/>
                <w:i/>
              </w:rPr>
              <w:t>varuje před zneužíváním tzv. reforem transparentnosti a správních požadavků k podkopávání demokracie a zájmů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1238</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připomíná nedávné případy, které vyvolaly vážné obavy, pokud jde o transparentnost, proporcionalitu a dodržování základních práv v souvislosti s politickou komunikací a regulací sdělovacích prostředků, včetně obvinění z cílené politické reklamy Komise během volebních procesů v Nizozemsku;</w:t>
            </w:r>
            <w:r>
              <w:t xml:space="preserve"> </w:t>
            </w:r>
            <w:r>
              <w:rPr>
                <w:b/>
                <w:i/>
              </w:rPr>
              <w:t>dále připomíná spory ohledně zatčení zakladatele společnosti Telegram Pavla Durova a bere na vědomí obavy vyjádřené v souvislosti s možnými důsledky pro svobodu projevu a přístup k informacím;</w:t>
            </w:r>
            <w:r>
              <w:t xml:space="preserve"> </w:t>
            </w:r>
            <w:r>
              <w:rPr>
                <w:b/>
                <w:i/>
              </w:rPr>
              <w:t>připomíná rovněž případy, kdy byly na televizní kanály uvaleny sankce;</w:t>
            </w:r>
            <w:r>
              <w:t xml:space="preserve"> </w:t>
            </w:r>
            <w:r>
              <w:rPr>
                <w:b/>
                <w:i/>
              </w:rPr>
              <w:t>zdůrazňuje, že v Unii musí být veškerá opatření týkající se mediálních subjektů nebo digitálních platforem přísně v souladu s právem EU, včetně Listiny základních práv, a musí být založena na jasných právních důvodech, podléhat účinnému soudnímu přezkumu a dodržovat zásady nezbytnosti, proporcionality a nediskriminace;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konstatuje, že ačkoli organizace občanské společnosti hrají zásadní úlohu při podpoře pluralismu, lidských práv a demokratické účasti, mohou být v některých případech terčem infiltrace nebo účelového využívání nepřátelskými zahraničními vlivovými aktéry, kteří se snaží narušit politické procesy nebo veřejnou diskusi;</w:t>
            </w:r>
            <w:r>
              <w:t xml:space="preserve"> </w:t>
            </w:r>
            <w:r>
              <w:rPr>
                <w:b/>
                <w:i/>
              </w:rPr>
              <w:t>zdůrazňuje, že v rámci formálního politického dialogu a provádění veřejné politiky by měla být hlavním institucionálním partnerem orgánů EU řádně ustavená vláda příslušného členského státu nebo třetí země, zatímco organizace občanské společnosti přispívají v poradní a doplňkové funkci;</w:t>
            </w:r>
            <w:r>
              <w:t xml:space="preserve"> </w:t>
            </w:r>
            <w:r>
              <w:rPr>
                <w:b/>
                <w:i/>
              </w:rPr>
              <w:t>zdůrazňuje, že takový přístup zachovává demokratickou legitimitu a institucionální odpovědnost a zároveň nadále podporuje smysluplné zapojení občanské společnosti;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1240</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trvá na tom, že je třeba, aby se evropské orgány a instituce chránily před jakýmkoliv přístupem ze strany nestátních subjektů, které prosazují myšlenky, jež jsou v rozporu s evropskými hodnotami;</w:t>
            </w:r>
            <w:r>
              <w:t xml:space="preserve"> </w:t>
            </w:r>
            <w:r>
              <w:rPr>
                <w:b/>
                <w:i/>
              </w:rPr>
              <w:t>bere na vědomí zejména ideologickou kontinuitu mezi Muslimským bratrstvem a organizací FEMYSO, a vyzývá proto k revizi příslušné registrace v rejstříku transparentnosti;</w:t>
            </w:r>
            <w:r>
              <w:t xml:space="preserve"> </w:t>
            </w:r>
            <w:r>
              <w:rPr>
                <w:b/>
                <w:i/>
              </w:rPr>
              <w:t>je znepokojen ultrakonzervativními skupinami usazenými v Evropě, jako je organizace Ordo Iuris, které stojí v čele úsilí o omezení práv žen a LGBTQI+ osob;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1241</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vyjadřuje znepokojení ohledně tzv. Greengate, což se týká možného využívání finančních prostředků EU nevládními organizacemi k ovlivňování politického hlasování;</w:t>
            </w:r>
            <w:r>
              <w:t xml:space="preserve"> </w:t>
            </w:r>
            <w:r>
              <w:rPr>
                <w:b/>
                <w:i/>
              </w:rPr>
              <w:t>vyzývá k důkladnému a transparentnímu vyšetření těchto obvinění v rámci stávající pracovní skupiny pro kontrolu a k přijetí opatření, která zajistí, aby finanční prostředky Unie byly využívány výhradně k zamýšleným účelům;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zdůrazňuje, že "celospolečenské" přístupy k boji proti zahraniční manipulaci s informacemi a vměšování nesmí stírat hranici mezi podporou občanské společnosti a rádoby vymáhacími úlohami;</w:t>
            </w:r>
            <w:r>
              <w:t xml:space="preserve"> </w:t>
            </w:r>
            <w:r>
              <w:rPr>
                <w:b/>
                <w:i/>
              </w:rPr>
              <w:t>vyzývá k zavedení záruk, které zajistí nezávislost, politickou neutralitu a zabrání tomu, aby státní a nevládní organizace zadávaly cenzurní funkce externím subjektům;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vyzývá Komisi, aby přesměrovala finanční prostředky vyčleněné pro vlády, které aktivně šíří dezinformace a protiunijní propagandu, zejména v Srbsku a Gruzii, na občanskou společnost v těchto zemích;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1244</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zdůrazňuje, že je třeba, aby kodex chování zástupců zájmových skupin obsahoval odkaz na dodržování zásad financování Evropské unie stanovených ve Smlouvách;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1245</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s velkým znepokojením bere na vědomí obecný nedostatek transparentnosti a řádné kontroly ve vztazích mezi orgány EU a nevládními organizacemi;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1246</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40b.</w:t>
            </w:r>
            <w:r>
              <w:tab/>
            </w:r>
            <w:r>
              <w:rPr>
                <w:b/>
                <w:i/>
              </w:rPr>
              <w:t>Vyjadřuje znepokojení nad praktikami, jež jsou někdy označovány jako „stínová regulace“, kdy se orgány veřejné moci mohou snažit obejít ústavní a právní záruky týkající se svobody projevu tím, že pověří sledováním obsahu, moderováním obsahu nebo omezováním obsahu soukromé subjekty;</w:t>
            </w:r>
            <w:r>
              <w:t xml:space="preserve"> </w:t>
            </w:r>
            <w:r>
              <w:rPr>
                <w:b/>
                <w:i/>
              </w:rPr>
              <w:t>zdůrazňuje, že jakékoli omezení svobody projevu musí být založeno na jasných právních důvodech, musí být v souladu se zásadami zákonnosti, nezbytnosti a proporcionality a musí podléhat účinnému soudnímu přezkumu;</w:t>
            </w:r>
            <w:r>
              <w:t xml:space="preserve"> </w:t>
            </w:r>
            <w:r>
              <w:rPr>
                <w:b/>
                <w:i/>
              </w:rPr>
              <w:t>vyzývá k tomu, aby finanční prostředky Unie nebyly přidělovány nevládním organizacím, včetně subjektů jednajících jako tzv. důvěryhodní oznamovatelé nebo ověřovatelé faktů, za účelem monitorování, označování, omezování nebo jiného potlačování obsahu, který je zákonný, bez ohledu na jeho vnímanou pravdivost;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40b.</w:t>
            </w:r>
            <w:r>
              <w:tab/>
            </w:r>
            <w:r>
              <w:rPr>
                <w:b/>
                <w:i/>
              </w:rPr>
              <w:t>Ostře kritizuje skutečnost, že Komise využívá finanční prostředky EU k nepřímému řízení vnitrostátních politických diskusí prostřednictvím strategického financování organizací prosazujících zájmy, zejména pokud toto financování slouží k podpoře konkrétních politických výsledků nebo diskreditaci hospodářských subjektů v členských státech</w:t>
            </w:r>
            <w:r>
              <w:rPr>
                <w:b/>
                <w:i/>
                <w:vertAlign w:val="superscript"/>
              </w:rPr>
              <w:t>1a</w:t>
            </w:r>
            <w:r>
              <w:rPr>
                <w:b/>
                <w:i/>
              </w:rPr>
              <w:t>;</w:t>
            </w:r>
            <w:r>
              <w:t xml:space="preserve"> </w:t>
            </w:r>
            <w:r>
              <w:rPr>
                <w:b/>
                <w:i/>
              </w:rPr>
              <w:t>vyzývá Komisi, aby zveřejnila v plném rozsahu všechny smlouvy a grantové dohody s organizacemi občanské společnosti, které zahrnují jakoukoli formu politické obhajoby nebo kampaně zaměřené na politiky nebo instituce členských států;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Welt, „Geheime Verträge – EU-Kommission bezahlte Aktivisten für Klimalobbyismus“ (Tajné smlouvy – Evropská komise platila aktivistům za lobbing v oblasti klimatu), 6. června 2025;</w:t>
            </w:r>
            <w:r>
              <w:t xml:space="preserve"> </w:t>
            </w:r>
            <w:r>
              <w:rPr>
                <w:b/>
                <w:i/>
              </w:rPr>
              <w:t>De Telegraaf, „Brussels betaalt lobby tegen lidstaten“ (Brusel platí za lobování proti členským státům),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1248</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40b.</w:t>
            </w:r>
            <w:r>
              <w:tab/>
            </w:r>
            <w:r>
              <w:rPr>
                <w:b/>
                <w:i/>
              </w:rPr>
              <w:t>Vyzývá Komisi, aby vytvořila jednotnou veřejně přístupnou databázi EU, v níž budou uvedeny všechny granty, smlouvy, dílčí granty a financované projekty a na požádání budou k dispozici úplné smlouvy;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1249</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40c.</w:t>
            </w:r>
            <w:r>
              <w:tab/>
            </w:r>
            <w:r>
              <w:rPr>
                <w:b/>
                <w:i/>
              </w:rPr>
              <w:t>Připomíná, že orgány Unie musí zůstat politicky neutrálními rozhodci a nesmí se stát aktéry, kteří formují nebo podporují konkrétní politické narativy v rámci demokratických diskusí členských států;</w:t>
            </w:r>
            <w:r>
              <w:t xml:space="preserve"> </w:t>
            </w:r>
            <w:r>
              <w:rPr>
                <w:b/>
                <w:i/>
              </w:rPr>
              <w:t>zdůrazňuje, že využívání veřejných prostředků na komunikaci, prosazování zájmů nebo mobilizaci zúčastněných stran musí být velmi omezené, respektovat pluralitu, vyhnout se politickému ladění a podléhat nejvyšším standardům transparentnosti a odpovědnosti;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1250</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40c.</w:t>
            </w:r>
            <w:r>
              <w:tab/>
            </w:r>
            <w:r>
              <w:rPr>
                <w:b/>
                <w:i/>
              </w:rPr>
              <w:t>Zdůrazňuje, že databáze by měla obsahovat jména a příslušnost externích odborníků, aby se zabránilo střetu zájmů;</w:t>
            </w:r>
            <w:r>
              <w:t xml:space="preserve"> </w:t>
            </w:r>
            <w:r>
              <w:rPr>
                <w:b/>
                <w:i/>
              </w:rPr>
              <w:t>zdůrazňuje, že tato transparentnost má zásadní význam pro zajištění odpovědnosti, demokratického dohledu a důvěry veřejnosti, a varuje, že bez ní by financování Unie mohlo upřednostňovat určité narativy a oslabit její demokratickou legitimitu;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1251</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40d.</w:t>
            </w:r>
            <w:r>
              <w:tab/>
            </w:r>
            <w:r>
              <w:rPr>
                <w:b/>
                <w:i/>
              </w:rPr>
              <w:t>Varuje před využíváním „zapojení občanů“ financovaného Unií, shromažďování nebo mechanismů účasti zprostředkovaných nevládními organizacemi jako náhrady za reprezentativní demokratické procesy;</w:t>
            </w:r>
            <w:r>
              <w:t xml:space="preserve"> </w:t>
            </w:r>
            <w:r>
              <w:rPr>
                <w:b/>
                <w:i/>
              </w:rPr>
              <w:t>vyzývá k plné transparentnosti cílů, výstupů, poskytovatelů finančních prostředků a hodnotících ukazatelů těchto projektů a k zárukám, které zajistí, aby veřejné financování nebylo využíváno k řízení politických preferencí nebo vytváření dojmu konsensu;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40e.</w:t>
            </w:r>
            <w:r>
              <w:tab/>
            </w:r>
            <w:r>
              <w:rPr>
                <w:b/>
                <w:i/>
              </w:rPr>
              <w:t>vyzývá k transparentnosti a odpovědnosti, pokud jde o projekty právního zastupování financované EU a strategické iniciativy v oblasti soudních sporů, včetně záruk, které zajistí, aby tyto činnosti nepředstavovaly nepřímé politické řízení vnitrostátních politických diskusí;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1253</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40f.</w:t>
            </w:r>
            <w:r>
              <w:tab/>
            </w:r>
            <w:r>
              <w:rPr>
                <w:b/>
                <w:i/>
              </w:rPr>
              <w:t>vyzývá Komisi k zajištění toho, aby iniciativy zaměřené na posílení demokratické odolnosti neúmyslně nepřispívaly k soustředění narativu prostřednictvím veřejně financovaných komunikačních ekosystémů, a aby zaručila transparentnost, pokud jde o cíle, financování a řízení těchto struktur;</w:t>
            </w:r>
            <w:r>
              <w:t xml:space="preserve"> </w:t>
            </w:r>
            <w:r>
              <w:rPr>
                <w:b/>
                <w:i/>
              </w:rPr>
              <w:t>zdůrazňuje, že iniciativy Unie v oblasti komunikace a odolnosti se nesmí vyvíjet v nástroje pro utváření nebo řízení politického diskurzu v členských státech;</w:t>
            </w:r>
            <w:r>
              <w:t xml:space="preserve"> </w:t>
            </w:r>
            <w:r>
              <w:rPr>
                <w:b/>
                <w:i/>
              </w:rPr>
              <w:t>vyzývá k jasným zárukám zajišťujícím institucionální neutralitu a pluralitu;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1254</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rPr>
                <w:b/>
                <w:i/>
              </w:rPr>
              <w:t>vítá</w:t>
            </w:r>
            <w:r>
              <w:t xml:space="preserve"> návrh směrnice o zastupování zájmů jménem třetích zemí, který předložila Komise, jako důležitou součást balíčku opatření na obranu demokracie a jehož cílem je stanovit harmonizované požadavky na hospodářské činnosti související se zastupováním zájmů prováděným jménem subjektu ze třetí země; zdůrazňuje</w:t>
            </w:r>
            <w:r>
              <w:rPr>
                <w:b/>
                <w:i/>
              </w:rPr>
              <w:t>, že společná pravidla</w:t>
            </w:r>
            <w:r>
              <w:t xml:space="preserve"> v tomto </w:t>
            </w:r>
            <w:r>
              <w:rPr>
                <w:b/>
                <w:i/>
              </w:rPr>
              <w:t>ohledu by představovala důležitou součást</w:t>
            </w:r>
            <w:r>
              <w:t xml:space="preserve"> transparentnosti</w:t>
            </w:r>
            <w:r>
              <w:rPr>
                <w:b/>
                <w:i/>
              </w:rPr>
              <w:t>, pokud jde o vliv třetích zemí</w:t>
            </w:r>
            <w:r>
              <w:t xml:space="preserve">; </w:t>
            </w:r>
            <w:r>
              <w:rPr>
                <w:b/>
                <w:i/>
              </w:rPr>
              <w:t>vyzývá spolunormotvůrce, aby legislativní proces neprodleně dokončili;</w:t>
            </w:r>
          </w:p>
        </w:tc>
        <w:tc>
          <w:tcPr>
            <w:tcW w:w="4876" w:type="dxa"/>
            <w:tcBorders>
              <w:top w:val="nil"/>
              <w:left w:val="nil"/>
              <w:bottom w:val="nil"/>
              <w:right w:val="nil"/>
            </w:tcBorders>
          </w:tcPr>
          <w:p>
            <w:pPr>
              <w:pStyle w:val="Normal6a"/>
            </w:pPr>
            <w:r>
              <w:t>41.</w:t>
            </w:r>
            <w:r>
              <w:tab/>
            </w:r>
            <w:r>
              <w:rPr>
                <w:b/>
                <w:i/>
              </w:rPr>
              <w:t>bere na vědomí</w:t>
            </w:r>
            <w:r>
              <w:t xml:space="preserve"> návrh směrnice o zastupování zájmů jménem třetích zemí, který předložila Komise, jako důležitou součást balíčku opatření na obranu demokracie a jehož cílem je stanovit harmonizované požadavky na hospodářské činnosti související se zastupováním zájmů prováděným jménem subjektu ze třetí země; zdůrazňuje </w:t>
            </w:r>
            <w:r>
              <w:rPr>
                <w:b/>
                <w:i/>
              </w:rPr>
              <w:t>však, že opatření k řešení tohoto problému by neměla být zneužívána ke stigmatizaci činnosti občanské společnosti jako takové, a</w:t>
            </w:r>
            <w:r>
              <w:t xml:space="preserve"> v tomto </w:t>
            </w:r>
            <w:r>
              <w:rPr>
                <w:b/>
                <w:i/>
              </w:rPr>
              <w:t>smyslu v souladu s článkem 11 SEU opakuje, že aktivní dialog s občanskou společností má zásadní význam pro podporu aktivního občanského prostoru, zajištění odpovědnosti a</w:t>
            </w:r>
            <w:r>
              <w:t xml:space="preserve"> transparentnosti </w:t>
            </w:r>
            <w:r>
              <w:rPr>
                <w:b/>
                <w:i/>
              </w:rPr>
              <w:t>a informování tvůrců politik o osvědčených postupech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vítá návrh směrnice o zastupování zájmů jménem třetích zemí, který předložila Komise, jako důležitou součást balíčku opatření na obranu demokracie a jehož cílem je stanovit harmonizované požadavky na hospodářské činnosti související se zastupováním zájmů prováděným jménem subjektu ze třetí země; zdůrazňuje, že společná pravidla v tomto ohledu by představovala důležitou součást transparentnosti, pokud jde o vliv třetích zemí; vyzývá spolunormotvůrce, aby legislativní proces neprodleně dokončili;</w:t>
            </w:r>
          </w:p>
        </w:tc>
        <w:tc>
          <w:tcPr>
            <w:tcW w:w="4876" w:type="dxa"/>
            <w:tcBorders>
              <w:top w:val="nil"/>
              <w:left w:val="nil"/>
              <w:bottom w:val="nil"/>
              <w:right w:val="nil"/>
            </w:tcBorders>
          </w:tcPr>
          <w:p>
            <w:pPr>
              <w:pStyle w:val="Normal6a"/>
            </w:pPr>
            <w:r>
              <w:t>41.</w:t>
            </w:r>
            <w:r>
              <w:tab/>
            </w:r>
            <w:r>
              <w:t xml:space="preserve">vítá návrh směrnice o zastupování zájmů jménem třetích zemí, který předložila Komise, jako důležitou součást balíčku opatření na obranu demokracie a jehož cílem je stanovit harmonizované požadavky na hospodářské činnosti související se zastupováním zájmů prováděným jménem subjektu ze třetí země; zdůrazňuje, že společná pravidla v tomto ohledu by představovala důležitou součást transparentnosti, pokud jde o vliv třetích zemí; vyzývá spolunormotvůrce, aby legislativní proces neprodleně dokončili; </w:t>
            </w:r>
            <w:r>
              <w:rPr>
                <w:b/>
                <w:i/>
              </w:rPr>
              <w:t>klade důraz na to, že členské státy zajistí, aby dodržování této směrnice nevedlo k omezování základních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1256</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rPr>
                <w:b/>
                <w:i/>
              </w:rPr>
              <w:t>vítá</w:t>
            </w:r>
            <w:r>
              <w:t xml:space="preserve"> návrh směrnice o zastupování zájmů jménem třetích zemí, který předložila Komise, jako </w:t>
            </w:r>
            <w:r>
              <w:rPr>
                <w:b/>
                <w:i/>
              </w:rPr>
              <w:t>důležitou</w:t>
            </w:r>
            <w:r>
              <w:t xml:space="preserve"> součást balíčku opatření na obranu demokracie a jehož cílem je stanovit harmonizované požadavky na hospodářské činnosti související se zastupováním zájmů prováděným jménem subjektu ze třetí země; zdůrazňuje, že společná pravidla v tomto ohledu by </w:t>
            </w:r>
            <w:r>
              <w:rPr>
                <w:b/>
                <w:i/>
              </w:rPr>
              <w:t>představovala</w:t>
            </w:r>
            <w:r>
              <w:t xml:space="preserve"> důležitou součást transparentnosti, pokud jde o vliv třetích zemí; vyzývá spolunormotvůrce, aby </w:t>
            </w:r>
            <w:r>
              <w:rPr>
                <w:b/>
                <w:i/>
              </w:rPr>
              <w:t>legislativní proces neprodleně dokončili</w:t>
            </w:r>
            <w:r>
              <w:t>;</w:t>
            </w:r>
          </w:p>
        </w:tc>
        <w:tc>
          <w:tcPr>
            <w:tcW w:w="4876" w:type="dxa"/>
            <w:tcBorders>
              <w:top w:val="nil"/>
              <w:left w:val="nil"/>
              <w:bottom w:val="nil"/>
              <w:right w:val="nil"/>
            </w:tcBorders>
          </w:tcPr>
          <w:p>
            <w:pPr>
              <w:pStyle w:val="Normal6a"/>
            </w:pPr>
            <w:r>
              <w:t>41.</w:t>
            </w:r>
            <w:r>
              <w:tab/>
            </w:r>
            <w:r>
              <w:rPr>
                <w:b/>
                <w:i/>
              </w:rPr>
              <w:t>bere na vědomí, že Komise předložila</w:t>
            </w:r>
            <w:r>
              <w:t xml:space="preserve"> návrh směrnice o zastupování zájmů jménem třetích zemí, který předložila Komise, jako součást balíčku opatření na obranu demokracie a jehož cílem je stanovit harmonizované požadavky na hospodářské činnosti související se zastupováním zájmů prováděným jménem subjektu ze třetí země; zdůrazňuje, že společná pravidla v tomto ohledu by </w:t>
            </w:r>
            <w:r>
              <w:rPr>
                <w:b/>
                <w:i/>
              </w:rPr>
              <w:t>měla představovat</w:t>
            </w:r>
            <w:r>
              <w:t xml:space="preserve"> důležitou součást transparentnosti, pokud jde o vliv třetích zemí; </w:t>
            </w:r>
            <w:r>
              <w:rPr>
                <w:b/>
                <w:i/>
              </w:rPr>
              <w:t>konstatuje, že probíhají diskuse mezi spolunormotvůrci a že výsledek zatím není znám;</w:t>
            </w:r>
            <w:r>
              <w:t xml:space="preserve"> vyzývá spolunormotvůrce, aby </w:t>
            </w:r>
            <w:r>
              <w:rPr>
                <w:b/>
                <w:i/>
              </w:rPr>
              <w:t>legislativnímu procesu věnovali velkou pozornost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1257</w:t>
      </w:r>
      <w:r>
        <w:rPr>
          <w:rStyle w:val="HideTWBExt"/>
        </w:rPr>
        <w:t>&lt;/NumAm&gt;</w:t>
      </w:r>
    </w:p>
    <w:p>
      <w:pPr>
        <w:pStyle w:val="NormalBold"/>
      </w:pPr>
      <w:r>
        <w:rPr>
          <w:rStyle w:val="HideTWBExt"/>
          <w:b w:val="0"/>
        </w:rPr>
        <w:t>&lt;RepeatBlock-By&gt;</w:t>
      </w:r>
      <w:r>
        <w:rPr>
          <w:rStyle w:val="HideTWBExt"/>
          <w:b w:val="0"/>
        </w:rPr>
        <w:t>&lt;Members&gt;</w:t>
      </w:r>
      <w:r>
        <w:t>Sandro Gozi, Sophie Wilmès, Cynthia Ní Mhurchú, Helmut Brandstätter,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vítá návrh směrnice o zastupování zájmů jménem třetích zemí, který předložila Komise, jako důležitou součást balíčku opatření na obranu demokracie a jehož cílem je stanovit harmonizované požadavky na hospodářské činnosti související se zastupováním zájmů prováděným jménem </w:t>
            </w:r>
            <w:r>
              <w:rPr>
                <w:b/>
                <w:i/>
              </w:rPr>
              <w:t>subjektu</w:t>
            </w:r>
            <w:r>
              <w:t xml:space="preserve"> ze třetí země; zdůrazňuje, že společná pravidla v tomto ohledu </w:t>
            </w:r>
            <w:r>
              <w:rPr>
                <w:b/>
                <w:i/>
              </w:rPr>
              <w:t>by představovala důležitou součást transparentnosti</w:t>
            </w:r>
            <w:r>
              <w:t>, pokud jde o vliv třetích zemí; vyzývá spolunormotvůrce, aby legislativní proces neprodleně dokončili;</w:t>
            </w:r>
          </w:p>
        </w:tc>
        <w:tc>
          <w:tcPr>
            <w:tcW w:w="4876" w:type="dxa"/>
            <w:tcBorders>
              <w:top w:val="nil"/>
              <w:left w:val="nil"/>
              <w:bottom w:val="nil"/>
              <w:right w:val="nil"/>
            </w:tcBorders>
          </w:tcPr>
          <w:p>
            <w:pPr>
              <w:pStyle w:val="Normal6a"/>
            </w:pPr>
            <w:r>
              <w:t>41.</w:t>
            </w:r>
            <w:r>
              <w:tab/>
            </w:r>
            <w:r>
              <w:t xml:space="preserve">vítá návrh směrnice o zastupování zájmů jménem třetích zemí, který předložila Komise, jako důležitou součást balíčku opatření na obranu demokracie a jehož cílem je stanovit harmonizované požadavky na hospodářské činnosti související se zastupováním zájmů prováděným jménem </w:t>
            </w:r>
            <w:r>
              <w:rPr>
                <w:b/>
                <w:i/>
              </w:rPr>
              <w:t>subjektů</w:t>
            </w:r>
            <w:r>
              <w:t xml:space="preserve"> ze třetí země; zdůrazňuje, že společná pravidla v tomto ohledu </w:t>
            </w:r>
            <w:r>
              <w:rPr>
                <w:b/>
                <w:i/>
              </w:rPr>
              <w:t>přispějí k odpovědnosti a důvěře v rozhodování EU tím, že zavedou transparentnost</w:t>
            </w:r>
            <w:r>
              <w:t>, pokud jde o vliv třetích zemí</w:t>
            </w:r>
            <w:r>
              <w:rPr>
                <w:b/>
                <w:i/>
              </w:rPr>
              <w:t>, a to při plném dodržování základních práv</w:t>
            </w:r>
            <w:r>
              <w:t>; vyzývá spolunormotvůrce, aby legislativní proces neprodleně dokončili;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41a.</w:t>
            </w:r>
            <w:r>
              <w:tab/>
            </w:r>
            <w:r>
              <w:rPr>
                <w:b/>
                <w:i/>
              </w:rPr>
              <w:t>vyjadřuje vážné znepokojení nad tím, že v některých případech byly finanční prostředky Evropské komise přidělené nevládním organizacím účelově využívány způsobem, který může vést k umělému vnímání společenského konsensu ohledně konkrétních politických iniciativ, což podkopává transparentnost a potenciálně ohrožuje důvěryhodnost a integritu procesu tvorby politik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1259</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41a.</w:t>
            </w:r>
            <w:r>
              <w:tab/>
            </w:r>
            <w:r>
              <w:rPr>
                <w:b/>
                <w:i/>
              </w:rPr>
              <w:t>zdůrazňuje, že k zahraničnímu vměšování nedochází výhradně prostřednictvím digitálních platforem nebo skrytých online kampaní, ale může k němu docházet i prostřednictvím institucionalizovaných, dlouhodobých struktur, včetně náboženských nebo komunitních organizací, které jsou organicky propojeny se státními orgány třetích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1260</w:t>
      </w:r>
      <w:r>
        <w:rPr>
          <w:rStyle w:val="HideTWBExt"/>
        </w:rPr>
        <w:t>&lt;/NumAm&gt;</w:t>
      </w:r>
    </w:p>
    <w:p>
      <w:pPr>
        <w:pStyle w:val="NormalBold"/>
      </w:pPr>
      <w:r>
        <w:rPr>
          <w:rStyle w:val="HideTWBExt"/>
          <w:b w:val="0"/>
        </w:rPr>
        <w:t>&lt;RepeatBlock-By&gt;</w:t>
      </w:r>
      <w:r>
        <w:rPr>
          <w:rStyle w:val="HideTWBExt"/>
          <w:b w:val="0"/>
        </w:rPr>
        <w:t>&lt;Members&gt;</w:t>
      </w:r>
      <w:r>
        <w:t>Pina Picierno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41a.</w:t>
            </w:r>
            <w:r>
              <w:tab/>
            </w:r>
            <w:r>
              <w:rPr>
                <w:b/>
                <w:i/>
              </w:rPr>
              <w:t>vyzývá Komisi, aby pokud možno spolupracovala také se spolehlivými vnitrostátními orgány nebo uznanými organizacemi občanské společnosti ze třetích zemí, kromě orgánů členských států, které se zabývají bojem proti dezinformacím a manipulaci s informacemi;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1261</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41b.</w:t>
            </w:r>
            <w:r>
              <w:tab/>
            </w:r>
            <w:r>
              <w:rPr>
                <w:b/>
                <w:i/>
              </w:rPr>
              <w:t>konstatuje, že v několika členských státech působí náboženská sdružení, jejichž zaměstnanci, finanční a organizační struktury mohou být přímo napojeni na veřejné orgány třetí země a být na nich závislé, což může vytvářet trvalé kanály vlivu;</w:t>
            </w:r>
            <w:r>
              <w:t xml:space="preserve"> </w:t>
            </w:r>
            <w:r>
              <w:rPr>
                <w:b/>
                <w:i/>
              </w:rPr>
              <w:t>připomíná, že pravomoc organizovat náboženské záležitosti mají podle čl. 4 odst. 2 SEU především členské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41c.</w:t>
            </w:r>
            <w:r>
              <w:tab/>
            </w:r>
            <w:r>
              <w:rPr>
                <w:b/>
                <w:i/>
              </w:rPr>
              <w:t>jako příklad uvedený ve veřejné diskusi konstatuje, že Turecko-islámská unie pro náboženské záležitosti (DITIB) v Německu udržuje strukturální vazby s předsednictvím tureckého úřadu pro náboženské záležitosti (Diyanet), včetně vysílání, odměňování a dohledu nad imámy jako státními úředníky tureckého státu, což vyvolává otázky ohledně vlivu cizího státu na části diaspory;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1263</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41d.</w:t>
            </w:r>
            <w:r>
              <w:tab/>
            </w:r>
            <w:r>
              <w:rPr>
                <w:b/>
                <w:i/>
              </w:rPr>
              <w:t>vyzývá k větší transparentnosti, pokud jde o zahraniční financování náboženských a komunitních organizací, včetně zveřejňování zdrojů, zprostředkovatelů a prospěšné kontroly, a to v plném souladu se základními právy a v úzké spolupráci s příslušnými orgány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1264</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41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41e.</w:t>
            </w:r>
            <w:r>
              <w:tab/>
            </w:r>
            <w:r>
              <w:rPr>
                <w:b/>
                <w:i/>
              </w:rPr>
              <w:t>vyjadřuje znepokojení nad tím, že zahraniční státní organizace, včetně čínských státem organizovaných nevládních organizací, se mohou účastnit konzultací na úrovni EU, platforem občanské společnosti a financovaných projektů, aniž by náležitě zveřejnily strukturální a finanční vazby či vazby na vedení, pokud jde o zahraniční vlády nebo vládnoucí strany;</w:t>
            </w:r>
            <w:r>
              <w:t xml:space="preserve"> </w:t>
            </w:r>
            <w:r>
              <w:rPr>
                <w:b/>
                <w:i/>
              </w:rPr>
              <w:t>vyzývá Komisi, aby zveřejnila konsolidovaný přehled veškerých finančních prostředků EU, které byly přímo či nepřímo přiděleny organizacím spojeným se zahraničními státními orgány, s uvedením programů, výše částek a cílů;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41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41f.</w:t>
            </w:r>
            <w:r>
              <w:tab/>
            </w:r>
            <w:r>
              <w:rPr>
                <w:b/>
                <w:i/>
              </w:rPr>
              <w:t>uznává význam pokročilých kapacit v oblasti mapování údajů a zpravodajských služeb s otevřeným zdrojovým kódem pro odhalování vzorců vlivu cizího státu zastřených v rámci složitých podnikových a výzkumných sítí;</w:t>
            </w:r>
            <w:r>
              <w:t xml:space="preserve"> </w:t>
            </w:r>
            <w:r>
              <w:rPr>
                <w:b/>
                <w:i/>
              </w:rPr>
              <w:t>vyzývá členské státy, aby systematicky začleňovaly strukturované metody pro zpravodajské informace z otevřených zdrojů do prověřování přímých zahraničních investic, rozhodnutí o kontrole vývozu a hodnocení výzkumu a spolupráce a zároveň se vyvarovaly nepřiměřené centralizace citlivých vnitrostátních bezpečnostních funkcí;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41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41g.</w:t>
            </w:r>
            <w:r>
              <w:tab/>
            </w:r>
            <w:r>
              <w:rPr>
                <w:b/>
                <w:i/>
              </w:rPr>
              <w:t>odmítá podporu odolnosti v kandidátských zemích a sousedních státech;</w:t>
            </w:r>
            <w:r>
              <w:t xml:space="preserve"> </w:t>
            </w:r>
            <w:r>
              <w:rPr>
                <w:b/>
                <w:i/>
              </w:rPr>
              <w:t>trvá na tom, že jakýkoli zásah EU musí respektovat jejich ústavní pořádek a demokratické sebeurčení;</w:t>
            </w:r>
            <w:r>
              <w:t xml:space="preserve"> </w:t>
            </w:r>
            <w:r>
              <w:rPr>
                <w:b/>
                <w:i/>
              </w:rPr>
              <w:t>vyzývá k transparentnosti a přísným omezením veškerých „cílených zásahů“ souvisejících s EU nebo koordinačních mechanismů pro volební období, které mají dopad na informační prostředí třetích zemí, a k jasnému právnímu základu a dohledu nad touto činností;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1267</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zdůrazňuje význam zapojení občanů do demokratických procesů; naléhavě vyzývá Komisi, aby ve spolupráci s členskými státy zajistila jasnou a účinnou komunikaci o iniciativách, které vyvíjí na podporu a širší využívání svých nástrojů pro zapojení občanů; vítá posílení těchto nástrojů, zejména evropské občanské iniciativy, evropských panelových diskusí občanů a Platformy aktivního občanství, ze strany Komise a návrh na posílení sítě vnitrostátních orgánů pro účast občanů;</w:t>
            </w:r>
          </w:p>
        </w:tc>
        <w:tc>
          <w:tcPr>
            <w:tcW w:w="4876" w:type="dxa"/>
            <w:tcBorders>
              <w:top w:val="nil"/>
              <w:left w:val="nil"/>
              <w:bottom w:val="nil"/>
              <w:right w:val="nil"/>
            </w:tcBorders>
          </w:tcPr>
          <w:p>
            <w:pPr>
              <w:pStyle w:val="Normal6a"/>
            </w:pPr>
            <w:r>
              <w:t>42.</w:t>
            </w:r>
            <w:r>
              <w:tab/>
            </w:r>
            <w:r>
              <w:t xml:space="preserve">Zdůrazňuje význam zapojení občanů </w:t>
            </w:r>
            <w:r>
              <w:rPr>
                <w:b/>
                <w:i/>
              </w:rPr>
              <w:t>do demokratických procesů, zejména mladých lidí;</w:t>
            </w:r>
            <w:r>
              <w:t xml:space="preserve"> </w:t>
            </w:r>
            <w:r>
              <w:rPr>
                <w:b/>
                <w:i/>
              </w:rPr>
              <w:t>vyzývá Komisi a členské státy, aby šly nad rámec digitální gramotnosti a podporovaly nové formy demokratické účasti přizpůsobené digitálním zvyklostem mladších generací;</w:t>
            </w:r>
            <w:r>
              <w:t xml:space="preserve"> </w:t>
            </w:r>
            <w:r>
              <w:rPr>
                <w:b/>
                <w:i/>
              </w:rPr>
              <w:t>zdůrazňuje, že při navrhování nástrojů a platforem pro demokratickou účast je třeba zaujmout přístup zaměřený na mladé lidi;</w:t>
            </w:r>
            <w:r>
              <w:t xml:space="preserve"> </w:t>
            </w:r>
            <w:r>
              <w:rPr>
                <w:b/>
                <w:i/>
              </w:rPr>
              <w:t>vyzývá ke zvýšení investic do programů občanské výchovy pro mladé lidi, které kombinují mediální gramotnost s praktickým zapojením</w:t>
            </w:r>
            <w:r>
              <w:t xml:space="preserve"> do demokratických procesů; naléhavě vyzývá Komisi, aby ve spolupráci s členskými státy zajistila jasnou a účinnou komunikaci o iniciativách, které vyvíjí na podporu a širší využívání svých nástrojů pro zapojení občanů; vítá posílení těchto nástrojů, zejména evropské občanské iniciativy, evropských panelových diskusí občanů a Platformy aktivního občanství, ze strany Komise a návrh na posílení sítě vnitrostátních orgánů pro účast občanů;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1268</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 xml:space="preserve">zdůrazňuje význam zapojení občanů do demokratických procesů; naléhavě vyzývá Komisi, aby ve spolupráci s členskými státy zajistila </w:t>
            </w:r>
            <w:r>
              <w:rPr>
                <w:b/>
                <w:i/>
              </w:rPr>
              <w:t>jasnou a účinnou komunikaci o iniciativách, které vyvíjí na podporu a širší využívání svých nástrojů pro zapojení občanů</w:t>
            </w:r>
            <w:r>
              <w:t xml:space="preserve">; </w:t>
            </w:r>
            <w:r>
              <w:rPr>
                <w:b/>
                <w:i/>
              </w:rPr>
              <w:t>vítá posílení těchto nástrojů, zejména evropské občanské iniciativy, evropských panelových diskusí občanů a Platformy aktivního občanství, ze strany Komise a návrh na posílení sítě vnitrostátních orgánů pro účast občanů;</w:t>
            </w:r>
          </w:p>
        </w:tc>
        <w:tc>
          <w:tcPr>
            <w:tcW w:w="4876" w:type="dxa"/>
            <w:tcBorders>
              <w:top w:val="nil"/>
              <w:left w:val="nil"/>
              <w:bottom w:val="nil"/>
              <w:right w:val="nil"/>
            </w:tcBorders>
          </w:tcPr>
          <w:p>
            <w:pPr>
              <w:pStyle w:val="Normal6a"/>
            </w:pPr>
            <w:r>
              <w:t>42.</w:t>
            </w:r>
            <w:r>
              <w:tab/>
            </w:r>
            <w:r>
              <w:t xml:space="preserve">zdůrazňuje význam zapojení občanů do demokratických procesů; naléhavě vyzývá Komisi, aby ve spolupráci s členskými státy zajistila </w:t>
            </w:r>
            <w:r>
              <w:rPr>
                <w:b/>
                <w:i/>
              </w:rPr>
              <w:t>zvýšení povědomí veřejnosti a podniků o zahraničním vměšování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 xml:space="preserve">zdůrazňuje význam zapojení občanů do demokratických procesů; naléhavě vyzývá Komisi, aby ve spolupráci s členskými státy zajistila jasnou a účinnou komunikaci o iniciativách, které vyvíjí na podporu a širší využívání svých nástrojů pro zapojení občanů; vítá </w:t>
            </w:r>
            <w:r>
              <w:rPr>
                <w:b/>
                <w:i/>
              </w:rPr>
              <w:t>posílení těchto nástrojů</w:t>
            </w:r>
            <w:r>
              <w:t xml:space="preserve">, zejména evropské </w:t>
            </w:r>
            <w:r>
              <w:rPr>
                <w:b/>
                <w:i/>
              </w:rPr>
              <w:t>občanské iniciativy, evropských panelových diskusí</w:t>
            </w:r>
            <w:r>
              <w:t xml:space="preserve"> občanů a </w:t>
            </w:r>
            <w:r>
              <w:rPr>
                <w:b/>
                <w:i/>
              </w:rPr>
              <w:t>Platformy</w:t>
            </w:r>
            <w:r>
              <w:t xml:space="preserve"> aktivního občanství</w:t>
            </w:r>
            <w:r>
              <w:rPr>
                <w:b/>
                <w:i/>
              </w:rPr>
              <w:t>, ze strany Komise a</w:t>
            </w:r>
            <w:r>
              <w:t xml:space="preserve"> návrh na posílení sítě vnitrostátních orgánů pro účast občanů;</w:t>
            </w:r>
          </w:p>
        </w:tc>
        <w:tc>
          <w:tcPr>
            <w:tcW w:w="4876" w:type="dxa"/>
            <w:tcBorders>
              <w:top w:val="nil"/>
              <w:left w:val="nil"/>
              <w:bottom w:val="nil"/>
              <w:right w:val="nil"/>
            </w:tcBorders>
          </w:tcPr>
          <w:p>
            <w:pPr>
              <w:pStyle w:val="Normal6a"/>
            </w:pPr>
            <w:r>
              <w:t>42.</w:t>
            </w:r>
            <w:r>
              <w:tab/>
            </w:r>
            <w:r>
              <w:t>zdůrazňuje význam zapojení občanů do demokratických procesů; naléhavě vyzývá Komisi, aby ve spolupráci s členskými státy zajistila jasnou a účinnou komunikaci o iniciativách, které vyvíjí na podporu a širší využívání svých nástrojů pro zapojení občanů; vítá</w:t>
            </w:r>
            <w:r>
              <w:rPr>
                <w:b/>
                <w:i/>
              </w:rPr>
              <w:t>, že Komise tyto nástroje posílila</w:t>
            </w:r>
            <w:r>
              <w:t xml:space="preserve">, zejména </w:t>
            </w:r>
            <w:r>
              <w:rPr>
                <w:b/>
                <w:i/>
              </w:rPr>
              <w:t>evropskou občanskou iniciativu,</w:t>
            </w:r>
            <w:r>
              <w:t xml:space="preserve"> evropské </w:t>
            </w:r>
            <w:r>
              <w:rPr>
                <w:b/>
                <w:i/>
              </w:rPr>
              <w:t>panelové diskuse</w:t>
            </w:r>
            <w:r>
              <w:t xml:space="preserve"> občanů a </w:t>
            </w:r>
            <w:r>
              <w:rPr>
                <w:b/>
                <w:i/>
              </w:rPr>
              <w:t>platformu</w:t>
            </w:r>
            <w:r>
              <w:t xml:space="preserve"> aktivního občanství</w:t>
            </w:r>
            <w:r>
              <w:rPr>
                <w:b/>
                <w:i/>
              </w:rPr>
              <w:t>;</w:t>
            </w:r>
            <w:r>
              <w:t xml:space="preserve"> </w:t>
            </w:r>
            <w:r>
              <w:rPr>
                <w:b/>
                <w:i/>
              </w:rPr>
              <w:t>zdůrazňuje, že tyto nástroje by měly i nadále doplňovat zastupitelskou demokracii a nesmí nahrazovat nebo obcházet vnitrostátní demokratické procesy nebo volené instituce;</w:t>
            </w:r>
            <w:r>
              <w:t xml:space="preserve"> </w:t>
            </w:r>
            <w:r>
              <w:rPr>
                <w:b/>
                <w:i/>
              </w:rPr>
              <w:t>připomíná, že primární odpovědnost za účast občanů nesou členské státy;</w:t>
            </w:r>
            <w:r>
              <w:t xml:space="preserve"> </w:t>
            </w:r>
            <w:r>
              <w:rPr>
                <w:b/>
                <w:i/>
              </w:rPr>
              <w:t>vítá</w:t>
            </w:r>
            <w:r>
              <w:t xml:space="preserve"> návrh na posílení sítě vnitrostátních orgánů pro účast občanů;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1270</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se znepokojením bere na vědomí zdokumentovaná zjištění několika vnitrostátních orgánů a nezávislé studie týkající se činnosti organizací a sítí spojených s Muslimským bratrstvem v některých členských státech, zejména pokud jde o rizika politického vlivu, vstupování a šíření ideologických narativů neslučitelných s demokratickými hodnotami;</w:t>
            </w:r>
            <w:r>
              <w:t xml:space="preserve"> </w:t>
            </w:r>
            <w:r>
              <w:rPr>
                <w:b/>
                <w:i/>
              </w:rPr>
              <w:t>zdůrazňuje, že v rámci Evropského štítu pro demokracii je třeba posílit transparentnost, monitorování a spolupráci mezi členskými státy s cílem zabránit nepatřičnému vlivu na veřejné instituce, vzdělávací systémy a struktury občanské společnosti;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1271</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zdůrazňuje, že mladí lidé jsou obzvláště vystaveni dezinformacím a manipulaci ze strany sociálních médií a zároveň představují klíčový pilíř pro budoucnost evropské demokracie;</w:t>
            </w:r>
            <w:r>
              <w:t xml:space="preserve"> </w:t>
            </w:r>
            <w:r>
              <w:rPr>
                <w:b/>
                <w:i/>
              </w:rPr>
              <w:t>vyzývá k většímu úsilí o posílení odolnosti společnosti tím, že se zaměří na mladé lidi prostřednictvím:</w:t>
            </w:r>
            <w:r>
              <w:t xml:space="preserve"> </w:t>
            </w:r>
            <w:r>
              <w:rPr>
                <w:b/>
                <w:i/>
              </w:rPr>
              <w:t>programů mediální a digitální gramotnosti se silným zaměřením na dezinformace a zahraniční vměšování a podpory občanských iniciativ vedených mladými lidmi a iniciativ zaměřených na ověřování faktů, a to i na místní a regionální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1272</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vítá soustavné úsilí Komise o podporu účasti občanů a demokratických inovací, jako je platforma pro účast občanů;</w:t>
            </w:r>
            <w:r>
              <w:t xml:space="preserve"> </w:t>
            </w:r>
            <w:r>
              <w:rPr>
                <w:b/>
                <w:i/>
              </w:rPr>
              <w:t>zdůrazňuje však, že je třeba dále rozvíjet a zavádět přístupné, uživatelsky vstřícné a vícejazyčné digitální nástroje účasti, které budou schopny oslovit občany ve velkém měřítku, s cílem zvýšit míru účasti, diverzifikovat profily účasti a zajistit, aby příspěvky občanů přiměřeně přispívaly k procesům tvorby politik;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1273</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zdůrazňuje, že digitální veřejné statky zásadně přispívají k integritě znalostní infrastruktury EU a zároveň umožňují občanům, včetně mladých lidí, menšin a marginalizovaných skupin, smysluplnou demokratickou účast, a vyzývá Komisi, aby tento aspekt uznala a podporovala využívání digitálních veřejných statků jako stavebních kamenů pro dosažení svrchované a odolné digitální infrastruktury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1274</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vyzdvihuje zranitelnost, kterou nejvzdálenější regiony EU a zámořské země a území trpí vůči zahraniční manipulaci s informacemi a vměšování a vůči hybridním útokům, jež se mimo jiné zaměřují na infrastrukturu, která je spojuje s členskými státy a zbytkem světa;</w:t>
            </w:r>
            <w:r>
              <w:t xml:space="preserve"> </w:t>
            </w:r>
            <w:r>
              <w:rPr>
                <w:b/>
                <w:i/>
              </w:rPr>
              <w:t>odsuzuje v tomto smyslu zásahy namířené proti Nové Kaledonii a Grónsku;</w:t>
            </w:r>
            <w:r>
              <w:t xml:space="preserve"> </w:t>
            </w:r>
            <w:r>
              <w:rPr>
                <w:b/>
                <w:i/>
              </w:rPr>
              <w:t>je toho názoru, že veškeré právní předpisy a projekty týkající se zahraniční manipulace s informacemi a vměšování by měly zohledňovat specifickou situaci a omezení těchto regionů;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1275</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42b.</w:t>
            </w:r>
            <w:r>
              <w:tab/>
            </w:r>
            <w:r>
              <w:rPr>
                <w:b/>
                <w:i/>
              </w:rPr>
              <w:t>zdůrazňuje, že akademická svoboda, včetně svobody výzkumu, výuky a akademického projevu, představuje základní pilíř demokratických společností a zásadní součást Evropského štítu pro demokracii;</w:t>
            </w:r>
            <w:r>
              <w:t xml:space="preserve"> </w:t>
            </w:r>
            <w:r>
              <w:rPr>
                <w:b/>
                <w:i/>
              </w:rPr>
              <w:t>zdůrazňuje, že nezávislé akademické instituce a výzkumní pracovníci hrají klíčovou úlohu při vytváření spolehlivých znalostí, odhalování dezinformací, analýze hybridních hrozeb a vytváření fakticky podložených politik;</w:t>
            </w:r>
            <w:r>
              <w:t xml:space="preserve"> </w:t>
            </w:r>
            <w:r>
              <w:rPr>
                <w:b/>
                <w:i/>
              </w:rPr>
              <w:t>vyzývá Komisi a členské státy, aby posílily záruky proti politickému nebo zahraničnímu vměšování do akademické práce, chránily výzkumné pracovníky před zastrašováním nebo nepatřičným tlakem a podporovaly přeshraniční vědeckou spolupráci a přístup k údajům s cílem zajistit, aby univerzity a výzkumná střediska mohly plně přispívat ke společenské odolnosti, inovacím a obraně demokratických hodnot;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1276</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42b.</w:t>
            </w:r>
            <w:r>
              <w:tab/>
            </w:r>
            <w:r>
              <w:rPr>
                <w:b/>
                <w:i/>
              </w:rPr>
              <w:t>zdůrazňuje, že je třeba posílit podporu občanské angažovanosti diaspor s důrazem na mediální a digitální gramotnost přizpůsobenou jejich informačním ekosystémům;</w:t>
            </w:r>
            <w:r>
              <w:t xml:space="preserve"> </w:t>
            </w:r>
            <w:r>
              <w:rPr>
                <w:b/>
                <w:i/>
              </w:rPr>
              <w:t>vyzývá Komisi, aby do Evropského štítu pro demokracii začlenila opatření zaměřená na odolnost, která budou zahrnovat diaspory, mimo jiné s cílem usilovat o zvyšování povědomí, strategické komunikace, výzkumné spolupráce a posíleného dialogu se zúčastněnými stranami diaspory, zajistit demokratickou účast, chránit základní práva a využít v boji EU proti zahraniční manipulaci s informacemi a vměšování znalostí a sítí diaspor;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1277</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42c.</w:t>
            </w:r>
            <w:r>
              <w:tab/>
            </w:r>
            <w:r>
              <w:rPr>
                <w:b/>
                <w:i/>
              </w:rPr>
              <w:t>konstatuje, že snahy o destabilizaci neprobíhají výhradně v digitální sféře, ale mohou mít také podobu symbolických nebo zastrašujících akcí ve fyzickém veřejném prostoru – včetně zobrazování provokativních snímků, vandalismu nebo účelového jednání, jejichž cílem je vyvolat napětí nebo stigmatizovat konkrétní komunity –, ve snaze prohloubit rozdělení společnosti, vyvolat strach a narušit důvěru veřejnosti;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1278</w:t>
      </w:r>
      <w:r>
        <w:rPr>
          <w:rStyle w:val="HideTWBExt"/>
        </w:rPr>
        <w:t>&lt;/NumAm&gt;</w:t>
      </w:r>
    </w:p>
    <w:p>
      <w:pPr>
        <w:pStyle w:val="NormalBold"/>
      </w:pPr>
      <w:r>
        <w:rPr>
          <w:rStyle w:val="HideTWBExt"/>
          <w:b w:val="0"/>
        </w:rPr>
        <w:t>&lt;RepeatBlock-By&gt;</w:t>
      </w:r>
      <w:r>
        <w:rPr>
          <w:rStyle w:val="HideTWBExt"/>
          <w:b w:val="0"/>
        </w:rPr>
        <w:t>&lt;Members&gt;</w:t>
      </w:r>
      <w:r>
        <w:t>Tomáš Zdechovský, Dan-Ştefan Motreanu, Lukas Mandl, Sandra Kalniete, Sander Smit, Marta Wcisło,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zastává názor, že ochrana EU a jejích členských států před fyzickými i digitálními akty sabotáže zaměřenými na kritickou infrastrukturu má zásadní význam pro zajištění demokratické odolnosti; </w:t>
            </w:r>
            <w:r>
              <w:rPr>
                <w:b/>
                <w:i/>
              </w:rPr>
              <w:t>vyzývá k přijetí důrazných preventivních</w:t>
            </w:r>
            <w:r>
              <w:t xml:space="preserve"> opatření, </w:t>
            </w:r>
            <w:r>
              <w:rPr>
                <w:b/>
                <w:i/>
              </w:rPr>
              <w:t>posílení</w:t>
            </w:r>
            <w:r>
              <w:t xml:space="preserve"> přeshraniční </w:t>
            </w:r>
            <w:r>
              <w:rPr>
                <w:b/>
                <w:i/>
              </w:rPr>
              <w:t>spolupráce a posílení schopnosti</w:t>
            </w:r>
            <w:r>
              <w:t xml:space="preserve"> EU odhalovat tyto nepřátelské činnosti, odrazovat od nich a reagovat na ně;</w:t>
            </w:r>
          </w:p>
        </w:tc>
        <w:tc>
          <w:tcPr>
            <w:tcW w:w="4876" w:type="dxa"/>
            <w:tcBorders>
              <w:top w:val="nil"/>
              <w:left w:val="nil"/>
              <w:bottom w:val="nil"/>
              <w:right w:val="nil"/>
            </w:tcBorders>
          </w:tcPr>
          <w:p>
            <w:pPr>
              <w:pStyle w:val="Normal6a"/>
            </w:pPr>
            <w:r>
              <w:t>43.</w:t>
            </w:r>
            <w:r>
              <w:tab/>
            </w:r>
            <w:r>
              <w:t xml:space="preserve">zastává názor, že ochrana EU a jejích členských států před fyzickými i digitálními akty sabotáže zaměřenými na kritickou infrastrukturu má zásadní význam pro zajištění demokratické odolnosti; </w:t>
            </w:r>
            <w:r>
              <w:rPr>
                <w:b/>
                <w:i/>
              </w:rPr>
              <w:t>připomíná, že tyto hybridní činnosti zahrnovaly sabotáže na území EU, např. výbuch muničních skladů v roce 2014 ve Vrběticích (Česko), který vnitrostátní orgány označily za státem podporovanou operaci nedosahující intenzity ozbrojeného konfliktu, nebo výbuch, jehož cílem bylo v roce 2025 zničit železniční trať Warszawa – Lublin v Mice (Polsko), a zdůrazňuje, že jsou zapotřebí přijmout důrazná preventivní</w:t>
            </w:r>
            <w:r>
              <w:t xml:space="preserve"> opatření, </w:t>
            </w:r>
            <w:r>
              <w:rPr>
                <w:b/>
                <w:i/>
              </w:rPr>
              <w:t>posílit</w:t>
            </w:r>
            <w:r>
              <w:t xml:space="preserve"> přeshraniční </w:t>
            </w:r>
            <w:r>
              <w:rPr>
                <w:b/>
                <w:i/>
              </w:rPr>
              <w:t>spolupráci a schopnost</w:t>
            </w:r>
            <w:r>
              <w:t xml:space="preserve"> EU odhalovat tyto nepřátelské činnosti, odrazovat od nich a reagovat na ně </w:t>
            </w:r>
            <w:r>
              <w:rPr>
                <w:b/>
                <w:i/>
              </w:rPr>
              <w:t>a prostřednictvím agentur EU (např. agentury Frontex) přispívat k ochraně přeshraničních kritických infrastruktur, prohlubovat spolupráci s námořními přístavy, letišti a orgány na pozemních hranicích s cílem posílit společná posouzení zranitelnosti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1279</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zastává názor, že ochrana EU a jejích členských států před fyzickými i digitálními akty sabotáže zaměřenými na kritickou infrastrukturu má zásadní význam pro zajištění demokratické odolnosti; vyzývá k přijetí důrazných preventivních opatření, posílení přeshraniční spolupráce a posílení schopnosti EU odhalovat tyto nepřátelské činnosti, odrazovat od nich a reagovat na ně;</w:t>
            </w:r>
          </w:p>
        </w:tc>
        <w:tc>
          <w:tcPr>
            <w:tcW w:w="4876" w:type="dxa"/>
            <w:tcBorders>
              <w:top w:val="nil"/>
              <w:left w:val="nil"/>
              <w:bottom w:val="nil"/>
              <w:right w:val="nil"/>
            </w:tcBorders>
          </w:tcPr>
          <w:p>
            <w:pPr>
              <w:pStyle w:val="Normal6a"/>
            </w:pPr>
            <w:r>
              <w:t>43.</w:t>
            </w:r>
            <w:r>
              <w:tab/>
            </w:r>
            <w:r>
              <w:t xml:space="preserve">zastává názor, že ochrana EU a jejích členských států před fyzickými i digitálními akty sabotáže zaměřenými na kritickou infrastrukturu má zásadní význam pro zajištění demokratické odolnosti; vyzývá k přijetí důrazných preventivních opatření, posílení přeshraniční spolupráce a posílení schopnosti EU odhalovat tyto nepřátelské činnosti, odrazovat od nich a reagovat na ně; </w:t>
            </w:r>
            <w:r>
              <w:rPr>
                <w:b/>
                <w:i/>
              </w:rPr>
              <w:t>zdůrazňuje, že je třeba stanovit společnou definici kritické infrastruktury na úrovni EU, neboť každý členský stát vykládá tento pojem odlišně;</w:t>
            </w:r>
            <w:r>
              <w:t xml:space="preserve"> </w:t>
            </w:r>
            <w:r>
              <w:rPr>
                <w:b/>
                <w:i/>
              </w:rPr>
              <w:t>domnívá se, že harmonizovaný rámec EU by podpořil součinnost mezi členskými státy, umožnil účinnou spolupráci a posílil konkurenceschopnost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zastává názor, že ochrana EU a jejích členských států před fyzickými i digitálními akty sabotáže zaměřenými na kritickou infrastrukturu má zásadní význam pro zajištění demokratické odolnosti; vyzývá k přijetí důrazných preventivních opatření, posílení přeshraniční spolupráce a posílení schopnosti EU odhalovat tyto nepřátelské činnosti, odrazovat od nich a reagovat na ně;</w:t>
            </w:r>
          </w:p>
        </w:tc>
        <w:tc>
          <w:tcPr>
            <w:tcW w:w="4876" w:type="dxa"/>
            <w:tcBorders>
              <w:top w:val="nil"/>
              <w:left w:val="nil"/>
              <w:bottom w:val="nil"/>
              <w:right w:val="nil"/>
            </w:tcBorders>
          </w:tcPr>
          <w:p>
            <w:pPr>
              <w:pStyle w:val="Normal6a"/>
            </w:pPr>
            <w:r>
              <w:t>43.</w:t>
            </w:r>
            <w:r>
              <w:tab/>
            </w:r>
            <w:r>
              <w:t xml:space="preserve">zastává názor, že ochrana EU a jejích členských států před fyzickými i digitálními akty sabotáže zaměřenými na kritickou infrastrukturu má zásadní význam pro zajištění demokratické odolnosti; vyzývá k přijetí důrazných preventivních opatření, posílení přeshraniční spolupráce a posílení schopnosti EU odhalovat tyto nepřátelské činnosti, odrazovat od nich a reagovat na ně; </w:t>
            </w:r>
            <w:r>
              <w:rPr>
                <w:b/>
                <w:i/>
              </w:rPr>
              <w:t>zdůrazňuje riziko spojené se zahraničním vlastnictvím základní infrastruktury, jako jsou komunikační infrastruktura, digitální infrastruktura, podmořské kabely, energetické infrastruktura, dopravní uzly, nemocnice a infrastruktura veřejných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zastává názor, že ochrana EU a jejích členských států před fyzickými i </w:t>
            </w:r>
            <w:r>
              <w:rPr>
                <w:b/>
                <w:i/>
              </w:rPr>
              <w:t>digitálními</w:t>
            </w:r>
            <w:r>
              <w:t xml:space="preserve"> akty sabotáže zaměřenými na kritickou infrastrukturu má zásadní význam pro zajištění demokratické odolnosti; vyzývá k přijetí důrazných preventivních opatření, posílení přeshraniční spolupráce a posílení schopnosti EU odhalovat tyto nepřátelské činnosti, odrazovat od nich a reagovat na ně;</w:t>
            </w:r>
          </w:p>
        </w:tc>
        <w:tc>
          <w:tcPr>
            <w:tcW w:w="4876" w:type="dxa"/>
            <w:tcBorders>
              <w:top w:val="nil"/>
              <w:left w:val="nil"/>
              <w:bottom w:val="nil"/>
              <w:right w:val="nil"/>
            </w:tcBorders>
          </w:tcPr>
          <w:p>
            <w:pPr>
              <w:pStyle w:val="Normal6a"/>
            </w:pPr>
            <w:r>
              <w:t>43.</w:t>
            </w:r>
            <w:r>
              <w:tab/>
            </w:r>
            <w:r>
              <w:t xml:space="preserve">zastává názor, že ochrana EU a jejích členských států před fyzickými i </w:t>
            </w:r>
            <w:r>
              <w:rPr>
                <w:b/>
                <w:i/>
              </w:rPr>
              <w:t>kybernetickými</w:t>
            </w:r>
            <w:r>
              <w:t xml:space="preserve"> akty sabotáže zaměřenými na kritickou infrastrukturu má zásadní význam pro zajištění demokratické odolnosti; vyzývá k přijetí </w:t>
            </w:r>
            <w:r>
              <w:rPr>
                <w:b/>
                <w:i/>
              </w:rPr>
              <w:t>aktivní odrazovací strategie,</w:t>
            </w:r>
            <w:r>
              <w:t xml:space="preserve"> důrazných preventivních opatření, posílení přeshraniční spolupráce a posílení schopnosti EU odhalovat tyto nepřátelské činnosti, odrazovat od nich a reagovat na 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43a.</w:t>
            </w:r>
            <w:r>
              <w:tab/>
            </w:r>
            <w:r>
              <w:rPr>
                <w:b/>
                <w:i/>
              </w:rPr>
              <w:t>zdůrazňuje, že většina členských států EU aktualizovala své vnitrostátní bezpečnostní strategie tak, aby zahrnovaly komplexní opatření pro boj proti hybridním hrozbám;</w:t>
            </w:r>
            <w:r>
              <w:t xml:space="preserve"> </w:t>
            </w:r>
            <w:r>
              <w:rPr>
                <w:b/>
                <w:i/>
              </w:rPr>
              <w:t>konstatuje, že tyto hrozby se neomezují pouze na území jednoho členského státu a vzhledem k jejich přeshraniční, propojené a vícerozměrné povaze, včetně kybernetických útoků, dezinformací, vlivových operací, a zranitelnosti kritické infrastruktury vyžaduje účinná reakce posílenou spolupráci, systematické sdílení informací a koordinovaná opatření na úrovni EU;</w:t>
            </w:r>
            <w:r>
              <w:t xml:space="preserve"> </w:t>
            </w:r>
            <w:r>
              <w:rPr>
                <w:b/>
                <w:i/>
              </w:rPr>
              <w:t>vyzývá k tomu, aby příští VFR zahrnoval účelově vázaný rozpočet speciálně určený na boj proti hybridním hrozbám, podpůrná opatření, např. na poli náboženské diplomacie, formou kampaní v oblasti mediální a informační gramotnosti, a praktické soubory nástrojů, které zabrání reflexivní kontrole, manipulaci a dalším formám vyvíjení skrytého vlivu na společnosti a demokratické procesy;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1283</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důrazně odsuzuje eskalující zásahy bezpilotních letounů a další zásahy ze vzduchu zaměřené na kritickou infrastrukturu, včetně civilních letišť, vojenských základen a energetických zařízení v celé EU, a na její narušení, kterých se dopouštějí zejména Rusko a Bělorusko; vyzývá členské státy, aby koordinovaně, jednotně a vhodným způsobem reagovaly na jakékoli narušení svého vzdušného prostoru, a to i sestřelením letadel, dronů a dalších hrozeb ze vzduchu;</w:t>
            </w:r>
          </w:p>
        </w:tc>
        <w:tc>
          <w:tcPr>
            <w:tcW w:w="4876" w:type="dxa"/>
            <w:tcBorders>
              <w:top w:val="nil"/>
              <w:left w:val="nil"/>
              <w:bottom w:val="nil"/>
              <w:right w:val="nil"/>
            </w:tcBorders>
          </w:tcPr>
          <w:p>
            <w:pPr>
              <w:pStyle w:val="Normal6a"/>
            </w:pPr>
            <w:r>
              <w:t>44.</w:t>
            </w:r>
            <w:r>
              <w:tab/>
            </w:r>
            <w:r>
              <w:t xml:space="preserve">důrazně odsuzuje eskalující zásahy bezpilotních letounů a další zásahy ze vzduchu zaměřené na kritickou infrastrukturu, včetně civilních letišť, vojenských základen a energetických zařízení v celé EU, a na její narušení, kterých se dopouštějí zejména Rusko a Bělorusko; </w:t>
            </w:r>
            <w:r>
              <w:rPr>
                <w:b/>
                <w:i/>
              </w:rPr>
              <w:t>dále odsuzuje hybridní útoky ve všech jejich formách, včetně kybernetických útoků, elektronického vměšování, jako je rušení GPS a spoofing, sabotáže energetické, telekomunikační a podmořské kabelové infrastruktury, jakož i koordinované fyzické nebo digitální akce zaměřené na narušení základních veřejných služeb a demokratických procesů;</w:t>
            </w:r>
            <w:r>
              <w:t xml:space="preserve"> vyzývá členské státy, aby koordinovaně, jednotně a vhodným způsobem reagovaly na jakékoli narušení svého vzdušného prostoru, a to i sestřelením letadel, dronů a dalších hrozeb ze vzduchu;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důrazně odsuzuje eskalující zásahy bezpilotních letounů a další zásahy ze vzduchu zaměřené na kritickou infrastrukturu, včetně civilních letišť, vojenských základen a energetických zařízení v celé EU, a na její narušení, kterých se dopouštějí zejména Rusko a Bělorusko; vyzývá členské státy, aby koordinovaně, jednotně a vhodným způsobem reagovaly na jakékoli narušení svého vzdušného prostoru, a to i sestřelením letadel, dronů a dalších hrozeb ze vzduchu;</w:t>
            </w:r>
          </w:p>
        </w:tc>
        <w:tc>
          <w:tcPr>
            <w:tcW w:w="4876" w:type="dxa"/>
            <w:tcBorders>
              <w:top w:val="nil"/>
              <w:left w:val="nil"/>
              <w:bottom w:val="nil"/>
              <w:right w:val="nil"/>
            </w:tcBorders>
          </w:tcPr>
          <w:p>
            <w:pPr>
              <w:pStyle w:val="Normal6a"/>
            </w:pPr>
            <w:r>
              <w:t>44.</w:t>
            </w:r>
            <w:r>
              <w:tab/>
            </w:r>
            <w:r>
              <w:t>důrazně odsuzuje eskalující zásahy bezpilotních letounů a další zásahy ze vzduchu zaměřené na kritickou infrastrukturu, včetně civilních letišť, vojenských základen</w:t>
            </w:r>
            <w:r>
              <w:rPr>
                <w:b/>
                <w:i/>
              </w:rPr>
              <w:t>, průmyslových center</w:t>
            </w:r>
            <w:r>
              <w:t xml:space="preserve"> a energetických zařízení v celé EU, a na její narušení, kterých se dopouštějí zejména Rusko a Bělorusko; vyzývá členské státy, aby koordinovaně, jednotně a vhodným způsobem reagovaly na jakékoli narušení svého vzdušného prostoru, a to i sestřelením letadel, dronů a dalších hrozeb ze vzduchu; </w:t>
            </w:r>
            <w:r>
              <w:rPr>
                <w:b/>
                <w:i/>
              </w:rPr>
              <w:t>naléhavě vyzývá Komisi a členské státy, aby úzce spolupracovaly s Ukrajinou a přijaly její rozsáhlé zkušenosti s odhalováním a zachycováním ruských dronů;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 xml:space="preserve">důrazně odsuzuje </w:t>
            </w:r>
            <w:r>
              <w:rPr>
                <w:b/>
                <w:i/>
              </w:rPr>
              <w:t>eskalující</w:t>
            </w:r>
            <w:r>
              <w:t xml:space="preserve"> zásahy bezpilotních letounů a další zásahy ze vzduchu zaměřené na kritickou infrastrukturu, včetně civilních letišť, vojenských základen a energetických zařízení v celé EU, a na její narušení</w:t>
            </w:r>
            <w:r>
              <w:rPr>
                <w:b/>
                <w:i/>
              </w:rPr>
              <w:t>, kterých se dopouštějí zejména Rusko a Bělorusko</w:t>
            </w:r>
            <w:r>
              <w:t xml:space="preserve">; vyzývá členské státy, aby </w:t>
            </w:r>
            <w:r>
              <w:rPr>
                <w:b/>
                <w:i/>
              </w:rPr>
              <w:t>koordinovaně, jednotně a</w:t>
            </w:r>
            <w:r>
              <w:t xml:space="preserve"> vhodným způsobem reagovaly na jakékoli narušení svého vzdušného prostoru</w:t>
            </w:r>
            <w:r>
              <w:rPr>
                <w:b/>
                <w:i/>
              </w:rPr>
              <w:t>, a to i sestřelením letadel, dronů a dalších hrozeb ze vzduchu</w:t>
            </w:r>
            <w:r>
              <w:t>;</w:t>
            </w:r>
          </w:p>
        </w:tc>
        <w:tc>
          <w:tcPr>
            <w:tcW w:w="4876" w:type="dxa"/>
            <w:tcBorders>
              <w:top w:val="nil"/>
              <w:left w:val="nil"/>
              <w:bottom w:val="nil"/>
              <w:right w:val="nil"/>
            </w:tcBorders>
          </w:tcPr>
          <w:p>
            <w:pPr>
              <w:pStyle w:val="Normal6a"/>
            </w:pPr>
            <w:r>
              <w:t>44.</w:t>
            </w:r>
            <w:r>
              <w:tab/>
            </w:r>
            <w:r>
              <w:t xml:space="preserve">důrazně odsuzuje zásahy bezpilotních letounů a další zásahy ze vzduchu zaměřené na kritickou infrastrukturu, včetně civilních letišť, vojenských základen a energetických zařízení v celé EU, a na její narušení; vyzývá členské státy, aby vhodným </w:t>
            </w:r>
            <w:r>
              <w:rPr>
                <w:b/>
                <w:i/>
              </w:rPr>
              <w:t>a přiměřeným</w:t>
            </w:r>
            <w:r>
              <w:t xml:space="preserve"> způsobem reagovaly na jakékoli narušení svého vzdušného prostoru;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1286</w:t>
      </w:r>
      <w:r>
        <w:rPr>
          <w:rStyle w:val="HideTWBExt"/>
        </w:rPr>
        <w:t>&lt;/NumAm&gt;</w:t>
      </w:r>
    </w:p>
    <w:p>
      <w:pPr>
        <w:pStyle w:val="NormalBold"/>
      </w:pPr>
      <w:r>
        <w:rPr>
          <w:rStyle w:val="HideTWBExt"/>
          <w:b w:val="0"/>
        </w:rPr>
        <w:t>&lt;RepeatBlock-By&gt;</w:t>
      </w:r>
      <w:r>
        <w:rPr>
          <w:rStyle w:val="HideTWBExt"/>
          <w:b w:val="0"/>
        </w:rPr>
        <w:t>&lt;Members&gt;</w:t>
      </w:r>
      <w:r>
        <w:t>Fabrice Leggeri, Virginie Joron,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důrazně odsuzuje eskalující zásahy bezpilotních letounů a další zásahy ze vzduchu zaměřené na kritickou infrastrukturu, včetně civilních letišť, vojenských základen a energetických zařízení v celé EU, a na její narušení</w:t>
            </w:r>
            <w:r>
              <w:rPr>
                <w:b/>
                <w:i/>
              </w:rPr>
              <w:t>, kterých se dopouštějí zejména Rusko a Bělorusko</w:t>
            </w:r>
            <w:r>
              <w:t>; vyzývá členské státy, aby koordinovaně, jednotně a vhodným způsobem reagovaly na jakékoli narušení svého vzdušného prostoru</w:t>
            </w:r>
            <w:r>
              <w:rPr>
                <w:b/>
                <w:i/>
              </w:rPr>
              <w:t>, a to i sestřelením letadel, dronů a dalších hrozeb ze vzduchu</w:t>
            </w:r>
            <w:r>
              <w:t>;</w:t>
            </w:r>
          </w:p>
        </w:tc>
        <w:tc>
          <w:tcPr>
            <w:tcW w:w="4876" w:type="dxa"/>
            <w:tcBorders>
              <w:top w:val="nil"/>
              <w:left w:val="nil"/>
              <w:bottom w:val="nil"/>
              <w:right w:val="nil"/>
            </w:tcBorders>
          </w:tcPr>
          <w:p>
            <w:pPr>
              <w:pStyle w:val="Normal6a"/>
            </w:pPr>
            <w:r>
              <w:t>44.</w:t>
            </w:r>
            <w:r>
              <w:tab/>
            </w:r>
            <w:r>
              <w:t>důrazně odsuzuje eskalující zásahy bezpilotních letounů a další zásahy ze vzduchu zaměřené na kritickou infrastrukturu, včetně civilních letišť, vojenských základen a energetických zařízení v celé EU, a na její narušení; vyzývá členské státy, aby koordinovaně, jednotně a vhodným způsobem reagovaly na jakékoli narušení svého vzdušného prostoru;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důrazně odsuzuje eskalující zásahy bezpilotních letounů a další zásahy ze vzduchu zaměřené na kritickou infrastrukturu, včetně civilních letišť, vojenských základen a energetických zařízení v celé EU, a na její narušení, kterých se dopouštějí zejména Rusko a Bělorusko; vyzývá členské státy, aby koordinovaně, jednotně a vhodným způsobem reagovaly na jakékoli narušení svého vzdušného prostoru, a to i sestřelením letadel, dronů a dalších hrozeb ze vzduchu;</w:t>
            </w:r>
          </w:p>
        </w:tc>
        <w:tc>
          <w:tcPr>
            <w:tcW w:w="4876" w:type="dxa"/>
            <w:tcBorders>
              <w:top w:val="nil"/>
              <w:left w:val="nil"/>
              <w:bottom w:val="nil"/>
              <w:right w:val="nil"/>
            </w:tcBorders>
          </w:tcPr>
          <w:p>
            <w:pPr>
              <w:pStyle w:val="Normal6a"/>
            </w:pPr>
            <w:r>
              <w:t>44.</w:t>
            </w:r>
            <w:r>
              <w:tab/>
            </w:r>
            <w:r>
              <w:t xml:space="preserve">důrazně odsuzuje eskalující zásahy bezpilotních letounů a další zásahy ze vzduchu zaměřené na kritickou infrastrukturu, včetně </w:t>
            </w:r>
            <w:r>
              <w:rPr>
                <w:b/>
                <w:i/>
              </w:rPr>
              <w:t>infrastruktury pro správu hranic EU,</w:t>
            </w:r>
            <w:r>
              <w:t xml:space="preserve"> civilních letišť, vojenských základen a energetických zařízení v celé EU, a na její narušení, kterých se dopouštějí zejména Rusko a Bělorusko; vyzývá členské státy, aby koordinovaně, jednotně a vhodným způsobem reagovaly na jakékoli narušení svého vzdušného prostoru, a to i sestřelením letadel, dronů a dalších hrozeb ze vzduchu;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1288</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 xml:space="preserve">důrazně odsuzuje eskalující zásahy bezpilotních letounů a další zásahy ze vzduchu zaměřené na kritickou infrastrukturu, včetně civilních letišť, vojenských základen a energetických zařízení v celé EU, a na její narušení, kterých se dopouštějí zejména Rusko a Bělorusko; vyzývá </w:t>
            </w:r>
            <w:r>
              <w:rPr>
                <w:b/>
                <w:i/>
              </w:rPr>
              <w:t>členské státy, aby koordinovaně, jednotně a vhodným způsobem reagovaly na jakékoli narušení svého vzdušného prostoru, a to i sestřelením letadel, dronů a dalších hrozeb ze vzduchu</w:t>
            </w:r>
            <w:r>
              <w:t>;</w:t>
            </w:r>
          </w:p>
        </w:tc>
        <w:tc>
          <w:tcPr>
            <w:tcW w:w="4876" w:type="dxa"/>
            <w:tcBorders>
              <w:top w:val="nil"/>
              <w:left w:val="nil"/>
              <w:bottom w:val="nil"/>
              <w:right w:val="nil"/>
            </w:tcBorders>
          </w:tcPr>
          <w:p>
            <w:pPr>
              <w:pStyle w:val="Normal6a"/>
            </w:pPr>
            <w:r>
              <w:t>44.</w:t>
            </w:r>
            <w:r>
              <w:tab/>
            </w:r>
            <w:r>
              <w:t xml:space="preserve">důrazně odsuzuje eskalující zásahy bezpilotních letounů a další zásahy ze vzduchu zaměřené na kritickou infrastrukturu, včetně civilních letišť, vojenských základen a energetických zařízení v celé EU, a na její narušení, kterých se dopouštějí zejména Rusko a Bělorusko; </w:t>
            </w:r>
            <w:r>
              <w:rPr>
                <w:b/>
                <w:i/>
              </w:rPr>
              <w:t>naléhavě</w:t>
            </w:r>
            <w:r>
              <w:t xml:space="preserve"> vyzývá </w:t>
            </w:r>
            <w:r>
              <w:rPr>
                <w:b/>
                <w:i/>
              </w:rPr>
              <w:t>k opatrnosti, pokud jde o oznamování incidentů přisuzovaných dronům, aby se zabránilo falešným zprávám a zmírnilo se riziko nepřiměřené eskalace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1289</w:t>
      </w:r>
      <w:r>
        <w:rPr>
          <w:rStyle w:val="HideTWBExt"/>
        </w:rPr>
        <w:t>&lt;/NumAm&gt;</w:t>
      </w:r>
    </w:p>
    <w:p>
      <w:pPr>
        <w:pStyle w:val="NormalBold"/>
      </w:pPr>
      <w:r>
        <w:rPr>
          <w:rStyle w:val="HideTWBExt"/>
          <w:b w:val="0"/>
        </w:rPr>
        <w:t>&lt;RepeatBlock-By&gt;</w:t>
      </w:r>
      <w:r>
        <w:rPr>
          <w:rStyle w:val="HideTWBExt"/>
          <w:b w:val="0"/>
        </w:rPr>
        <w:t>&lt;Members&gt;</w:t>
      </w:r>
      <w:r>
        <w:t>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důrazně odsuzuje eskalující zásahy bezpilotních letounů a další zásahy ze vzduchu zaměřené na kritickou infrastrukturu, včetně civilních letišť, vojenských základen a energetických zařízení v celé EU, a na její narušení</w:t>
            </w:r>
            <w:r>
              <w:rPr>
                <w:b/>
                <w:i/>
              </w:rPr>
              <w:t>, kterých se dopouštějí zejména Rusko a Bělorusko</w:t>
            </w:r>
            <w:r>
              <w:t xml:space="preserve">; vyzývá členské státy, aby koordinovaně, jednotně a vhodným způsobem reagovaly na jakékoli narušení svého vzdušného prostoru, a to i sestřelením </w:t>
            </w:r>
            <w:r>
              <w:rPr>
                <w:b/>
                <w:i/>
              </w:rPr>
              <w:t>letadel,</w:t>
            </w:r>
            <w:r>
              <w:t xml:space="preserve"> dronů </w:t>
            </w:r>
            <w:r>
              <w:rPr>
                <w:b/>
                <w:i/>
              </w:rPr>
              <w:t>a dalších hrozeb ze vzduchu</w:t>
            </w:r>
            <w:r>
              <w:t>;</w:t>
            </w:r>
          </w:p>
        </w:tc>
        <w:tc>
          <w:tcPr>
            <w:tcW w:w="4876" w:type="dxa"/>
            <w:tcBorders>
              <w:top w:val="nil"/>
              <w:left w:val="nil"/>
              <w:bottom w:val="nil"/>
              <w:right w:val="nil"/>
            </w:tcBorders>
          </w:tcPr>
          <w:p>
            <w:pPr>
              <w:pStyle w:val="Normal6a"/>
            </w:pPr>
            <w:r>
              <w:t>44.</w:t>
            </w:r>
            <w:r>
              <w:tab/>
            </w:r>
            <w:r>
              <w:t>důrazně odsuzuje eskalující zásahy bezpilotních letounů a další zásahy ze vzduchu zaměřené na kritickou infrastrukturu, včetně civilních letišť, vojenských základen a energetických zařízení v celé EU, a na její narušení; vyzývá členské státy, aby koordinovaně, jednotně a vhodným způsobem reagovaly na jakékoli narušení svého vzdušného prostoru, a to i sestřelením dronů</w:t>
            </w:r>
            <w:r>
              <w:rPr>
                <w:b/>
                <w:i/>
              </w:rPr>
              <w:t>;</w:t>
            </w:r>
            <w:r>
              <w:t xml:space="preserve"> </w:t>
            </w:r>
            <w:r>
              <w:rPr>
                <w:b/>
                <w:i/>
              </w:rPr>
              <w:t>zdůrazňuje, že konflikty by měly být řešeny diplomatickými prostředky a při plném dodržování mezinárodního práva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důrazně odsuzuje eskalující zásahy bezpilotních letounů a další zásahy ze vzduchu zaměřené na kritickou infrastrukturu, včetně civilních letišť, vojenských základen a energetických zařízení v celé EU, a na její narušení, kterých se dopouštějí zejména Rusko a Bělorusko; vyzývá členské státy, aby koordinovaně, jednotně a vhodným způsobem reagovaly na jakékoli narušení svého vzdušného prostoru, a to i sestřelením letadel, dronů a dalších hrozeb ze vzduchu;</w:t>
            </w:r>
          </w:p>
        </w:tc>
        <w:tc>
          <w:tcPr>
            <w:tcW w:w="4876" w:type="dxa"/>
            <w:tcBorders>
              <w:top w:val="nil"/>
              <w:left w:val="nil"/>
              <w:bottom w:val="nil"/>
              <w:right w:val="nil"/>
            </w:tcBorders>
          </w:tcPr>
          <w:p>
            <w:pPr>
              <w:pStyle w:val="Normal6a"/>
            </w:pPr>
            <w:r>
              <w:t>44.</w:t>
            </w:r>
            <w:r>
              <w:tab/>
            </w:r>
            <w:r>
              <w:t>důrazně odsuzuje eskalující zásahy bezpilotních letounů a další zásahy ze vzduchu zaměřené na kritickou infrastrukturu, včetně civilních letišť, vojenských základen</w:t>
            </w:r>
            <w:r>
              <w:rPr>
                <w:b/>
                <w:i/>
              </w:rPr>
              <w:t>, letišť</w:t>
            </w:r>
            <w:r>
              <w:t xml:space="preserve"> a energetických zařízení v celé EU, a na její narušení, kterých se dopouštějí zejména Rusko a Bělorusko; vyzývá členské státy, aby koordinovaně, jednotně a vhodným způsobem reagovaly na jakékoli narušení svého vzdušného prostoru, a to i sestřelením letadel, dronů a dalších hrozeb ze vzduchu;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44a.</w:t>
            </w:r>
            <w:r>
              <w:tab/>
            </w:r>
            <w:r>
              <w:rPr>
                <w:b/>
                <w:i/>
              </w:rPr>
              <w:t>důrazně odsuzuje veškeré útoky na kritickou infrastrukturu, zejména železniční infrastrukturu, které ohrožují životy a bezpečnost občanů;</w:t>
            </w:r>
            <w:r>
              <w:t xml:space="preserve"> </w:t>
            </w:r>
            <w:r>
              <w:rPr>
                <w:b/>
                <w:i/>
              </w:rPr>
              <w:t>připomíná bezprecedentní sabotáž namířenou proti polské železniční infrastruktuře na strategické trase Varšava-Lublin, která měla způsobit železniční katastrofu a potenciálně i četná úmrtí;</w:t>
            </w:r>
            <w:r>
              <w:t xml:space="preserve"> </w:t>
            </w:r>
            <w:r>
              <w:rPr>
                <w:b/>
                <w:i/>
              </w:rPr>
              <w:t>konstatuje, že polské orgány identifikovaly podezřelé pachatele;</w:t>
            </w:r>
            <w:r>
              <w:t xml:space="preserve"> </w:t>
            </w:r>
            <w:r>
              <w:rPr>
                <w:b/>
                <w:i/>
              </w:rPr>
              <w:t>vyzývá běloruské orgány, aby plně spolupracovaly s polskými a mezinárodními vyšetřovateli, neprodleně sdílely veškeré relevantní informace a zajistily účinné stíhání nebo vydání podezřelých osob, aby mohli být viníci postaveni před soud;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44a.</w:t>
            </w:r>
            <w:r>
              <w:tab/>
            </w:r>
            <w:r>
              <w:rPr>
                <w:b/>
                <w:i/>
              </w:rPr>
              <w:t>vyzývá k větší podpoře EU s cílem zvýšit odolnost před kybernetickými útoky a sabotáží v oblasti kybernetické bezpečnosti a ochranu kritické infrastruktury v černomořském regionu, včetně energetických sítí, přístavů, podmořských kabelů a digitální infrastruktury;</w:t>
            </w:r>
            <w:r>
              <w:t xml:space="preserve"> </w:t>
            </w:r>
            <w:r>
              <w:rPr>
                <w:b/>
                <w:i/>
              </w:rPr>
              <w:t>zdůrazňuje význam společných cvičení, budování kapacit a technické pomoci partnerským zemím, které čelí soustavnému hybridnímu tlaku;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44b.</w:t>
            </w:r>
            <w:r>
              <w:tab/>
            </w:r>
            <w:r>
              <w:rPr>
                <w:b/>
                <w:i/>
              </w:rPr>
              <w:t>odsuzuje účast kubánských občanů na útoku na kritickou infrastrukturu a také jejich sabotáže, k nimž nedávno došlo v Litvě;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1294</w:t>
      </w:r>
      <w:r>
        <w:rPr>
          <w:rStyle w:val="HideTWBExt"/>
        </w:rPr>
        <w:t>&lt;/NumAm&gt;</w:t>
      </w:r>
    </w:p>
    <w:p>
      <w:pPr>
        <w:pStyle w:val="NormalBold"/>
      </w:pPr>
      <w:r>
        <w:rPr>
          <w:rStyle w:val="HideTWBExt"/>
          <w:b w:val="0"/>
        </w:rPr>
        <w:t>&lt;RepeatBlock-By&gt;</w:t>
      </w:r>
      <w:r>
        <w:rPr>
          <w:rStyle w:val="HideTWBExt"/>
          <w:b w:val="0"/>
        </w:rPr>
        <w:t>&lt;Members&gt;</w:t>
      </w:r>
      <w:r>
        <w:t>Konstantinos Arvanitis,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45.</w:t>
            </w:r>
            <w:r>
              <w:tab/>
            </w:r>
            <w:r>
              <w:rPr>
                <w:b/>
                <w:i/>
              </w:rPr>
              <w:t>zdůrazňuje, že škála hybridních aktivit, které Rusko vyvíjí proti EU, se v podstatě rovná státem podporovanému terorismu, i když tyto aktivity nepřekročily hranici ozbrojeného útoku;</w:t>
            </w:r>
            <w:r>
              <w:t xml:space="preserve"> </w:t>
            </w:r>
            <w:r>
              <w:rPr>
                <w:b/>
                <w:i/>
              </w:rPr>
              <w:t>upozorňuje, že na nepřátelské aktivity Ruska, které porušují územní svrchovanost členských států EU, narušují integritu jejich institucí a přímo ohrožují bezpečnost civilního obyvatelstva, je třeba uplatňovat všechny dostupné právní rámce pro boj proti terorismu;</w:t>
            </w:r>
            <w:r>
              <w:t xml:space="preserve"> </w:t>
            </w:r>
            <w:r>
              <w:rPr>
                <w:b/>
                <w:i/>
              </w:rPr>
              <w:t>zdůrazňuje, že EU musí urychleně přejít od režimu obrany k aktivnímu odstrašování;</w:t>
            </w:r>
            <w:r>
              <w:t xml:space="preserve"> </w:t>
            </w:r>
            <w:r>
              <w:rPr>
                <w:b/>
                <w:i/>
              </w:rPr>
              <w:t>naléhavě vyzývá členské státy, aby vyhodnotily právní a operační rámce pro přiměřená ofenzivní opatření zaměřená na logistickou a digitální infrastrukturu, která stojí za destabilizačními činnostmi Moskvy;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zdůrazňuje, že škála hybridních aktivit, které Rusko vyvíjí proti EU, se v podstatě rovná státem podporovanému terorismu, i když tyto aktivity nepřekročily hranici ozbrojeného útoku; upozorňuje, že na nepřátelské aktivity Ruska, které porušují územní svrchovanost členských států EU, narušují integritu jejich institucí a přímo ohrožují bezpečnost civilního obyvatelstva, je třeba uplatňovat všechny dostupné právní rámce pro boj proti terorismu; zdůrazňuje, že EU musí urychleně přejít od režimu obrany k aktivnímu odstrašování; naléhavě vyzývá členské státy, aby vyhodnotily právní a operační rámce pro přiměřená ofenzivní opatření zaměřená na logistickou a digitální infrastrukturu, která stojí za destabilizačními činnostmi Moskvy;</w:t>
            </w:r>
          </w:p>
        </w:tc>
        <w:tc>
          <w:tcPr>
            <w:tcW w:w="4876" w:type="dxa"/>
            <w:tcBorders>
              <w:top w:val="nil"/>
              <w:left w:val="nil"/>
              <w:bottom w:val="nil"/>
              <w:right w:val="nil"/>
            </w:tcBorders>
          </w:tcPr>
          <w:p>
            <w:pPr>
              <w:pStyle w:val="Normal6a"/>
            </w:pPr>
            <w:r>
              <w:t>45.</w:t>
            </w:r>
            <w:r>
              <w:tab/>
            </w:r>
            <w:r>
              <w:t xml:space="preserve">zdůrazňuje, že škála hybridních aktivit, které Rusko vyvíjí proti EU, se v podstatě rovná státem podporovanému terorismu, i když tyto aktivity nepřekročily hranici ozbrojeného útoku; upozorňuje, že na nepřátelské aktivity Ruska, které porušují územní svrchovanost členských států EU, narušují integritu jejich institucí a přímo ohrožují bezpečnost civilního obyvatelstva, je třeba uplatňovat všechny dostupné právní rámce pro boj proti terorismu; zdůrazňuje, že EU musí urychleně přejít od režimu obrany k aktivnímu odstrašování; naléhavě vyzývá členské státy, aby vyhodnotily právní a operační rámce pro přiměřená ofenzivní opatření zaměřená na logistickou a digitální infrastrukturu, která stojí za destabilizačními činnostmi Moskvy; </w:t>
            </w:r>
            <w:r>
              <w:rPr>
                <w:b/>
                <w:i/>
              </w:rPr>
              <w:t>vyzdvihuje rozsáhlé zkušenosti Ukrajiny s poškozováním ruských kapacit a potřebu urychlit poskytování podpory Ukrajině pro tyto akce;</w:t>
            </w:r>
            <w:r>
              <w:t xml:space="preserve"> </w:t>
            </w:r>
            <w:r>
              <w:rPr>
                <w:b/>
                <w:i/>
              </w:rPr>
              <w:t>konstatuje, že Rusko je zranitelné vůči kybernetickým operacím, jak prokázalo ponižující narušení činnosti ruské společnosti Aeroflot skupinou Kiberpartyzany;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1296</w:t>
      </w:r>
      <w:r>
        <w:rPr>
          <w:rStyle w:val="HideTWBExt"/>
        </w:rPr>
        <w:t>&lt;/NumAm&gt;</w:t>
      </w:r>
    </w:p>
    <w:p>
      <w:pPr>
        <w:pStyle w:val="NormalBold"/>
      </w:pPr>
      <w:r>
        <w:rPr>
          <w:rStyle w:val="HideTWBExt"/>
          <w:b w:val="0"/>
        </w:rPr>
        <w:t>&lt;RepeatBlock-By&gt;</w:t>
      </w:r>
      <w:r>
        <w:rPr>
          <w:rStyle w:val="HideTWBExt"/>
          <w:b w:val="0"/>
        </w:rPr>
        <w:t>&lt;Members&gt;</w:t>
      </w:r>
      <w:r>
        <w:t>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 xml:space="preserve">zdůrazňuje, že škála hybridních aktivit, které </w:t>
            </w:r>
            <w:r>
              <w:rPr>
                <w:b/>
                <w:i/>
              </w:rPr>
              <w:t>Rusko vyvíjí</w:t>
            </w:r>
            <w:r>
              <w:t xml:space="preserve"> proti EU, se v podstatě rovná státem podporovanému terorismu, i když tyto aktivity nepřekročily hranici ozbrojeného útoku; upozorňuje, že na nepřátelské aktivity </w:t>
            </w:r>
            <w:r>
              <w:rPr>
                <w:b/>
                <w:i/>
              </w:rPr>
              <w:t>Ruska</w:t>
            </w:r>
            <w:r>
              <w:t xml:space="preserve">, které porušují územní svrchovanost členských států EU, narušují integritu jejich institucí a přímo ohrožují bezpečnost civilního obyvatelstva, je třeba uplatňovat všechny dostupné právní rámce pro boj proti terorismu; zdůrazňuje, že EU musí urychleně přejít od režimu obrany k aktivnímu odstrašování; naléhavě vyzývá členské státy, aby vyhodnotily právní a operační rámce pro přiměřená ofenzivní opatření zaměřená na logistickou a digitální infrastrukturu, která stojí za destabilizačními činnostmi </w:t>
            </w:r>
            <w:r>
              <w:rPr>
                <w:b/>
                <w:i/>
              </w:rPr>
              <w:t>Moskvy</w:t>
            </w:r>
            <w:r>
              <w:t>;</w:t>
            </w:r>
          </w:p>
        </w:tc>
        <w:tc>
          <w:tcPr>
            <w:tcW w:w="4876" w:type="dxa"/>
            <w:tcBorders>
              <w:top w:val="nil"/>
              <w:left w:val="nil"/>
              <w:bottom w:val="nil"/>
              <w:right w:val="nil"/>
            </w:tcBorders>
          </w:tcPr>
          <w:p>
            <w:pPr>
              <w:pStyle w:val="Normal6a"/>
            </w:pPr>
            <w:r>
              <w:t>45.</w:t>
            </w:r>
            <w:r>
              <w:tab/>
            </w:r>
            <w:r>
              <w:t xml:space="preserve">zdůrazňuje, že škála hybridních aktivit, které </w:t>
            </w:r>
            <w:r>
              <w:rPr>
                <w:b/>
                <w:i/>
              </w:rPr>
              <w:t>třetí země vyvíjejí</w:t>
            </w:r>
            <w:r>
              <w:t xml:space="preserve"> proti EU, se v podstatě rovná státem podporovanému terorismu, i když tyto aktivity nepřekročily hranici ozbrojeného útoku; upozorňuje, že na nepřátelské aktivity </w:t>
            </w:r>
            <w:r>
              <w:rPr>
                <w:b/>
                <w:i/>
              </w:rPr>
              <w:t>třetích zemí</w:t>
            </w:r>
            <w:r>
              <w:t>, které porušují územní svrchovanost členských států EU, narušují integritu jejich institucí a přímo ohrožují bezpečnost civilního obyvatelstva, je třeba uplatňovat všechny dostupné právní rámce pro boj proti terorismu; zdůrazňuje, že EU musí urychleně přejít od režimu obrany k aktivnímu odstrašování</w:t>
            </w:r>
            <w:r>
              <w:rPr>
                <w:b/>
                <w:i/>
              </w:rPr>
              <w:t>, a to v plném souladu s mezinárodním právem a způsobem, který nevyvolá ani nebude představovat vojenský útok na žádný členský stát, ani nepovede k vypuknutí ozbrojeného konfliktu na území EU</w:t>
            </w:r>
            <w:r>
              <w:t xml:space="preserve">; naléhavě vyzývá členské státy, aby vyhodnotily právní a operační rámce pro přiměřená ofenzivní opatření zaměřená na logistickou a digitální infrastrukturu, která stojí za destabilizačními činnostmi </w:t>
            </w:r>
            <w:r>
              <w:rPr>
                <w:b/>
                <w:i/>
              </w:rPr>
              <w:t>třetích zemí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 xml:space="preserve">zdůrazňuje, že škála hybridních aktivit, které Rusko vyvíjí proti EU, </w:t>
            </w:r>
            <w:r>
              <w:rPr>
                <w:b/>
                <w:i/>
              </w:rPr>
              <w:t>se v podstatě rovná státem podporovanému terorismu, i když tyto aktivity nepřekročily</w:t>
            </w:r>
            <w:r>
              <w:t xml:space="preserve"> hranici ozbrojeného útoku; upozorňuje, že na nepřátelské aktivity Ruska, které porušují územní svrchovanost členských států EU, narušují integritu jejich institucí a přímo ohrožují bezpečnost civilního obyvatelstva, je třeba uplatňovat všechny dostupné právní rámce </w:t>
            </w:r>
            <w:r>
              <w:rPr>
                <w:b/>
                <w:i/>
              </w:rPr>
              <w:t>pro boj proti terorismu;</w:t>
            </w:r>
            <w:r>
              <w:t xml:space="preserve"> </w:t>
            </w:r>
            <w:r>
              <w:rPr>
                <w:b/>
                <w:i/>
              </w:rPr>
              <w:t>zdůrazňuje, že EU musí urychleně přejít od režimu obrany k aktivnímu odstrašování</w:t>
            </w:r>
            <w:r>
              <w:t xml:space="preserve">; naléhavě vyzývá členské státy, aby vyhodnotily právní a operační rámce pro přiměřená </w:t>
            </w:r>
            <w:r>
              <w:rPr>
                <w:b/>
                <w:i/>
              </w:rPr>
              <w:t>ofenzivní</w:t>
            </w:r>
            <w:r>
              <w:t xml:space="preserve"> opatření </w:t>
            </w:r>
            <w:r>
              <w:rPr>
                <w:b/>
                <w:i/>
              </w:rPr>
              <w:t>zaměřená na logistickou a digitální infrastrukturu, která stojí za destabilizačními činnostmi</w:t>
            </w:r>
            <w:r>
              <w:t xml:space="preserve"> Moskvy;</w:t>
            </w:r>
          </w:p>
        </w:tc>
        <w:tc>
          <w:tcPr>
            <w:tcW w:w="4876" w:type="dxa"/>
            <w:tcBorders>
              <w:top w:val="nil"/>
              <w:left w:val="nil"/>
              <w:bottom w:val="nil"/>
              <w:right w:val="nil"/>
            </w:tcBorders>
          </w:tcPr>
          <w:p>
            <w:pPr>
              <w:pStyle w:val="Normal6a"/>
            </w:pPr>
            <w:r>
              <w:t>45.</w:t>
            </w:r>
            <w:r>
              <w:tab/>
            </w:r>
            <w:r>
              <w:t xml:space="preserve">zdůrazňuje, že škála hybridních aktivit, které Rusko vyvíjí proti EU, </w:t>
            </w:r>
            <w:r>
              <w:rPr>
                <w:b/>
                <w:i/>
              </w:rPr>
              <w:t>nepřekročila</w:t>
            </w:r>
            <w:r>
              <w:t xml:space="preserve"> hranici ozbrojeného útoku; upozorňuje, že na nepřátelské aktivity Ruska, které porušují územní svrchovanost členských států EU, narušují integritu jejich institucí a přímo ohrožují bezpečnost civilního obyvatelstva, je třeba uplatňovat všechny dostupné právní rámce; naléhavě vyzývá členské státy, aby vyhodnotily právní a operační rámce pro </w:t>
            </w:r>
            <w:r>
              <w:rPr>
                <w:b/>
                <w:i/>
              </w:rPr>
              <w:t>vhodná a</w:t>
            </w:r>
            <w:r>
              <w:t xml:space="preserve"> přiměřená opatření </w:t>
            </w:r>
            <w:r>
              <w:rPr>
                <w:b/>
                <w:i/>
              </w:rPr>
              <w:t>proti destabilizačním činnostem</w:t>
            </w:r>
            <w:r>
              <w:t xml:space="preserve"> Moskvy;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1298</w:t>
      </w:r>
      <w:r>
        <w:rPr>
          <w:rStyle w:val="HideTWBExt"/>
        </w:rPr>
        <w:t>&lt;/NumAm&gt;</w:t>
      </w:r>
    </w:p>
    <w:p>
      <w:pPr>
        <w:pStyle w:val="NormalBold"/>
      </w:pPr>
      <w:r>
        <w:rPr>
          <w:rStyle w:val="HideTWBExt"/>
          <w:b w:val="0"/>
        </w:rPr>
        <w:t>&lt;RepeatBlock-By&gt;</w:t>
      </w:r>
      <w:r>
        <w:rPr>
          <w:rStyle w:val="HideTWBExt"/>
          <w:b w:val="0"/>
        </w:rPr>
        <w:t>&lt;Members&gt;</w:t>
      </w:r>
      <w:r>
        <w:t>Fabrice Leggeri, Virginie Joron,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 xml:space="preserve">zdůrazňuje, že škála hybridních aktivit, které </w:t>
            </w:r>
            <w:r>
              <w:rPr>
                <w:b/>
                <w:i/>
              </w:rPr>
              <w:t>Rusko vyvíjí</w:t>
            </w:r>
            <w:r>
              <w:t xml:space="preserve"> proti EU, se v podstatě rovná státem podporovanému terorismu, i když tyto aktivity nepřekročily hranici ozbrojeného útoku; upozorňuje, že na nepřátelské aktivity </w:t>
            </w:r>
            <w:r>
              <w:rPr>
                <w:b/>
                <w:i/>
              </w:rPr>
              <w:t>Ruska</w:t>
            </w:r>
            <w:r>
              <w:t xml:space="preserve">, které porušují územní svrchovanost členských států EU, narušují integritu jejich institucí a přímo ohrožují bezpečnost civilního obyvatelstva, je třeba uplatňovat všechny dostupné právní rámce pro boj proti terorismu; zdůrazňuje, že </w:t>
            </w:r>
            <w:r>
              <w:rPr>
                <w:b/>
                <w:i/>
              </w:rPr>
              <w:t>EU</w:t>
            </w:r>
            <w:r>
              <w:t xml:space="preserve"> musí urychleně přejít od režimu obrany k aktivnímu odstrašování; naléhavě vyzývá členské státy, aby vyhodnotily právní a operační rámce pro přiměřená </w:t>
            </w:r>
            <w:r>
              <w:rPr>
                <w:b/>
                <w:i/>
              </w:rPr>
              <w:t>ofenzivní</w:t>
            </w:r>
            <w:r>
              <w:t xml:space="preserve"> opatření zaměřená na logistickou a digitální infrastrukturu, která stojí za destabilizačními činnostmi </w:t>
            </w:r>
            <w:r>
              <w:rPr>
                <w:b/>
                <w:i/>
              </w:rPr>
              <w:t>Moskvy</w:t>
            </w:r>
            <w:r>
              <w:t>;</w:t>
            </w:r>
          </w:p>
        </w:tc>
        <w:tc>
          <w:tcPr>
            <w:tcW w:w="4876" w:type="dxa"/>
            <w:tcBorders>
              <w:top w:val="nil"/>
              <w:left w:val="nil"/>
              <w:bottom w:val="nil"/>
              <w:right w:val="nil"/>
            </w:tcBorders>
          </w:tcPr>
          <w:p>
            <w:pPr>
              <w:pStyle w:val="Normal6a"/>
            </w:pPr>
            <w:r>
              <w:t>45.</w:t>
            </w:r>
            <w:r>
              <w:tab/>
            </w:r>
            <w:r>
              <w:t xml:space="preserve">zdůrazňuje, že škála hybridních aktivit, které </w:t>
            </w:r>
            <w:r>
              <w:rPr>
                <w:b/>
                <w:i/>
              </w:rPr>
              <w:t>třetí země vyvíjejí</w:t>
            </w:r>
            <w:r>
              <w:t xml:space="preserve"> proti EU, se v podstatě rovná státem podporovanému terorismu, i když tyto aktivity nepřekročily hranici ozbrojeného útoku; upozorňuje, že na nepřátelské aktivity </w:t>
            </w:r>
            <w:r>
              <w:rPr>
                <w:b/>
                <w:i/>
              </w:rPr>
              <w:t>třetích zemí</w:t>
            </w:r>
            <w:r>
              <w:t xml:space="preserve">, které porušují územní svrchovanost členských států EU, narušují integritu jejich institucí a přímo ohrožují bezpečnost civilního obyvatelstva, je třeba uplatňovat všechny dostupné právní rámce pro boj proti terorismu; zdůrazňuje, že </w:t>
            </w:r>
            <w:r>
              <w:rPr>
                <w:b/>
                <w:i/>
              </w:rPr>
              <w:t>členské státy</w:t>
            </w:r>
            <w:r>
              <w:t xml:space="preserve"> musí urychleně přejít od režimu obrany k aktivnímu odstrašování; naléhavě vyzývá členské státy, aby vyhodnotily právní a operační rámce pro přiměřená opatření zaměřená na logistickou a digitální infrastrukturu, která stojí za </w:t>
            </w:r>
            <w:r>
              <w:rPr>
                <w:b/>
                <w:i/>
              </w:rPr>
              <w:t>jakýmikoli</w:t>
            </w:r>
            <w:r>
              <w:t xml:space="preserve"> destabilizačními činnostmi;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1299</w:t>
      </w:r>
      <w:r>
        <w:rPr>
          <w:rStyle w:val="HideTWBExt"/>
        </w:rPr>
        <w:t>&lt;/NumAm&gt;</w:t>
      </w:r>
    </w:p>
    <w:p>
      <w:pPr>
        <w:pStyle w:val="NormalBold"/>
      </w:pPr>
      <w:r>
        <w:rPr>
          <w:rStyle w:val="HideTWBExt"/>
          <w:b w:val="0"/>
        </w:rPr>
        <w:t>&lt;RepeatBlock-By&gt;</w:t>
      </w:r>
      <w:r>
        <w:rPr>
          <w:rStyle w:val="HideTWBExt"/>
          <w:b w:val="0"/>
        </w:rPr>
        <w:t>&lt;Members&gt;</w:t>
      </w:r>
      <w:r>
        <w:t>Konstantinos Arvanitis,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46.</w:t>
            </w:r>
            <w:r>
              <w:tab/>
            </w:r>
            <w:r>
              <w:rPr>
                <w:b/>
                <w:i/>
              </w:rPr>
              <w:t>vyzývá Komisi a členské státy, aby vypracovaly společný výklad Úmluvy Organizace spojených národů o mořském právu (UNCLOS) ze strany EU s cílem zajistit koordinovaný postup proti hybridním činnostem a sabotáži v námořních oblastech EU, zejména v Baltském moři;</w:t>
            </w:r>
            <w:r>
              <w:t xml:space="preserve"> </w:t>
            </w:r>
            <w:r>
              <w:rPr>
                <w:b/>
                <w:i/>
              </w:rPr>
              <w:t>domnívá se, že přeshraniční koordinaci lze dále zlepšit jak na provozní, tak na finanční úrovni;</w:t>
            </w:r>
            <w:r>
              <w:t xml:space="preserve"> </w:t>
            </w:r>
            <w:r>
              <w:rPr>
                <w:b/>
                <w:i/>
              </w:rPr>
              <w:t>zdůrazňuje, že je třeba, aby EU zintenzivnila svou reakci na hybridní hrozby v námořních oblastech, včetně hrozeb, které představuje ruská „stínová flotila“;</w:t>
            </w:r>
            <w:r>
              <w:t xml:space="preserve"> </w:t>
            </w:r>
            <w:r>
              <w:rPr>
                <w:b/>
                <w:i/>
              </w:rPr>
              <w:t>poukazuje na to, že řešení těchto výzev vyžaduje vyčlenění dostatečných finančních prostředků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1300</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vyzývá Komisi a členské státy, aby vypracovaly společný výklad Úmluvy Organizace spojených národů o mořském právu (UNCLOS) ze strany EU s cílem zajistit </w:t>
            </w:r>
            <w:r>
              <w:rPr>
                <w:b/>
                <w:i/>
              </w:rPr>
              <w:t>koordinovaný postup</w:t>
            </w:r>
            <w:r>
              <w:t xml:space="preserve"> proti hybridním činnostem </w:t>
            </w:r>
            <w:r>
              <w:rPr>
                <w:b/>
                <w:i/>
              </w:rPr>
              <w:t>a sabotáži</w:t>
            </w:r>
            <w:r>
              <w:t xml:space="preserve"> v námořních oblastech EU, zejména v Baltském moři; domnívá se, že přeshraniční koordinaci lze dále </w:t>
            </w:r>
            <w:r>
              <w:rPr>
                <w:b/>
                <w:i/>
              </w:rPr>
              <w:t>zlepšit</w:t>
            </w:r>
            <w:r>
              <w:t xml:space="preserve"> jak na provozní, tak na finanční úrovni; zdůrazňuje, že je třeba, aby EU zintenzivnila svou reakci na hybridní hrozby v námořních oblastech, včetně hrozeb, které představuje ruská „stínová flotila“; poukazuje na to, že řešení těchto výzev vyžaduje vyčlenění dostatečných finančních prostředků EU;</w:t>
            </w:r>
          </w:p>
        </w:tc>
        <w:tc>
          <w:tcPr>
            <w:tcW w:w="4876" w:type="dxa"/>
            <w:tcBorders>
              <w:top w:val="nil"/>
              <w:left w:val="nil"/>
              <w:bottom w:val="nil"/>
              <w:right w:val="nil"/>
            </w:tcBorders>
          </w:tcPr>
          <w:p>
            <w:pPr>
              <w:pStyle w:val="Normal6a"/>
            </w:pPr>
            <w:r>
              <w:t>46.</w:t>
            </w:r>
            <w:r>
              <w:tab/>
            </w:r>
            <w:r>
              <w:t xml:space="preserve">vyzývá Komisi a členské státy, aby vypracovaly společný výklad Úmluvy Organizace spojených národů o mořském právu (UNCLOS) ze strany EU </w:t>
            </w:r>
            <w:r>
              <w:rPr>
                <w:b/>
                <w:i/>
              </w:rPr>
              <w:t>nejen</w:t>
            </w:r>
            <w:r>
              <w:t xml:space="preserve"> s cílem zajistit proti hybridním </w:t>
            </w:r>
            <w:r>
              <w:rPr>
                <w:b/>
                <w:i/>
              </w:rPr>
              <w:t>a sabotážním</w:t>
            </w:r>
            <w:r>
              <w:t xml:space="preserve"> činnostem v námořních oblastech EU, zejména v Baltském </w:t>
            </w:r>
            <w:r>
              <w:rPr>
                <w:b/>
                <w:i/>
              </w:rPr>
              <w:t>a Severním moři, koordinovaný postup, ale i tyto činnosti efektivně stíhat a odrazovat od nich;</w:t>
            </w:r>
            <w:r>
              <w:t xml:space="preserve"> </w:t>
            </w:r>
            <w:r>
              <w:rPr>
                <w:b/>
                <w:i/>
              </w:rPr>
              <w:t>vybízí Komisi a členské státy, aby se inspirovaly australským příkladem zřizování tzv. ochranných pásem kabelů, čímž Austrálie poskytuje právní záruky a zajišťuje trestní odpovědnost za škody na podmořských kabelech za hranicí teritoriálního moře 12 námořních mil, aktivní monitoring, dohled a svou reakceschopnost ve spolupráci s příslušnými partnery ze třetích zemí v Baltském a Severním</w:t>
            </w:r>
            <w:r>
              <w:t xml:space="preserve"> moři; domnívá se, že přeshraniční koordinaci lze dále </w:t>
            </w:r>
            <w:r>
              <w:rPr>
                <w:b/>
                <w:i/>
              </w:rPr>
              <w:t>posílit</w:t>
            </w:r>
            <w:r>
              <w:t xml:space="preserve"> jak na provozní, tak na finanční úrovni; zdůrazňuje, že je třeba, aby EU zintenzivnila svou reakci na hybridní hrozby v námořních oblastech, včetně hrozeb, které představuje ruská „stínová flotila“; </w:t>
            </w:r>
            <w:r>
              <w:rPr>
                <w:b/>
                <w:i/>
              </w:rPr>
              <w:t>vybízí Komisi, aby prozkoumala možnost využití mandátu bezpečnostní iniciativy proti šíření zbraní hromadného ničení (PSI) ke vstupu na palubu plavidel napojených na tyto stínové flotily, a vyzývá Finanční akční výbor (FATF), aby v rámci svých postupů vzájemného hodnocení a zařazování jurisdikcí na šedou listinu hrál aktivnější úlohu při kontrole správy rejstříku vlajek;</w:t>
            </w:r>
            <w:r>
              <w:t xml:space="preserve"> poukazuje na to, že </w:t>
            </w:r>
            <w:r>
              <w:rPr>
                <w:b/>
                <w:i/>
              </w:rPr>
              <w:t>účinné</w:t>
            </w:r>
            <w:r>
              <w:t xml:space="preserve"> řešení těchto výzev vyžaduje vyčlenění dostatečných finančních prostředků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1301</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vyzývá Komisi a členské státy, aby vypracovaly společný výklad Úmluvy Organizace spojených národů o mořském právu (UNCLOS) ze strany EU s cílem zajistit koordinovaný postup proti hybridním činnostem a sabotáži v námořních oblastech EU, zejména v Baltském moři; domnívá se, že přeshraniční koordinaci lze dále zlepšit jak na provozní, tak na finanční úrovni; zdůrazňuje, že je třeba, aby EU zintenzivnila svou reakci na hybridní hrozby v námořních oblastech, včetně hrozeb, které představuje ruská „stínová flotila“; poukazuje na to, že řešení těchto výzev vyžaduje vyčlenění dostatečných finančních prostředků EU;</w:t>
            </w:r>
          </w:p>
        </w:tc>
        <w:tc>
          <w:tcPr>
            <w:tcW w:w="4876" w:type="dxa"/>
            <w:tcBorders>
              <w:top w:val="nil"/>
              <w:left w:val="nil"/>
              <w:bottom w:val="nil"/>
              <w:right w:val="nil"/>
            </w:tcBorders>
          </w:tcPr>
          <w:p>
            <w:pPr>
              <w:pStyle w:val="Normal6a"/>
            </w:pPr>
            <w:r>
              <w:t>46.</w:t>
            </w:r>
            <w:r>
              <w:tab/>
            </w:r>
            <w:r>
              <w:t xml:space="preserve">vyzývá Komisi a členské státy, aby vypracovaly společný výklad Úmluvy Organizace spojených národů o mořském právu (UNCLOS) ze strany EU s cílem zajistit koordinovaný postup proti hybridním činnostem a sabotáži v námořních oblastech EU, zejména v Baltském moři; domnívá se, že přeshraniční koordinaci lze dále zlepšit jak na provozní, tak na finanční úrovni; zdůrazňuje, že je třeba, aby EU zintenzivnila svou reakci na hybridní hrozby v námořních oblastech, včetně hrozeb, které představuje ruská „stínová flotila“; </w:t>
            </w:r>
            <w:r>
              <w:rPr>
                <w:b/>
                <w:i/>
              </w:rPr>
              <w:t>opakovaně vyzývá k tomu, aby byla v reakci na útočnou válku Ruska proti Ukrajině přednostně v Černém moři, Severním moři a Baltském moři zřízena evropská centra pro námořní bezpečnost, a zdůrazňuje, že tato centra by měla zlepšit informovanost o situaci na moři, umožnit monitorování situace v reálném čase od vesmíru až po mořské dno, a posílit kapacity včasného varování a reakce na zvýšené hrozby ruské stínové flotily a zároveň zajistit bezpečnost obchodních tras;</w:t>
            </w:r>
            <w:r>
              <w:t xml:space="preserve"> poukazuje na to, že řešení těchto výzev vyžaduje vyčlenění dostatečných finančních prostředků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1302</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vyzývá Komisi a členské státy, aby vypracovaly společný výklad Úmluvy Organizace spojených národů o mořském právu (UNCLOS) ze strany EU s cílem zajistit koordinovaný postup proti hybridním činnostem a sabotáži v námořních oblastech EU, zejména v Baltském moři; domnívá se, že přeshraniční koordinaci lze dále zlepšit jak na provozní, tak na finanční úrovni; </w:t>
            </w:r>
            <w:r>
              <w:rPr>
                <w:b/>
                <w:i/>
              </w:rPr>
              <w:t>zdůrazňuje, že je třeba, aby EU zintenzivnila svou reakci na hybridní hrozby v námořních oblastech, včetně hrozeb, které představuje ruská „stínová flotila“;</w:t>
            </w:r>
            <w:r>
              <w:t xml:space="preserve"> </w:t>
            </w:r>
            <w:r>
              <w:rPr>
                <w:b/>
                <w:i/>
              </w:rPr>
              <w:t>poukazuje na to, že řešení těchto výzev vyžaduje vyčlenění dostatečných finančních prostředků EU;</w:t>
            </w:r>
          </w:p>
        </w:tc>
        <w:tc>
          <w:tcPr>
            <w:tcW w:w="4876" w:type="dxa"/>
            <w:tcBorders>
              <w:top w:val="nil"/>
              <w:left w:val="nil"/>
              <w:bottom w:val="nil"/>
              <w:right w:val="nil"/>
            </w:tcBorders>
          </w:tcPr>
          <w:p>
            <w:pPr>
              <w:pStyle w:val="Normal6a"/>
            </w:pPr>
            <w:r>
              <w:t>46.</w:t>
            </w:r>
            <w:r>
              <w:tab/>
            </w:r>
            <w:r>
              <w:t>vyzývá Komisi a členské státy, aby vypracovaly společný výklad Úmluvy Organizace spojených národů o mořském právu (UNCLOS) ze strany EU s cílem zajistit koordinovaný postup proti hybridním činnostem a sabotáži v námořních oblastech EU, zejména v Baltském moři; domnívá se, že přeshraniční koordinaci lze dále zlepšit jak na provozní, tak na finanční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1303</w:t>
      </w:r>
      <w:r>
        <w:rPr>
          <w:rStyle w:val="HideTWBExt"/>
        </w:rPr>
        <w:t>&lt;/NumAm&gt;</w:t>
      </w:r>
    </w:p>
    <w:p>
      <w:pPr>
        <w:pStyle w:val="NormalBold"/>
      </w:pPr>
      <w:r>
        <w:rPr>
          <w:rStyle w:val="HideTWBExt"/>
          <w:b w:val="0"/>
        </w:rPr>
        <w:t>&lt;RepeatBlock-By&gt;</w:t>
      </w:r>
      <w:r>
        <w:rPr>
          <w:rStyle w:val="HideTWBExt"/>
          <w:b w:val="0"/>
        </w:rPr>
        <w:t>&lt;Members&gt;</w:t>
      </w:r>
      <w:r>
        <w:t>Ana Catarina Mendes, Evin Incir,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vyzývá Komisi a členské státy, aby vypracovaly společný výklad Úmluvy Organizace spojených národů o mořském právu (UNCLOS) ze strany EU s cílem zajistit koordinovaný postup proti hybridním činnostem a sabotáži v námořních oblastech EU, zejména v Baltském moři; domnívá se, že přeshraniční koordinaci lze dále zlepšit jak na </w:t>
            </w:r>
            <w:r>
              <w:rPr>
                <w:b/>
                <w:i/>
              </w:rPr>
              <w:t>provozní</w:t>
            </w:r>
            <w:r>
              <w:t>, tak na finanční úrovni; zdůrazňuje, že je třeba, aby EU zintenzivnila svou reakci na hybridní hrozby v námořních oblastech, včetně hrozeb, které představuje ruská „stínová flotila“; poukazuje na to, že řešení těchto výzev vyžaduje vyčlenění dostatečných finančních prostředků EU;</w:t>
            </w:r>
          </w:p>
        </w:tc>
        <w:tc>
          <w:tcPr>
            <w:tcW w:w="4876" w:type="dxa"/>
            <w:tcBorders>
              <w:top w:val="nil"/>
              <w:left w:val="nil"/>
              <w:bottom w:val="nil"/>
              <w:right w:val="nil"/>
            </w:tcBorders>
          </w:tcPr>
          <w:p>
            <w:pPr>
              <w:pStyle w:val="Normal6a"/>
            </w:pPr>
            <w:r>
              <w:t>46.</w:t>
            </w:r>
            <w:r>
              <w:tab/>
            </w:r>
            <w:r>
              <w:t xml:space="preserve">vyzývá Komisi a členské státy, aby vypracovaly společný výklad Úmluvy Organizace spojených národů o mořském právu (UNCLOS) ze strany EU s cílem zajistit koordinovaný postup proti hybridním činnostem a sabotáži v námořních oblastech EU, zejména v Baltském moři; </w:t>
            </w:r>
            <w:r>
              <w:rPr>
                <w:b/>
                <w:i/>
              </w:rPr>
              <w:t>připomíná, že úmluva UNCLOS byla uzavřena s cílem podporovat mírové využívání moří a oceánů a chránit mořské prostředí v mezinárodních vodách;</w:t>
            </w:r>
            <w:r>
              <w:t xml:space="preserve"> domnívá se, že přeshraniční koordinaci lze dále zlepšit jak na </w:t>
            </w:r>
            <w:r>
              <w:rPr>
                <w:b/>
                <w:i/>
              </w:rPr>
              <w:t>operativní</w:t>
            </w:r>
            <w:r>
              <w:t xml:space="preserve">, tak na finanční úrovni </w:t>
            </w:r>
            <w:r>
              <w:rPr>
                <w:b/>
                <w:i/>
              </w:rPr>
              <w:t>v koordinaci s operací NATO „Baltic Sentry“ </w:t>
            </w:r>
            <w:r>
              <w:t>; zdůrazňuje, že je třeba, aby EU zintenzivnila svou reakci na hybridní hrozby v námořních oblastech, včetně hrozeb, které představuje ruská „stínová flotila“; poukazuje na to, že řešení těchto výzev vyžaduje vyčlenění dostatečných finančních prostředků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1304</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vyzývá Komisi a členské státy, aby vypracovaly společný výklad Úmluvy Organizace spojených národů o mořském právu (UNCLOS) ze strany EU s cílem zajistit koordinovaný postup proti hybridním činnostem a sabotáži v námořních oblastech EU, zejména v Baltském moři; domnívá se, že přeshraniční koordinaci lze dále zlepšit jak na provozní, tak na finanční úrovni; zdůrazňuje, že je třeba, aby EU zintenzivnila svou reakci na hybridní hrozby v námořních oblastech, včetně hrozeb, které představuje ruská „stínová flotila“; poukazuje na to, že řešení těchto výzev vyžaduje vyčlenění dostatečných finančních prostředků EU;</w:t>
            </w:r>
          </w:p>
        </w:tc>
        <w:tc>
          <w:tcPr>
            <w:tcW w:w="4876" w:type="dxa"/>
            <w:tcBorders>
              <w:top w:val="nil"/>
              <w:left w:val="nil"/>
              <w:bottom w:val="nil"/>
              <w:right w:val="nil"/>
            </w:tcBorders>
          </w:tcPr>
          <w:p>
            <w:pPr>
              <w:pStyle w:val="Normal6a"/>
            </w:pPr>
            <w:r>
              <w:t>46.</w:t>
            </w:r>
            <w:r>
              <w:tab/>
            </w:r>
            <w:r>
              <w:t>vyzývá Komisi a členské státy, aby vypracovaly společný výklad Úmluvy Organizace spojených národů o mořském právu (UNCLOS) ze strany EU s cílem zajistit koordinovaný postup proti hybridním činnostem</w:t>
            </w:r>
            <w:r>
              <w:rPr>
                <w:b/>
                <w:i/>
              </w:rPr>
              <w:t>, porušování svrchovaných práv jednotlivých zemí</w:t>
            </w:r>
            <w:r>
              <w:t xml:space="preserve"> a sabotáži v námořních oblastech EU, zejména v Baltském moři </w:t>
            </w:r>
            <w:r>
              <w:rPr>
                <w:b/>
                <w:i/>
              </w:rPr>
              <w:t>a ve východním Středomoří</w:t>
            </w:r>
            <w:r>
              <w:t xml:space="preserve">; domnívá se, že přeshraniční koordinaci lze dále zlepšit jak na provozní, tak na finanční úrovni; zdůrazňuje, že je třeba, aby EU zintenzivnila svou reakci na hybridní hrozby v námořních oblastech, včetně hrozeb, které představuje ruská „stínová flotila“ </w:t>
            </w:r>
            <w:r>
              <w:rPr>
                <w:b/>
                <w:i/>
              </w:rPr>
              <w:t>a nezákonný, nehlášený a neregulovaný rybolov</w:t>
            </w:r>
            <w:r>
              <w:t>; poukazuje na to, že řešení těchto výzev vyžaduje vyčlenění dostatečných finančních prostředků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1305</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vyzývá Komisi a členské státy, aby vypracovaly společný výklad Úmluvy Organizace spojených národů o mořském právu (UNCLOS) ze strany EU s cílem zajistit koordinovaný postup proti hybridním činnostem a sabotáži v námořních oblastech EU, zejména v Baltském moři; domnívá se, že přeshraniční koordinaci lze dále zlepšit jak na provozní, tak na finanční úrovni; zdůrazňuje, že je třeba, aby EU zintenzivnila svou reakci na hybridní hrozby v námořních oblastech, včetně hrozeb, které představuje ruská „stínová flotila“; poukazuje na to, že řešení těchto výzev vyžaduje vyčlenění dostatečných finančních prostředků EU;</w:t>
            </w:r>
          </w:p>
        </w:tc>
        <w:tc>
          <w:tcPr>
            <w:tcW w:w="4876" w:type="dxa"/>
            <w:tcBorders>
              <w:top w:val="nil"/>
              <w:left w:val="nil"/>
              <w:bottom w:val="nil"/>
              <w:right w:val="nil"/>
            </w:tcBorders>
          </w:tcPr>
          <w:p>
            <w:pPr>
              <w:pStyle w:val="Normal6a"/>
            </w:pPr>
            <w:r>
              <w:t>46.</w:t>
            </w:r>
            <w:r>
              <w:tab/>
            </w:r>
            <w:r>
              <w:t>vyzývá Komisi a členské státy, aby vypracovaly společný výklad Úmluvy Organizace spojených národů o mořském právu (UNCLOS) ze strany EU s cílem zajistit koordinovaný postup proti hybridním činnostem a sabotáži v námořních oblastech EU, zejména v Baltském moři</w:t>
            </w:r>
            <w:r>
              <w:rPr>
                <w:b/>
                <w:i/>
              </w:rPr>
              <w:t>;</w:t>
            </w:r>
            <w:r>
              <w:t xml:space="preserve"> </w:t>
            </w:r>
            <w:r>
              <w:rPr>
                <w:b/>
                <w:i/>
              </w:rPr>
              <w:t>odsuzuje v tomto ohledu jakýkoli útok na podmořské kabely a konektory</w:t>
            </w:r>
            <w:r>
              <w:t>; domnívá se, že přeshraniční koordinaci lze dále zlepšit jak na provozní, tak na finanční úrovni; zdůrazňuje, že je třeba, aby EU zintenzivnila svou reakci na hybridní hrozby v námořních oblastech, včetně hrozeb, které představuje ruská „stínová flotila“; poukazuje na to, že řešení těchto výzev vyžaduje vyčlenění dostatečných finančních prostředků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vyzývá Komisi a členské státy, aby vypracovaly společný výklad Úmluvy Organizace spojených národů o mořském právu (UNCLOS) ze strany EU s cílem zajistit koordinovaný postup proti hybridním činnostem a sabotáži v námořních oblastech EU, zejména v Baltském moři; domnívá se, že přeshraniční koordinaci lze dále zlepšit jak na provozní, tak na finanční úrovni; zdůrazňuje, že je třeba, aby EU zintenzivnila svou reakci na hybridní hrozby v námořních oblastech, včetně hrozeb, které představuje ruská „stínová flotila“; poukazuje na to, že řešení těchto výzev vyžaduje vyčlenění dostatečných finančních prostředků EU;</w:t>
            </w:r>
          </w:p>
        </w:tc>
        <w:tc>
          <w:tcPr>
            <w:tcW w:w="4876" w:type="dxa"/>
            <w:tcBorders>
              <w:top w:val="nil"/>
              <w:left w:val="nil"/>
              <w:bottom w:val="nil"/>
              <w:right w:val="nil"/>
            </w:tcBorders>
          </w:tcPr>
          <w:p>
            <w:pPr>
              <w:pStyle w:val="Normal6a"/>
            </w:pPr>
            <w:r>
              <w:t>46.</w:t>
            </w:r>
            <w:r>
              <w:tab/>
            </w:r>
            <w:r>
              <w:t>vyzývá Komisi a členské státy, aby vypracovaly společný výklad Úmluvy Organizace spojených národů o mořském právu (UNCLOS) ze strany EU s cílem zajistit koordinovaný postup proti hybridním činnostem a sabotáži v námořních oblastech EU, zejména v Baltském moři; domnívá se, že přeshraniční koordinaci lze dále zlepšit jak na provozní, tak na finanční úrovni; zdůrazňuje, že je třeba, aby EU</w:t>
            </w:r>
            <w:r>
              <w:rPr>
                <w:b/>
                <w:i/>
              </w:rPr>
              <w:t>, včetně agentur,</w:t>
            </w:r>
            <w:r>
              <w:t xml:space="preserve"> zintenzivnila svou reakci na hybridní hrozby v námořních oblastech, včetně hrozeb, které představuje ruská „stínová flotila“; poukazuje na to, že řešení těchto výzev vyžaduje vyčlenění dostatečných finančních prostředků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1307</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vyzývá Komisi a členské státy, aby vypracovaly společný výklad Úmluvy Organizace spojených národů o mořském právu (UNCLOS) ze strany EU s cílem zajistit koordinovaný postup proti hybridním činnostem a sabotáži v námořních oblastech EU, zejména v Baltském moři; domnívá se, že přeshraniční koordinaci lze dále zlepšit jak na provozní, tak na finanční úrovni; zdůrazňuje, že je třeba, aby EU zintenzivnila svou reakci na </w:t>
            </w:r>
            <w:r>
              <w:rPr>
                <w:b/>
                <w:i/>
              </w:rPr>
              <w:t>hybridní</w:t>
            </w:r>
            <w:r>
              <w:t xml:space="preserve"> hrozby v námořních oblastech, včetně hrozeb, které představuje ruská „stínová flotila“; poukazuje na to, že řešení těchto výzev vyžaduje vyčlenění dostatečných finančních prostředků EU;</w:t>
            </w:r>
          </w:p>
        </w:tc>
        <w:tc>
          <w:tcPr>
            <w:tcW w:w="4876" w:type="dxa"/>
            <w:tcBorders>
              <w:top w:val="nil"/>
              <w:left w:val="nil"/>
              <w:bottom w:val="nil"/>
              <w:right w:val="nil"/>
            </w:tcBorders>
          </w:tcPr>
          <w:p>
            <w:pPr>
              <w:pStyle w:val="Normal6a"/>
            </w:pPr>
            <w:r>
              <w:t>46.</w:t>
            </w:r>
            <w:r>
              <w:tab/>
            </w:r>
            <w:r>
              <w:t>vyzývá Komisi a členské státy, aby vypracovaly společný výklad Úmluvy Organizace spojených národů o mořském právu (UNCLOS) ze strany EU s cílem zajistit koordinovaný postup proti hybridním činnostem a sabotáži v námořních oblastech EU, zejména v Baltském moři; domnívá se, že přeshraniční koordinaci lze dále zlepšit jak na provozní, tak na finanční úrovni; zdůrazňuje, že je třeba, aby EU zintenzivnila svou reakci na hrozby v námořních oblastech, včetně hrozeb, které představuje ruská „stínová flotila“; poukazuje na to, že řešení těchto výzev vyžaduje vyčlenění dostatečných finančních prostředků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1308</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vyzývá Komisi a členské státy, aby vypracovaly společný výklad Úmluvy Organizace spojených národů o mořském právu (UNCLOS) ze strany EU s cílem zajistit koordinovaný postup proti hybridním činnostem a sabotáži v námořních oblastech EU</w:t>
            </w:r>
            <w:r>
              <w:rPr>
                <w:b/>
                <w:i/>
              </w:rPr>
              <w:t>, zejména v Baltském moři</w:t>
            </w:r>
            <w:r>
              <w:t>; domnívá se, že přeshraniční koordinaci lze dále zlepšit jak na provozní, tak na finanční úrovni; zdůrazňuje, že je třeba, aby EU zintenzivnila svou reakci na hybridní hrozby v námořních oblastech, včetně hrozeb, které představuje ruská „stínová flotila“; poukazuje na to, že řešení těchto výzev vyžaduje vyčlenění dostatečných finančních prostředků EU;</w:t>
            </w:r>
          </w:p>
        </w:tc>
        <w:tc>
          <w:tcPr>
            <w:tcW w:w="4876" w:type="dxa"/>
            <w:tcBorders>
              <w:top w:val="nil"/>
              <w:left w:val="nil"/>
              <w:bottom w:val="nil"/>
              <w:right w:val="nil"/>
            </w:tcBorders>
          </w:tcPr>
          <w:p>
            <w:pPr>
              <w:pStyle w:val="Normal6a"/>
            </w:pPr>
            <w:r>
              <w:t>46.</w:t>
            </w:r>
            <w:r>
              <w:tab/>
            </w:r>
            <w:r>
              <w:t>vyzývá Komisi a členské státy, aby vypracovaly společný výklad Úmluvy Organizace spojených národů o mořském právu (UNCLOS) ze strany EU s cílem zajistit koordinovaný postup proti hybridním činnostem a sabotáži v námořních oblastech EU; domnívá se, že přeshraniční koordinaci lze dále zlepšit jak na provozní, tak na finanční úrovni; zdůrazňuje, že je třeba, aby EU zintenzivnila svou reakci na hybridní hrozby v námořních oblastech, včetně hrozeb, které představuje ruská „stínová flotila“; poukazuje na to, že řešení těchto výzev vyžaduje vyčlenění dostatečných finančních prostředků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1309</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46a.</w:t>
            </w:r>
            <w:r>
              <w:tab/>
            </w:r>
            <w:r>
              <w:rPr>
                <w:b/>
                <w:i/>
              </w:rPr>
              <w:t>vyzývá Komisi a členské státy, aby urychleně vypracovaly proaktivní strategii pro případ eskalace s cílem reagovat na hrozby zaměřené na evropskou územní, digitální, finanční nebo hospodářskou suverenitu, včetně její základní kritické infrastruktury;</w:t>
            </w:r>
            <w:r>
              <w:t xml:space="preserve"> </w:t>
            </w:r>
            <w:r>
              <w:rPr>
                <w:b/>
                <w:i/>
              </w:rPr>
              <w:t>zdůrazňuje, že je třeba, aby tato strategie byla schopna rychle a účinně odrazovat zahraniční aktéry od toho, aby jednali na základě svých hrozeb, a to s využitím plného arzenálu unijních protiopatření;</w:t>
            </w:r>
            <w:r>
              <w:t xml:space="preserve"> </w:t>
            </w:r>
            <w:r>
              <w:rPr>
                <w:b/>
                <w:i/>
              </w:rPr>
              <w:t>domnívá se, že nejvhodnějším nástrojem pro posílení pozice EU v tomto ohledu je protinátlakový nástroj;</w:t>
            </w:r>
            <w:r>
              <w:t xml:space="preserve"> </w:t>
            </w:r>
            <w:r>
              <w:rPr>
                <w:b/>
                <w:i/>
              </w:rPr>
              <w:t>zdůrazňuje, že tento nástroj by neměl být využíván jako krajní opatření, ale jako právní základ, který umožňuje rychlou a účinnou reakci na hospodářský nátlak v součinnosti s podobně smýšlejícími partnery, aby se vzájemně posílila jejich odrazující síla;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1310</w:t>
      </w:r>
      <w:r>
        <w:rPr>
          <w:rStyle w:val="HideTWBExt"/>
        </w:rPr>
        <w:t>&lt;/NumAm&gt;</w:t>
      </w:r>
    </w:p>
    <w:p>
      <w:pPr>
        <w:pStyle w:val="NormalBold"/>
      </w:pPr>
      <w:r>
        <w:rPr>
          <w:rStyle w:val="HideTWBExt"/>
          <w:b w:val="0"/>
        </w:rPr>
        <w:t>&lt;RepeatBlock-By&gt;</w:t>
      </w:r>
      <w:r>
        <w:rPr>
          <w:rStyle w:val="HideTWBExt"/>
          <w:b w:val="0"/>
        </w:rPr>
        <w:t>&lt;Members&gt;</w:t>
      </w:r>
      <w:r>
        <w:t>Cynthia Ní Mhurchú, Helmut Brandstätter, Sophie Wilmès, Petras Auštrevičius,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46a.</w:t>
            </w:r>
            <w:r>
              <w:tab/>
            </w:r>
            <w:r>
              <w:rPr>
                <w:b/>
                <w:i/>
              </w:rPr>
              <w:t>vítá doporučení Komise o bezpečných a odolných podmořských kabelových infrastrukturách a akční plán EU pro bezpečnost kabelů;</w:t>
            </w:r>
            <w:r>
              <w:t xml:space="preserve"> </w:t>
            </w:r>
            <w:r>
              <w:rPr>
                <w:b/>
                <w:i/>
              </w:rPr>
              <w:t>vyzývá Komisi a členské státy, aby ve spolupráci s příslušnými agenturami a zúčastněnými stranami urychlily provádění, včetně i) mapování stávajících a plánovaných kabelových infrastruktur, ii) koordinovaných metodik posuzování rizik a zátěžového testování, iii) zavedení souboru pro zajištění kabelové bezpečnosti a zmírňujících opatření iv) posílené kapacity pro reakci na incidenty a jejich nápravu, a to i prostřednictvím spolupráce s důvěryhodnými partnery.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1311</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46a.</w:t>
            </w:r>
            <w:r>
              <w:tab/>
            </w:r>
            <w:r>
              <w:rPr>
                <w:b/>
                <w:i/>
              </w:rPr>
              <w:t>připomíná environmentální rizika ruské stínové flotily sestávající převážně v souvislosti s vyřazenými ropnými tankery, jež jsou provozovány mimo mezinárodní pojišťovací systém;</w:t>
            </w:r>
            <w:r>
              <w:t xml:space="preserve"> </w:t>
            </w:r>
            <w:r>
              <w:rPr>
                <w:b/>
                <w:i/>
              </w:rPr>
              <w:t>konstatuje, že v případě nehody ponesou náklady na sanaci a odpovědnost pobřežní státy, a nikoli majitelé plavidel;</w:t>
            </w:r>
            <w:r>
              <w:t xml:space="preserve"> </w:t>
            </w:r>
            <w:r>
              <w:rPr>
                <w:b/>
                <w:i/>
              </w:rPr>
              <w:t>naléhavě vyzývá Komisi, aby v koordinaci s členskými státy zabránila tomu, aby loďstva vstupovala do evropských vod, a aby prováděla jejich časté a důkladné inspekce, aby se ujistila, že neporušují žádné právní předpisy a nepředstavují žádné nebezpečí;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1312</w:t>
      </w:r>
      <w:r>
        <w:rPr>
          <w:rStyle w:val="HideTWBExt"/>
        </w:rPr>
        <w:t>&lt;/NumAm&gt;</w:t>
      </w:r>
    </w:p>
    <w:p>
      <w:pPr>
        <w:pStyle w:val="NormalBold"/>
      </w:pPr>
      <w:r>
        <w:rPr>
          <w:rStyle w:val="HideTWBExt"/>
          <w:b w:val="0"/>
        </w:rPr>
        <w:t>&lt;RepeatBlock-By&gt;</w:t>
      </w:r>
      <w:r>
        <w:rPr>
          <w:rStyle w:val="HideTWBExt"/>
          <w:b w:val="0"/>
        </w:rPr>
        <w:t>&lt;Members&gt;</w:t>
      </w:r>
      <w:r>
        <w:t>Cynthia Ní Mhurchú, Helmut Brandstätter, Sophie Wilmès, Petras Auštrevičius,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46b.</w:t>
            </w:r>
            <w:r>
              <w:tab/>
            </w:r>
            <w:r>
              <w:rPr>
                <w:b/>
                <w:i/>
              </w:rPr>
              <w:t>vyzývá Komisi a členské státy, aby řešily komplikace, které se opakovaně objevují v oblasti oprav a obnovy tím, že budou budou poskytovat podporu pro modulární opravárenské vybavení, strategické zásoby základních náhradních dílů ve vysoce rizikových oblastech a ve střednědobém horizontu posílenou kapacitu plavidel a koordinovaná smluvní ujednání pro nouzové opravy kabelů v souladu s akčním plánem EU pro bezpečnost kabelů;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1313</w:t>
      </w:r>
      <w:r>
        <w:rPr>
          <w:rStyle w:val="HideTWBExt"/>
        </w:rPr>
        <w:t>&lt;/NumAm&gt;</w:t>
      </w:r>
    </w:p>
    <w:p>
      <w:pPr>
        <w:pStyle w:val="NormalBold"/>
      </w:pPr>
      <w:r>
        <w:rPr>
          <w:rStyle w:val="HideTWBExt"/>
          <w:b w:val="0"/>
        </w:rPr>
        <w:t>&lt;RepeatBlock-By&gt;</w:t>
      </w:r>
      <w:r>
        <w:rPr>
          <w:rStyle w:val="HideTWBExt"/>
          <w:b w:val="0"/>
        </w:rPr>
        <w:t>&lt;Members&gt;</w:t>
      </w:r>
      <w:r>
        <w:t>Sandro Gozi, Sophie Wilmès, Cynthia Ní Mhurchú, Helmut Brandstätter,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se znepokojením bere na vědomí stávající strukturální závislosti v digitální infrastruktuře EU, včetně operačních systémů, datových center, polovodičů, umělé inteligence, kybernetické bezpečnosti, cloud computingu a různých digitálních platforem a služeb, které jsou důsledkem koncentrace trhu a zahraniční kontroly a všechny představují vysoké riziko pro demokracii, svobodu a bezpečnost v EU a pro konkurenceschopnost EU; vyzývá Komisi a členské státy, aby prostřednictvím ambiciózních a cílených politik, které zvýší investice do společností v EU a jejich podíl na trhu, vytvořily jako základní vrstvu svrchovanou digitální infrastrukturu EU s technologiemi na ochranu soukromí a ekosystém rozhraní EU pro programování aplikací (API), přičemž využijí evropské dodávky čisté energie při rozvoji datových center a cloudové infrastruktury, a to i prostřednictvím tržně orientovaných iniciativ, např. společné podniky nebo federované sítě v oblastech, jako jsou gigatovárny na umělou inteligenci nebo cloudové služby;</w:t>
            </w:r>
          </w:p>
        </w:tc>
        <w:tc>
          <w:tcPr>
            <w:tcW w:w="4876" w:type="dxa"/>
            <w:tcBorders>
              <w:top w:val="nil"/>
              <w:left w:val="nil"/>
              <w:bottom w:val="nil"/>
              <w:right w:val="nil"/>
            </w:tcBorders>
          </w:tcPr>
          <w:p>
            <w:pPr>
              <w:pStyle w:val="Normal6a"/>
            </w:pPr>
            <w:r>
              <w:t>47.</w:t>
            </w:r>
            <w:r>
              <w:tab/>
            </w:r>
            <w:r>
              <w:t>se znepokojením bere na vědomí stávající strukturální závislosti v digitální infrastruktuře EU, včetně operačních systémů, datových center, polovodičů, umělé inteligence, kybernetické bezpečnosti, cloud computingu a různých digitálních platforem a služeb, které jsou důsledkem koncentrace trhu a zahraniční kontroly a všechny představují vysoké riziko pro demokracii, svobodu a bezpečnost v EU a pro konkurenceschopnost EU</w:t>
            </w:r>
            <w:r>
              <w:rPr>
                <w:b/>
                <w:i/>
              </w:rPr>
              <w:t>;</w:t>
            </w:r>
            <w:r>
              <w:t xml:space="preserve"> </w:t>
            </w:r>
            <w:r>
              <w:rPr>
                <w:b/>
                <w:i/>
              </w:rPr>
              <w:t>zdůrazňuje, že důsledné prosazování digitálního práva EU v kombinaci s trvalými investicemi do evropské digitální infrastruktury a platforem je nezbytné pro dosažení skutečné evropské digitální autonomie a svrchovanosti a pro zajištění toho, aby byla v Evropě definována a dodržována pravidla upravující online veřejnou sféru</w:t>
            </w:r>
            <w:r>
              <w:t>; vyzývá Komisi a členské státy, aby prostřednictvím ambiciózních a cílených politik, které zvýší investice do společností v EU a jejich podíl na trhu, vytvořily jako základní vrstvu svrchovanou digitální infrastrukturu EU s technologiemi na ochranu soukromí a ekosystém rozhraní EU pro programování aplikací (API), přičemž využijí evropské dodávky čisté energie při rozvoji datových center a cloudové infrastruktury, a to i prostřednictvím tržně orientovaných iniciativ, např. společné podniky nebo federované sítě v oblastech, jako jsou gigatovárny na umělou inteligenci nebo cloudové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1314</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se znepokojením bere na vědomí stávající strukturální závislosti v digitální infrastruktuře EU, včetně operačních systémů, datových center, polovodičů, umělé inteligence, kybernetické bezpečnosti, cloud computingu a různých digitálních platforem a služeb, které jsou důsledkem koncentrace trhu a zahraniční kontroly a všechny představují vysoké riziko pro demokracii, svobodu a bezpečnost v EU a pro konkurenceschopnost EU; vyzývá Komisi a členské státy, aby prostřednictvím ambiciózních a cílených politik, které zvýší investice do společností v EU a jejich podíl na trhu, vytvořily jako základní vrstvu svrchovanou digitální infrastrukturu EU s technologiemi na ochranu soukromí a ekosystém rozhraní EU pro programování aplikací (API), přičemž využijí evropské dodávky čisté energie při rozvoji datových center a cloudové infrastruktury, a to i prostřednictvím tržně orientovaných iniciativ, např. společné podniky nebo federované sítě v oblastech, jako jsou gigatovárny na umělou inteligenci nebo cloudové služby;</w:t>
            </w:r>
          </w:p>
        </w:tc>
        <w:tc>
          <w:tcPr>
            <w:tcW w:w="4876" w:type="dxa"/>
            <w:tcBorders>
              <w:top w:val="nil"/>
              <w:left w:val="nil"/>
              <w:bottom w:val="nil"/>
              <w:right w:val="nil"/>
            </w:tcBorders>
          </w:tcPr>
          <w:p>
            <w:pPr>
              <w:pStyle w:val="Normal6a"/>
            </w:pPr>
            <w:r>
              <w:t>47.</w:t>
            </w:r>
            <w:r>
              <w:tab/>
            </w:r>
            <w:r>
              <w:t>se znepokojením bere na vědomí stávající strukturální závislosti v digitální infrastruktuře EU, včetně operačních systémů, datových center, polovodičů, umělé inteligence, kybernetické bezpečnosti, cloud computingu a různých digitálních platforem a služeb, které jsou důsledkem koncentrace trhu a zahraniční kontroly</w:t>
            </w:r>
            <w:r>
              <w:rPr>
                <w:b/>
                <w:i/>
              </w:rPr>
              <w:t>, což souvisí mimo jiné s dominantním postavením velkých amerických technologických společností,</w:t>
            </w:r>
            <w:r>
              <w:t xml:space="preserve"> a všechny představují vysoké riziko pro demokracii, svobodu a bezpečnost v EU a pro konkurenceschopnost EU; vyzývá Komisi a členské státy, aby </w:t>
            </w:r>
            <w:r>
              <w:rPr>
                <w:b/>
                <w:i/>
              </w:rPr>
              <w:t>neodkladně prováděly ambiciózní a komplexní agendu svrchovanosti, která jasně stanoví normy a kritéria odolnosti pro účely vývoje a poskytování technologií nebo digitální infrastruktury, a</w:t>
            </w:r>
            <w:r>
              <w:t xml:space="preserve"> prostřednictvím ambiciózních a cílených politik, které zvýší investice do společností v EU a jejich podíl na trhu, vytvořily jako základní vrstvu svrchovanou digitální infrastrukturu EU s technologiemi na ochranu soukromí a ekosystém rozhraní EU pro programování aplikací (API), přičemž využijí evropské dodávky čisté energie při rozvoji datových center a cloudové infrastruktury, a to i prostřednictvím tržně orientovaných iniciativ, např. společné podniky nebo federované sítě v oblastech, jako jsou gigatovárny na umělou inteligenci nebo cloudové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1315</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se znepokojením bere na vědomí stávající strukturální závislosti v digitální infrastruktuře EU, včetně operačních systémů, datových center, polovodičů, umělé inteligence, kybernetické bezpečnosti, cloud computingu a různých digitálních platforem a služeb, které jsou důsledkem koncentrace trhu a zahraniční kontroly a všechny představují vysoké riziko pro </w:t>
            </w:r>
            <w:r>
              <w:rPr>
                <w:b/>
                <w:i/>
              </w:rPr>
              <w:t>demokracii, svobodu a</w:t>
            </w:r>
            <w:r>
              <w:t xml:space="preserve"> bezpečnost v EU a pro konkurenceschopnost EU; vyzývá Komisi a členské státy, aby </w:t>
            </w:r>
            <w:r>
              <w:rPr>
                <w:b/>
                <w:i/>
              </w:rPr>
              <w:t>prostřednictvím ambiciózních a cílených politik, které zvýší investice do společností v EU a jejich podíl na trhu, vytvořily</w:t>
            </w:r>
            <w:r>
              <w:t xml:space="preserve"> jako základní vrstvu svrchovanou digitální infrastrukturu EU s technologiemi na ochranu soukromí a ekosystém rozhraní EU pro programování aplikací (API)</w:t>
            </w:r>
            <w:r>
              <w:rPr>
                <w:b/>
                <w:i/>
              </w:rPr>
              <w:t>, přičemž využijí evropské dodávky čisté energie při rozvoji datových center a cloudové infrastruktury, a to i</w:t>
            </w:r>
            <w:r>
              <w:t xml:space="preserve"> prostřednictvím </w:t>
            </w:r>
            <w:r>
              <w:rPr>
                <w:b/>
                <w:i/>
              </w:rPr>
              <w:t>tržně orientovaných iniciativ, např. společné podniky nebo federované sítě v oblastech, jako jsou gigatovárny na umělou inteligenci nebo cloudové služby</w:t>
            </w:r>
            <w:r>
              <w:t>;</w:t>
            </w:r>
          </w:p>
        </w:tc>
        <w:tc>
          <w:tcPr>
            <w:tcW w:w="4876" w:type="dxa"/>
            <w:tcBorders>
              <w:top w:val="nil"/>
              <w:left w:val="nil"/>
              <w:bottom w:val="nil"/>
              <w:right w:val="nil"/>
            </w:tcBorders>
          </w:tcPr>
          <w:p>
            <w:pPr>
              <w:pStyle w:val="Normal6a"/>
            </w:pPr>
            <w:r>
              <w:t>47.</w:t>
            </w:r>
            <w:r>
              <w:tab/>
            </w:r>
            <w:r>
              <w:t xml:space="preserve">se znepokojením bere na vědomí stávající strukturální závislosti v digitální infrastruktuře EU, včetně operačních systémů, datových center, polovodičů, umělé inteligence, kybernetické bezpečnosti, cloud computingu a různých digitálních platforem a služeb, které jsou důsledkem koncentrace trhu a zahraniční kontroly a všechny představují vysoké riziko pro bezpečnost v EU a pro konkurenceschopnost EU; vyzývá Komisi a členské státy, aby jako základní vrstvu </w:t>
            </w:r>
            <w:r>
              <w:rPr>
                <w:b/>
                <w:i/>
              </w:rPr>
              <w:t>vytvořily</w:t>
            </w:r>
            <w:r>
              <w:t xml:space="preserve"> svrchovanou digitální infrastrukturu EU s technologiemi na ochranu soukromí a ekosystém rozhraní EU pro programování aplikací (API) prostřednictvím </w:t>
            </w:r>
            <w:r>
              <w:rPr>
                <w:b/>
                <w:i/>
              </w:rPr>
              <w:t>ambiciózních a cílených politik, které zvýší investice do společností v EU a jejich podíl na trhu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se znepokojením bere na vědomí stávající strukturální závislosti v digitální infrastruktuře EU, včetně operačních systémů, datových center, polovodičů, umělé inteligence, kybernetické bezpečnosti, cloud computingu a různých digitálních platforem a služeb, které jsou důsledkem koncentrace trhu a zahraniční kontroly a všechny představují vysoké riziko pro demokracii, svobodu a bezpečnost v EU a pro konkurenceschopnost EU; vyzývá Komisi a členské státy, aby prostřednictvím ambiciózních a cílených politik, které zvýší investice do společností v EU a jejich podíl na trhu, vytvořily jako základní vrstvu svrchovanou digitální infrastrukturu EU s technologiemi na ochranu soukromí a ekosystém rozhraní EU pro programování aplikací (API), přičemž využijí evropské dodávky čisté energie při rozvoji datových center a cloudové infrastruktury, a to i prostřednictvím tržně orientovaných iniciativ, např. společné podniky nebo federované sítě v oblastech, jako jsou gigatovárny na umělou inteligenci nebo cloudové služby;</w:t>
            </w:r>
          </w:p>
        </w:tc>
        <w:tc>
          <w:tcPr>
            <w:tcW w:w="4876" w:type="dxa"/>
            <w:tcBorders>
              <w:top w:val="nil"/>
              <w:left w:val="nil"/>
              <w:bottom w:val="nil"/>
              <w:right w:val="nil"/>
            </w:tcBorders>
          </w:tcPr>
          <w:p>
            <w:pPr>
              <w:pStyle w:val="Normal6a"/>
            </w:pPr>
            <w:r>
              <w:t>47.</w:t>
            </w:r>
            <w:r>
              <w:tab/>
            </w:r>
            <w:r>
              <w:t>se znepokojením bere na vědomí stávající strukturální závislosti v digitální infrastruktuře EU, včetně operačních systémů, datových center, polovodičů, umělé inteligence</w:t>
            </w:r>
            <w:r>
              <w:rPr>
                <w:b/>
                <w:i/>
              </w:rPr>
              <w:t>, platebních metod</w:t>
            </w:r>
            <w:r>
              <w:t>, kybernetické bezpečnosti, cloud computingu a různých digitálních platforem a služeb, které jsou důsledkem koncentrace trhu a zahraniční kontroly a všechny představují vysoké riziko pro demokracii, svobodu a bezpečnost v EU a pro konkurenceschopnost EU</w:t>
            </w:r>
            <w:r>
              <w:rPr>
                <w:b/>
                <w:i/>
              </w:rPr>
              <w:t>;</w:t>
            </w:r>
            <w:r>
              <w:t xml:space="preserve"> </w:t>
            </w:r>
            <w:r>
              <w:rPr>
                <w:b/>
                <w:i/>
              </w:rPr>
              <w:t>vyjadřuje politování nad tím, že Komise odmítla vyhradit certifikaci zaručující nejvyšší úroveň strategické ochrany údajů pro evropské poskytovatele cloudových služeb</w:t>
            </w:r>
            <w:r>
              <w:t>; vyzývá Komisi a členské státy, aby prostřednictvím ambiciózních a cílených politik, které zvýší investice do společností v EU a jejich podíl na trhu, vytvořily jako základní vrstvu svrchovanou digitální infrastrukturu EU s technologiemi na ochranu soukromí a ekosystém rozhraní EU pro programování aplikací (API), přičemž využijí evropské dodávky čisté energie při rozvoji datových center a cloudové infrastruktury, a to i prostřednictvím tržně orientovaných iniciativ, např. společné podniky nebo federované sítě v oblastech, jako jsou gigatovárny na umělou inteligenci nebo cloudové služby;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se znepokojením bere na vědomí stávající strukturální závislosti v digitální infrastruktuře EU, včetně operačních systémů, datových center, polovodičů, umělé inteligence, kybernetické bezpečnosti, cloud computingu a různých </w:t>
            </w:r>
            <w:r>
              <w:rPr>
                <w:b/>
                <w:i/>
              </w:rPr>
              <w:t>digitálních</w:t>
            </w:r>
            <w:r>
              <w:t xml:space="preserve"> platforem a služeb, které jsou důsledkem koncentrace trhu a zahraniční kontroly a všechny představují vysoké riziko pro demokracii, svobodu a bezpečnost v EU a pro konkurenceschopnost EU; vyzývá Komisi a členské státy, aby prostřednictvím ambiciózních a cílených politik, které zvýší investice do společností v EU a jejich podíl na trhu, vytvořily jako základní vrstvu svrchovanou digitální infrastrukturu EU s technologiemi na ochranu soukromí a ekosystém rozhraní EU pro programování aplikací (API), přičemž využijí evropské dodávky čisté energie při rozvoji datových center a cloudové infrastruktury, a to i prostřednictvím tržně orientovaných iniciativ, např. společné podniky nebo federované sítě v oblastech, jako jsou gigatovárny na umělou inteligenci nebo cloudové služby;</w:t>
            </w:r>
          </w:p>
        </w:tc>
        <w:tc>
          <w:tcPr>
            <w:tcW w:w="4876" w:type="dxa"/>
            <w:tcBorders>
              <w:top w:val="nil"/>
              <w:left w:val="nil"/>
              <w:bottom w:val="nil"/>
              <w:right w:val="nil"/>
            </w:tcBorders>
          </w:tcPr>
          <w:p>
            <w:pPr>
              <w:pStyle w:val="Normal6a"/>
            </w:pPr>
            <w:r>
              <w:t>47.</w:t>
            </w:r>
            <w:r>
              <w:tab/>
            </w:r>
            <w:r>
              <w:t>se znepokojením bere na vědomí stávající strukturální závislosti v digitální infrastruktuře EU</w:t>
            </w:r>
            <w:r>
              <w:rPr>
                <w:b/>
                <w:i/>
              </w:rPr>
              <w:t>, zejména na velkých technologických společnostech z USA</w:t>
            </w:r>
            <w:r>
              <w:t xml:space="preserve">, včetně operačních systémů, datových center, polovodičů, umělé inteligence, kybernetické bezpečnosti, cloud computingu a různých </w:t>
            </w:r>
            <w:r>
              <w:rPr>
                <w:b/>
                <w:i/>
              </w:rPr>
              <w:t>online</w:t>
            </w:r>
            <w:r>
              <w:t xml:space="preserve"> platforem a služeb, které jsou důsledkem koncentrace trhu a zahraniční kontroly a všechny představují vysoké riziko pro demokracii, svobodu a bezpečnost v EU a pro konkurenceschopnost EU; vyzývá Komisi a členské státy, aby </w:t>
            </w:r>
            <w:r>
              <w:rPr>
                <w:b/>
                <w:i/>
              </w:rPr>
              <w:t>okamžitě a bezodkladně</w:t>
            </w:r>
            <w:r>
              <w:t xml:space="preserve"> prostřednictvím ambiciózních a cílených politik, které zvýší investice do společností v EU a jejich podíl na trhu, vytvořily jako základní vrstvu </w:t>
            </w:r>
            <w:r>
              <w:rPr>
                <w:b/>
                <w:i/>
              </w:rPr>
              <w:t>s prioritním významem pro strategickou nezávislost EU</w:t>
            </w:r>
            <w:r>
              <w:t xml:space="preserve"> svrchovanou digitální infrastrukturu EU s technologiemi na ochranu soukromí a ekosystém rozhraní EU pro programování aplikací (API), přičemž využijí evropské dodávky čisté energie při rozvoji datových center a cloudové infrastruktury, a to i prostřednictvím tržně orientovaných iniciativ, např. společné podniky nebo federované sítě v oblastech, jako jsou gigatovárny na umělou inteligenci nebo cloudové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1318</w:t>
      </w:r>
      <w:r>
        <w:rPr>
          <w:rStyle w:val="HideTWBExt"/>
        </w:rPr>
        <w:t>&lt;/NumAm&gt;</w:t>
      </w:r>
    </w:p>
    <w:p>
      <w:pPr>
        <w:pStyle w:val="NormalBold"/>
      </w:pPr>
      <w:r>
        <w:rPr>
          <w:rStyle w:val="HideTWBExt"/>
          <w:b w:val="0"/>
        </w:rPr>
        <w:t>&lt;RepeatBlock-By&gt;</w:t>
      </w:r>
      <w:r>
        <w:rPr>
          <w:rStyle w:val="HideTWBExt"/>
          <w:b w:val="0"/>
        </w:rPr>
        <w:t>&lt;Members&gt;</w:t>
      </w:r>
      <w:r>
        <w:t>Tomáš Zdechovský, Dan-Ştefan Motreanu, Lukas Mandl, Sandra Kalniete, Sander Smit, Marta Wcisło,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se znepokojením bere na vědomí stávající strukturální závislosti v digitální infrastruktuře EU, včetně operačních systémů, datových center, polovodičů, umělé inteligence, kybernetické bezpečnosti, cloud computingu a </w:t>
            </w:r>
            <w:r>
              <w:rPr>
                <w:b/>
                <w:i/>
              </w:rPr>
              <w:t>různých</w:t>
            </w:r>
            <w:r>
              <w:t xml:space="preserve"> digitálních platforem </w:t>
            </w:r>
            <w:r>
              <w:rPr>
                <w:b/>
                <w:i/>
              </w:rPr>
              <w:t>a služeb</w:t>
            </w:r>
            <w:r>
              <w:t xml:space="preserve">, které jsou </w:t>
            </w:r>
            <w:r>
              <w:rPr>
                <w:b/>
                <w:i/>
              </w:rPr>
              <w:t>důsledkem koncentrace trhu a zahraniční</w:t>
            </w:r>
            <w:r>
              <w:t xml:space="preserve"> kontroly </w:t>
            </w:r>
            <w:r>
              <w:rPr>
                <w:b/>
                <w:i/>
              </w:rPr>
              <w:t>a všechny představují vysoké riziko pro demokracii, svobodu a bezpečnost v EU a pro konkurenceschopnost EU</w:t>
            </w:r>
            <w:r>
              <w:t xml:space="preserve">; vyzývá Komisi a členské státy, aby </w:t>
            </w:r>
            <w:r>
              <w:rPr>
                <w:b/>
                <w:i/>
              </w:rPr>
              <w:t>prostřednictvím ambiciózních a cílených politik, které zvýší investice do společností</w:t>
            </w:r>
            <w:r>
              <w:t xml:space="preserve"> v EU a </w:t>
            </w:r>
            <w:r>
              <w:rPr>
                <w:b/>
                <w:i/>
              </w:rPr>
              <w:t>jejich podíl na trhu, vytvořily jako základní vrstvu svrchovanou digitální infrastrukturu EU s technologiemi na ochranu soukromí a ekosystém rozhraní EU pro programování aplikací (API), přičemž využijí evropské dodávky čisté energie při rozvoji datových center a cloudové infrastruktury, a to i prostřednictvím tržně orientovaných iniciativ, např. společné podniky nebo federované sítě v oblastech, jako jsou gigatovárny na umělou inteligenci nebo cloudové služby</w:t>
            </w:r>
            <w:r>
              <w:t>;</w:t>
            </w:r>
          </w:p>
        </w:tc>
        <w:tc>
          <w:tcPr>
            <w:tcW w:w="4876" w:type="dxa"/>
            <w:tcBorders>
              <w:top w:val="nil"/>
              <w:left w:val="nil"/>
              <w:bottom w:val="nil"/>
              <w:right w:val="nil"/>
            </w:tcBorders>
          </w:tcPr>
          <w:p>
            <w:pPr>
              <w:pStyle w:val="Normal6a"/>
            </w:pPr>
            <w:r>
              <w:t>47.</w:t>
            </w:r>
            <w:r>
              <w:tab/>
            </w:r>
            <w:r>
              <w:t>se znepokojením bere na vědomí stávající strukturální závislosti v digitální infrastruktuře EU, včetně operačních systémů, datových center, polovodičů, umělé inteligence, kybernetické bezpečnosti, cloud computingu a digitálních platforem</w:t>
            </w:r>
            <w:r>
              <w:rPr>
                <w:b/>
                <w:i/>
              </w:rPr>
              <w:t>;</w:t>
            </w:r>
            <w:r>
              <w:t xml:space="preserve"> </w:t>
            </w:r>
            <w:r>
              <w:rPr>
                <w:b/>
                <w:i/>
              </w:rPr>
              <w:t>zdůrazňuje, že je třeba řešit rizika spojená se strategickými a citlivými hardwarovými a softwarovými součástmi připojenými k síti</w:t>
            </w:r>
            <w:r>
              <w:t xml:space="preserve">, které jsou </w:t>
            </w:r>
            <w:r>
              <w:rPr>
                <w:b/>
                <w:i/>
              </w:rPr>
              <w:t>schopny dálkového přístupu, přenosu dat nebo</w:t>
            </w:r>
            <w:r>
              <w:t xml:space="preserve"> kontroly </w:t>
            </w:r>
            <w:r>
              <w:rPr>
                <w:b/>
                <w:i/>
              </w:rPr>
              <w:t>systému pocházejících z vysoce rizikových třetích zemí;</w:t>
            </w:r>
            <w:r>
              <w:t xml:space="preserve"> </w:t>
            </w:r>
            <w:r>
              <w:rPr>
                <w:b/>
                <w:i/>
              </w:rPr>
              <w:t>připomíná, že v některých případech, včetně Číny, jsou tyto součásti uváděny na trh Unie za uměle nízké a nekonkurenční ceny v důsledku státem podporovaných netržních postupů, což narušuje hospodářskou soutěž a přispívá k dlouhodobé strategické závislosti</w:t>
            </w:r>
            <w:r>
              <w:t xml:space="preserve">; vyzývá Komisi a členské státy, aby </w:t>
            </w:r>
            <w:r>
              <w:rPr>
                <w:b/>
                <w:i/>
              </w:rPr>
              <w:t>podporovaly bezpečné alternativy v EU a vyrobené</w:t>
            </w:r>
            <w:r>
              <w:t xml:space="preserve"> v EU a </w:t>
            </w:r>
            <w:r>
              <w:rPr>
                <w:b/>
                <w:i/>
              </w:rPr>
              <w:t>aby zajistily, že regulační a obchodní rámce a rámce hospodářské soutěže účinně zabrání nekalým tržním praktikám, které ohrožují bezpečnost, odolnost a technologickou suverenitu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1319</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se znepokojením bere na vědomí stávající strukturální závislosti v digitální infrastruktuře EU, včetně operačních systémů, datových center, polovodičů, umělé inteligence, kybernetické bezpečnosti, cloud computingu a různých digitálních platforem a služeb, které jsou důsledkem koncentrace trhu a zahraniční kontroly a všechny představují vysoké riziko pro demokracii, svobodu a bezpečnost v EU a pro konkurenceschopnost EU; vyzývá Komisi a členské státy, aby prostřednictvím ambiciózních a cílených politik, které zvýší investice do společností v EU a jejich podíl na trhu, vytvořily jako základní vrstvu svrchovanou digitální infrastrukturu EU s technologiemi na ochranu soukromí a ekosystém rozhraní EU pro programování aplikací (API), přičemž využijí evropské dodávky </w:t>
            </w:r>
            <w:r>
              <w:rPr>
                <w:b/>
                <w:i/>
              </w:rPr>
              <w:t>čisté</w:t>
            </w:r>
            <w:r>
              <w:t xml:space="preserve"> energie při rozvoji datových center a cloudové infrastruktury, a to i prostřednictvím tržně orientovaných iniciativ, např. společné podniky nebo federované sítě v oblastech, jako jsou gigatovárny na umělou inteligenci nebo cloudové služby;</w:t>
            </w:r>
          </w:p>
        </w:tc>
        <w:tc>
          <w:tcPr>
            <w:tcW w:w="4876" w:type="dxa"/>
            <w:tcBorders>
              <w:top w:val="nil"/>
              <w:left w:val="nil"/>
              <w:bottom w:val="nil"/>
              <w:right w:val="nil"/>
            </w:tcBorders>
          </w:tcPr>
          <w:p>
            <w:pPr>
              <w:pStyle w:val="Normal6a"/>
            </w:pPr>
            <w:r>
              <w:t>47.</w:t>
            </w:r>
            <w:r>
              <w:tab/>
            </w:r>
            <w:r>
              <w:t>se znepokojením bere na vědomí stávající strukturální závislosti v digitální infrastruktuře EU, včetně operačních systémů, datových center, polovodičů, umělé inteligence, kybernetické bezpečnosti, cloud computingu a různých digitálních platforem a služeb, které jsou důsledkem koncentrace trhu a zahraniční kontroly a všechny představují vysoké riziko pro demokracii, svobodu a bezpečnost v EU a pro konkurenceschopnost EU; vyzývá Komisi a členské státy, aby prostřednictvím ambiciózních a cílených politik, které zvýší investice do společností v EU a jejich podíl na trhu, vytvořily jako základní vrstvu svrchovanou digitální infrastrukturu EU s technologiemi na ochranu soukromí a ekosystém rozhraní EU pro programování aplikací (API), přičemž využijí evropské dodávky energie při rozvoji datových center a cloudové infrastruktury, a to i prostřednictvím tržně orientovaných iniciativ, např. společné podniky nebo federované sítě v oblastech, jako jsou gigatovárny na umělou inteligenci nebo cloudové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1320</w:t>
      </w:r>
      <w:r>
        <w:rPr>
          <w:rStyle w:val="HideTWBExt"/>
        </w:rPr>
        <w:t>&lt;/NumAm&gt;</w:t>
      </w:r>
    </w:p>
    <w:p>
      <w:pPr>
        <w:pStyle w:val="NormalBold"/>
      </w:pPr>
      <w:r>
        <w:rPr>
          <w:rStyle w:val="HideTWBExt"/>
          <w:b w:val="0"/>
        </w:rPr>
        <w:t>&lt;RepeatBlock-By&gt;</w:t>
      </w:r>
      <w:r>
        <w:rPr>
          <w:rStyle w:val="HideTWBExt"/>
          <w:b w:val="0"/>
        </w:rPr>
        <w:t>&lt;Members&gt;</w:t>
      </w:r>
      <w:r>
        <w:t>Tomas Tobé, Mika Aaltola, Tomáš Zdechovský, Sandra Kalniete, Lena Düpont, Lukas Mandl, Eszter Lakos, Bartłomiej Sienkiewicz, Michał Wawrykiewicz, Ana Miguel Pedro, Fredis Beleris, Andrey Kovatchev</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rPr>
                <w:b/>
                <w:i/>
              </w:rPr>
              <w:t>se znepokojením bere na vědomí</w:t>
            </w:r>
            <w:r>
              <w:t xml:space="preserve"> stávající strukturální závislosti v digitální infrastruktuře EU, včetně operačních systémů, datových center, polovodičů, umělé inteligence, kybernetické bezpečnosti, cloud computingu a různých digitálních platforem a služeb, které jsou důsledkem koncentrace trhu a zahraniční kontroly a </w:t>
            </w:r>
            <w:r>
              <w:rPr>
                <w:b/>
                <w:i/>
              </w:rPr>
              <w:t>všechny</w:t>
            </w:r>
            <w:r>
              <w:t xml:space="preserve"> představují vysoké riziko pro demokracii, svobodu a bezpečnost v EU a pro konkurenceschopnost EU; vyzývá Komisi a členské státy, aby prostřednictvím ambiciózních a cílených politik, které zvýší investice do společností v EU a jejich podíl na trhu, </w:t>
            </w:r>
            <w:r>
              <w:rPr>
                <w:b/>
                <w:i/>
              </w:rPr>
              <w:t>vytvořily</w:t>
            </w:r>
            <w:r>
              <w:t xml:space="preserve"> jako základní vrstvu svrchovanou digitální infrastrukturu EU s technologiemi na ochranu soukromí a ekosystém rozhraní EU pro programování aplikací (API), přičemž využijí evropské dodávky čisté energie při rozvoji datových center a cloudové infrastruktury, a to i prostřednictvím tržně orientovaných iniciativ, např. společné podniky nebo federované sítě v oblastech, jako jsou gigatovárny na umělou inteligenci nebo cloudové služby;</w:t>
            </w:r>
          </w:p>
        </w:tc>
        <w:tc>
          <w:tcPr>
            <w:tcW w:w="4876" w:type="dxa"/>
            <w:tcBorders>
              <w:top w:val="nil"/>
              <w:left w:val="nil"/>
              <w:bottom w:val="nil"/>
              <w:right w:val="nil"/>
            </w:tcBorders>
          </w:tcPr>
          <w:p>
            <w:pPr>
              <w:pStyle w:val="Normal6a"/>
            </w:pPr>
            <w:r>
              <w:t>47.</w:t>
            </w:r>
            <w:r>
              <w:tab/>
            </w:r>
            <w:r>
              <w:rPr>
                <w:b/>
                <w:i/>
              </w:rPr>
              <w:t>důrazně poukazuje na</w:t>
            </w:r>
            <w:r>
              <w:t xml:space="preserve"> stávající strukturální závislosti v digitální infrastruktuře EU, včetně operačních systémů, datových center, polovodičů, umělé inteligence, kybernetické bezpečnosti, cloud computingu a různých digitálních platforem a služeb, které jsou důsledkem koncentrace trhu a zahraniční kontroly a představují vysoké riziko pro demokracii, svobodu a bezpečnost v EU a pro konkurenceschopnost EU; vyzývá Komisi a členské státy, aby prostřednictvím ambiciózních a cílených politik, které zvýší investice do společností v EU a jejich podíl na trhu, </w:t>
            </w:r>
            <w:r>
              <w:rPr>
                <w:b/>
                <w:i/>
              </w:rPr>
              <w:t>podpořily</w:t>
            </w:r>
            <w:r>
              <w:t xml:space="preserve"> jako základní vrstvu svrchovanou digitální infrastrukturu EU s technologiemi na ochranu soukromí a ekosystém rozhraní EU pro programování aplikací (API), přičemž využijí evropské dodávky čisté energie při rozvoji datových center a cloudové infrastruktury, a to i prostřednictvím tržně orientovaných iniciativ, např. společné podniky nebo federované sítě v oblastech, jako jsou gigatovárny na umělou inteligenci nebo cloudové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1321</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zdůrazňuje, že strategická závislost v kritické digitální a technologické infrastruktuře oslabuje demokratickou odolnost i evropskou bezpečnost;</w:t>
            </w:r>
            <w:r>
              <w:t xml:space="preserve"> </w:t>
            </w:r>
            <w:r>
              <w:rPr>
                <w:b/>
                <w:i/>
              </w:rPr>
              <w:t>vyzývá Komisi, aby do Evropského štítu pro demokracii systematicky začleňovala cíle v oblasti snižování závislosti a budování evropských průmyslových kapacit;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1322</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zdůrazňuje, že je třeba zajistit větší integraci mezi digitální infrastrukturou, kybernetickou bezpečností a obrannou politikou s cílem posílit strategickou autonomii EU a že je třeba využít infrastrukturu dvojího užití, jako jsou odolná datová centra rozptýlená v celé EU, s cílem zajistit provozní kontinuitu tváří v tvář hybridním nebo válečným hrozbám; dále poukazuje na to, že je třeba zvýšit investice do vojenské mobility a bezpečné komunikace, včetně bezodkladného a přednostního zavádění vesmírných kapacit, jako je IRIS², s cílem poskytovat šifrované služby pro veřejné a obranné použití;</w:t>
            </w:r>
          </w:p>
        </w:tc>
        <w:tc>
          <w:tcPr>
            <w:tcW w:w="4876" w:type="dxa"/>
            <w:tcBorders>
              <w:top w:val="nil"/>
              <w:left w:val="nil"/>
              <w:bottom w:val="nil"/>
              <w:right w:val="nil"/>
            </w:tcBorders>
          </w:tcPr>
          <w:p>
            <w:pPr>
              <w:pStyle w:val="Normal6a"/>
            </w:pPr>
            <w:r>
              <w:t>48.</w:t>
            </w:r>
            <w:r>
              <w:tab/>
            </w:r>
            <w:r>
              <w:t xml:space="preserve">zdůrazňuje, že je třeba zajistit větší integraci mezi digitální infrastrukturou, kybernetickou bezpečností a obrannou politikou s cílem posílit strategickou autonomii EU a že je třeba využít infrastrukturu dvojího užití, jako jsou odolná datová centra rozptýlená v celé EU, s cílem zajistit provozní kontinuitu tváří v tvář hybridním nebo válečným hrozbám; </w:t>
            </w:r>
            <w:r>
              <w:rPr>
                <w:b/>
                <w:i/>
              </w:rPr>
              <w:t>v této souvislosti zdůrazňuje, že je důležité rozvíjet svrchované evropské schopnosti a zabránit nadměrné závislosti na poskytovatelích technologií ze zemí mimo Unii, pokud jde o základní digitální a bezpečnostní infrastrukturu;</w:t>
            </w:r>
            <w:r>
              <w:t xml:space="preserve"> dále poukazuje na to, že je třeba zvýšit investice do vojenské mobility a bezpečné komunikace, včetně bezodkladného a přednostního zavádění vesmírných kapacit, jako je IRIS², s cílem poskytovat šifrované služby pro veřejné a obranné použití;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 xml:space="preserve">zdůrazňuje, že je třeba zajistit větší integraci </w:t>
            </w:r>
            <w:r>
              <w:rPr>
                <w:b/>
                <w:i/>
              </w:rPr>
              <w:t>mezi</w:t>
            </w:r>
            <w:r>
              <w:t xml:space="preserve"> digitální </w:t>
            </w:r>
            <w:r>
              <w:rPr>
                <w:b/>
                <w:i/>
              </w:rPr>
              <w:t>infrastrukturou</w:t>
            </w:r>
            <w:r>
              <w:t xml:space="preserve">, kybernetickou bezpečností a </w:t>
            </w:r>
            <w:r>
              <w:rPr>
                <w:b/>
                <w:i/>
              </w:rPr>
              <w:t>obrannou politikou</w:t>
            </w:r>
            <w:r>
              <w:t xml:space="preserve"> s cílem posílit strategickou autonomii EU a že je třeba využít infrastrukturu </w:t>
            </w:r>
            <w:r>
              <w:rPr>
                <w:b/>
                <w:i/>
              </w:rPr>
              <w:t>dvojího užití</w:t>
            </w:r>
            <w:r>
              <w:t>, jako jsou odolná datová centra rozptýlená v celé EU, s cílem zajistit provozní kontinuitu tváří v tvář hybridním nebo válečným hrozbám; dále poukazuje na to, že je třeba zvýšit investice do vojenské mobility a bezpečné komunikace, včetně bezodkladného a přednostního zavádění vesmírných kapacit, jako je IRIS², s cílem poskytovat šifrované služby pro veřejné a obranné použití;</w:t>
            </w:r>
          </w:p>
        </w:tc>
        <w:tc>
          <w:tcPr>
            <w:tcW w:w="4876" w:type="dxa"/>
            <w:tcBorders>
              <w:top w:val="nil"/>
              <w:left w:val="nil"/>
              <w:bottom w:val="nil"/>
              <w:right w:val="nil"/>
            </w:tcBorders>
          </w:tcPr>
          <w:p>
            <w:pPr>
              <w:pStyle w:val="Normal6a"/>
            </w:pPr>
            <w:r>
              <w:t>48.</w:t>
            </w:r>
            <w:r>
              <w:tab/>
            </w:r>
            <w:r>
              <w:t xml:space="preserve">zdůrazňuje, že je třeba zajistit větší integraci </w:t>
            </w:r>
            <w:r>
              <w:rPr>
                <w:b/>
                <w:i/>
              </w:rPr>
              <w:t>a strategickou koordinaci mezi zaváděním</w:t>
            </w:r>
            <w:r>
              <w:t xml:space="preserve"> digitální </w:t>
            </w:r>
            <w:r>
              <w:rPr>
                <w:b/>
                <w:i/>
              </w:rPr>
              <w:t>infrastruktury</w:t>
            </w:r>
            <w:r>
              <w:t xml:space="preserve">, kybernetickou bezpečností a </w:t>
            </w:r>
            <w:r>
              <w:rPr>
                <w:b/>
                <w:i/>
              </w:rPr>
              <w:t>obrannými politikami</w:t>
            </w:r>
            <w:r>
              <w:t xml:space="preserve"> s cílem posílit strategickou autonomii EU a že je třeba využít </w:t>
            </w:r>
            <w:r>
              <w:rPr>
                <w:b/>
                <w:i/>
              </w:rPr>
              <w:t>distribuovanou</w:t>
            </w:r>
            <w:r>
              <w:t xml:space="preserve"> infrastrukturu, jako jsou odolná datová centra rozptýlená v celé EU, s cílem zajistit provozní kontinuitu tváří v tvář </w:t>
            </w:r>
            <w:r>
              <w:rPr>
                <w:b/>
                <w:i/>
              </w:rPr>
              <w:t>přírodním katastrofám a</w:t>
            </w:r>
            <w:r>
              <w:t xml:space="preserve"> hybridním nebo válečným hrozbám; dále poukazuje na to, že je třeba zvýšit investice do vojenské mobility a bezpečné komunikace, včetně bezodkladného a přednostního zavádění vesmírných kapacit, jako je IRIS², s cílem poskytovat šifrované služby pro veřejné a obranné použití;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1324</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zdůrazňuje, že je třeba zajistit větší integraci mezi digitální infrastrukturou, kybernetickou bezpečností a obrannou politikou s cílem posílit strategickou autonomii EU a že je třeba využít infrastrukturu dvojího užití, jako jsou odolná datová centra rozptýlená v celé EU, s cílem zajistit provozní kontinuitu tváří v tvář hybridním nebo válečným hrozbám; dále poukazuje na to, že je třeba zvýšit investice do vojenské mobility a bezpečné komunikace, včetně bezodkladného a přednostního zavádění vesmírných kapacit, jako je IRIS², s cílem poskytovat šifrované služby pro veřejné a obranné použití;</w:t>
            </w:r>
          </w:p>
        </w:tc>
        <w:tc>
          <w:tcPr>
            <w:tcW w:w="4876" w:type="dxa"/>
            <w:tcBorders>
              <w:top w:val="nil"/>
              <w:left w:val="nil"/>
              <w:bottom w:val="nil"/>
              <w:right w:val="nil"/>
            </w:tcBorders>
          </w:tcPr>
          <w:p>
            <w:pPr>
              <w:pStyle w:val="Normal6a"/>
            </w:pPr>
            <w:r>
              <w:t>48.</w:t>
            </w:r>
            <w:r>
              <w:tab/>
            </w:r>
            <w:r>
              <w:t xml:space="preserve">zdůrazňuje, že je třeba zajistit větší integraci mezi digitální infrastrukturou, kybernetickou bezpečností a obrannou politikou s cílem posílit strategickou autonomii EU a že je třeba využít infrastrukturu dvojího užití, jako jsou odolná datová centra rozptýlená v celé EU, s cílem zajistit provozní kontinuitu tváří v tvář hybridním nebo válečným hrozbám; dále poukazuje na to, že je třeba zvýšit investice do vojenské mobility a bezpečné komunikace, včetně bezodkladného a přednostního zavádění vesmírných kapacit, jako je IRIS², s cílem poskytovat šifrované služby pro veřejné a obranné použití </w:t>
            </w:r>
            <w:r>
              <w:rPr>
                <w:b/>
                <w:i/>
              </w:rPr>
              <w:t>a zpřístupnit je Ukrajině a Tchaj-wanu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 xml:space="preserve">zdůrazňuje, že je třeba zajistit větší integraci mezi digitální infrastrukturou, kybernetickou bezpečností a </w:t>
            </w:r>
            <w:r>
              <w:rPr>
                <w:b/>
                <w:i/>
              </w:rPr>
              <w:t>obrannou</w:t>
            </w:r>
            <w:r>
              <w:t xml:space="preserve"> politikou s cílem posílit strategickou autonomii EU a že je třeba využít infrastrukturu dvojího užití, jako jsou odolná datová centra rozptýlená v celé EU, s cílem zajistit provozní kontinuitu tváří v tvář hybridním nebo válečným hrozbám; dále poukazuje na to, že je třeba zvýšit investice do vojenské mobility a bezpečné komunikace, včetně bezodkladného a přednostního zavádění vesmírných kapacit, jako je IRIS², s cílem poskytovat šifrované služby pro veřejné a obranné použití;</w:t>
            </w:r>
          </w:p>
        </w:tc>
        <w:tc>
          <w:tcPr>
            <w:tcW w:w="4876" w:type="dxa"/>
            <w:tcBorders>
              <w:top w:val="nil"/>
              <w:left w:val="nil"/>
              <w:bottom w:val="nil"/>
              <w:right w:val="nil"/>
            </w:tcBorders>
          </w:tcPr>
          <w:p>
            <w:pPr>
              <w:pStyle w:val="Normal6a"/>
            </w:pPr>
            <w:r>
              <w:t>48.</w:t>
            </w:r>
            <w:r>
              <w:tab/>
            </w:r>
            <w:r>
              <w:t xml:space="preserve">zdůrazňuje, že je třeba zajistit větší integraci mezi digitální infrastrukturou, kybernetickou bezpečností a politikou </w:t>
            </w:r>
            <w:r>
              <w:rPr>
                <w:b/>
                <w:i/>
              </w:rPr>
              <w:t>v oblasti manipulací s informacemi, správy hranic a obrany</w:t>
            </w:r>
            <w:r>
              <w:t xml:space="preserve"> s cílem posílit strategickou autonomii EU a že je třeba využít infrastrukturu dvojího užití, jako jsou odolná datová centra rozptýlená v celé EU, s cílem zajistit provozní kontinuitu tváří v tvář hybridním nebo válečným hrozbám; dále poukazuje na to, že je třeba zvýšit investice do vojenské mobility a bezpečné komunikace, včetně bezodkladného a přednostního zavádění vesmírných kapacit, jako je IRIS², s cílem poskytovat šifrované služby pro veřejné a obranné použití;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1326</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 xml:space="preserve">zdůrazňuje, že je třeba zajistit větší integraci mezi digitální infrastrukturou, kybernetickou bezpečností a </w:t>
            </w:r>
            <w:r>
              <w:rPr>
                <w:b/>
                <w:i/>
              </w:rPr>
              <w:t>obrannou</w:t>
            </w:r>
            <w:r>
              <w:t xml:space="preserve"> politikou s cílem posílit strategickou autonomii EU a že je třeba využít infrastrukturu dvojího užití, jako jsou odolná datová centra rozptýlená v celé EU, s cílem zajistit provozní kontinuitu tváří v tvář hybridním nebo válečným hrozbám; dále poukazuje na to, že je třeba zvýšit investice do vojenské mobility a bezpečné komunikace, včetně bezodkladného a přednostního zavádění vesmírných kapacit, jako je IRIS², s cílem poskytovat šifrované služby pro veřejné a obranné použití;</w:t>
            </w:r>
          </w:p>
        </w:tc>
        <w:tc>
          <w:tcPr>
            <w:tcW w:w="4876" w:type="dxa"/>
            <w:tcBorders>
              <w:top w:val="nil"/>
              <w:left w:val="nil"/>
              <w:bottom w:val="nil"/>
              <w:right w:val="nil"/>
            </w:tcBorders>
          </w:tcPr>
          <w:p>
            <w:pPr>
              <w:pStyle w:val="Normal6a"/>
            </w:pPr>
            <w:r>
              <w:t>48.</w:t>
            </w:r>
            <w:r>
              <w:tab/>
            </w:r>
            <w:r>
              <w:t xml:space="preserve">zdůrazňuje, že je třeba zajistit větší integraci mezi digitální infrastrukturou, kybernetickou bezpečností a politikou </w:t>
            </w:r>
            <w:r>
              <w:rPr>
                <w:b/>
                <w:i/>
              </w:rPr>
              <w:t>v oblasti manipulací s informacemi a obrany</w:t>
            </w:r>
            <w:r>
              <w:t xml:space="preserve"> s cílem posílit strategickou autonomii EU a že je třeba využít infrastrukturu dvojího užití, jako jsou odolná datová centra rozptýlená v celé EU, s cílem zajistit provozní kontinuitu tváří v tvář hybridním nebo válečným hrozbám; dále poukazuje na to, že je třeba zvýšit investice do vojenské mobility a bezpečné komunikace, včetně bezodkladného a přednostního zavádění vesmírných kapacit, jako je IRIS², s cílem poskytovat šifrované služby pro veřejné a obranné použití;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1327</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zdůrazňuje, že je třeba zajistit větší integraci mezi digitální infrastrukturou, kybernetickou bezpečností a obrannou politikou s cílem posílit strategickou autonomii EU a že je třeba využít infrastrukturu dvojího užití, jako jsou odolná datová centra rozptýlená v celé EU, s cílem zajistit provozní kontinuitu tváří v tvář hybridním nebo válečným hrozbám; dále poukazuje na to, že je třeba zvýšit investice do vojenské mobility a bezpečné komunikace, včetně bezodkladného a přednostního zavádění vesmírných kapacit, jako je IRIS², s cílem poskytovat šifrované služby pro veřejné a obranné použití;</w:t>
            </w:r>
          </w:p>
        </w:tc>
        <w:tc>
          <w:tcPr>
            <w:tcW w:w="4876" w:type="dxa"/>
            <w:tcBorders>
              <w:top w:val="nil"/>
              <w:left w:val="nil"/>
              <w:bottom w:val="nil"/>
              <w:right w:val="nil"/>
            </w:tcBorders>
          </w:tcPr>
          <w:p>
            <w:pPr>
              <w:pStyle w:val="Normal6a"/>
            </w:pPr>
            <w:r>
              <w:t>48.</w:t>
            </w:r>
            <w:r>
              <w:tab/>
            </w:r>
            <w:r>
              <w:t xml:space="preserve">zdůrazňuje, že je třeba zajistit větší integraci mezi digitální infrastrukturou, kybernetickou bezpečností a obrannou politikou s cílem posílit strategickou autonomii EU a že je třeba využít infrastrukturu dvojího užití, jako jsou odolná datová centra rozptýlená v celé EU, s cílem zajistit provozní kontinuitu tváří v tvář hybridním nebo válečným hrozbám; dále poukazuje na to, že je třeba zvýšit investice do vojenské mobility a bezpečné komunikace, včetně bezodkladného a přednostního zavádění </w:t>
            </w:r>
            <w:r>
              <w:rPr>
                <w:b/>
                <w:i/>
              </w:rPr>
              <w:t>gigabitových sítí a</w:t>
            </w:r>
            <w:r>
              <w:t xml:space="preserve"> vesmírných kapacit, jako je IRIS², s cílem poskytovat šifrované služby pro veřejné a obranné použití;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1328</w:t>
      </w:r>
      <w:r>
        <w:rPr>
          <w:rStyle w:val="HideTWBExt"/>
        </w:rPr>
        <w:t>&lt;/NumAm&gt;</w:t>
      </w:r>
    </w:p>
    <w:p>
      <w:pPr>
        <w:pStyle w:val="NormalBold"/>
      </w:pPr>
      <w:r>
        <w:rPr>
          <w:rStyle w:val="HideTWBExt"/>
          <w:b w:val="0"/>
        </w:rPr>
        <w:t>&lt;RepeatBlock-By&gt;</w:t>
      </w:r>
      <w:r>
        <w:rPr>
          <w:rStyle w:val="HideTWBExt"/>
          <w:b w:val="0"/>
        </w:rPr>
        <w:t>&lt;Members&gt;</w:t>
      </w:r>
      <w:r>
        <w:t>Tomas Tobé, Mika Aaltola, Tomáš Zdechovský, Sandra Kalniete, Lena Düpont, Lukas Mandl, Eszter Lakos, Bartłomiej Sienkiewicz, Michał Wawrykiewicz, Ana Miguel Pedro, Fredis Beleris, Andrey Kovatchev</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48a.</w:t>
            </w:r>
            <w:r>
              <w:tab/>
            </w:r>
            <w:r>
              <w:rPr>
                <w:b/>
                <w:i/>
              </w:rPr>
              <w:t>zdůrazňuje, že je třeba zvýšit investice do bezpečných, interoperabilních a odolných systémů sdílení informací a místních datových center;</w:t>
            </w:r>
            <w:r>
              <w:t xml:space="preserve"> </w:t>
            </w:r>
            <w:r>
              <w:rPr>
                <w:b/>
                <w:i/>
              </w:rPr>
              <w:t>zdůrazňuje, že tyto investice mají zásadní význam pro zajištění rychlejší a spolehlivější komunikace mezi příslušnými orgány na vnitrostátní úrovni a na úrovni Unie, pro posílení ochrany před kybernetickými útoky a narušením bezpečnosti údajů a pro zaručení integrity, dostupnosti a důvěrnosti citlivých údajů, mimo jiné prostřednictvím posílených schopností v oblasti kybernetické bezpečnosti a moderní digitální infrastruktury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1329</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48a.</w:t>
            </w:r>
            <w:r>
              <w:tab/>
            </w:r>
            <w:r>
              <w:rPr>
                <w:b/>
                <w:i/>
              </w:rPr>
              <w:t>zdůrazňuje, že Evropský štít pro demokracii by měl být úzce koordinován s iniciativami EU v oblasti obrany a připravenosti, včetně Strategického kompasu, plánu Připravenost 2030 a příslušných programů obranného průmyslu, aby byla zajištěna soudržnost mezi civilní odolností, obrannou připraveností a strategickou autonomií;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1330</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48a.</w:t>
            </w:r>
            <w:r>
              <w:tab/>
            </w:r>
            <w:r>
              <w:rPr>
                <w:b/>
                <w:i/>
              </w:rPr>
              <w:t>je toho názoru, že propouštění má klíčový význam pro zajištění provozní bezpečnosti a bezpečnosti komunikace, jako jsou pozemní zabezpečené komunikační systémy nebo inerciální navigační systémy;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1331</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48b.</w:t>
            </w:r>
            <w:r>
              <w:tab/>
            </w:r>
            <w:r>
              <w:rPr>
                <w:b/>
                <w:i/>
              </w:rPr>
              <w:t>je toho názoru, že jakákoli práce v oblasti mobility se týká rovněž občanských záchranných služeb členských států, které mají podobnou infrastrukturu jako armáda při zásobování významným množstvím materiálního a humanitárního zboží v případě mimořádné události, včetně přírodní katastrofy;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zdůrazňuje, že rámce kybernetické bezpečnosti, jako je směrnice NIS 2, akt o kybernetické odolnosti</w:t>
            </w:r>
            <w:r>
              <w:rPr>
                <w:vertAlign w:val="superscript"/>
              </w:rPr>
              <w:t>56</w:t>
            </w:r>
            <w:r>
              <w:t>a akt o kybernetické solidaritě</w:t>
            </w:r>
            <w:r>
              <w:rPr>
                <w:vertAlign w:val="superscript"/>
              </w:rPr>
              <w:t>57</w:t>
            </w:r>
            <w:r>
              <w:t>, musí fungovat v souladu s cílem podpořit normy bezpečné již od fáze návrhu a zabránit roztříštěnosti právních předpisů; v této souvislosti vyzývá k revizi příslušných právních předpisů v oblasti kybernetické bezpečnosti a poukazuje na to, že je třeba posílit stávající struktury, jako je ENISA a Evropské centrum kompetencí pro kybernetickou bezpečnost;</w:t>
            </w:r>
          </w:p>
        </w:tc>
        <w:tc>
          <w:tcPr>
            <w:tcW w:w="4876" w:type="dxa"/>
            <w:tcBorders>
              <w:top w:val="nil"/>
              <w:left w:val="nil"/>
              <w:bottom w:val="nil"/>
              <w:right w:val="nil"/>
            </w:tcBorders>
          </w:tcPr>
          <w:p>
            <w:pPr>
              <w:pStyle w:val="Normal6a"/>
            </w:pPr>
            <w:r>
              <w:t>49.</w:t>
            </w:r>
            <w:r>
              <w:tab/>
            </w:r>
            <w:r>
              <w:t>zdůrazňuje, že rámce kybernetické bezpečnosti, jako je směrnice NIS 2, akt o kybernetické odolnosti</w:t>
            </w:r>
            <w:r>
              <w:rPr>
                <w:vertAlign w:val="superscript"/>
              </w:rPr>
              <w:t>56</w:t>
            </w:r>
            <w:r>
              <w:t xml:space="preserve"> a akt o kybernetické solidaritě</w:t>
            </w:r>
            <w:r>
              <w:rPr>
                <w:vertAlign w:val="superscript"/>
              </w:rPr>
              <w:t>57</w:t>
            </w:r>
            <w:r>
              <w:t xml:space="preserve">, musí fungovat v souladu s cílem podpořit normy bezpečné již od fáze návrhu a zabránit roztříštěnosti právních předpisů; v této souvislosti vyzývá k revizi příslušných právních předpisů v oblasti kybernetické bezpečnosti a poukazuje na to, že je třeba posílit stávající struktury, jako je ENISA a Evropské centrum kompetencí pro kybernetickou bezpečnost; </w:t>
            </w:r>
            <w:r>
              <w:rPr>
                <w:b/>
                <w:i/>
              </w:rPr>
              <w:t>vyzývá k vytvoření stálého mechanismu reakce na kybernetické krize na úrovni EU, který zajistí operativní koordinaci mezi agenturou ENISA, Europolem a příslušnými útvary Komise a bude schopen poskytovat rychlou pomoc členským státům během rozsáhlých kybernetických incidentů, včetně těch, které mají dopad na volby, kritickou infrastrukturu nebo demokratické instituce;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56</w:t>
            </w:r>
            <w:r>
              <w:t xml:space="preserve"> </w:t>
            </w:r>
            <w:r>
              <w:t>Nařízení Evropského parlamentu a Rady (EU) 2024/2847 ze dne 23. října 2024 o horizontálních požadavcích na kybernetickou bezpečnost produktů s digitálními prvky a o změně nařízení (EU) č. 168/2013 a (EU) 2019/1020 a směrnice (EU) 2020/1828 (akt o kybernetické odolnosti) (Úř. věst. L, 2024/2847, 20.11.2024, ELI: http://data.europa.eu/eli/reg/2024/2847/oj).</w:t>
            </w:r>
          </w:p>
        </w:tc>
        <w:tc>
          <w:tcPr>
            <w:tcW w:w="4876" w:type="dxa"/>
            <w:tcBorders>
              <w:top w:val="nil"/>
              <w:left w:val="nil"/>
              <w:bottom w:val="nil"/>
              <w:right w:val="nil"/>
            </w:tcBorders>
          </w:tcPr>
          <w:p>
            <w:pPr>
              <w:pStyle w:val="Normal6a"/>
            </w:pPr>
            <w:r>
              <w:rPr>
                <w:vertAlign w:val="superscript"/>
              </w:rPr>
              <w:t>56</w:t>
            </w:r>
            <w:r>
              <w:t xml:space="preserve"> </w:t>
            </w:r>
            <w:r>
              <w:t>Nařízení Evropského parlamentu a Rady (EU) 2024/2847 ze dne 23. října 2024 o horizontálních požadavcích na kybernetickou bezpečnost produktů s digitálními prvky a o změně nařízení (EU) č. 168/2013 a (EU) 2019/1020 a směrnice (EU) 2020/1828 (akt o kybernetické odolnosti) (Úř. věst. L, 2024/2847, 20.11.2024, ELI: http://data.europa.eu/eli/reg/2024/2847/oj).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57</w:t>
            </w:r>
            <w:r>
              <w:t xml:space="preserve"> </w:t>
            </w:r>
            <w:r>
              <w:t>Nařízení Evropského parlamentu a Rady (EU) 2025/38 ze dne 19. prosince 2024, kterým se stanovují opatření k posílení solidarity a kapacit v Unii pro odhalování kybernetických hrozeb a incidentů a pro připravenost a reakci na ně a mění nařízení (EU) 2021/694 (nařízení o kybernetické solidaritě) (Úř. věst. L, 2025/38, 15.1.2025, ELI: http://data.europa.eu/eli/reg/2025/38/oj).</w:t>
            </w:r>
          </w:p>
        </w:tc>
        <w:tc>
          <w:tcPr>
            <w:tcW w:w="4876" w:type="dxa"/>
            <w:tcBorders>
              <w:top w:val="nil"/>
              <w:left w:val="nil"/>
              <w:bottom w:val="nil"/>
              <w:right w:val="nil"/>
            </w:tcBorders>
          </w:tcPr>
          <w:p>
            <w:pPr>
              <w:pStyle w:val="Normal6a"/>
            </w:pPr>
            <w:r>
              <w:rPr>
                <w:vertAlign w:val="superscript"/>
              </w:rPr>
              <w:t>57</w:t>
            </w:r>
            <w:r>
              <w:t xml:space="preserve"> </w:t>
            </w:r>
            <w:r>
              <w:t>Nařízení Evropského parlamentu a Rady (EU) 2025/38 ze dne 19. prosince 2024, kterým se stanovují opatření k posílení solidarity a kapacit v Unii pro odhalování kybernetických hrozeb a incidentů a pro připravenost a reakci na ně a mění nařízení (EU) 2021/694 (nařízení o kybernetické solidaritě) (Úř. věst. L, 2025/38, 15.1.2025, ELI: http://data.europa.eu/eli/reg/2025/38/oj).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1333</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zdůrazňuje, že rámce kybernetické bezpečnosti, jako je směrnice NIS 2, akt o kybernetické odolnosti</w:t>
            </w:r>
            <w:r>
              <w:rPr>
                <w:vertAlign w:val="superscript"/>
              </w:rPr>
              <w:t>56</w:t>
            </w:r>
            <w:r>
              <w:t>a akt o kybernetické solidaritě</w:t>
            </w:r>
            <w:r>
              <w:rPr>
                <w:vertAlign w:val="superscript"/>
              </w:rPr>
              <w:t>57</w:t>
            </w:r>
            <w:r>
              <w:t>, musí fungovat v souladu s cílem podpořit normy bezpečné již od fáze návrhu a zabránit roztříštěnosti právních předpisů; v této souvislosti vyzývá k revizi příslušných právních předpisů v oblasti kybernetické bezpečnosti a poukazuje na to, že je třeba posílit stávající struktury, jako je ENISA a Evropské centrum kompetencí pro kybernetickou bezpečnost;</w:t>
            </w:r>
          </w:p>
        </w:tc>
        <w:tc>
          <w:tcPr>
            <w:tcW w:w="4876" w:type="dxa"/>
            <w:tcBorders>
              <w:top w:val="nil"/>
              <w:left w:val="nil"/>
              <w:bottom w:val="nil"/>
              <w:right w:val="nil"/>
            </w:tcBorders>
          </w:tcPr>
          <w:p>
            <w:pPr>
              <w:pStyle w:val="Normal6a"/>
            </w:pPr>
            <w:r>
              <w:t>49.</w:t>
            </w:r>
            <w:r>
              <w:tab/>
            </w:r>
            <w:r>
              <w:t>zdůrazňuje, že rámce kybernetické bezpečnosti, jako je směrnice NIS 2, akt o kybernetické odolnosti</w:t>
            </w:r>
            <w:r>
              <w:rPr>
                <w:vertAlign w:val="superscript"/>
              </w:rPr>
              <w:t>56</w:t>
            </w:r>
            <w:r>
              <w:t xml:space="preserve"> a akt o kybernetické solidaritě</w:t>
            </w:r>
            <w:r>
              <w:rPr>
                <w:vertAlign w:val="superscript"/>
              </w:rPr>
              <w:t>57</w:t>
            </w:r>
            <w:r>
              <w:t xml:space="preserve">, musí fungovat v souladu s cílem podpořit normy bezpečné již od fáze návrhu a zabránit roztříštěnosti právních předpisů; v této souvislosti vyzývá k revizi příslušných právních předpisů v oblasti kybernetické bezpečnosti a poukazuje na to, že je třeba posílit stávající struktury, jako je ENISA a Evropské centrum kompetencí pro kybernetickou bezpečnost; </w:t>
            </w:r>
            <w:r>
              <w:rPr>
                <w:b/>
                <w:i/>
              </w:rPr>
              <w:t>vyzývá Komisi, aby zajistila dostatečné financování z VFR na období 2028–2034 s cílem zabezpečit, aby si podniky, zejména v odvětví IKT, mohly dovolit dodatečné investice vyplývající z revize aktu o kybernetické bezpečnosti;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56</w:t>
            </w:r>
            <w:r>
              <w:t xml:space="preserve"> </w:t>
            </w:r>
            <w:r>
              <w:t>Nařízení Evropského parlamentu a Rady (EU) 2024/2847 ze dne 23. října 2024 o horizontálních požadavcích na kybernetickou bezpečnost produktů s digitálními prvky a o změně nařízení (EU) č. 168/2013 a (EU) 2019/1020 a směrnice (EU) 2020/1828 (akt o kybernetické odolnosti) (Úř. věst. L, 2024/2847, 20.11.2024, ELI: http://data.europa.eu/eli/reg/2024/2847/oj).</w:t>
            </w:r>
          </w:p>
        </w:tc>
        <w:tc>
          <w:tcPr>
            <w:tcW w:w="4876" w:type="dxa"/>
            <w:tcBorders>
              <w:top w:val="nil"/>
              <w:left w:val="nil"/>
              <w:bottom w:val="nil"/>
              <w:right w:val="nil"/>
            </w:tcBorders>
          </w:tcPr>
          <w:p>
            <w:pPr>
              <w:pStyle w:val="Normal6a"/>
            </w:pPr>
            <w:r>
              <w:rPr>
                <w:vertAlign w:val="superscript"/>
              </w:rPr>
              <w:t>56</w:t>
            </w:r>
            <w:r>
              <w:t xml:space="preserve"> </w:t>
            </w:r>
            <w:r>
              <w:t>Nařízení Evropského parlamentu a Rady (EU) 2024/2847 ze dne 23. října 2024 o horizontálních požadavcích na kybernetickou bezpečnost produktů s digitálními prvky a o změně nařízení (EU) č. 168/2013 a (EU) 2019/1020 a směrnice (EU) 2020/1828 (akt o kybernetické odolnosti) (Úř. věst. L, 2024/2847, 20.11.2024, ELI: http://data.europa.eu/eli/reg/2024/2847/oj).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57</w:t>
            </w:r>
            <w:r>
              <w:t xml:space="preserve"> </w:t>
            </w:r>
            <w:r>
              <w:t>Nařízení Evropského parlamentu a Rady (EU) 2025/38 ze dne 19. prosince 2024, kterým se stanovují opatření k posílení solidarity a kapacit v Unii pro odhalování kybernetických hrozeb a incidentů a pro připravenost a reakci na ně a mění nařízení (EU) 2021/694 (nařízení o kybernetické solidaritě) (Úř. věst. L, 2025/38, 15.1.2025, ELI: http://data.europa.eu/eli/reg/2025/38/oj).</w:t>
            </w:r>
          </w:p>
        </w:tc>
        <w:tc>
          <w:tcPr>
            <w:tcW w:w="4876" w:type="dxa"/>
            <w:tcBorders>
              <w:top w:val="nil"/>
              <w:left w:val="nil"/>
              <w:bottom w:val="nil"/>
              <w:right w:val="nil"/>
            </w:tcBorders>
          </w:tcPr>
          <w:p>
            <w:pPr>
              <w:pStyle w:val="Normal6a"/>
            </w:pPr>
            <w:r>
              <w:rPr>
                <w:vertAlign w:val="superscript"/>
              </w:rPr>
              <w:t>57</w:t>
            </w:r>
            <w:r>
              <w:t xml:space="preserve"> </w:t>
            </w:r>
            <w:r>
              <w:t>Nařízení Evropského parlamentu a Rady (EU) 2025/38 ze dne 19. prosince 2024, kterým se stanovují opatření k posílení solidarity a kapacit v Unii pro odhalování kybernetických hrozeb a incidentů a pro připravenost a reakci na ně a mění nařízení (EU) 2021/694 (nařízení o kybernetické solidaritě) (Úř. věst. L, 2025/38, 15.1.2025, ELI: http://data.europa.eu/eli/reg/2025/38/oj).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1334</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zdůrazňuje, že rámce kybernetické bezpečnosti, jako je směrnice NIS 2, akt o kybernetické odolnosti</w:t>
            </w:r>
            <w:r>
              <w:rPr>
                <w:vertAlign w:val="superscript"/>
              </w:rPr>
              <w:t>56</w:t>
            </w:r>
            <w:r>
              <w:t>a akt o kybernetické solidaritě</w:t>
            </w:r>
            <w:r>
              <w:rPr>
                <w:vertAlign w:val="superscript"/>
              </w:rPr>
              <w:t>57</w:t>
            </w:r>
            <w:r>
              <w:t xml:space="preserve">, musí fungovat v souladu s cílem podpořit normy bezpečné již od fáze návrhu a zabránit roztříštěnosti právních předpisů; v této souvislosti </w:t>
            </w:r>
            <w:r>
              <w:rPr>
                <w:b/>
                <w:i/>
              </w:rPr>
              <w:t>vyzývá k revizi</w:t>
            </w:r>
            <w:r>
              <w:t xml:space="preserve"> příslušných právních předpisů v oblasti kybernetické bezpečnosti a poukazuje na to, že je třeba posílit stávající struktury, jako je ENISA a Evropské centrum kompetencí pro kybernetickou bezpečnost;</w:t>
            </w:r>
          </w:p>
        </w:tc>
        <w:tc>
          <w:tcPr>
            <w:tcW w:w="4876" w:type="dxa"/>
            <w:tcBorders>
              <w:top w:val="nil"/>
              <w:left w:val="nil"/>
              <w:bottom w:val="nil"/>
              <w:right w:val="nil"/>
            </w:tcBorders>
          </w:tcPr>
          <w:p>
            <w:pPr>
              <w:pStyle w:val="Normal6a"/>
            </w:pPr>
            <w:r>
              <w:t>49.</w:t>
            </w:r>
            <w:r>
              <w:tab/>
            </w:r>
            <w:r>
              <w:t>zdůrazňuje, že rámce kybernetické bezpečnosti, jako je směrnice NIS 2, akt o kybernetické odolnosti</w:t>
            </w:r>
            <w:r>
              <w:rPr>
                <w:vertAlign w:val="superscript"/>
              </w:rPr>
              <w:t>56</w:t>
            </w:r>
            <w:r>
              <w:t xml:space="preserve"> a akt o kybernetické solidaritě</w:t>
            </w:r>
            <w:r>
              <w:rPr>
                <w:vertAlign w:val="superscript"/>
              </w:rPr>
              <w:t>57</w:t>
            </w:r>
            <w:r>
              <w:t xml:space="preserve">, musí fungovat v souladu s cílem podpořit normy bezpečné již od fáze návrhu a zabránit roztříštěnosti právních předpisů; v této souvislosti </w:t>
            </w:r>
            <w:r>
              <w:rPr>
                <w:b/>
                <w:i/>
              </w:rPr>
              <w:t>vítá přezkum</w:t>
            </w:r>
            <w:r>
              <w:t xml:space="preserve"> příslušných právních předpisů v oblasti kybernetické bezpečnosti a poukazuje na to, že je třeba posílit stávající struktury, jako je ENISA a Evropské centrum kompetencí pro kybernetickou bezpečnost; </w:t>
            </w:r>
            <w:r>
              <w:rPr>
                <w:b/>
                <w:i/>
              </w:rPr>
              <w:t>zdůrazňuje, že malé a střední podniky potřebují podporu pro dodržování předpisů, a nikoli výjimky, které by oslabily jejich bezpečnost, a v důsledku toho i kolektivní kybernetickou bezpečnost;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56</w:t>
            </w:r>
            <w:r>
              <w:t xml:space="preserve"> </w:t>
            </w:r>
            <w:r>
              <w:t>Nařízení Evropského parlamentu a Rady (EU) 2024/2847 ze dne 23. října 2024 o horizontálních požadavcích na kybernetickou bezpečnost produktů s digitálními prvky a o změně nařízení (EU) č. 168/2013 a (EU) 2019/1020 a směrnice (EU) 2020/1828 (akt o kybernetické odolnosti) (Úř. věst. L, 2024/2847, 20.11.2024, ELI: http://data.europa.eu/eli/reg/2024/2847/oj).</w:t>
            </w:r>
          </w:p>
        </w:tc>
        <w:tc>
          <w:tcPr>
            <w:tcW w:w="4876" w:type="dxa"/>
            <w:tcBorders>
              <w:top w:val="nil"/>
              <w:left w:val="nil"/>
              <w:bottom w:val="nil"/>
              <w:right w:val="nil"/>
            </w:tcBorders>
          </w:tcPr>
          <w:p>
            <w:pPr>
              <w:pStyle w:val="Normal6a"/>
            </w:pPr>
            <w:r>
              <w:rPr>
                <w:vertAlign w:val="superscript"/>
              </w:rPr>
              <w:t>56</w:t>
            </w:r>
            <w:r>
              <w:t xml:space="preserve"> </w:t>
            </w:r>
            <w:r>
              <w:t>Nařízení Evropského parlamentu a Rady (EU) 2024/2847 ze dne 23. října 2024 o horizontálních požadavcích na kybernetickou bezpečnost produktů s digitálními prvky a o změně nařízení (EU) č. 168/2013 a (EU) 2019/1020 a směrnice (EU) 2020/1828 (akt o kybernetické odolnosti) (Úř. věst. L, 2024/2847, 20.11.2024, ELI: http://data.europa.eu/eli/reg/2024/2847/oj).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57</w:t>
            </w:r>
            <w:r>
              <w:t xml:space="preserve"> </w:t>
            </w:r>
            <w:r>
              <w:t>Nařízení Evropského parlamentu a Rady (EU) 2025/38 ze dne 19. prosince 2024, kterým se stanovují opatření k posílení solidarity a kapacit v Unii pro odhalování kybernetických hrozeb a incidentů a pro připravenost a reakci na ně a mění nařízení (EU) 2021/694 (nařízení o kybernetické solidaritě) (Úř. věst. L, 2025/38, 15.1.2025, ELI: http://data.europa.eu/eli/reg/2025/38/oj).</w:t>
            </w:r>
          </w:p>
        </w:tc>
        <w:tc>
          <w:tcPr>
            <w:tcW w:w="4876" w:type="dxa"/>
            <w:tcBorders>
              <w:top w:val="nil"/>
              <w:left w:val="nil"/>
              <w:bottom w:val="nil"/>
              <w:right w:val="nil"/>
            </w:tcBorders>
          </w:tcPr>
          <w:p>
            <w:pPr>
              <w:pStyle w:val="Normal6a"/>
            </w:pPr>
            <w:r>
              <w:rPr>
                <w:vertAlign w:val="superscript"/>
              </w:rPr>
              <w:t>57</w:t>
            </w:r>
            <w:r>
              <w:t xml:space="preserve"> </w:t>
            </w:r>
            <w:r>
              <w:t>Nařízení Evropského parlamentu a Rady (EU) 2025/38 ze dne 19. prosince 2024, kterým se stanovují opatření k posílení solidarity a kapacit v Unii pro odhalování kybernetických hrozeb a incidentů a pro připravenost a reakci na ně a mění nařízení (EU) 2021/694 (nařízení o kybernetické solidaritě) (Úř. věst. L, 2025/38, 15.1.2025, ELI: http://data.europa.eu/eli/reg/2025/38/oj).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1335</w:t>
      </w:r>
      <w:r>
        <w:rPr>
          <w:rStyle w:val="HideTWBExt"/>
        </w:rPr>
        <w:t>&lt;/NumAm&gt;</w:t>
      </w:r>
    </w:p>
    <w:p>
      <w:pPr>
        <w:pStyle w:val="NormalBold"/>
      </w:pPr>
      <w:r>
        <w:rPr>
          <w:rStyle w:val="HideTWBExt"/>
          <w:b w:val="0"/>
        </w:rPr>
        <w:t>&lt;RepeatBlock-By&gt;</w:t>
      </w:r>
      <w:r>
        <w:rPr>
          <w:rStyle w:val="HideTWBExt"/>
          <w:b w:val="0"/>
        </w:rPr>
        <w:t>&lt;Members&gt;</w:t>
      </w:r>
      <w:r>
        <w:t>Tomas Tobé, Mika Aaltola, Tomáš Zdechovský, Sandra Kalniete, Lena Düpont, Lukas Mandl, Eszter Lakos, Bartłomiej Sienkiewicz, Michał Wawrykiewicz, Ana Miguel Pedro, Fredis Beleris, Andrey Kovatchev</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zdůrazňuje, že rámce kybernetické bezpečnosti, jako je směrnice NIS 2, akt o kybernetické odolnosti</w:t>
            </w:r>
            <w:r>
              <w:rPr>
                <w:vertAlign w:val="superscript"/>
              </w:rPr>
              <w:t>56</w:t>
            </w:r>
            <w:r>
              <w:t>a akt o kybernetické solidaritě</w:t>
            </w:r>
            <w:r>
              <w:rPr>
                <w:vertAlign w:val="superscript"/>
              </w:rPr>
              <w:t>57</w:t>
            </w:r>
            <w:r>
              <w:t xml:space="preserve">, musí fungovat v souladu s cílem podpořit normy bezpečné již od fáze návrhu a zabránit roztříštěnosti právních předpisů; </w:t>
            </w:r>
            <w:r>
              <w:rPr>
                <w:b/>
                <w:i/>
              </w:rPr>
              <w:t>v této souvislosti vyzývá k revizi příslušných právních předpisů v oblasti</w:t>
            </w:r>
            <w:r>
              <w:t xml:space="preserve"> kybernetické bezpečnosti </w:t>
            </w:r>
            <w:r>
              <w:rPr>
                <w:b/>
                <w:i/>
              </w:rPr>
              <w:t>a poukazuje na to, že je třeba posílit stávající struktury, jako je ENISA a Evropské centrum kompetencí pro kybernetickou bezpečnost</w:t>
            </w:r>
            <w:r>
              <w:t>;</w:t>
            </w:r>
          </w:p>
        </w:tc>
        <w:tc>
          <w:tcPr>
            <w:tcW w:w="4876" w:type="dxa"/>
            <w:tcBorders>
              <w:top w:val="nil"/>
              <w:left w:val="nil"/>
              <w:bottom w:val="nil"/>
              <w:right w:val="nil"/>
            </w:tcBorders>
          </w:tcPr>
          <w:p>
            <w:pPr>
              <w:pStyle w:val="Normal6a"/>
            </w:pPr>
            <w:r>
              <w:t>49.</w:t>
            </w:r>
            <w:r>
              <w:tab/>
            </w:r>
            <w:r>
              <w:t>zdůrazňuje, že rámce kybernetické bezpečnosti, jako je směrnice NIS 2, akt o kybernetické odolnosti</w:t>
            </w:r>
            <w:r>
              <w:rPr>
                <w:vertAlign w:val="superscript"/>
              </w:rPr>
              <w:t>56</w:t>
            </w:r>
            <w:r>
              <w:t xml:space="preserve"> a akt o kybernetické solidaritě</w:t>
            </w:r>
            <w:r>
              <w:rPr>
                <w:vertAlign w:val="superscript"/>
              </w:rPr>
              <w:t>57</w:t>
            </w:r>
            <w:r>
              <w:t xml:space="preserve">, musí fungovat v souladu s cílem podpořit normy bezpečné již od fáze návrhu a zabránit roztříštěnosti právních předpisů; </w:t>
            </w:r>
            <w:r>
              <w:rPr>
                <w:b/>
                <w:i/>
              </w:rPr>
              <w:t>vítá návrh Komise výrazně posílit operační mandát a zdroje agentury ENISA prostřednictvím revidovaného aktu o</w:t>
            </w:r>
            <w:r>
              <w:t xml:space="preserve"> kybernetické bezpečnosti;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56</w:t>
            </w:r>
            <w:r>
              <w:t xml:space="preserve"> </w:t>
            </w:r>
            <w:r>
              <w:t>Nařízení Evropského parlamentu a Rady (EU) 2024/2847 ze dne 23. října 2024 o horizontálních požadavcích na kybernetickou bezpečnost produktů s digitálními prvky a o změně nařízení (EU) č. 168/2013 a (EU) 2019/1020 a směrnice (EU) 2020/1828 (akt o kybernetické odolnosti) (Úř. věst. L, 2024/2847, 20.11.2024, ELI: http://data.europa.eu/eli/reg/2024/2847/oj).</w:t>
            </w:r>
          </w:p>
        </w:tc>
        <w:tc>
          <w:tcPr>
            <w:tcW w:w="4876" w:type="dxa"/>
            <w:tcBorders>
              <w:top w:val="nil"/>
              <w:left w:val="nil"/>
              <w:bottom w:val="nil"/>
              <w:right w:val="nil"/>
            </w:tcBorders>
          </w:tcPr>
          <w:p>
            <w:pPr>
              <w:pStyle w:val="Normal6a"/>
            </w:pPr>
            <w:r>
              <w:rPr>
                <w:vertAlign w:val="superscript"/>
              </w:rPr>
              <w:t>56</w:t>
            </w:r>
            <w:r>
              <w:t xml:space="preserve"> </w:t>
            </w:r>
            <w:r>
              <w:t>Nařízení Evropského parlamentu a Rady (EU) 2024/2847 ze dne 23. října 2024 o horizontálních požadavcích na kybernetickou bezpečnost produktů s digitálními prvky a o změně nařízení (EU) č. 168/2013 a (EU) 2019/1020 a směrnice (EU) 2020/1828 (akt o kybernetické odolnosti) (Úř. věst. L, 2024/2847, 20.11.2024, ELI: http://data.europa.eu/eli/reg/2024/2847/oj).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57</w:t>
            </w:r>
            <w:r>
              <w:t xml:space="preserve"> </w:t>
            </w:r>
            <w:r>
              <w:t>Nařízení Evropského parlamentu a Rady (EU) 2025/38 ze dne 19. prosince 2024, kterým se stanovují opatření k posílení solidarity a kapacit v Unii pro odhalování kybernetických hrozeb a incidentů a pro připravenost a reakci na ně a mění nařízení (EU) 2021/694 (nařízení o kybernetické solidaritě) (Úř. věst. L, 2025/38, 15.1.2025, ELI: http://data.europa.eu/eli/reg/2025/38/oj).</w:t>
            </w:r>
          </w:p>
        </w:tc>
        <w:tc>
          <w:tcPr>
            <w:tcW w:w="4876" w:type="dxa"/>
            <w:tcBorders>
              <w:top w:val="nil"/>
              <w:left w:val="nil"/>
              <w:bottom w:val="nil"/>
              <w:right w:val="nil"/>
            </w:tcBorders>
          </w:tcPr>
          <w:p>
            <w:pPr>
              <w:pStyle w:val="Normal6a"/>
            </w:pPr>
            <w:r>
              <w:rPr>
                <w:vertAlign w:val="superscript"/>
              </w:rPr>
              <w:t>57</w:t>
            </w:r>
            <w:r>
              <w:t xml:space="preserve"> </w:t>
            </w:r>
            <w:r>
              <w:t>Nařízení Evropského parlamentu a Rady (EU) 2025/38 ze dne 19. prosince 2024, kterým se stanovují opatření k posílení solidarity a kapacit v Unii pro odhalování kybernetických hrozeb a incidentů a pro připravenost a reakci na ně a mění nařízení (EU) 2021/694 (nařízení o kybernetické solidaritě) (Úř. věst. L, 2025/38, 15.1.2025, ELI: http://data.europa.eu/eli/reg/2025/38/oj).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1336</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zdůrazňuje, že rámce kybernetické bezpečnosti, jako je směrnice NIS 2, akt o kybernetické odolnosti</w:t>
            </w:r>
            <w:r>
              <w:rPr>
                <w:vertAlign w:val="superscript"/>
              </w:rPr>
              <w:t>56</w:t>
            </w:r>
            <w:r>
              <w:t>a akt o kybernetické solidaritě</w:t>
            </w:r>
            <w:r>
              <w:rPr>
                <w:vertAlign w:val="superscript"/>
              </w:rPr>
              <w:t>57</w:t>
            </w:r>
            <w:r>
              <w:t xml:space="preserve">, musí fungovat v souladu s cílem podpořit normy bezpečné již od fáze návrhu a zabránit roztříštěnosti právních předpisů; v této souvislosti </w:t>
            </w:r>
            <w:r>
              <w:rPr>
                <w:b/>
                <w:i/>
              </w:rPr>
              <w:t>vyzývá k</w:t>
            </w:r>
            <w:r>
              <w:t xml:space="preserve"> revizi </w:t>
            </w:r>
            <w:r>
              <w:rPr>
                <w:b/>
                <w:i/>
              </w:rPr>
              <w:t>příslušných právních předpisů v oblasti</w:t>
            </w:r>
            <w:r>
              <w:t xml:space="preserve"> kybernetické bezpečnosti a poukazuje na to, že je třeba posílit stávající struktury, jako je ENISA a Evropské centrum kompetencí pro kybernetickou bezpečnost;</w:t>
            </w:r>
          </w:p>
        </w:tc>
        <w:tc>
          <w:tcPr>
            <w:tcW w:w="4876" w:type="dxa"/>
            <w:tcBorders>
              <w:top w:val="nil"/>
              <w:left w:val="nil"/>
              <w:bottom w:val="nil"/>
              <w:right w:val="nil"/>
            </w:tcBorders>
          </w:tcPr>
          <w:p>
            <w:pPr>
              <w:pStyle w:val="Normal6a"/>
            </w:pPr>
            <w:r>
              <w:t>49.</w:t>
            </w:r>
            <w:r>
              <w:tab/>
            </w:r>
            <w:r>
              <w:t>zdůrazňuje, že rámce kybernetické bezpečnosti, jako je směrnice NIS 2, akt o kybernetické odolnosti</w:t>
            </w:r>
            <w:r>
              <w:rPr>
                <w:vertAlign w:val="superscript"/>
              </w:rPr>
              <w:t>56</w:t>
            </w:r>
            <w:r>
              <w:t xml:space="preserve"> a akt o kybernetické solidaritě</w:t>
            </w:r>
            <w:r>
              <w:rPr>
                <w:vertAlign w:val="superscript"/>
              </w:rPr>
              <w:t>57</w:t>
            </w:r>
            <w:r>
              <w:t xml:space="preserve">, musí fungovat v souladu s cílem podpořit normy bezpečné již od fáze návrhu a zabránit roztříštěnosti právních předpisů; v této souvislosti </w:t>
            </w:r>
            <w:r>
              <w:rPr>
                <w:b/>
                <w:i/>
              </w:rPr>
              <w:t>bere na vědomí</w:t>
            </w:r>
            <w:r>
              <w:t xml:space="preserve"> revizi </w:t>
            </w:r>
            <w:r>
              <w:rPr>
                <w:b/>
                <w:i/>
              </w:rPr>
              <w:t>aktu o</w:t>
            </w:r>
            <w:r>
              <w:t xml:space="preserve"> kybernetické bezpečnosti </w:t>
            </w:r>
            <w:r>
              <w:rPr>
                <w:b/>
                <w:i/>
              </w:rPr>
              <w:t>a cílené revize směrnice NIS2</w:t>
            </w:r>
            <w:r>
              <w:t xml:space="preserve"> a poukazuje na to, že je třeba posílit stávající struktury, jako je ENISA a Evropské centrum kompetencí pro kybernetickou bezpečnost;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56</w:t>
            </w:r>
            <w:r>
              <w:t xml:space="preserve"> </w:t>
            </w:r>
            <w:r>
              <w:t>Nařízení Evropského parlamentu a Rady (EU) 2024/2847 ze dne 23. října 2024 o horizontálních požadavcích na kybernetickou bezpečnost produktů s digitálními prvky a o změně nařízení (EU) č. 168/2013 a (EU) 2019/1020 a směrnice (EU) 2020/1828 (akt o kybernetické odolnosti) (Úř. věst. L, 2024/2847, 20.11.2024, ELI: http://data.europa.eu/eli/reg/2024/2847/oj).</w:t>
            </w:r>
          </w:p>
        </w:tc>
        <w:tc>
          <w:tcPr>
            <w:tcW w:w="4876" w:type="dxa"/>
            <w:tcBorders>
              <w:top w:val="nil"/>
              <w:left w:val="nil"/>
              <w:bottom w:val="nil"/>
              <w:right w:val="nil"/>
            </w:tcBorders>
          </w:tcPr>
          <w:p>
            <w:pPr>
              <w:pStyle w:val="Normal6a"/>
            </w:pPr>
            <w:r>
              <w:rPr>
                <w:vertAlign w:val="superscript"/>
              </w:rPr>
              <w:t>56</w:t>
            </w:r>
            <w:r>
              <w:t xml:space="preserve"> </w:t>
            </w:r>
            <w:r>
              <w:t>Nařízení Evropského parlamentu a Rady (EU) 2024/2847 ze dne 23. října 2024 o horizontálních požadavcích na kybernetickou bezpečnost produktů s digitálními prvky a o změně nařízení (EU) č. 168/2013 a (EU) 2019/1020 a směrnice (EU) 2020/1828 (akt o kybernetické odolnosti) (Úř. věst. L, 2024/2847, 20.11.2024, ELI: http://data.europa.eu/eli/reg/2024/2847/oj).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57</w:t>
            </w:r>
            <w:r>
              <w:t xml:space="preserve"> </w:t>
            </w:r>
            <w:r>
              <w:t>Nařízení Evropského parlamentu a Rady (EU) 2025/38 ze dne 19. prosince 2024, kterým se stanovují opatření k posílení solidarity a kapacit v Unii pro odhalování kybernetických hrozeb a incidentů a pro připravenost a reakci na ně a mění nařízení (EU) 2021/694 (nařízení o kybernetické solidaritě) (Úř. věst. L, 2025/38, 15.1.2025, ELI: http://data.europa.eu/eli/reg/2025/38/oj).</w:t>
            </w:r>
          </w:p>
        </w:tc>
        <w:tc>
          <w:tcPr>
            <w:tcW w:w="4876" w:type="dxa"/>
            <w:tcBorders>
              <w:top w:val="nil"/>
              <w:left w:val="nil"/>
              <w:bottom w:val="nil"/>
              <w:right w:val="nil"/>
            </w:tcBorders>
          </w:tcPr>
          <w:p>
            <w:pPr>
              <w:pStyle w:val="Normal6a"/>
            </w:pPr>
            <w:r>
              <w:rPr>
                <w:vertAlign w:val="superscript"/>
              </w:rPr>
              <w:t>57</w:t>
            </w:r>
            <w:r>
              <w:t xml:space="preserve"> </w:t>
            </w:r>
            <w:r>
              <w:t>Nařízení Evropského parlamentu a Rady (EU) 2025/38 ze dne 19. prosince 2024, kterým se stanovují opatření k posílení solidarity a kapacit v Unii pro odhalování kybernetických hrozeb a incidentů a pro připravenost a reakci na ně a mění nařízení (EU) 2021/694 (nařízení o kybernetické solidaritě) (Úř. věst. L, 2025/38, 15.1.2025, ELI: http://data.europa.eu/eli/reg/2025/38/oj).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49a.</w:t>
            </w:r>
            <w:r>
              <w:tab/>
            </w:r>
            <w:r>
              <w:rPr>
                <w:b/>
                <w:i/>
              </w:rPr>
              <w:t>znovu vyzývá k přísnějším omezením přístupu ruských občanů do EU, aby nemohli využívat svobod a výsad, které Evropa nabízí, jako je cestovní ruch, kultura, sport nebo vzdělávání, dokud jejich země pokračuje v brutální agresi, včetně útoků na civilní cíle, jako jsou divadla a sportovní zařízení;</w:t>
            </w:r>
            <w:r>
              <w:t xml:space="preserve"> </w:t>
            </w:r>
            <w:r>
              <w:rPr>
                <w:b/>
                <w:i/>
              </w:rPr>
              <w:t>vyzývá k zavedení požadavku, aby každý ruský žadatel o vízum předložil svou vojenskou služební knížku, která je povinným dokladem pro dospělé ruské občany a potvrzuje průběh jejich vojenské služby a kariéry;</w:t>
            </w:r>
            <w:r>
              <w:t xml:space="preserve"> </w:t>
            </w:r>
            <w:r>
              <w:rPr>
                <w:b/>
                <w:i/>
              </w:rPr>
              <w:t>domnívá se, že jednotlivci, kteří se podíleli na agresi a přímo či nepřímo páchali brutální zločiny proti Ukrajincům, jakož i v Sýrii nebo dříve v Čečensku, představují pro Evropany současné i budoucí bezpečnostní riziko;</w:t>
            </w:r>
            <w:r>
              <w:t xml:space="preserve"> </w:t>
            </w:r>
            <w:r>
              <w:rPr>
                <w:b/>
                <w:i/>
              </w:rPr>
              <w:t>vyzývá členské státy, které tento krok blokují, aby podporovaly celounijní opatření zaměřená na osoby přímo zapojené do agrese a aby tyto kroky považovaly za nezbytná opatření ke zvýšení bezpečnosti evropských občanů;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49a.</w:t>
            </w:r>
            <w:r>
              <w:tab/>
            </w:r>
            <w:r>
              <w:rPr>
                <w:b/>
                <w:i/>
              </w:rPr>
              <w:t>zdůrazňuje, že je důležité snížit závislost na čínských zelených technologiích, zejména na solárních panelech a invertorech, z nichž některé obsahují nedokumentovaná komunikační zařízení, včetně rádiových zařízení, která by mohla umožnit vypnutí energetických systémů nebo manipulaci s nimi na dálku;</w:t>
            </w:r>
            <w:r>
              <w:t xml:space="preserve"> </w:t>
            </w:r>
            <w:r>
              <w:rPr>
                <w:b/>
                <w:i/>
              </w:rPr>
              <w:t>opakuje, že je třeba zavést „evropskou“ politiku nákupu kritické infrastruktury, včetně telekomunikací, solárních invertorů a další energetické infrastruktury, a veřejné dopravy, aby se zmírnilo riziko odstávek vyvolaných v případě krize skrytými vypínači určitých funkcí („kill switch“);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1339</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49a.</w:t>
            </w:r>
            <w:r>
              <w:tab/>
            </w:r>
            <w:r>
              <w:rPr>
                <w:b/>
                <w:i/>
              </w:rPr>
              <w:t>vybízí Komisi a členské státy, aby zahájily koordinovanou mezinárodní iniciativu zaměřenou na boj proti tzv. „neprůstřelným“ poskytovatelům hostingu, kteří vědomě pronajímají infrastrukturu pachatelům kybernetické kriminality, a to i prostřednictvím blokování a filtrování zneužívajících čísel autonomních systémů (ASNS), s cílem účinně omezit jurisdikce, z nichž mohou tito poskytovatelé působit;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1340</w:t>
      </w:r>
      <w:r>
        <w:rPr>
          <w:rStyle w:val="HideTWBExt"/>
        </w:rPr>
        <w:t>&lt;/NumAm&gt;</w:t>
      </w:r>
    </w:p>
    <w:p>
      <w:pPr>
        <w:pStyle w:val="NormalBold"/>
      </w:pPr>
      <w:r>
        <w:rPr>
          <w:rStyle w:val="HideTWBExt"/>
          <w:b w:val="0"/>
        </w:rPr>
        <w:t>&lt;RepeatBlock-By&gt;</w:t>
      </w:r>
      <w:r>
        <w:rPr>
          <w:rStyle w:val="HideTWBExt"/>
          <w:b w:val="0"/>
        </w:rPr>
        <w:t>&lt;Members&gt;</w:t>
      </w:r>
      <w:r>
        <w:t>Tomas Tobé, Mika Aaltola, Tomáš Zdechovský, Sandra Kalniete, Lena Düpont, Lukas Mandl, Eszter Lakos, Bartłomiej Sienkiewicz, Michał Wawrykiewicz, Ana Miguel Pedro, Fredis Beleris, Andrey Kovatchev</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49a.</w:t>
            </w:r>
            <w:r>
              <w:tab/>
            </w:r>
            <w:r>
              <w:rPr>
                <w:b/>
                <w:i/>
              </w:rPr>
              <w:t>vyzývá k revizi aktu o kybernetické bezpečnosti s cílem výslovně zahrnout odborníky na zahraniční manipulaci s informacemi a vměšování a dezinformace mezi zúčastněné strany zastoupené v poradní skupině agentury ENISA a zajistit, aby se řízení kybernetické bezpečnosti zabývalo konvergencí technických slabin a manipulací s informacemi zaměřenými na demokratické procesy;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1341</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49b.</w:t>
            </w:r>
            <w:r>
              <w:tab/>
            </w:r>
            <w:r>
              <w:rPr>
                <w:b/>
                <w:i/>
              </w:rPr>
              <w:t>vítá cíle stanovené v evropském aktu o kritických surovinách a zdůrazňuje, že v době náhlé krize se ukáže, že závislost na čínských vzácných zeminách ukáže je ještě škodlivější než závislost na ruských zdrojích uhlíku;</w:t>
            </w:r>
            <w:r>
              <w:t xml:space="preserve"> </w:t>
            </w:r>
            <w:r>
              <w:rPr>
                <w:b/>
                <w:i/>
              </w:rPr>
              <w:t>opakuje, že je třeba plně provádět akt o kritických surovinách, skladovat, recyklovat a urychlit diverzifikaci kritických surovin, tj. odklon od Číny a příklon ke spolehlivějším partnerům, jakož i zvýšit vlastní těžbu a zpracování;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1342</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50.</w:t>
            </w:r>
            <w:r>
              <w:tab/>
            </w:r>
            <w:r>
              <w:rPr>
                <w:b/>
                <w:i/>
              </w:rPr>
              <w:t>připomíná nízkou míru provedení směrnice NIS 2 ve vnitrostátním právu;</w:t>
            </w:r>
            <w:r>
              <w:t xml:space="preserve"> </w:t>
            </w:r>
            <w:r>
              <w:rPr>
                <w:b/>
                <w:i/>
              </w:rPr>
              <w:t>vyjadřuje politování nad tím, že po uplynutí lhůty dne 17. října 2024 musela Komise zaslat formální upozornění nezvykle vysokému počtu 23 členských států, které tuto směrnici neprovedly v plném rozsahu;</w:t>
            </w:r>
            <w:r>
              <w:t xml:space="preserve"> </w:t>
            </w:r>
            <w:r>
              <w:rPr>
                <w:b/>
                <w:i/>
              </w:rPr>
              <w:t>naléhavě vyzývá členské státy, aby co nejdříve dokončily provedení směrnice ve vnitrostátním právu, vzhledem k tomu, že na konci roku 2025, tedy více než rok po uplynutí lhůty, nebyla směrnice dosud provedena 10 členskými státy;</w:t>
            </w:r>
            <w:r>
              <w:t xml:space="preserve"> </w:t>
            </w:r>
            <w:r>
              <w:rPr>
                <w:b/>
                <w:i/>
              </w:rPr>
              <w:t>vítá v tomto ohledu závazek Komise úzce spolupracovat s členskými státy na zajištění rychlého a soudržného provádění horizontálního rámce kybernetické bezpečnosti stanoveného ve směrnici NIS 2, jakož i aktu o kybernetické odolnosti a aktu o kybernetické solidaritě, jak je stanoveno ve strategii vnitřní bezpečnosti ProtectEU;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připomíná nízkou míru provedení směrnice NIS 2 ve vnitrostátním právu; vyjadřuje politování nad tím, že po uplynutí lhůty dne 17. října 2024 musela Komise zaslat formální upozornění nezvykle vysokému počtu 23 členských států, které tuto směrnici neprovedly v plném rozsahu; naléhavě vyzývá členské státy, aby co nejdříve dokončily provedení směrnice ve vnitrostátním právu, vzhledem k tomu, že na konci roku 2025, tedy více než rok po uplynutí lhůty, nebyla směrnice dosud provedena 10 členskými státy; vítá v tomto ohledu závazek Komise úzce spolupracovat s členskými státy na zajištění rychlého a soudržného provádění horizontálního rámce kybernetické bezpečnosti stanoveného ve směrnici NIS 2, jakož i aktu o kybernetické odolnosti a aktu o kybernetické solidaritě, jak je stanoveno ve strategii vnitřní bezpečnosti ProtectEU;</w:t>
            </w:r>
          </w:p>
        </w:tc>
        <w:tc>
          <w:tcPr>
            <w:tcW w:w="4876" w:type="dxa"/>
            <w:tcBorders>
              <w:top w:val="nil"/>
              <w:left w:val="nil"/>
              <w:bottom w:val="nil"/>
              <w:right w:val="nil"/>
            </w:tcBorders>
          </w:tcPr>
          <w:p>
            <w:pPr>
              <w:pStyle w:val="Normal6a"/>
            </w:pPr>
            <w:r>
              <w:t>50.</w:t>
            </w:r>
            <w:r>
              <w:tab/>
            </w:r>
            <w:r>
              <w:t xml:space="preserve">připomíná nízkou míru provedení směrnice NIS 2 ve vnitrostátním právu; vyjadřuje politování nad tím, že po uplynutí lhůty dne 17. října 2024 musela Komise zaslat formální upozornění nezvykle vysokému počtu 23 členských států, které tuto směrnici neprovedly v plném rozsahu; naléhavě vyzývá členské státy, aby co nejdříve dokončily provedení směrnice ve vnitrostátním právu, vzhledem k tomu, že na konci roku 2025, tedy více než rok po uplynutí lhůty, nebyla směrnice dosud provedena 10 členskými státy; vítá v tomto ohledu závazek Komise úzce spolupracovat s členskými státy na zajištění rychlého a soudržného provádění horizontálního rámce kybernetické bezpečnosti stanoveného ve směrnici NIS 2, jakož i aktu o kybernetické odolnosti a aktu o kybernetické solidaritě, jak je stanoveno ve strategii vnitřní bezpečnosti ProtectEU; </w:t>
            </w:r>
            <w:r>
              <w:rPr>
                <w:b/>
                <w:i/>
              </w:rPr>
              <w:t>vyzývá Komisi a členské státy, aby podporovaly překlenutí nedostatků v informovanosti o situaci, zmírňování rizik a koordinovaných opatřeních v době, kdy hrozí kybernetická, hybridní a informační rizika současně;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1344</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50a.</w:t>
            </w:r>
            <w:r>
              <w:tab/>
            </w:r>
            <w:r>
              <w:rPr>
                <w:b/>
                <w:i/>
              </w:rPr>
              <w:t>zdůrazňuje význam strukturované spolupráce s podobně smýšlejícími partnery, kteří jsou vystaveni široké škále hybridních hrozeb, jako je Tchaj-wan, který má značné zkušenosti s bojem proti činnostem v šedé zóně, zahraničním manipulacím s informacemi a vměšováním, jakož i narušováním kritické infrastruktury, včetně podmořských kabelů, nepřátelskými aktéry;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50a.</w:t>
            </w:r>
            <w:r>
              <w:tab/>
            </w:r>
            <w:r>
              <w:rPr>
                <w:b/>
                <w:i/>
              </w:rPr>
              <w:t>vyzývá Komisi a členské státy, aby podporovaly překlenutí nedostatků v informovanosti o situaci, zmírňování rizik a koordinovaných opatřeních v době, kdy hrozí různá kybernetická, hybridní a informační rizika současně;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1346</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Posilování vzdělávání a akademické svobody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1347</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50a.</w:t>
            </w:r>
            <w:r>
              <w:tab/>
            </w:r>
            <w:r>
              <w:rPr>
                <w:b/>
                <w:i/>
              </w:rPr>
              <w:t>připomíná, že zahraniční aktéři a političtí extremisté v EU manipulovali s historií, aby sloužili protidemokratické politické agendě;</w:t>
            </w:r>
            <w:r>
              <w:t xml:space="preserve"> </w:t>
            </w:r>
            <w:r>
              <w:rPr>
                <w:b/>
                <w:i/>
              </w:rPr>
              <w:t>je toho názoru, že výuku historie ve školách by měla doplňovat školení z oblasti historiografie;</w:t>
            </w:r>
            <w:r>
              <w:t xml:space="preserve"> </w:t>
            </w:r>
            <w:r>
              <w:rPr>
                <w:b/>
                <w:i/>
              </w:rPr>
              <w:t>připomíná doporučení Střediska Rady Evropy pro sledování výuky historie v Evropě, zejména pokud jde o pojem multiperspektivity;</w:t>
            </w:r>
            <w:r>
              <w:t xml:space="preserve"> </w:t>
            </w:r>
            <w:r>
              <w:rPr>
                <w:b/>
                <w:i/>
              </w:rPr>
              <w:t>připomíná, že Francii a Německu se podařilo vytvořit společnou francouzsko-německou učebnici dějepisu s cílem zajistit společné porozumění dějinám;</w:t>
            </w:r>
            <w:r>
              <w:t xml:space="preserve"> </w:t>
            </w:r>
            <w:r>
              <w:rPr>
                <w:b/>
                <w:i/>
              </w:rPr>
              <w:t>je toho názoru, že pokud se problematika týká všech nebo určitý skupiny členských států, mohly by pracovat na společném porozumění se zapojením historiků, což by pak mohlo být opětovně využito v podobných dvoustranných projektech;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1348</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50b.</w:t>
            </w:r>
            <w:r>
              <w:tab/>
            </w:r>
            <w:r>
              <w:rPr>
                <w:b/>
                <w:i/>
              </w:rPr>
              <w:t>vyzývá Komisi, aby zajistila, že finanční prostředky v rámci plánu Připravenost 2030 budou podporovat projekty civilní obrany dvojího užití zaměřené na posílení schopnosti předcházet hybridním a kybernetickým útokům na kritickou infrastrukturu, odhalovat je a reagovat na 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1349</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50b.</w:t>
            </w:r>
            <w:r>
              <w:tab/>
            </w:r>
            <w:r>
              <w:rPr>
                <w:b/>
                <w:i/>
              </w:rPr>
              <w:t>odsuzuje útoky na akademickou svobodu;</w:t>
            </w:r>
            <w:r>
              <w:t xml:space="preserve"> </w:t>
            </w:r>
            <w:r>
              <w:rPr>
                <w:b/>
                <w:i/>
              </w:rPr>
              <w:t>je mimořádně znepokojen zprávami o tom, že některé univerzity ve Spojeném království zastavily po nátlaku ze strany Číny lidskoprávně zaměřené studium nucené práce Ujgurů;</w:t>
            </w:r>
            <w:r>
              <w:t xml:space="preserve"> </w:t>
            </w:r>
            <w:r>
              <w:rPr>
                <w:b/>
                <w:i/>
              </w:rPr>
              <w:t>trvá na tom, že je třeba podporovat evropskou vědeckou obec, a to jak soukromou, tak veřejnou, a průmysl v boji proti vměšování a dezinformacím;</w:t>
            </w:r>
            <w:r>
              <w:t xml:space="preserve"> </w:t>
            </w:r>
            <w:r>
              <w:rPr>
                <w:b/>
                <w:i/>
              </w:rPr>
              <w:t>trvá na tom, že je třeba zachovat evropskou suverenitu v oblasti výzkumu v nejširším možném pojetí, aby byla zajištěna evropská nezávislost, například v odvětvích, jako je studium jazyků, studium lidských práv a kulturní studia;</w:t>
            </w:r>
            <w:r>
              <w:t xml:space="preserve"> </w:t>
            </w:r>
            <w:r>
              <w:rPr>
                <w:b/>
                <w:i/>
              </w:rPr>
              <w:t>připomíná, že jakákoli ztráta vnitrostátních analytických schopností vytváří závislost na třetích zemích a jejich potenciální předpojatost;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1350</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50a.</w:t>
            </w:r>
            <w:r>
              <w:tab/>
            </w:r>
            <w:r>
              <w:rPr>
                <w:b/>
                <w:i/>
              </w:rPr>
              <w:t>připomíná strategii vnitřní bezpečnosti Komise z dubna 2025, která zdůrazňuje, že v acquis EU v oblasti trestního práva již obsahuje ustanovení vztahující se na některé formy zahraniční manipulace s informacemi a vměšování a na dezinformační činnosti a že posílená spolupráce EU může přispět k účinnějšímu boji proti těmto jevům, přičemž oznamuje, že při plánované revizi mandátů Europolu a Eurojustu budou prozkoumány způsoby, jak toto úsilí dále posílit;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1351</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zastává názor, že by měly být uplatňovány a případně dále rozvíjeny všechny trestněprávní nástroje dostupné na úrovni členských států a EU s cílem předcházet nezákonnému jednání, jehož cílem je podkopávat demokratické instituce a procesy, a bojovat proti takovému jednání; podporuje zejména závazek Komise k ambiciózní revizi mandátu Europolu, který by umožnil přeměnit jej ve skutečně operativní policejní agenturu, která bude lépe podporovat členské státy;</w:t>
            </w:r>
          </w:p>
        </w:tc>
        <w:tc>
          <w:tcPr>
            <w:tcW w:w="4876" w:type="dxa"/>
            <w:tcBorders>
              <w:top w:val="nil"/>
              <w:left w:val="nil"/>
              <w:bottom w:val="nil"/>
              <w:right w:val="nil"/>
            </w:tcBorders>
          </w:tcPr>
          <w:p>
            <w:pPr>
              <w:pStyle w:val="Normal6a"/>
            </w:pPr>
            <w:r>
              <w:t>51.</w:t>
            </w:r>
            <w:r>
              <w:tab/>
            </w:r>
            <w:r>
              <w:t xml:space="preserve">zastává názor, že by měly být uplatňovány a případně dále rozvíjeny všechny trestněprávní nástroje dostupné na úrovni členských států a EU s cílem předcházet nezákonnému jednání, jehož cílem je podkopávat demokratické instituce a procesy, a bojovat proti takovému jednání; podporuje zejména závazek Komise k ambiciózní revizi mandátu Europolu, který by umožnil přeměnit jej ve skutečně operativní policejní agenturu, která bude lépe podporovat členské státy; </w:t>
            </w:r>
            <w:r>
              <w:rPr>
                <w:b/>
                <w:i/>
              </w:rPr>
              <w:t>v této souvislosti zdůrazňuje, že řada stávajících pravomocí Europolu – včetně analýzy zpravodajských informací, přeshraniční výměny informací, operativní koordinace, odborných znalostí v oblasti kyberkriminality a podpory společných vyšetřovacích týmů – by mohla být více využívána v zájmu podpory cílů Evropského štítu pro demokracii;</w:t>
            </w:r>
            <w:r>
              <w:t xml:space="preserve"> </w:t>
            </w:r>
            <w:r>
              <w:rPr>
                <w:b/>
                <w:i/>
              </w:rPr>
              <w:t>dále vyzývá k výslovnému začlenění hybridních hrozeb, včetně koordinovaného zahraničního vměšování a rozsáhlých kampaní manipulace s informacemi, do mandátu Europolu s cílem posílit schopnost Unie odhalovat složité přeshraniční rizika ohrožující demokratickou bezpečnost, předcházet jim a reagovat na 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zastává názor, že by měly být uplatňovány a případně dále rozvíjeny všechny trestněprávní nástroje dostupné na úrovni členských států a EU s cílem předcházet nezákonnému jednání, jehož cílem je podkopávat demokratické instituce a procesy, a bojovat proti takovému jednání; podporuje zejména závazek Komise k ambiciózní revizi mandátu Europolu, který </w:t>
            </w:r>
            <w:r>
              <w:rPr>
                <w:b/>
                <w:i/>
              </w:rPr>
              <w:t>by umožnil přeměnit jej ve skutečně operativní policejní agenturu, která bude lépe podporovat</w:t>
            </w:r>
            <w:r>
              <w:t xml:space="preserve"> členské státy;</w:t>
            </w:r>
          </w:p>
        </w:tc>
        <w:tc>
          <w:tcPr>
            <w:tcW w:w="4876" w:type="dxa"/>
            <w:tcBorders>
              <w:top w:val="nil"/>
              <w:left w:val="nil"/>
              <w:bottom w:val="nil"/>
              <w:right w:val="nil"/>
            </w:tcBorders>
          </w:tcPr>
          <w:p>
            <w:pPr>
              <w:pStyle w:val="Normal6a"/>
            </w:pPr>
            <w:r>
              <w:t>51.</w:t>
            </w:r>
            <w:r>
              <w:tab/>
            </w:r>
            <w:r>
              <w:t xml:space="preserve">zastává názor, že by měly být uplatňovány a případně dále rozvíjeny všechny trestněprávní nástroje dostupné na úrovni členských států a EU s cílem předcházet nezákonnému jednání, jehož cílem je podkopávat demokratické instituce a procesy, a bojovat proti takovému jednání; podporuje zejména závazek Komise k ambiciózní revizi mandátu Europolu, který </w:t>
            </w:r>
            <w:r>
              <w:rPr>
                <w:b/>
                <w:i/>
              </w:rPr>
              <w:t>lépe podpoří</w:t>
            </w:r>
            <w:r>
              <w:t xml:space="preserve"> členské státy </w:t>
            </w:r>
            <w:r>
              <w:rPr>
                <w:b/>
                <w:i/>
              </w:rPr>
              <w:t>a zvýší společnou operativní kapacitu, což umožní účinnější řešení složitých přeshraničních hrozeb spojených s trestnou činností, přičemž zdůrazňuje, že vyšetřovací a operativní pravomoci by měly zůstat v rukou členských států, přičemž Europol by měl působit jako podpůrná agentura</w:t>
            </w:r>
            <w:r>
              <w:t xml:space="preserve">; </w:t>
            </w:r>
            <w:r>
              <w:rPr>
                <w:b/>
                <w:i/>
              </w:rPr>
              <w:t>zdůrazňuje, že je třeba, aby příslušné orgány členských států byly vybaveny moderními a účinnými nástroji pro boj proti sabotáži, podvratné činnosti a špionáži a pro jejich předcházení;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zastává názor, že by měly být uplatňovány a případně dále rozvíjeny všechny trestněprávní nástroje dostupné na úrovni členských států a EU s cílem předcházet nezákonnému jednání, jehož cílem je podkopávat demokratické instituce a procesy, a bojovat proti takovému jednání; podporuje zejména závazek Komise k ambiciózní revizi mandátu Europolu, který by umožnil přeměnit jej ve skutečně operativní policejní agenturu, která bude lépe podporovat členské státy;</w:t>
            </w:r>
          </w:p>
        </w:tc>
        <w:tc>
          <w:tcPr>
            <w:tcW w:w="4876" w:type="dxa"/>
            <w:tcBorders>
              <w:top w:val="nil"/>
              <w:left w:val="nil"/>
              <w:bottom w:val="nil"/>
              <w:right w:val="nil"/>
            </w:tcBorders>
          </w:tcPr>
          <w:p>
            <w:pPr>
              <w:pStyle w:val="Normal6a"/>
            </w:pPr>
            <w:r>
              <w:t>51.</w:t>
            </w:r>
            <w:r>
              <w:tab/>
            </w:r>
            <w:r>
              <w:t xml:space="preserve">zastává názor, že by měly být uplatňovány a případně dále rozvíjeny všechny trestněprávní nástroje dostupné na úrovni členských států a EU s cílem předcházet nezákonnému jednání, jehož cílem je podkopávat demokratické instituce a procesy, a bojovat proti takovému jednání; podporuje zejména závazek Komise k ambiciózní revizi mandátu Europolu, který by umožnil přeměnit jej ve skutečně operativní policejní agenturu, která bude lépe podporovat členské státy; </w:t>
            </w:r>
            <w:r>
              <w:rPr>
                <w:b/>
                <w:i/>
              </w:rPr>
              <w:t>zdůrazňuje, že narůstající soubor analýz, zpravodajských informací a situačního povědomí ohledně hybridních hrozeb, zahraničních manipulací s informacemi a vměšování a zahraničního vměšování by měl být systematičtěji přeměněn v konkrétní operativní opatření, včetně případného vyšetřování, stíhání a prosazování;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1354</w:t>
      </w:r>
      <w:r>
        <w:rPr>
          <w:rStyle w:val="HideTWBExt"/>
        </w:rPr>
        <w:t>&lt;/NumAm&gt;</w:t>
      </w:r>
    </w:p>
    <w:p>
      <w:pPr>
        <w:pStyle w:val="NormalBold"/>
      </w:pPr>
      <w:r>
        <w:rPr>
          <w:rStyle w:val="HideTWBExt"/>
          <w:b w:val="0"/>
        </w:rPr>
        <w:t>&lt;RepeatBlock-By&gt;</w:t>
      </w:r>
      <w:r>
        <w:rPr>
          <w:rStyle w:val="HideTWBExt"/>
          <w:b w:val="0"/>
        </w:rPr>
        <w:t>&lt;Members&gt;</w:t>
      </w:r>
      <w:r>
        <w:t>Konstantinos Arvanitis, Danilo Della Valle,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zastává názor, že by měly být uplatňovány a případně dále rozvíjeny </w:t>
            </w:r>
            <w:r>
              <w:rPr>
                <w:b/>
                <w:i/>
              </w:rPr>
              <w:t>všechny</w:t>
            </w:r>
            <w:r>
              <w:t xml:space="preserve"> trestněprávní nástroje dostupné na úrovni členských států a EU s cílem předcházet nezákonnému jednání, jehož cílem je podkopávat demokratické instituce a procesy, a bojovat proti takovému jednání; </w:t>
            </w:r>
            <w:r>
              <w:rPr>
                <w:b/>
                <w:i/>
              </w:rPr>
              <w:t>podporuje zejména závazek Komise k ambiciózní revizi mandátu Europolu, který by umožnil přeměnit jej ve skutečně operativní policejní agenturu, která bude lépe podporovat členské státy;</w:t>
            </w:r>
          </w:p>
        </w:tc>
        <w:tc>
          <w:tcPr>
            <w:tcW w:w="4876" w:type="dxa"/>
            <w:tcBorders>
              <w:top w:val="nil"/>
              <w:left w:val="nil"/>
              <w:bottom w:val="nil"/>
              <w:right w:val="nil"/>
            </w:tcBorders>
          </w:tcPr>
          <w:p>
            <w:pPr>
              <w:pStyle w:val="Normal6a"/>
            </w:pPr>
            <w:r>
              <w:t>51.</w:t>
            </w:r>
            <w:r>
              <w:tab/>
            </w:r>
            <w:r>
              <w:t xml:space="preserve">zastává názor, že </w:t>
            </w:r>
            <w:r>
              <w:rPr>
                <w:b/>
                <w:i/>
              </w:rPr>
              <w:t>v souladu se zásadou proporcionality</w:t>
            </w:r>
            <w:r>
              <w:t xml:space="preserve"> by měly být uplatňovány a případně dále rozvíjeny </w:t>
            </w:r>
            <w:r>
              <w:rPr>
                <w:b/>
                <w:i/>
              </w:rPr>
              <w:t>vhodné</w:t>
            </w:r>
            <w:r>
              <w:t xml:space="preserve"> trestněprávní nástroje dostupné na úrovni členských států a EU s cílem předcházet nezákonnému jednání, jehož cílem je podkopávat demokratické instituce a procesy, a bojovat proti takovému jednání;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1355</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zastává názor, že by měly být uplatňovány a případně dále rozvíjeny všechny trestněprávní nástroje dostupné na úrovni členských států a EU s cílem předcházet nezákonnému jednání, jehož cílem je podkopávat demokratické instituce a procesy, a bojovat proti takovému jednání; podporuje zejména závazek Komise k ambiciózní revizi mandátu Europolu</w:t>
            </w:r>
            <w:r>
              <w:rPr>
                <w:b/>
                <w:i/>
              </w:rPr>
              <w:t>, který by umožnil</w:t>
            </w:r>
            <w:r>
              <w:t xml:space="preserve"> přeměnit </w:t>
            </w:r>
            <w:r>
              <w:rPr>
                <w:b/>
                <w:i/>
              </w:rPr>
              <w:t>jej</w:t>
            </w:r>
            <w:r>
              <w:t xml:space="preserve"> ve skutečně operativní policejní agenturu, která bude lépe podporovat členské státy;</w:t>
            </w:r>
          </w:p>
        </w:tc>
        <w:tc>
          <w:tcPr>
            <w:tcW w:w="4876" w:type="dxa"/>
            <w:tcBorders>
              <w:top w:val="nil"/>
              <w:left w:val="nil"/>
              <w:bottom w:val="nil"/>
              <w:right w:val="nil"/>
            </w:tcBorders>
          </w:tcPr>
          <w:p>
            <w:pPr>
              <w:pStyle w:val="Normal6a"/>
            </w:pPr>
            <w:r>
              <w:t>51.</w:t>
            </w:r>
            <w:r>
              <w:tab/>
            </w:r>
            <w:r>
              <w:t xml:space="preserve">zastává názor, že by měly být uplatňovány a případně dále rozvíjeny všechny trestněprávní nástroje dostupné na úrovni členských států a EU s cílem předcházet nezákonnému jednání, jehož cílem je podkopávat demokratické instituce a procesy, a bojovat proti takovému jednání; podporuje zejména závazek Komise k ambiciózní revizi mandátu Europolu </w:t>
            </w:r>
            <w:r>
              <w:rPr>
                <w:b/>
                <w:i/>
              </w:rPr>
              <w:t>a žádá o náležité zvýšení příslušné rozpočtové položky, aby bylo možné</w:t>
            </w:r>
            <w:r>
              <w:t xml:space="preserve"> přeměnit </w:t>
            </w:r>
            <w:r>
              <w:rPr>
                <w:b/>
                <w:i/>
              </w:rPr>
              <w:t>Europol</w:t>
            </w:r>
            <w:r>
              <w:t xml:space="preserve"> ve skutečně operativní policejní agenturu, která bude lépe podporovat členské státy;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1356</w:t>
      </w:r>
      <w:r>
        <w:rPr>
          <w:rStyle w:val="HideTWBExt"/>
        </w:rPr>
        <w:t>&lt;/NumAm&gt;</w:t>
      </w:r>
    </w:p>
    <w:p>
      <w:pPr>
        <w:pStyle w:val="NormalBold"/>
      </w:pPr>
      <w:r>
        <w:rPr>
          <w:rStyle w:val="HideTWBExt"/>
          <w:b w:val="0"/>
        </w:rPr>
        <w:t>&lt;RepeatBlock-By&gt;</w:t>
      </w:r>
      <w:r>
        <w:rPr>
          <w:rStyle w:val="HideTWBExt"/>
          <w:b w:val="0"/>
        </w:rPr>
        <w:t>&lt;Members&gt;</w:t>
      </w:r>
      <w:r>
        <w:t>Jaroslav Bžoch, 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zastává názor, že by měly být uplatňovány a případně dále rozvíjeny všechny trestněprávní nástroje dostupné na úrovni členských států a EU s cílem předcházet nezákonnému jednání, jehož cílem je podkopávat demokratické instituce a procesy, a bojovat proti takovému jednání; podporuje zejména závazek Komise k </w:t>
            </w:r>
            <w:r>
              <w:rPr>
                <w:b/>
                <w:i/>
              </w:rPr>
              <w:t>ambiciózní</w:t>
            </w:r>
            <w:r>
              <w:t xml:space="preserve"> revizi mandátu Europolu</w:t>
            </w:r>
            <w:r>
              <w:rPr>
                <w:b/>
                <w:i/>
              </w:rPr>
              <w:t>, který by umožnil přeměnit jej ve skutečně operativní policejní agenturu, která bude lépe podporovat</w:t>
            </w:r>
            <w:r>
              <w:t xml:space="preserve"> členské státy;</w:t>
            </w:r>
          </w:p>
        </w:tc>
        <w:tc>
          <w:tcPr>
            <w:tcW w:w="4876" w:type="dxa"/>
            <w:tcBorders>
              <w:top w:val="nil"/>
              <w:left w:val="nil"/>
              <w:bottom w:val="nil"/>
              <w:right w:val="nil"/>
            </w:tcBorders>
          </w:tcPr>
          <w:p>
            <w:pPr>
              <w:pStyle w:val="Normal6a"/>
            </w:pPr>
            <w:r>
              <w:t>51.</w:t>
            </w:r>
            <w:r>
              <w:tab/>
            </w:r>
            <w:r>
              <w:t xml:space="preserve">zastává názor, že by měly být uplatňovány a případně dále rozvíjeny všechny trestněprávní nástroje dostupné na úrovni členských států a EU s cílem předcházet nezákonnému jednání, jehož cílem je podkopávat demokratické instituce a procesy, a bojovat proti takovému jednání; podporuje zejména závazek Komise k revizi mandátu Europolu </w:t>
            </w:r>
            <w:r>
              <w:rPr>
                <w:b/>
                <w:i/>
              </w:rPr>
              <w:t>s cílem zajistit, aby byl Europol lépe vybaven k tomu, aby lépe podporoval</w:t>
            </w:r>
            <w:r>
              <w:t xml:space="preserve"> členské státy </w:t>
            </w:r>
            <w:r>
              <w:rPr>
                <w:b/>
                <w:i/>
              </w:rPr>
              <w:t>při předcházení závažné trestné činnosti, která má dopad na demokratické procesy, a boji proti 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1357</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zastává názor, že by měly být uplatňovány a případně dále rozvíjeny všechny trestněprávní nástroje dostupné na úrovni členských států a EU s cílem předcházet nezákonnému jednání, jehož cílem je podkopávat demokratické instituce a procesy, a bojovat proti takovému jednání; podporuje zejména závazek Komise k </w:t>
            </w:r>
            <w:r>
              <w:rPr>
                <w:b/>
                <w:i/>
              </w:rPr>
              <w:t>ambiciózní</w:t>
            </w:r>
            <w:r>
              <w:t xml:space="preserve"> revizi mandátu Europolu</w:t>
            </w:r>
            <w:r>
              <w:rPr>
                <w:b/>
                <w:i/>
              </w:rPr>
              <w:t>, který by umožnil přeměnit jej ve skutečně operativní policejní agenturu, která bude lépe podporovat členské státy</w:t>
            </w:r>
            <w:r>
              <w:t>;</w:t>
            </w:r>
          </w:p>
        </w:tc>
        <w:tc>
          <w:tcPr>
            <w:tcW w:w="4876" w:type="dxa"/>
            <w:tcBorders>
              <w:top w:val="nil"/>
              <w:left w:val="nil"/>
              <w:bottom w:val="nil"/>
              <w:right w:val="nil"/>
            </w:tcBorders>
          </w:tcPr>
          <w:p>
            <w:pPr>
              <w:pStyle w:val="Normal6a"/>
            </w:pPr>
            <w:r>
              <w:t>51.</w:t>
            </w:r>
            <w:r>
              <w:tab/>
            </w:r>
            <w:r>
              <w:t xml:space="preserve">zastává názor, že by měly být uplatňovány a případně dále rozvíjeny všechny trestněprávní nástroje dostupné na úrovni členských států a EU s cílem předcházet nezákonnému jednání, jehož cílem je podkopávat demokratické instituce a procesy, a bojovat proti takovému jednání; podporuje zejména závazek Komise k revizi mandátu Europolu </w:t>
            </w:r>
            <w:r>
              <w:rPr>
                <w:b/>
                <w:i/>
              </w:rPr>
              <w:t>s cílem posílit jeho kapacity s ohledem na nové výzvy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zastává názor, že by měly být uplatňovány a případně dále rozvíjeny všechny trestněprávní nástroje dostupné na úrovni členských států a EU s cílem předcházet nezákonnému jednání, jehož cílem je podkopávat demokratické instituce a procesy, a bojovat proti takovému jednání; </w:t>
            </w:r>
            <w:r>
              <w:rPr>
                <w:b/>
                <w:i/>
              </w:rPr>
              <w:t>podporuje zejména</w:t>
            </w:r>
            <w:r>
              <w:t xml:space="preserve"> závazek Komise k ambiciózní revizi mandátu Europolu, který by umožnil přeměnit jej ve skutečně operativní policejní agenturu, která bude lépe podporovat členské státy;</w:t>
            </w:r>
          </w:p>
        </w:tc>
        <w:tc>
          <w:tcPr>
            <w:tcW w:w="4876" w:type="dxa"/>
            <w:tcBorders>
              <w:top w:val="nil"/>
              <w:left w:val="nil"/>
              <w:bottom w:val="nil"/>
              <w:right w:val="nil"/>
            </w:tcBorders>
          </w:tcPr>
          <w:p>
            <w:pPr>
              <w:pStyle w:val="Normal6a"/>
            </w:pPr>
            <w:r>
              <w:t>51.</w:t>
            </w:r>
            <w:r>
              <w:tab/>
            </w:r>
            <w:r>
              <w:t xml:space="preserve">zastává názor, že by měly být uplatňovány a případně dále rozvíjeny všechny trestněprávní nástroje dostupné na úrovni členských států a EU s cílem předcházet nezákonnému jednání, jehož cílem je podkopávat demokratické instituce a procesy, a bojovat proti takovému jednání; </w:t>
            </w:r>
            <w:r>
              <w:rPr>
                <w:b/>
                <w:i/>
              </w:rPr>
              <w:t>bere na vědomí</w:t>
            </w:r>
            <w:r>
              <w:t xml:space="preserve"> závazek Komise k ambiciózní revizi mandátu Europolu, který by umožnil přeměnit jej ve skutečně operativní policejní agenturu, která bude lépe podporovat členské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vyjadřuje politování nad tím, že protikorupční pravidla EU se nevztahují na orgány, instituce a jiné subjekty Unie;</w:t>
            </w:r>
            <w:r>
              <w:t xml:space="preserve"> </w:t>
            </w:r>
            <w:r>
              <w:rPr>
                <w:b/>
                <w:i/>
              </w:rPr>
              <w:t>vyzývá Komisi, aby urychleně navrhla a přijala nezbytná ustanovení, která zajistí přinejmenším povinné předkládání, zveřejňování a účinné ověřování majetkových přiznání zaměstnanců orgánů EU, jakož i jasná, závazná a vymahatelná pravidla týkající se střetu zájmů a tzv. efektu otáčivých dveří;</w:t>
            </w:r>
            <w:r>
              <w:t xml:space="preserve"> </w:t>
            </w:r>
            <w:r>
              <w:rPr>
                <w:b/>
                <w:i/>
              </w:rPr>
              <w:t>domnívá se, že bez skutečného posílení záruk proti korupci a zneužívání funkce v samotných orgánech EU nelze zajistit důvěryhodnou ochranu před vnějšími hrozbami, včetně zahraničního vměšování, dezinformací a nepatřičného vlivu třetích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1360</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vítá nedávné posílení mechanismu Unie pro pozastavení vízové povinnosti, který rozšiřuje důvody pro dočasné nebo trvalé znovuzavedení vízové povinnosti pro třetí země, které vzbuzují obavy v souvislosti s bezpečností nebo zásadami právního státu;</w:t>
            </w:r>
            <w:r>
              <w:t xml:space="preserve"> </w:t>
            </w:r>
            <w:r>
              <w:rPr>
                <w:b/>
                <w:i/>
              </w:rPr>
              <w:t>bere na vědomí zejména skutečnost, že do důvodů byly výslovně zahrnuty hybridní hrozby – včetně státem podporovaného účelového využívání migrace – jakož i systémy typu „občanství výměnou za investice“, které zvyšují bezpečnostní rizika, nedostatečný soulad s vízovou politikou Unie, závažná porušení mezinárodního práva a nedodržování rozhodnutí mezinárodních soudů;</w:t>
            </w:r>
            <w:r>
              <w:t xml:space="preserve"> </w:t>
            </w:r>
            <w:r>
              <w:rPr>
                <w:b/>
                <w:i/>
              </w:rPr>
              <w:t>zdůrazňuje, že tato doplnění posilují schopnost Unie přiměřeně a odrazujícím způsobem reagovat na nepřátelské nebo destabilizující akce;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1361</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zdůrazňuje, že spolupráce, pokud jde o boj proti terorismu, s platformami a rámci pokynů musí být i nadále přísně zaměřena na nezákonný teroristický obsah a skutečný nábor / pomoc při operacích;</w:t>
            </w:r>
            <w:r>
              <w:t xml:space="preserve"> </w:t>
            </w:r>
            <w:r>
              <w:rPr>
                <w:b/>
                <w:i/>
              </w:rPr>
              <w:t>odmítá používání pokynů pro označování v souvislosti s bezpečnostními riziky za účelem podpory omezování nebo upozaďování zákonných politických projevů, satiry nebo sporných politických názorů;</w:t>
            </w:r>
            <w:r>
              <w:t xml:space="preserve"> </w:t>
            </w:r>
            <w:r>
              <w:rPr>
                <w:b/>
                <w:i/>
              </w:rPr>
              <w:t>vyzývá Komisi, aby podala zprávu o zárukách, které zabrání tomu, že by se koncepce „hraničního obsahu“ šířily na obecný přístup k verbálnímu projevu;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1362</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vyzývá Komisi, aby předložila legislativní návrh zaměřený na zavedení evropského trestného činu vědomé účasti na organizovaných činnostech strategického vměšování nepřátelských zahraničních mocností, včetně koordinace vlivových sítí, skrytého financování politických nebo mediálních činností a strukturované spolupráce se zahraničními státními aparáty zaměřené na demokratickou destabilizaci;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1363</w:t>
      </w:r>
      <w:r>
        <w:rPr>
          <w:rStyle w:val="HideTWBExt"/>
        </w:rPr>
        <w:t>&lt;/NumAm&gt;</w:t>
      </w:r>
    </w:p>
    <w:p>
      <w:pPr>
        <w:pStyle w:val="NormalBold"/>
      </w:pPr>
      <w:r>
        <w:rPr>
          <w:rStyle w:val="HideTWBExt"/>
          <w:b w:val="0"/>
        </w:rPr>
        <w:t>&lt;RepeatBlock-By&gt;</w:t>
      </w:r>
      <w:r>
        <w:rPr>
          <w:rStyle w:val="HideTWBExt"/>
          <w:b w:val="0"/>
        </w:rPr>
        <w:t>&lt;Members&gt;</w:t>
      </w:r>
      <w:r>
        <w:t>Sandro Gozi, Cynthia Ní Mhurchú, Helmut Brandstätter,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vyzývá ke zřízení evropského volebního úřadu, který by byl pověřen dohledem nad volebními procesy v celé Unii, jejich koordinací a auditem na základě rámce jednotných odkazů a norem, odhalováním nesrovnalostí a umožněním rychlé reakce na zahraniční vměšování, kybernetické hrozby a dezinformace ovlivňující volby;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1364</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zdůrazňuje, že ochrana kritické infrastruktury stále více závisí na integrovaných kapacitách kybernetické a digitální bezpečnosti a že průmyslové důkazy poukazují na význam koordinovaných komplexních přístupů, které jsou schopny zajistit odolnost, kontinuitu a rychlou reakci napříč vzájemně propojenými systémy;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1365</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51b.</w:t>
            </w:r>
            <w:r>
              <w:tab/>
            </w:r>
            <w:r>
              <w:rPr>
                <w:b/>
                <w:i/>
              </w:rPr>
              <w:t>zdůrazňuje, že pokusy organizovaných zločineckých sítí o korupci nebo zastrašování volených zástupců a veřejných činitelů představují přímou hrozbu pro demokratickou integritu a důvěru veřejnosti a měly by být řešeny v rámci širší odolnosti Unie a reakce na hybridní hrozby;</w:t>
            </w:r>
            <w:r>
              <w:t xml:space="preserve"> </w:t>
            </w:r>
            <w:r>
              <w:rPr>
                <w:b/>
                <w:i/>
              </w:rPr>
              <w:t>zdůrazňuje, že je třeba posílit spolupráci mezi protikorupčními orgány, donucovacími orgány a agenturami Unie, zejména Europolem a Eurojustem, s cílem odhalovat tyto praktiky, předcházet jim a stíhat 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1366</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vítá skutečnost, že společné sdělení uznává pozitivní přínos spolupráce v oblasti trestního soudnictví a prosazování práva v boji proti zahraniční manipulaci s informacemi a vměšování a dezinformačním činnostem; vyzývá Komisi, aby při přípravě plánované revize mandátů Europolu a Eurojustu pečlivě posoudila právní mezery, které v současné době těmto agenturám brání poskytovat plnou pomoc členským státům čelícím hybridním hrozbám, a aby prozkoumala, jakým způsobem je překonat;</w:t>
            </w:r>
          </w:p>
        </w:tc>
        <w:tc>
          <w:tcPr>
            <w:tcW w:w="4876" w:type="dxa"/>
            <w:tcBorders>
              <w:top w:val="nil"/>
              <w:left w:val="nil"/>
              <w:bottom w:val="nil"/>
              <w:right w:val="nil"/>
            </w:tcBorders>
          </w:tcPr>
          <w:p>
            <w:pPr>
              <w:pStyle w:val="Normal6a"/>
            </w:pPr>
            <w:r>
              <w:t>52.</w:t>
            </w:r>
            <w:r>
              <w:tab/>
            </w:r>
            <w:r>
              <w:t xml:space="preserve">vítá skutečnost, že společné sdělení uznává pozitivní přínos spolupráce v oblasti trestního soudnictví a prosazování práva v boji proti zahraniční manipulaci s informacemi a vměšování a dezinformačním činnostem; vyzývá Komisi, aby při přípravě plánované revize mandátů Europolu a Eurojustu pečlivě posoudila právní mezery, které v současné době těmto agenturám brání poskytovat plnou pomoc členským státům čelícím hybridním hrozbám, a aby prozkoumala, jakým způsobem je překonat; </w:t>
            </w:r>
            <w:r>
              <w:rPr>
                <w:b/>
                <w:i/>
              </w:rPr>
              <w:t>zdůrazňuje, že jakékoli takové posílení musí plně respektovat základní práva, včetně svobody projevu a práva na přístup k informacím, a nesmí být využíváno k ospravedlnění neoprávněného zasahování do těchto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1367</w:t>
      </w:r>
      <w:r>
        <w:rPr>
          <w:rStyle w:val="HideTWBExt"/>
        </w:rPr>
        <w:t>&lt;/NumAm&gt;</w:t>
      </w:r>
    </w:p>
    <w:p>
      <w:pPr>
        <w:pStyle w:val="NormalBold"/>
      </w:pPr>
      <w:r>
        <w:rPr>
          <w:rStyle w:val="HideTWBExt"/>
          <w:b w:val="0"/>
        </w:rPr>
        <w:t>&lt;RepeatBlock-By&gt;</w:t>
      </w:r>
      <w:r>
        <w:rPr>
          <w:rStyle w:val="HideTWBExt"/>
          <w:b w:val="0"/>
        </w:rPr>
        <w:t>&lt;Members&gt;</w:t>
      </w:r>
      <w:r>
        <w:t>Tomáš Tobé, Mika Aaltola, Tomáš Zdechovský, Sandra Kalniete, Lena Düpont, Lukas Mandl, Eszter Lakos, Bartłomiej Sienkiewicz, Michał Wawrykiewicz, Ana Miguel Pedro, Fredis Beleris, Andrey Kovatchev</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vítá skutečnost, že společné sdělení uznává pozitivní přínos spolupráce v oblasti trestního soudnictví a prosazování práva v boji proti zahraniční manipulaci s informacemi a vměšování a dezinformačním činnostem; vyzývá Komisi, aby při přípravě plánované revize mandátů Europolu a Eurojustu pečlivě posoudila právní mezery, které v současné době těmto agenturám brání poskytovat plnou pomoc členským státům čelícím hybridním hrozbám, a aby prozkoumala, jakým způsobem je překonat;</w:t>
            </w:r>
          </w:p>
        </w:tc>
        <w:tc>
          <w:tcPr>
            <w:tcW w:w="4876" w:type="dxa"/>
            <w:tcBorders>
              <w:top w:val="nil"/>
              <w:left w:val="nil"/>
              <w:bottom w:val="nil"/>
              <w:right w:val="nil"/>
            </w:tcBorders>
          </w:tcPr>
          <w:p>
            <w:pPr>
              <w:pStyle w:val="Normal6a"/>
            </w:pPr>
            <w:r>
              <w:t>52.</w:t>
            </w:r>
            <w:r>
              <w:tab/>
            </w:r>
            <w:r>
              <w:t xml:space="preserve">vítá skutečnost, že společné sdělení uznává pozitivní přínos spolupráce v oblasti trestního soudnictví a prosazování práva v boji proti zahraniční manipulaci s informacemi a vměšování a dezinformačním činnostem; vyzývá Komisi, aby při přípravě plánované revize mandátů Europolu a Eurojustu pečlivě posoudila právní mezery, které v současné době těmto agenturám brání poskytovat plnou pomoc členským státům čelícím hybridním hrozbám, a aby prozkoumala, jakým způsobem je překonat; </w:t>
            </w:r>
            <w:r>
              <w:rPr>
                <w:b/>
                <w:i/>
              </w:rPr>
              <w:t>v této souvislosti zdůrazňuje, že je třeba zajistit, aby Europolu a Eurojustu byly poskytnuty odpovídající finanční a lidské zdroje k tomu, aby mohly účinně provádět nadcházející posílení svých mandátů;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vítá skutečnost, že společné sdělení uznává pozitivní přínos spolupráce v oblasti trestního soudnictví a prosazování práva v boji proti zahraniční manipulaci s informacemi a vměšování a dezinformačním činnostem; vyzývá Komisi, aby při přípravě plánované revize mandátů Europolu a Eurojustu pečlivě posoudila právní mezery, které v současné době těmto agenturám brání poskytovat plnou pomoc členským státům čelícím </w:t>
            </w:r>
            <w:r>
              <w:rPr>
                <w:b/>
                <w:i/>
              </w:rPr>
              <w:t>hybridním hrozbám</w:t>
            </w:r>
            <w:r>
              <w:t>, a aby prozkoumala, jakým způsobem je překonat;</w:t>
            </w:r>
          </w:p>
        </w:tc>
        <w:tc>
          <w:tcPr>
            <w:tcW w:w="4876" w:type="dxa"/>
            <w:tcBorders>
              <w:top w:val="nil"/>
              <w:left w:val="nil"/>
              <w:bottom w:val="nil"/>
              <w:right w:val="nil"/>
            </w:tcBorders>
          </w:tcPr>
          <w:p>
            <w:pPr>
              <w:pStyle w:val="Normal6a"/>
            </w:pPr>
            <w:r>
              <w:t>52.</w:t>
            </w:r>
            <w:r>
              <w:tab/>
            </w:r>
            <w:r>
              <w:t>vítá skutečnost, že společné sdělení uznává pozitivní přínos spolupráce v oblasti trestního soudnictví a prosazování práva v boji proti zahraniční manipulaci s informacemi a vměšování a dezinformačním činnostem; vyzývá Komisi, aby při přípravě plánované revize mandátů Europolu</w:t>
            </w:r>
            <w:r>
              <w:rPr>
                <w:b/>
                <w:i/>
              </w:rPr>
              <w:t>, Frontexu</w:t>
            </w:r>
            <w:r>
              <w:t xml:space="preserve"> a Eurojustu pečlivě posoudila právní mezery, které v současné době těmto agenturám brání poskytovat plnou pomoc členským státům čelícím </w:t>
            </w:r>
            <w:r>
              <w:rPr>
                <w:b/>
                <w:i/>
              </w:rPr>
              <w:t>nadnárodním trestným činům, včetně hybridních hrozeb</w:t>
            </w:r>
            <w:r>
              <w:t xml:space="preserve">, a aby prozkoumala, jakým způsobem je překonat; </w:t>
            </w:r>
            <w:r>
              <w:rPr>
                <w:b/>
                <w:i/>
              </w:rPr>
              <w:t>připomíná pravomoci vyplývající ze Smlouvy a varuje před jejich překročením;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1369</w:t>
      </w:r>
      <w:r>
        <w:rPr>
          <w:rStyle w:val="HideTWBExt"/>
        </w:rPr>
        <w:t>&lt;/NumAm&gt;</w:t>
      </w:r>
    </w:p>
    <w:p>
      <w:pPr>
        <w:pStyle w:val="NormalBold"/>
      </w:pPr>
      <w:r>
        <w:rPr>
          <w:rStyle w:val="HideTWBExt"/>
          <w:b w:val="0"/>
        </w:rPr>
        <w:t>&lt;RepeatBlock-By&gt;</w:t>
      </w:r>
      <w:r>
        <w:rPr>
          <w:rStyle w:val="HideTWBExt"/>
          <w:b w:val="0"/>
        </w:rPr>
        <w:t>&lt;Members&gt;</w:t>
      </w:r>
      <w:r>
        <w:t>Tomáš Zdechovský, Dan-Ştefan Motreanu, Eszter Lakos, Sandra Kalniete, Tomáš Tobé, Mika Aaltola, Marta Wcisło, Fredis Beleris,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vítá skutečnost, že společné sdělení uznává pozitivní přínos spolupráce v oblasti trestního soudnictví a prosazování práva v boji proti zahraniční manipulaci s informacemi a vměšování a dezinformačním činnostem; vyzývá Komisi, aby při přípravě plánované revize mandátů Europolu a Eurojustu pečlivě posoudila právní mezery, které v současné době těmto agenturám brání poskytovat plnou pomoc členským státům čelícím hybridním hrozbám, a aby prozkoumala, jakým způsobem je překonat;</w:t>
            </w:r>
          </w:p>
        </w:tc>
        <w:tc>
          <w:tcPr>
            <w:tcW w:w="4876" w:type="dxa"/>
            <w:tcBorders>
              <w:top w:val="nil"/>
              <w:left w:val="nil"/>
              <w:bottom w:val="nil"/>
              <w:right w:val="nil"/>
            </w:tcBorders>
          </w:tcPr>
          <w:p>
            <w:pPr>
              <w:pStyle w:val="Normal6a"/>
            </w:pPr>
            <w:r>
              <w:t>52.</w:t>
            </w:r>
            <w:r>
              <w:tab/>
            </w:r>
            <w:r>
              <w:t>vítá skutečnost, že společné sdělení uznává pozitivní přínos spolupráce v oblasti trestního soudnictví a prosazování práva v boji proti zahraniční manipulaci s informacemi a vměšování a dezinformačním činnostem; vyzývá Komisi, aby při přípravě plánované revize mandátů Europolu</w:t>
            </w:r>
            <w:r>
              <w:rPr>
                <w:b/>
                <w:i/>
              </w:rPr>
              <w:t>, Frontexu</w:t>
            </w:r>
            <w:r>
              <w:t xml:space="preserve"> a Eurojustu pečlivě posoudila právní mezery </w:t>
            </w:r>
            <w:r>
              <w:rPr>
                <w:b/>
                <w:i/>
              </w:rPr>
              <w:t>a omezení</w:t>
            </w:r>
            <w:r>
              <w:t xml:space="preserve">, které v současné době těmto agenturám brání poskytovat plnou pomoc členským státům čelícím hybridním hrozbám, </w:t>
            </w:r>
            <w:r>
              <w:rPr>
                <w:b/>
                <w:i/>
              </w:rPr>
              <w:t>mimo jiné při zajišťování účinných navazujících opatření týkajících se zjištění a posouzení,</w:t>
            </w:r>
            <w:r>
              <w:t xml:space="preserve"> a aby prozkoumala, jakým způsobem je překonat;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1370</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vítá skutečnost, že společné sdělení uznává pozitivní přínos spolupráce v oblasti trestního soudnictví a prosazování práva v boji proti zahraniční manipulaci s informacemi a vměšování a dezinformačním činnostem; vyzývá Komisi, aby při přípravě plánované revize mandátů Europolu a Eurojustu pečlivě posoudila právní mezery, které v současné době těmto agenturám brání poskytovat plnou pomoc členským státům čelícím hybridním hrozbám, a aby prozkoumala, jakým způsobem je překonat;</w:t>
            </w:r>
          </w:p>
        </w:tc>
        <w:tc>
          <w:tcPr>
            <w:tcW w:w="4876" w:type="dxa"/>
            <w:tcBorders>
              <w:top w:val="nil"/>
              <w:left w:val="nil"/>
              <w:bottom w:val="nil"/>
              <w:right w:val="nil"/>
            </w:tcBorders>
          </w:tcPr>
          <w:p>
            <w:pPr>
              <w:pStyle w:val="Normal6a"/>
            </w:pPr>
            <w:r>
              <w:t>52.</w:t>
            </w:r>
            <w:r>
              <w:tab/>
            </w:r>
            <w:r>
              <w:t xml:space="preserve">vítá skutečnost, že společné sdělení uznává </w:t>
            </w:r>
            <w:r>
              <w:rPr>
                <w:b/>
                <w:i/>
              </w:rPr>
              <w:t>očekávávaný</w:t>
            </w:r>
            <w:r>
              <w:t xml:space="preserve"> pozitivní přínos spolupráce v oblasti trestního soudnictví a prosazování práva v boji proti zahraniční manipulaci s informacemi a vměšování a dezinformačním činnostem; vyzývá Komisi, aby při přípravě plánované revize mandátů Europolu a Eurojustu pečlivě posoudila právní mezery, které v současné době těmto agenturám brání poskytovat plnou pomoc členským státům čelícím hybridním hrozbám, a aby prozkoumala, jakým způsobem je překonat </w:t>
            </w:r>
            <w:r>
              <w:rPr>
                <w:b/>
                <w:i/>
              </w:rPr>
              <w:t>při dodržení vnitrostátních trestněprávních předpisů a Smlouvy o fungování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1371</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vítá skutečnost, že společné sdělení uznává pozitivní přínos spolupráce v oblasti trestního soudnictví a prosazování práva v boji proti zahraniční manipulaci s informacemi a vměšování a dezinformačním činnostem; vyzývá Komisi, aby při přípravě plánované revize mandátů Europolu a Eurojustu pečlivě posoudila právní mezery, které v současné době těmto agenturám brání poskytovat plnou pomoc členským státům </w:t>
            </w:r>
            <w:r>
              <w:rPr>
                <w:b/>
                <w:i/>
              </w:rPr>
              <w:t>čelícím hybridním hrozbám</w:t>
            </w:r>
            <w:r>
              <w:t>, a aby prozkoumala, jakým způsobem je překonat;</w:t>
            </w:r>
          </w:p>
        </w:tc>
        <w:tc>
          <w:tcPr>
            <w:tcW w:w="4876" w:type="dxa"/>
            <w:tcBorders>
              <w:top w:val="nil"/>
              <w:left w:val="nil"/>
              <w:bottom w:val="nil"/>
              <w:right w:val="nil"/>
            </w:tcBorders>
          </w:tcPr>
          <w:p>
            <w:pPr>
              <w:pStyle w:val="Normal6a"/>
            </w:pPr>
            <w:r>
              <w:t>52.</w:t>
            </w:r>
            <w:r>
              <w:tab/>
            </w:r>
            <w:r>
              <w:t>vítá skutečnost, že společné sdělení uznává pozitivní přínos spolupráce v oblasti trestního soudnictví a prosazování práva v boji proti zahraniční manipulaci s informacemi a vměšování a dezinformačním činnostem; vyzývá Komisi, aby při přípravě plánované revize mandátů Europolu a Eurojustu pečlivě posoudila právní mezery, které v současné době těmto agenturám brání poskytovat plnou pomoc členským státům, a aby prozkoumala, jakým způsobem je překonat;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1372</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vyzývá Komisi, aby v souvislosti s revizí nařízení o Europolu zajistila zřízení specializovaného odborného střediska pro hybridní hrozby v rámci operační struktury Europolu;</w:t>
            </w:r>
            <w:r>
              <w:t xml:space="preserve"> </w:t>
            </w:r>
            <w:r>
              <w:rPr>
                <w:b/>
                <w:i/>
              </w:rPr>
              <w:t>zdůrazňuje, že takové středisko by zajistilo soudržné a integrované analytické a operativní kontaktní místo pro vícerozměrné hybridní hrozby a posílilo podporu členských států při řešení vyvíjejících se přeshraničních výzev a zároveň by doplňovalo práci Evropského střediska pro demokratickou odolnost;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1373</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připomíná, že činnosti v oblasti kontrašpionáže a kontrarozvědky, včetně identifikace zahraničních velících struktur, financování a zpravodajských operací, spadají do pravomoci členských států;</w:t>
            </w:r>
            <w:r>
              <w:t xml:space="preserve"> </w:t>
            </w:r>
            <w:r>
              <w:rPr>
                <w:b/>
                <w:i/>
              </w:rPr>
              <w:t>bere na vědomí nedostatečnou pravomoc samotné Unie;</w:t>
            </w:r>
            <w:r>
              <w:t xml:space="preserve"> </w:t>
            </w:r>
            <w:r>
              <w:rPr>
                <w:b/>
                <w:i/>
              </w:rPr>
              <w:t>varuje před nahrazováním těchto činností regulačními opatřeními, která mají dopad na platformy, sdělovací prostředky nebo projevy na úrovni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1374</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vyzývá ke sladění metodik a definic EU a platforem týkajících se dezinformací a vlivových operací, mimo jiné prostřednictvím posílené spolupráce v oblasti prosazování práva a průběžného dialogu mezi členskými státy, platformami a příslušnými orgány, přičemž uznává, že dosažení konsensu může vyžadovat trvalé úsilí;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1375</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trvá na tom, že je třeba zajistit odpovídající odbornou přípravu pro orgány trestního soudnictví a donucovací orgány, aby mohly řádně shromažďovat, posuzovat a používat důkazy v trestním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52b.</w:t>
            </w:r>
            <w:r>
              <w:tab/>
            </w:r>
            <w:r>
              <w:rPr>
                <w:b/>
                <w:i/>
              </w:rPr>
              <w:t>varuje, že omezení pravomocí Unie v oblasti zpravodajství nesmí vést k kompenzačním opatřením zaměřeným na zákonný projev, mediální aktivitu nebo projev na internetu;</w:t>
            </w:r>
            <w:r>
              <w:t xml:space="preserve"> </w:t>
            </w:r>
            <w:r>
              <w:rPr>
                <w:b/>
                <w:i/>
              </w:rPr>
              <w:t>zdůrazňuje, že regulační opatření by neměla být využívána jako zástupný nástroj pro oblasti, v nichž Unie nemá pravomoc vyplývající ze Smlouvy;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se znepokojením bere na vědomí rostoucí počet příkladů toho, jak nepřátelské subjekty ze zemí mimo EU využívají trestnou činnost jako službu a zločinecké organizace jako prostředníky v rámci EU k útokům na jednotlivce a subjekty označené za politické protivníky, což představuje vážnou hrozbu pro vnitřní bezpečnost EU; zdůrazňuje, že tyto praktiky představují neúnosný akt zahraničního vměšování s potenciálně destabilizujícími účinky na naši společnost; v této souvislosti poukazuje na to, že je třeba dále na úrovni EU posilovat koordinaci v oblasti trestního soudnictví a prosazování práva;</w:t>
            </w:r>
          </w:p>
        </w:tc>
        <w:tc>
          <w:tcPr>
            <w:tcW w:w="4876" w:type="dxa"/>
            <w:tcBorders>
              <w:top w:val="nil"/>
              <w:left w:val="nil"/>
              <w:bottom w:val="nil"/>
              <w:right w:val="nil"/>
            </w:tcBorders>
          </w:tcPr>
          <w:p>
            <w:pPr>
              <w:pStyle w:val="Normal6a"/>
            </w:pPr>
            <w:r>
              <w:t>53.</w:t>
            </w:r>
            <w:r>
              <w:tab/>
            </w:r>
            <w:r>
              <w:t xml:space="preserve">se znepokojením bere na vědomí rostoucí počet příkladů toho, jak nepřátelské subjekty ze zemí mimo EU využívají trestnou činnost jako službu a zločinecké organizace jako prostředníky v rámci EU k útokům na jednotlivce a subjekty označené za politické protivníky, což představuje vážnou hrozbu pro vnitřní bezpečnost EU; zdůrazňuje, že tyto praktiky představují neúnosný akt zahraničního vměšování s potenciálně destabilizujícími účinky na naši společnost; v této souvislosti poukazuje na to, že je třeba dále na úrovni EU posilovat koordinaci v oblasti trestního soudnictví a prosazování práva; </w:t>
            </w:r>
            <w:r>
              <w:rPr>
                <w:b/>
                <w:i/>
              </w:rPr>
              <w:t>konstatuje, že Unie již disponuje značným množstvím relevantních informací a odborných znalostí týkajících se hybridních hrozeb a zahraničního vměšování;</w:t>
            </w:r>
            <w:r>
              <w:t xml:space="preserve"> </w:t>
            </w:r>
            <w:r>
              <w:rPr>
                <w:b/>
                <w:i/>
              </w:rPr>
              <w:t>zdůrazňuje, že je důležité upřednostnit účinné využívání, sdílení a uvádění stávajících znalostí do praxe před vytvářením dalších paralelních analytických vrstev;</w:t>
            </w:r>
            <w:r>
              <w:t xml:space="preserve"> </w:t>
            </w:r>
            <w:r>
              <w:rPr>
                <w:b/>
                <w:i/>
              </w:rPr>
              <w:t>zdůrazňuje, že důvěryhodnost a odrazující účinek Evropského štítu pro demokracii závisí nejen na schopnosti Unie odhalovat a analyzovat nepřátelské činnosti, ale také zajistit odpovědnost prostřednictvím vhodných vyšetřovacích a soudních reakcí;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1378</w:t>
      </w:r>
      <w:r>
        <w:rPr>
          <w:rStyle w:val="HideTWBExt"/>
        </w:rPr>
        <w:t>&lt;/NumAm&gt;</w:t>
      </w:r>
    </w:p>
    <w:p>
      <w:pPr>
        <w:pStyle w:val="NormalBold"/>
      </w:pPr>
      <w:r>
        <w:rPr>
          <w:rStyle w:val="HideTWBExt"/>
          <w:b w:val="0"/>
        </w:rPr>
        <w:t>&lt;RepeatBlock-By&gt;</w:t>
      </w:r>
      <w:r>
        <w:rPr>
          <w:rStyle w:val="HideTWBExt"/>
          <w:b w:val="0"/>
        </w:rPr>
        <w:t>&lt;Members&gt;</w:t>
      </w:r>
      <w:r>
        <w:t>Kim Van Sparrentak, Hannah Neumann</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 xml:space="preserve">se znepokojením bere na vědomí rostoucí počet příkladů toho, jak nepřátelské subjekty ze zemí mimo EU využívají trestnou činnost jako službu a zločinecké organizace jako prostředníky v rámci EU k útokům na jednotlivce a subjekty označené za politické protivníky, což představuje vážnou hrozbu pro vnitřní bezpečnost EU; zdůrazňuje, že tyto praktiky představují </w:t>
            </w:r>
            <w:r>
              <w:rPr>
                <w:b/>
                <w:i/>
              </w:rPr>
              <w:t>neúnosný akt</w:t>
            </w:r>
            <w:r>
              <w:t xml:space="preserve"> zahraničního vměšování s potenciálně destabilizujícími účinky na naši společnost; v této souvislosti </w:t>
            </w:r>
            <w:r>
              <w:rPr>
                <w:b/>
                <w:i/>
              </w:rPr>
              <w:t>poukazuje na to</w:t>
            </w:r>
            <w:r>
              <w:t xml:space="preserve">, že je třeba dále na úrovni EU posilovat </w:t>
            </w:r>
            <w:r>
              <w:rPr>
                <w:b/>
                <w:i/>
              </w:rPr>
              <w:t>koordinaci</w:t>
            </w:r>
            <w:r>
              <w:t xml:space="preserve"> v oblasti trestního soudnictví a prosazování práva;</w:t>
            </w:r>
          </w:p>
        </w:tc>
        <w:tc>
          <w:tcPr>
            <w:tcW w:w="4876" w:type="dxa"/>
            <w:tcBorders>
              <w:top w:val="nil"/>
              <w:left w:val="nil"/>
              <w:bottom w:val="nil"/>
              <w:right w:val="nil"/>
            </w:tcBorders>
          </w:tcPr>
          <w:p>
            <w:pPr>
              <w:pStyle w:val="Normal6a"/>
            </w:pPr>
            <w:r>
              <w:t>53.</w:t>
            </w:r>
            <w:r>
              <w:tab/>
            </w:r>
            <w:r>
              <w:t>se znepokojením bere na vědomí rostoucí počet příkladů toho, jak nepřátelské subjekty ze zemí mimo EU využívají trestnou činnost jako službu a zločinecké organizace jako prostředníky v rámci EU k útokům na jednotlivce a subjekty označené za politické protivníky, což představuje vážnou hrozbu pro vnitřní bezpečnost EU</w:t>
            </w:r>
            <w:r>
              <w:rPr>
                <w:b/>
                <w:i/>
              </w:rPr>
              <w:t>, bezpečnost a ochranu osob, na něž se zaměřují represivní režimy na evropské půdě, a ochranu lidských práv a demokratických svobod v EU</w:t>
            </w:r>
            <w:r>
              <w:t xml:space="preserve">; zdůrazňuje, že tyto praktiky představují </w:t>
            </w:r>
            <w:r>
              <w:rPr>
                <w:b/>
                <w:i/>
              </w:rPr>
              <w:t>neúnosné akty</w:t>
            </w:r>
            <w:r>
              <w:t xml:space="preserve"> zahraničního vměšování </w:t>
            </w:r>
            <w:r>
              <w:rPr>
                <w:b/>
                <w:i/>
              </w:rPr>
              <w:t>a nadnárodní represe</w:t>
            </w:r>
            <w:r>
              <w:t xml:space="preserve"> s potenciálně destabilizujícími účinky na naši společnost; v této souvislosti </w:t>
            </w:r>
            <w:r>
              <w:rPr>
                <w:b/>
                <w:i/>
              </w:rPr>
              <w:t>zdůrazňuje</w:t>
            </w:r>
            <w:r>
              <w:t xml:space="preserve">, že je třeba dále na úrovni EU posilovat v oblasti trestního soudnictví a prosazování práva </w:t>
            </w:r>
            <w:r>
              <w:rPr>
                <w:b/>
                <w:i/>
              </w:rPr>
              <w:t>a posoudit právní mezery a neúmyslné usnadňování těchto činů orgány EU nebo členských států a způsoby jejich řešení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 xml:space="preserve">se znepokojením bere na vědomí rostoucí počet příkladů toho, jak nepřátelské subjekty ze zemí mimo EU využívají trestnou činnost jako službu a zločinecké organizace jako prostředníky v rámci EU k útokům na jednotlivce a subjekty označené za politické protivníky, což představuje vážnou hrozbu pro vnitřní bezpečnost EU; zdůrazňuje, že tyto praktiky představují neúnosný akt zahraničního vměšování s potenciálně destabilizujícími účinky na naši společnost; v této souvislosti poukazuje na to, že je třeba dále na úrovni EU posilovat koordinaci v oblasti trestního soudnictví a prosazování </w:t>
            </w:r>
            <w:r>
              <w:rPr>
                <w:b/>
                <w:i/>
              </w:rPr>
              <w:t>práva</w:t>
            </w:r>
            <w:r>
              <w:t>;</w:t>
            </w:r>
          </w:p>
        </w:tc>
        <w:tc>
          <w:tcPr>
            <w:tcW w:w="4876" w:type="dxa"/>
            <w:tcBorders>
              <w:top w:val="nil"/>
              <w:left w:val="nil"/>
              <w:bottom w:val="nil"/>
              <w:right w:val="nil"/>
            </w:tcBorders>
          </w:tcPr>
          <w:p>
            <w:pPr>
              <w:pStyle w:val="Normal6a"/>
            </w:pPr>
            <w:r>
              <w:t>53.</w:t>
            </w:r>
            <w:r>
              <w:tab/>
            </w:r>
            <w:r>
              <w:t>se znepokojením bere na vědomí rostoucí počet příkladů toho, jak nepřátelské subjekty ze zemí mimo EU využívají trestnou činnost jako službu a zločinecké organizace jako prostředníky v rámci EU k útokům na jednotlivce a subjekty označené za politické protivníky, což představuje vážnou hrozbu pro vnitřní bezpečnost EU; zdůrazňuje, že tyto praktiky představují neúnosný akt zahraničního vměšování s potenciálně destabilizujícími účinky na naši společnost; v této souvislosti poukazuje na to, že je třeba dále na úrovni EU</w:t>
            </w:r>
            <w:r>
              <w:rPr>
                <w:b/>
                <w:i/>
              </w:rPr>
              <w:t>, v rámci omezení vyplývajících ze Smluv,</w:t>
            </w:r>
            <w:r>
              <w:t xml:space="preserve"> posilovat koordinaci v oblasti trestního soudnictví a prosazování </w:t>
            </w:r>
            <w:r>
              <w:rPr>
                <w:b/>
                <w:i/>
              </w:rPr>
              <w:t>práv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1380</w:t>
      </w:r>
      <w:r>
        <w:rPr>
          <w:rStyle w:val="HideTWBExt"/>
        </w:rPr>
        <w:t>&lt;/NumAm&gt;</w:t>
      </w:r>
    </w:p>
    <w:p>
      <w:pPr>
        <w:pStyle w:val="NormalBold"/>
      </w:pPr>
      <w:r>
        <w:rPr>
          <w:rStyle w:val="HideTWBExt"/>
          <w:b w:val="0"/>
        </w:rPr>
        <w:t>&lt;RepeatBlock-By&gt;</w:t>
      </w:r>
      <w:r>
        <w:rPr>
          <w:rStyle w:val="HideTWBExt"/>
          <w:b w:val="0"/>
        </w:rPr>
        <w:t>&lt;Members&gt;</w:t>
      </w:r>
      <w:r>
        <w:t>Ana Catarina Mendes, Evin Incir,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 xml:space="preserve">se znepokojením bere na vědomí rostoucí počet příkladů toho, jak nepřátelské subjekty ze </w:t>
            </w:r>
            <w:r>
              <w:rPr>
                <w:b/>
                <w:i/>
              </w:rPr>
              <w:t>zemí</w:t>
            </w:r>
            <w:r>
              <w:t xml:space="preserve"> mimo EU využívají trestnou činnost jako službu a zločinecké organizace jako prostředníky v rámci EU k útokům na jednotlivce a subjekty označené za politické protivníky, což představuje vážnou hrozbu pro vnitřní bezpečnost EU; zdůrazňuje, že tyto praktiky představují neúnosný akt zahraničního vměšování s potenciálně destabilizujícími účinky na naši společnost; v této souvislosti poukazuje na to, že je třeba dále na úrovni EU posilovat koordinaci v oblasti trestního soudnictví a prosazování práva;</w:t>
            </w:r>
          </w:p>
        </w:tc>
        <w:tc>
          <w:tcPr>
            <w:tcW w:w="4876" w:type="dxa"/>
            <w:tcBorders>
              <w:top w:val="nil"/>
              <w:left w:val="nil"/>
              <w:bottom w:val="nil"/>
              <w:right w:val="nil"/>
            </w:tcBorders>
          </w:tcPr>
          <w:p>
            <w:pPr>
              <w:pStyle w:val="Normal6a"/>
            </w:pPr>
            <w:r>
              <w:t>53.</w:t>
            </w:r>
            <w:r>
              <w:tab/>
            </w:r>
            <w:r>
              <w:t xml:space="preserve">se znepokojením bere na vědomí rostoucí počet příkladů toho, jak nepřátelské subjekty ze </w:t>
            </w:r>
            <w:r>
              <w:rPr>
                <w:b/>
                <w:i/>
              </w:rPr>
              <w:t>států</w:t>
            </w:r>
            <w:r>
              <w:t xml:space="preserve"> mimo EU využívají trestnou činnost jako službu a zločinecké organizace jako prostředníky v rámci EU k útokům na jednotlivce a subjekty označené za politické protivníky, což představuje vážnou hrozbu pro vnitřní bezpečnost EU; zdůrazňuje, že tyto praktiky představují neúnosný akt zahraničního vměšování s potenciálně destabilizujícími účinky na naši společnost; v této souvislosti poukazuje na to, že je třeba dále na úrovni EU posilovat koordinaci v oblasti trestního soudnictví a prosazování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1381</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 xml:space="preserve">se znepokojením bere na vědomí rostoucí počet příkladů toho, jak nepřátelské subjekty ze zemí mimo EU využívají trestnou činnost jako službu a zločinecké organizace jako prostředníky v rámci EU k útokům na jednotlivce a subjekty označené za politické protivníky, což představuje vážnou hrozbu pro vnitřní bezpečnost EU; zdůrazňuje, že tyto praktiky představují neúnosný akt zahraničního vměšování s potenciálně destabilizujícími účinky na naši společnost; v této souvislosti poukazuje na to, že je třeba dále </w:t>
            </w:r>
            <w:r>
              <w:rPr>
                <w:b/>
                <w:i/>
              </w:rPr>
              <w:t>na úrovni EU</w:t>
            </w:r>
            <w:r>
              <w:t xml:space="preserve"> posilovat koordinaci v oblasti trestního soudnictví a prosazování práva;</w:t>
            </w:r>
          </w:p>
        </w:tc>
        <w:tc>
          <w:tcPr>
            <w:tcW w:w="4876" w:type="dxa"/>
            <w:tcBorders>
              <w:top w:val="nil"/>
              <w:left w:val="nil"/>
              <w:bottom w:val="nil"/>
              <w:right w:val="nil"/>
            </w:tcBorders>
          </w:tcPr>
          <w:p>
            <w:pPr>
              <w:pStyle w:val="Normal6a"/>
            </w:pPr>
            <w:r>
              <w:t>53.</w:t>
            </w:r>
            <w:r>
              <w:tab/>
            </w:r>
            <w:r>
              <w:t>se znepokojením bere na vědomí rostoucí počet příkladů toho, jak nepřátelské subjekty ze zemí mimo EU využívají trestnou činnost jako službu a zločinecké organizace jako prostředníky v rámci EU k útokům na jednotlivce a subjekty označené za politické protivníky, což představuje vážnou hrozbu pro vnitřní bezpečnost EU; zdůrazňuje, že tyto praktiky představují neúnosný akt zahraničního vměšování s potenciálně destabilizujícími účinky na naši společnost; v této souvislosti poukazuje na to, že je třeba dále posilovat koordinaci v oblasti trestního soudnictví a prosazování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1382</w:t>
      </w:r>
      <w:r>
        <w:rPr>
          <w:rStyle w:val="HideTWBExt"/>
        </w:rPr>
        <w:t>&lt;/NumAm&gt;</w:t>
      </w:r>
    </w:p>
    <w:p>
      <w:pPr>
        <w:pStyle w:val="NormalBold"/>
      </w:pPr>
      <w:r>
        <w:rPr>
          <w:rStyle w:val="HideTWBExt"/>
          <w:b w:val="0"/>
        </w:rPr>
        <w:t>&lt;RepeatBlock-By&gt;</w:t>
      </w:r>
      <w:r>
        <w:rPr>
          <w:rStyle w:val="HideTWBExt"/>
          <w:b w:val="0"/>
        </w:rPr>
        <w:t>&lt;Members&gt;</w:t>
      </w:r>
      <w:r>
        <w:t>Tomáš Zdechovský, Dan-Ştefan Motreanu, Eszter Lakos, Lukas Mandl, Sandra Kalniete, Marta Wcisło,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53a.</w:t>
            </w:r>
            <w:r>
              <w:tab/>
            </w:r>
            <w:r>
              <w:rPr>
                <w:b/>
                <w:i/>
              </w:rPr>
              <w:t>vyzývá k formálnímu uznání hackerských útoků na objednávku jako jasné hrozby pro demokratické instituce a procesy;</w:t>
            </w:r>
            <w:r>
              <w:t xml:space="preserve"> </w:t>
            </w:r>
            <w:r>
              <w:rPr>
                <w:b/>
                <w:i/>
              </w:rPr>
              <w:t>vyzývá k harmonizované definici na úrovni EU pod vedením donucovacích orgánů a orgánů pro kybernetickou bezpečnost;</w:t>
            </w:r>
            <w:r>
              <w:t xml:space="preserve"> </w:t>
            </w:r>
            <w:r>
              <w:rPr>
                <w:b/>
                <w:i/>
              </w:rPr>
              <w:t>požaduje protokoly rychlé reakce a transparentní hlášení incidentů;</w:t>
            </w:r>
            <w:r>
              <w:t xml:space="preserve"> </w:t>
            </w:r>
            <w:r>
              <w:rPr>
                <w:b/>
                <w:i/>
              </w:rPr>
              <w:t>zdůrazňuje, že velmi velké online platformy mají v souladu se svými povinnostmi podle nařízení o digitálních službách povinnost posuzovat, zmírňovat a oznamovat rizika spojená s využíváním jejich služeb pro činnosti související s hackerskými útoky na objednávku;</w:t>
            </w:r>
            <w:r>
              <w:t xml:space="preserve"> </w:t>
            </w:r>
            <w:r>
              <w:rPr>
                <w:b/>
                <w:i/>
              </w:rPr>
              <w:t>vybízí členské státy, aby kriminalizovaly poskytování i pořizování služeb souvisejících s hackerskými útoky na objednávku, které cílí na demokratické instituce, a aby posílily přeshraniční vymáhání a spolupráci;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1383</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53a.</w:t>
            </w:r>
            <w:r>
              <w:tab/>
            </w:r>
            <w:r>
              <w:rPr>
                <w:b/>
                <w:i/>
              </w:rPr>
              <w:t>připomíná případ Petera Mandelsona, který vykonával placené poradenské nebo lobbistické činností pro subjekty spojené se státními nebo vojenskými zájmy Ruska a Číny, jakožto příklad „získávání elit“ prováděného těmito státy;</w:t>
            </w:r>
            <w:r>
              <w:t xml:space="preserve"> </w:t>
            </w:r>
            <w:r>
              <w:rPr>
                <w:b/>
                <w:i/>
              </w:rPr>
              <w:t>připomíná zprávu zvláštních výborů ING1 a ING2, v níž odsoudily systematické ovládnutí evropských politických, intelektuálních a sociálních influencerů zahraničními subjekty napojenými na stát a bojovaly proti němu;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53a.</w:t>
            </w:r>
            <w:r>
              <w:tab/>
            </w:r>
            <w:r>
              <w:rPr>
                <w:b/>
                <w:i/>
              </w:rPr>
              <w:t>považuje rostoucí nadnárodní represe za hrozbu pro demokracii;</w:t>
            </w:r>
            <w:r>
              <w:t xml:space="preserve"> </w:t>
            </w:r>
            <w:r>
              <w:rPr>
                <w:b/>
                <w:i/>
              </w:rPr>
              <w:t>vyzývá Komisi, aby členským státům poskytla pokyny a doporučení, jak chránit novináře a další ohrožené skupiny v exilu;</w:t>
            </w:r>
            <w:r>
              <w:t xml:space="preserve"> </w:t>
            </w:r>
            <w:r>
              <w:rPr>
                <w:b/>
                <w:i/>
              </w:rPr>
              <w:t>vyzývá Komisi, aby zvážila vytvoření mechanismu policejní a soudní spolupráce v oblasti nadnárodních represí na evropské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53b.</w:t>
            </w:r>
            <w:r>
              <w:tab/>
            </w:r>
            <w:r>
              <w:rPr>
                <w:b/>
                <w:i/>
              </w:rPr>
              <w:t>vyzývá členské státy a Komisi, aby zachovávaly ostražitost a poskytovaly ochranu diasporám v EU, včetně demokratických sil Běloruska, ruské opozice a íránské diaspory, které jsou často terčem zahraničních aktérů prostřednictvím dezinformačních kampaní, očerňujících kampaní, fyzických útoků a politických vražd;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1386</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54.</w:t>
            </w:r>
            <w:r>
              <w:tab/>
            </w:r>
            <w:r>
              <w:rPr>
                <w:b/>
                <w:i/>
              </w:rPr>
              <w:t>důrazně odsuzuje účelové využívání migrace jako zbraně proti EU;</w:t>
            </w:r>
            <w:r>
              <w:t xml:space="preserve"> </w:t>
            </w:r>
            <w:r>
              <w:rPr>
                <w:b/>
                <w:i/>
              </w:rPr>
              <w:t>zastává názor, že tento jev představuje nepřijatelný pokus nepřátelských třetích zemí vyvíjet politický tlak na členské státy v přední linii a na EU;</w:t>
            </w:r>
            <w:r>
              <w:t xml:space="preserve"> </w:t>
            </w:r>
            <w:r>
              <w:rPr>
                <w:b/>
                <w:i/>
              </w:rPr>
              <w:t>vítá zvláštní ustanovení o účelovém využívání migrace, která byla nedávno začleněna do klíčových právních předpisů EU týkajících se správy hranic a migrace;</w:t>
            </w:r>
            <w:r>
              <w:t xml:space="preserve"> </w:t>
            </w:r>
            <w:r>
              <w:rPr>
                <w:b/>
                <w:i/>
              </w:rPr>
              <w:t>zdůrazňuje, že členské státy postižené těmito hrozbami by měly mít možnost počítat s podporou specializovaných agentur EU;</w:t>
            </w:r>
            <w:r>
              <w:t xml:space="preserve"> </w:t>
            </w:r>
            <w:r>
              <w:rPr>
                <w:b/>
                <w:i/>
              </w:rPr>
              <w:t>vyzývá k posílení mandátu agentury Frontex, aby měla právní základ a lidské, finanční a technické zdroje, které potřebuje k náležité pomoci členským státům při řešení těchto hybridních hrozeb;</w:t>
            </w:r>
            <w:r>
              <w:t xml:space="preserve"> </w:t>
            </w:r>
            <w:r>
              <w:rPr>
                <w:b/>
                <w:i/>
              </w:rPr>
              <w:t>v této souvislosti zdůrazňuje, že je třeba dále posílit schopnost EU přispívat k úsilí členských států v oblasti ochrany hranic dostatečnými investicemi v souladu s VFR na období 2028–2034;</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 xml:space="preserve">důrazně odsuzuje účelové využívání migrace jako zbraně proti EU; zastává názor, že tento jev představuje nepřijatelný pokus nepřátelských třetích zemí vyvíjet politický tlak na členské státy v přední linii a na </w:t>
            </w:r>
            <w:r>
              <w:rPr>
                <w:b/>
                <w:i/>
              </w:rPr>
              <w:t>EU;</w:t>
            </w:r>
            <w:r>
              <w:t xml:space="preserve"> </w:t>
            </w:r>
            <w:r>
              <w:rPr>
                <w:b/>
                <w:i/>
              </w:rPr>
              <w:t>vítá</w:t>
            </w:r>
            <w:r>
              <w:t xml:space="preserve"> zvláštní ustanovení o účelovém využívání migrace, která byla nedávno začleněna do klíčových právních předpisů EU týkajících se správy hranic a migrace; zdůrazňuje, že členské státy postižené těmito hrozbami </w:t>
            </w:r>
            <w:r>
              <w:rPr>
                <w:b/>
                <w:i/>
              </w:rPr>
              <w:t>by měly mít možnost počítat s podporou</w:t>
            </w:r>
            <w:r>
              <w:t xml:space="preserve"> specializovaných agentur EU; vyzývá k posílení mandátu agentury Frontex, aby </w:t>
            </w:r>
            <w:r>
              <w:rPr>
                <w:b/>
                <w:i/>
              </w:rPr>
              <w:t>měla</w:t>
            </w:r>
            <w:r>
              <w:t xml:space="preserve"> právní základ a lidské, finanční a technické zdroje, které potřebuje k náležité pomoci členským státům při </w:t>
            </w:r>
            <w:r>
              <w:rPr>
                <w:b/>
                <w:i/>
              </w:rPr>
              <w:t>řešení těchto hybridních hrozeb</w:t>
            </w:r>
            <w:r>
              <w:t xml:space="preserve">; v této souvislosti zdůrazňuje, že je třeba dále </w:t>
            </w:r>
            <w:r>
              <w:rPr>
                <w:b/>
                <w:i/>
              </w:rPr>
              <w:t>posílit schopnost EU přispívat k</w:t>
            </w:r>
            <w:r>
              <w:t xml:space="preserve"> úsilí členských států </w:t>
            </w:r>
            <w:r>
              <w:rPr>
                <w:b/>
                <w:i/>
              </w:rPr>
              <w:t>v oblasti ochrany</w:t>
            </w:r>
            <w:r>
              <w:t xml:space="preserve"> hranic </w:t>
            </w:r>
            <w:r>
              <w:rPr>
                <w:b/>
                <w:i/>
              </w:rPr>
              <w:t>dostatečnými investicemi v souladu s</w:t>
            </w:r>
            <w:r>
              <w:t> VFR na období 2028–2034;</w:t>
            </w:r>
          </w:p>
        </w:tc>
        <w:tc>
          <w:tcPr>
            <w:tcW w:w="4876" w:type="dxa"/>
            <w:tcBorders>
              <w:top w:val="nil"/>
              <w:left w:val="nil"/>
              <w:bottom w:val="nil"/>
              <w:right w:val="nil"/>
            </w:tcBorders>
          </w:tcPr>
          <w:p>
            <w:pPr>
              <w:pStyle w:val="Normal6a"/>
            </w:pPr>
            <w:r>
              <w:t>54.</w:t>
            </w:r>
            <w:r>
              <w:tab/>
            </w:r>
            <w:r>
              <w:t xml:space="preserve">důrazně odsuzuje účelové využívání migrace jako zbraně proti EU; zastává názor, že tento jev představuje nepřijatelný pokus nepřátelských třetích zemí vyvíjet politický tlak na členské státy v přední linii a na </w:t>
            </w:r>
            <w:r>
              <w:rPr>
                <w:b/>
                <w:i/>
              </w:rPr>
              <w:t>Unii jako celek;</w:t>
            </w:r>
            <w:r>
              <w:t xml:space="preserve"> </w:t>
            </w:r>
            <w:r>
              <w:rPr>
                <w:b/>
                <w:i/>
              </w:rPr>
              <w:t>vyjadřuje politování nad tím, že Komise stáhla legislativní návrh týkající se účelového využívání prostředků v oblasti migrace a azylu – 2021/0427(COD), jehož cílem je komplexně řešit tyto výzvy;</w:t>
            </w:r>
            <w:r>
              <w:t xml:space="preserve"> </w:t>
            </w:r>
            <w:r>
              <w:rPr>
                <w:b/>
                <w:i/>
              </w:rPr>
              <w:t>domnívá se, že</w:t>
            </w:r>
            <w:r>
              <w:t xml:space="preserve"> zvláštní ustanovení o účelovém využívání migrace, která byla nedávno začleněna do klíčových právních předpisů EU týkajících se správy hranic a migrace</w:t>
            </w:r>
            <w:r>
              <w:rPr>
                <w:b/>
                <w:i/>
              </w:rPr>
              <w:t>, nejsou dostatečně konkrétní ani spolehlivá, aby účinně odrazovala od nepřátelských činností, které pokračují ve velkém měřítku</w:t>
            </w:r>
            <w:r>
              <w:t xml:space="preserve">; zdůrazňuje, že členské státy postižené těmito hrozbami </w:t>
            </w:r>
            <w:r>
              <w:rPr>
                <w:b/>
                <w:i/>
              </w:rPr>
              <w:t>se nemohly spolehnout na odpovídající podporu</w:t>
            </w:r>
            <w:r>
              <w:t xml:space="preserve"> specializovaných agentur EU</w:t>
            </w:r>
            <w:r>
              <w:rPr>
                <w:b/>
                <w:i/>
              </w:rPr>
              <w:t>, jak se ukázalo v případě Litvy, Polska a dalších zemí</w:t>
            </w:r>
            <w:r>
              <w:t xml:space="preserve">; vyzývá k posílení mandátu agentury Frontex, aby </w:t>
            </w:r>
            <w:r>
              <w:rPr>
                <w:b/>
                <w:i/>
              </w:rPr>
              <w:t>tak mohla řešit skutečné a vyvíjející se výzvy, což rovněž vyžaduje vhodný</w:t>
            </w:r>
            <w:r>
              <w:t xml:space="preserve"> právní základ a </w:t>
            </w:r>
            <w:r>
              <w:rPr>
                <w:b/>
                <w:i/>
              </w:rPr>
              <w:t>dostatečné</w:t>
            </w:r>
            <w:r>
              <w:t xml:space="preserve"> lidské, finanční a technické zdroje, které potřebuje k náležité pomoci členským státům při </w:t>
            </w:r>
            <w:r>
              <w:rPr>
                <w:b/>
                <w:i/>
              </w:rPr>
              <w:t>reakci na tyto hybridní hrozby</w:t>
            </w:r>
            <w:r>
              <w:t xml:space="preserve">; v této souvislosti zdůrazňuje, že je třeba dále </w:t>
            </w:r>
            <w:r>
              <w:rPr>
                <w:b/>
                <w:i/>
              </w:rPr>
              <w:t>podporovat</w:t>
            </w:r>
            <w:r>
              <w:t xml:space="preserve"> úsilí členských států </w:t>
            </w:r>
            <w:r>
              <w:rPr>
                <w:b/>
                <w:i/>
              </w:rPr>
              <w:t>o ochranu hranic, které je klíčové pro účinnou obranu vnějších</w:t>
            </w:r>
            <w:r>
              <w:t xml:space="preserve"> hranic </w:t>
            </w:r>
            <w:r>
              <w:rPr>
                <w:b/>
                <w:i/>
              </w:rPr>
              <w:t>EU, a to prostřednictvím odpovídajících investic v rámci</w:t>
            </w:r>
            <w:r>
              <w:t xml:space="preserve"> VFR na období 2028–2034; </w:t>
            </w:r>
            <w:r>
              <w:rPr>
                <w:b/>
                <w:i/>
              </w:rPr>
              <w:t>vyjadřuje však politování nad tím, že některá opatření a sdělení orgánů EU a subjektů financovaných EU v některých případech přispěla k oslabení legitimního úsilí členských států v přední linii o ochranu vnějších hranic Unie, mimo jiné posílením neověřených nebo zavádějících narativů, které oslabují důvěru veřejnosti v pohraniční orgány a zkreslují povahu hybridních hrozeb;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1388</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důrazně odsuzuje účelové využívání migrace jako zbraně proti EU; zastává názor, že tento jev představuje nepřijatelný pokus nepřátelských třetích zemí vyvíjet politický tlak na členské státy v přední linii a na EU; vítá zvláštní ustanovení o účelovém využívání migrace, která byla nedávno začleněna do klíčových právních předpisů EU týkajících se správy hranic a migrace; zdůrazňuje, že členské státy postižené těmito hrozbami by měly mít možnost počítat s podporou specializovaných agentur EU; vyzývá k posílení mandátu agentury Frontex, aby měla právní základ a lidské, finanční a technické zdroje, které potřebuje k náležité pomoci členským státům při řešení těchto hybridních hrozeb; v této souvislosti zdůrazňuje, že je třeba dále posílit schopnost EU přispívat k úsilí členských států v oblasti ochrany hranic dostatečnými investicemi v souladu s VFR na období 2028–2034;</w:t>
            </w:r>
          </w:p>
        </w:tc>
        <w:tc>
          <w:tcPr>
            <w:tcW w:w="4876" w:type="dxa"/>
            <w:tcBorders>
              <w:top w:val="nil"/>
              <w:left w:val="nil"/>
              <w:bottom w:val="nil"/>
              <w:right w:val="nil"/>
            </w:tcBorders>
          </w:tcPr>
          <w:p>
            <w:pPr>
              <w:pStyle w:val="Normal6a"/>
            </w:pPr>
            <w:r>
              <w:t>54.</w:t>
            </w:r>
            <w:r>
              <w:tab/>
            </w:r>
            <w:r>
              <w:t>důrazně odsuzuje účelové využívání migrace jako zbraně proti EU; zastává názor, že tento jev představuje nepřijatelný pokus nepřátelských třetích zemí vyvíjet politický tlak na členské státy v přední linii a na EU</w:t>
            </w:r>
            <w:r>
              <w:rPr>
                <w:b/>
                <w:i/>
              </w:rPr>
              <w:t>;</w:t>
            </w:r>
            <w:r>
              <w:t xml:space="preserve"> </w:t>
            </w:r>
            <w:r>
              <w:rPr>
                <w:b/>
                <w:i/>
              </w:rPr>
              <w:t>uznává úsilí vnitrostátní pobřežní stráže členských států a agentury Frontex, které každodenně reagují na hybridní hrozby, provádějí pátrací a záchranné operace na moři a plní zásadní úlohu při ochraně integrity vnějších hranic Evropské unie a v boji proti organizované trestné činnosti, zejména převaděčům migrantů;</w:t>
            </w:r>
            <w:r>
              <w:t xml:space="preserve"> </w:t>
            </w:r>
            <w:r>
              <w:rPr>
                <w:b/>
                <w:i/>
              </w:rPr>
              <w:t>vyzývá k další podpoře EU s cílem posílit jejich operační kapacitu prostřednictvím odpovídajícího financování a posílené spolupráce s příslušnými agenturami</w:t>
            </w:r>
            <w:r>
              <w:t>; vítá zvláštní ustanovení o účelovém využívání migrace, která byla nedávno začleněna do klíčových právních předpisů EU týkajících se správy hranic a migrace; zdůrazňuje, že členské státy postižené těmito hrozbami by měly mít možnost počítat s podporou specializovaných agentur EU; vyzývá k posílení mandátu agentury Frontex, aby měla právní základ a lidské, finanční a technické zdroje, které potřebuje k náležité pomoci členským státům při řešení těchto hybridních hrozeb; v této souvislosti zdůrazňuje, že je třeba dále posílit schopnost EU přispívat k úsilí členských států v oblasti ochrany hranic dostatečnými investicemi v souladu s VFR na období 2028–2034;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důrazně odsuzuje účelové využívání migrace jako zbraně proti EU; zastává názor, že tento jev představuje nepřijatelný pokus nepřátelských třetích zemí vyvíjet politický tlak na členské státy v přední linii a na EU; vítá zvláštní ustanovení o účelovém využívání migrace, která byla nedávno začleněna do klíčových právních předpisů EU týkajících se správy hranic a migrace; zdůrazňuje, že členské státy postižené těmito hrozbami by měly mít možnost počítat s podporou specializovaných agentur EU; vyzývá k posílení mandátu agentury Frontex, aby měla právní základ a lidské, finanční a technické zdroje, které potřebuje k náležité pomoci členským státům při řešení těchto hybridních hrozeb; v této souvislosti zdůrazňuje, že je třeba dále posílit schopnost EU přispívat k úsilí členských států v oblasti ochrany hranic dostatečnými investicemi v souladu s VFR na období 2028–2034;</w:t>
            </w:r>
          </w:p>
        </w:tc>
        <w:tc>
          <w:tcPr>
            <w:tcW w:w="4876" w:type="dxa"/>
            <w:tcBorders>
              <w:top w:val="nil"/>
              <w:left w:val="nil"/>
              <w:bottom w:val="nil"/>
              <w:right w:val="nil"/>
            </w:tcBorders>
          </w:tcPr>
          <w:p>
            <w:pPr>
              <w:pStyle w:val="Normal6a"/>
            </w:pPr>
            <w:r>
              <w:t>54.</w:t>
            </w:r>
            <w:r>
              <w:tab/>
            </w:r>
            <w:r>
              <w:t xml:space="preserve">důrazně odsuzuje účelové využívání migrace jako zbraně proti EU; zastává názor, že tento jev představuje nepřijatelný pokus nepřátelských třetích zemí vyvíjet politický tlak na členské státy v přední linii a na EU; vítá zvláštní ustanovení o účelovém využívání migrace, která byla nedávno začleněna do klíčových právních předpisů EU týkajících se správy hranic a migrace; zdůrazňuje, že členské státy postižené těmito hrozbami by měly mít možnost počítat s podporou specializovaných agentur EU; vyzývá k posílení mandátu agentury Frontex, aby měla právní základ a lidské, finanční a technické zdroje, které potřebuje k náležité pomoci členským státům při řešení těchto hybridních hrozeb; </w:t>
            </w:r>
            <w:r>
              <w:rPr>
                <w:b/>
                <w:i/>
              </w:rPr>
              <w:t>zdůrazňuje význam úzké koordinace a loajální spolupráce mezi sousedními členskými státy a orgány Unie, jakož i potřebu posílit technologické a operační schopnosti, včetně elektronického dohledu, telekomunikační odolnosti a protidronových systémů, aby bylo možné účinně reagovat na hybridní hrozby a zároveň zachovat integritu schengenského prostoru a základní hodnoty Unie;</w:t>
            </w:r>
            <w:r>
              <w:t xml:space="preserve"> v této souvislosti zdůrazňuje, že je třeba dále posílit schopnost EU přispívat k úsilí členských států v oblasti ochrany hranic dostatečnými investicemi v souladu s VFR na období 2028–2034;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1390</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důrazně odsuzuje účelové využívání migrace jako zbraně proti EU; zastává názor, že tento jev představuje nepřijatelný pokus nepřátelských třetích zemí vyvíjet politický tlak na členské státy v přední linii a na EU; vítá zvláštní ustanovení o účelovém využívání migrace, která byla nedávno začleněna do klíčových právních předpisů EU týkajících se správy hranic a migrace; zdůrazňuje, že členské státy postižené těmito hrozbami by měly mít možnost počítat s podporou specializovaných agentur EU; vyzývá k posílení mandátu agentury Frontex, aby měla právní základ a lidské, finanční a technické zdroje, které potřebuje k náležité pomoci členským státům při řešení těchto hybridních hrozeb; v této souvislosti zdůrazňuje, že je třeba dále posílit schopnost EU přispívat k úsilí členských států v oblasti ochrany hranic dostatečnými investicemi v souladu s VFR na období 2028–2034;</w:t>
            </w:r>
          </w:p>
        </w:tc>
        <w:tc>
          <w:tcPr>
            <w:tcW w:w="4876" w:type="dxa"/>
            <w:tcBorders>
              <w:top w:val="nil"/>
              <w:left w:val="nil"/>
              <w:bottom w:val="nil"/>
              <w:right w:val="nil"/>
            </w:tcBorders>
          </w:tcPr>
          <w:p>
            <w:pPr>
              <w:pStyle w:val="Normal6a"/>
            </w:pPr>
            <w:r>
              <w:t>54.</w:t>
            </w:r>
            <w:r>
              <w:tab/>
            </w:r>
            <w:r>
              <w:t xml:space="preserve">důrazně odsuzuje účelové využívání migrace jako zbraně proti EU; zastává názor, že tento jev představuje nepřijatelný pokus nepřátelských třetích zemí vyvíjet politický tlak na členské státy v přední linii a na EU; vítá zvláštní ustanovení o účelovém využívání migrace, která byla nedávno začleněna do klíčových právních předpisů EU týkajících se správy hranic a migrace; zdůrazňuje, že členské státy postižené těmito hrozbami by měly mít možnost počítat s podporou specializovaných agentur EU; vyzývá k posílení mandátu agentury Frontex, aby měla právní základ a lidské, finanční a technické zdroje, které potřebuje k náležité pomoci členským státům při řešení těchto hybridních hrozeb; v této souvislosti zdůrazňuje, že je třeba dále posílit schopnost EU přispívat k úsilí členských států v oblasti ochrany hranic dostatečnými investicemi v souladu s VFR na období 2028–2034; </w:t>
            </w:r>
            <w:r>
              <w:rPr>
                <w:b/>
                <w:i/>
              </w:rPr>
              <w:t>vyjadřuje znepokojení nad tím, že návrhy na masovou legalizaci nelegálních migrantů, pokud jsou předkládány v rámci vnitrostátních politických strategií, mohou oslabit důvěryhodnost společné migrační politiky Unie a mohou vést k nezamýšleným podněcujícím faktorům a bezpečnostním výzvám;</w:t>
            </w:r>
            <w:r>
              <w:t xml:space="preserve"> </w:t>
            </w:r>
            <w:r>
              <w:rPr>
                <w:b/>
                <w:i/>
              </w:rPr>
              <w:t>zdůrazňuje, že veškerá legalizační opatření by měla být výjimečná, transparentní a koordinovaná na evropské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1391</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rPr>
                <w:b/>
                <w:i/>
              </w:rPr>
              <w:t>důrazně odsuzuje účelové</w:t>
            </w:r>
            <w:r>
              <w:t xml:space="preserve"> využívání migrace </w:t>
            </w:r>
            <w:r>
              <w:rPr>
                <w:b/>
                <w:i/>
              </w:rPr>
              <w:t>jako zbraně proti EU;</w:t>
            </w:r>
            <w:r>
              <w:t xml:space="preserve"> </w:t>
            </w:r>
            <w:r>
              <w:rPr>
                <w:b/>
                <w:i/>
              </w:rPr>
              <w:t>zastává názor, že tento jev představuje nepřijatelný pokus nepřátelských třetích zemí vyvíjet politický tlak na členské státy v přední linii a na EU;</w:t>
            </w:r>
            <w:r>
              <w:t xml:space="preserve"> </w:t>
            </w:r>
            <w:r>
              <w:rPr>
                <w:b/>
                <w:i/>
              </w:rPr>
              <w:t>vítá zvláštní ustanovení o účelovém využívání migrace, která byla nedávno začleněna do klíčových právních předpisů EU týkajících se správy hranic a migrace</w:t>
            </w:r>
            <w:r>
              <w:t xml:space="preserve">; zdůrazňuje, že členské státy </w:t>
            </w:r>
            <w:r>
              <w:rPr>
                <w:b/>
                <w:i/>
              </w:rPr>
              <w:t>postižené těmito</w:t>
            </w:r>
            <w:r>
              <w:t xml:space="preserve"> hrozbami </w:t>
            </w:r>
            <w:r>
              <w:rPr>
                <w:b/>
                <w:i/>
              </w:rPr>
              <w:t>by měly mít možnost počítat s podporou specializovaných agentur EU;</w:t>
            </w:r>
            <w:r>
              <w:t xml:space="preserve"> </w:t>
            </w:r>
            <w:r>
              <w:rPr>
                <w:b/>
                <w:i/>
              </w:rPr>
              <w:t>vyzývá k posílení mandátu agentury Frontex, aby měla právní základ a lidské, finanční a technické zdroje, které potřebuje k náležité pomoci členským státům při řešení těchto hybridních hrozeb;</w:t>
            </w:r>
            <w:r>
              <w:t xml:space="preserve"> </w:t>
            </w:r>
            <w:r>
              <w:rPr>
                <w:b/>
                <w:i/>
              </w:rPr>
              <w:t>v této souvislosti zdůrazňuje, že je třeba dále posílit schopnost EU přispívat k úsilí členských států v oblasti</w:t>
            </w:r>
            <w:r>
              <w:t xml:space="preserve"> ochrany </w:t>
            </w:r>
            <w:r>
              <w:rPr>
                <w:b/>
                <w:i/>
              </w:rPr>
              <w:t>hranic dostatečnými investicemi v souladu s VFR na období 2028–2034</w:t>
            </w:r>
            <w:r>
              <w:t>;</w:t>
            </w:r>
          </w:p>
        </w:tc>
        <w:tc>
          <w:tcPr>
            <w:tcW w:w="4876" w:type="dxa"/>
            <w:tcBorders>
              <w:top w:val="nil"/>
              <w:left w:val="nil"/>
              <w:bottom w:val="nil"/>
              <w:right w:val="nil"/>
            </w:tcBorders>
          </w:tcPr>
          <w:p>
            <w:pPr>
              <w:pStyle w:val="Normal6a"/>
            </w:pPr>
            <w:r>
              <w:t>54.</w:t>
            </w:r>
            <w:r>
              <w:tab/>
            </w:r>
            <w:r>
              <w:rPr>
                <w:b/>
                <w:i/>
              </w:rPr>
              <w:t>vyjadřuje znepokojení nad tím, že uplatňování koncepce hybridních hrozeb a účelového</w:t>
            </w:r>
            <w:r>
              <w:t xml:space="preserve"> využívání migrace </w:t>
            </w:r>
            <w:r>
              <w:rPr>
                <w:b/>
                <w:i/>
              </w:rPr>
              <w:t>přispívá ke stigmatizaci a dehumanizaci migrantů, žadatelů o azyl a uprchlíků</w:t>
            </w:r>
            <w:r>
              <w:t xml:space="preserve">; zdůrazňuje, že </w:t>
            </w:r>
            <w:r>
              <w:rPr>
                <w:b/>
                <w:i/>
              </w:rPr>
              <w:t>takové vymezení může legitimizovat nepřiměřené reakce motivované bezpečností, oslabit přístup k ochraně a narušit základní práva;</w:t>
            </w:r>
            <w:r>
              <w:t xml:space="preserve"> </w:t>
            </w:r>
            <w:r>
              <w:rPr>
                <w:b/>
                <w:i/>
              </w:rPr>
              <w:t>vyzývá orgány EU a</w:t>
            </w:r>
            <w:r>
              <w:t xml:space="preserve"> členské státy</w:t>
            </w:r>
            <w:r>
              <w:rPr>
                <w:b/>
                <w:i/>
              </w:rPr>
              <w:t>, aby se vyvarovaly jazykových a politických přístupů, které spojují migraci s bezpečnostními</w:t>
            </w:r>
            <w:r>
              <w:t xml:space="preserve"> hrozbami</w:t>
            </w:r>
            <w:r>
              <w:rPr>
                <w:b/>
                <w:i/>
              </w:rPr>
              <w:t>, a aby zajistily, že reakce zůstanou pevně zakotveny v lidských právech, mezinárodních normách</w:t>
            </w:r>
            <w:r>
              <w:t xml:space="preserve"> ochrany </w:t>
            </w:r>
            <w:r>
              <w:rPr>
                <w:b/>
                <w:i/>
              </w:rPr>
              <w:t>a humanitárních zásadách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důrazně odsuzuje účelové využívání migrace jako zbraně proti EU; zastává názor, že tento jev představuje nepřijatelný pokus nepřátelských třetích zemí vyvíjet politický tlak na členské státy v přední linii a na EU; vítá zvláštní ustanovení o účelovém využívání migrace, která byla nedávno začleněna do klíčových právních předpisů EU týkajících se správy hranic a migrace; zdůrazňuje, že členské státy postižené těmito hrozbami by měly mít možnost počítat s podporou specializovaných agentur EU; vyzývá k posílení mandátu agentury Frontex, aby měla právní základ a lidské, finanční a technické zdroje, které potřebuje k náležité pomoci členským státům při řešení těchto hybridních hrozeb; v této souvislosti zdůrazňuje, že je třeba dále posílit schopnost EU přispívat k úsilí členských států v oblasti ochrany hranic dostatečnými investicemi v souladu s VFR na období 2028–2034;</w:t>
            </w:r>
          </w:p>
        </w:tc>
        <w:tc>
          <w:tcPr>
            <w:tcW w:w="4876" w:type="dxa"/>
            <w:tcBorders>
              <w:top w:val="nil"/>
              <w:left w:val="nil"/>
              <w:bottom w:val="nil"/>
              <w:right w:val="nil"/>
            </w:tcBorders>
          </w:tcPr>
          <w:p>
            <w:pPr>
              <w:pStyle w:val="Normal6a"/>
            </w:pPr>
            <w:r>
              <w:t>54.</w:t>
            </w:r>
            <w:r>
              <w:tab/>
            </w:r>
            <w:r>
              <w:t>důrazně odsuzuje účelové využívání migrace jako zbraně proti EU; zastává názor, že tento jev představuje nepřijatelný pokus nepřátelských třetích zemí vyvíjet politický tlak na členské státy v přední linii a na EU</w:t>
            </w:r>
            <w:r>
              <w:rPr>
                <w:b/>
                <w:i/>
              </w:rPr>
              <w:t>;</w:t>
            </w:r>
            <w:r>
              <w:t xml:space="preserve"> </w:t>
            </w:r>
            <w:r>
              <w:rPr>
                <w:b/>
                <w:i/>
              </w:rPr>
              <w:t>domnívá se, že fyzické překážky na hranicích jsou nejúčinnějším prostředkem řešení migrace zneužívané jako zbraň</w:t>
            </w:r>
            <w:r>
              <w:t xml:space="preserve">; vítá zvláštní ustanovení o účelovém využívání migrace, která byla nedávno začleněna do klíčových právních předpisů EU týkajících se správy hranic a migrace; zdůrazňuje, že členské státy postižené těmito hrozbami by měly mít možnost počítat s podporou specializovaných agentur EU; vyzývá k posílení mandátu agentury Frontex, aby měla právní základ a lidské, finanční a technické zdroje, které potřebuje k náležité pomoci členským státům při řešení těchto hybridních hrozeb; </w:t>
            </w:r>
            <w:r>
              <w:rPr>
                <w:b/>
                <w:i/>
              </w:rPr>
              <w:t>zdůrazňuje, že nucené navracení je zákonnou a legitimní možností, jak bojovat proti migraci zneužívané jako zbraň;</w:t>
            </w:r>
            <w:r>
              <w:t xml:space="preserve"> v této souvislosti zdůrazňuje, že je třeba dále posílit schopnost EU přispívat k úsilí členských států v oblasti ochrany hranic dostatečnými investicemi v souladu s VFR na období 2028–2034;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1393</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 xml:space="preserve">důrazně odsuzuje účelové využívání migrace jako zbraně proti EU; zastává názor, že tento jev představuje nepřijatelný pokus nepřátelských </w:t>
            </w:r>
            <w:r>
              <w:rPr>
                <w:b/>
                <w:i/>
              </w:rPr>
              <w:t>třetích</w:t>
            </w:r>
            <w:r>
              <w:t xml:space="preserve"> zemí vyvíjet politický tlak na členské státy v přední linii a na EU; vítá zvláštní ustanovení o účelovém využívání migrace, která byla nedávno začleněna do klíčových právních předpisů EU týkajících se správy hranic a migrace; zdůrazňuje, že členské státy postižené těmito hrozbami by měly mít možnost </w:t>
            </w:r>
            <w:r>
              <w:rPr>
                <w:b/>
                <w:i/>
              </w:rPr>
              <w:t>počítat s podporou</w:t>
            </w:r>
            <w:r>
              <w:t xml:space="preserve"> specializovaných agentur EU; vyzývá k posílení mandátu agentury Frontex, aby měla právní základ a lidské, finanční a technické zdroje, které potřebuje k náležité pomoci členským státům při řešení těchto hybridních hrozeb; v této souvislosti zdůrazňuje, že je třeba dále posílit schopnost EU přispívat k úsilí členských států v oblasti ochrany hranic dostatečnými investicemi v souladu s VFR na období 2028–2034;</w:t>
            </w:r>
          </w:p>
        </w:tc>
        <w:tc>
          <w:tcPr>
            <w:tcW w:w="4876" w:type="dxa"/>
            <w:tcBorders>
              <w:top w:val="nil"/>
              <w:left w:val="nil"/>
              <w:bottom w:val="nil"/>
              <w:right w:val="nil"/>
            </w:tcBorders>
          </w:tcPr>
          <w:p>
            <w:pPr>
              <w:pStyle w:val="Normal6a"/>
            </w:pPr>
            <w:r>
              <w:t>54.</w:t>
            </w:r>
            <w:r>
              <w:tab/>
            </w:r>
            <w:r>
              <w:t xml:space="preserve">důrazně odsuzuje účelové využívání migrace jako zbraně proti EU; zastává názor, že tento jev představuje nepřijatelný pokus nepřátelských zemí </w:t>
            </w:r>
            <w:r>
              <w:rPr>
                <w:b/>
                <w:i/>
              </w:rPr>
              <w:t>mimo EU</w:t>
            </w:r>
            <w:r>
              <w:t xml:space="preserve"> vyvíjet politický tlak na členské státy v přední linii a na EU</w:t>
            </w:r>
            <w:r>
              <w:rPr>
                <w:b/>
                <w:i/>
              </w:rPr>
              <w:t>, a to buď snahou oslabit vnější řád EU, nebo podkopat důvěru v instituce</w:t>
            </w:r>
            <w:r>
              <w:t>; vítá zvláštní ustanovení o účelovém využívání migrace, která byla nedávno začleněna do klíčových právních předpisů EU týkajících se správy hranic a migrace; zdůrazňuje, že členské státy postižené těmito hrozbami</w:t>
            </w:r>
            <w:r>
              <w:rPr>
                <w:b/>
                <w:i/>
              </w:rPr>
              <w:t>, zejména státy sousedící s Běloruskem a Ruskem,</w:t>
            </w:r>
            <w:r>
              <w:t xml:space="preserve"> by měly mít možnost </w:t>
            </w:r>
            <w:r>
              <w:rPr>
                <w:b/>
                <w:i/>
              </w:rPr>
              <w:t>spolehnout se na podporu</w:t>
            </w:r>
            <w:r>
              <w:t xml:space="preserve"> specializovaných agentur EU; vyzývá k posílení mandátu agentury Frontex, aby měla právní základ a lidské, finanční a technické zdroje, které potřebuje k náležité pomoci členským státům při řešení těchto hybridních hrozeb; v této souvislosti zdůrazňuje, že je třeba dále posílit schopnost EU přispívat k úsilí členských států v oblasti ochrany hranic dostatečnými investicemi v souladu s VFR na období 2028–2034;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1394</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rPr>
                <w:b/>
                <w:i/>
              </w:rPr>
              <w:t>důrazně</w:t>
            </w:r>
            <w:r>
              <w:t xml:space="preserve"> odsuzuje účelové využívání migrace </w:t>
            </w:r>
            <w:r>
              <w:rPr>
                <w:b/>
                <w:i/>
              </w:rPr>
              <w:t>jako zbraně</w:t>
            </w:r>
            <w:r>
              <w:t xml:space="preserve"> proti EU; zastává názor, že </w:t>
            </w:r>
            <w:r>
              <w:rPr>
                <w:b/>
                <w:i/>
              </w:rPr>
              <w:t>tento jev představuje nepřijatelný pokus nepřátelských třetích zemí vyvíjet politický tlak na členské státy v přední linii a na EU;</w:t>
            </w:r>
            <w:r>
              <w:t xml:space="preserve"> </w:t>
            </w:r>
            <w:r>
              <w:rPr>
                <w:b/>
                <w:i/>
              </w:rPr>
              <w:t>vítá</w:t>
            </w:r>
            <w:r>
              <w:t xml:space="preserve"> zvláštní ustanovení o účelovém využívání migrace, která byla </w:t>
            </w:r>
            <w:r>
              <w:rPr>
                <w:b/>
                <w:i/>
              </w:rPr>
              <w:t>nedávno</w:t>
            </w:r>
            <w:r>
              <w:t xml:space="preserve"> začleněna do klíčových právních předpisů EU týkajících se správy hranic a migrace; zdůrazňuje, že členské státy </w:t>
            </w:r>
            <w:r>
              <w:rPr>
                <w:b/>
                <w:i/>
              </w:rPr>
              <w:t>postižené těmito hrozbami by měly mít možnost počítat s podporou</w:t>
            </w:r>
            <w:r>
              <w:t xml:space="preserve"> specializovaných agentur EU</w:t>
            </w:r>
            <w:r>
              <w:rPr>
                <w:b/>
                <w:i/>
              </w:rPr>
              <w:t>;</w:t>
            </w:r>
            <w:r>
              <w:t xml:space="preserve"> </w:t>
            </w:r>
            <w:r>
              <w:rPr>
                <w:b/>
                <w:i/>
              </w:rPr>
              <w:t>vyzývá k posílení mandátu agentury Frontex, aby měla právní základ a lidské, finanční a technické zdroje, které potřebuje k náležité pomoci členským státům při řešení těchto hybridních hrozeb</w:t>
            </w:r>
            <w:r>
              <w:t xml:space="preserve">; v této souvislosti zdůrazňuje, že je třeba dále posílit schopnost EU přispívat k úsilí členských států </w:t>
            </w:r>
            <w:r>
              <w:rPr>
                <w:b/>
                <w:i/>
              </w:rPr>
              <w:t>v oblasti ochrany hranic</w:t>
            </w:r>
            <w:r>
              <w:t xml:space="preserve"> dostatečnými investicemi v souladu s VFR na období 2028–2034;</w:t>
            </w:r>
          </w:p>
        </w:tc>
        <w:tc>
          <w:tcPr>
            <w:tcW w:w="4876" w:type="dxa"/>
            <w:tcBorders>
              <w:top w:val="nil"/>
              <w:left w:val="nil"/>
              <w:bottom w:val="nil"/>
              <w:right w:val="nil"/>
            </w:tcBorders>
          </w:tcPr>
          <w:p>
            <w:pPr>
              <w:pStyle w:val="Normal6a"/>
            </w:pPr>
            <w:r>
              <w:t>54.</w:t>
            </w:r>
            <w:r>
              <w:tab/>
            </w:r>
            <w:r>
              <w:t>odsuzuje účelové využívání migrace proti EU</w:t>
            </w:r>
            <w:r>
              <w:rPr>
                <w:b/>
                <w:i/>
              </w:rPr>
              <w:t>;</w:t>
            </w:r>
            <w:r>
              <w:t xml:space="preserve"> </w:t>
            </w:r>
            <w:r>
              <w:rPr>
                <w:b/>
                <w:i/>
              </w:rPr>
              <w:t>vyjadřuje však politování nad tím, že opatření přijatá Evropskou unií a členskými státy k řešení tohoto jevu nemístně a nepřiměřeně poškozují osoby žádající o ochranu</w:t>
            </w:r>
            <w:r>
              <w:t xml:space="preserve">; zastává názor, že </w:t>
            </w:r>
            <w:r>
              <w:rPr>
                <w:b/>
                <w:i/>
              </w:rPr>
              <w:t>geopolitický jev vyžaduje geopolitické reakce, nikoli opatření zaměřená na již zranitelné osoby a vedoucí k jejich dvojí viktimizaci;</w:t>
            </w:r>
            <w:r>
              <w:t xml:space="preserve"> </w:t>
            </w:r>
            <w:r>
              <w:rPr>
                <w:b/>
                <w:i/>
              </w:rPr>
              <w:t>v této souvislosti odmítá</w:t>
            </w:r>
            <w:r>
              <w:t xml:space="preserve"> zvláštní ustanovení o účelovém využívání migrace, která byla začleněna do klíčových právních předpisů EU týkajících se správy hranic a migrace; zdůrazňuje, že členské státy</w:t>
            </w:r>
            <w:r>
              <w:rPr>
                <w:b/>
                <w:i/>
              </w:rPr>
              <w:t>, které se rovněž spoléhají na podporu</w:t>
            </w:r>
            <w:r>
              <w:t xml:space="preserve"> specializovaných agentur EU</w:t>
            </w:r>
            <w:r>
              <w:rPr>
                <w:b/>
                <w:i/>
              </w:rPr>
              <w:t>, musí zaručit důstojné podmínky přijímání a dodržovat právo žádat o azyl v souladu s právem EU a mezinárodním právem a jako způsob, jak omezit účinnost účelového využívání migrantů jako nástroje destabilizace</w:t>
            </w:r>
            <w:r>
              <w:t>; v této souvislosti zdůrazňuje, že je třeba dále posílit schopnost EU přispívat k úsilí členských států dostatečnými investicemi v souladu s VFR na období 2028–2034;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důrazně odsuzuje účelové využívání migrace jako zbraně proti EU; zastává názor, že tento jev představuje nepřijatelný pokus nepřátelských třetích zemí vyvíjet politický tlak na členské státy v přední linii a na EU; vítá zvláštní ustanovení o účelovém využívání migrace, která byla nedávno začleněna do klíčových právních předpisů EU týkajících se správy hranic a migrace; zdůrazňuje, že členské státy postižené těmito hrozbami by měly mít možnost počítat s podporou specializovaných agentur EU; vyzývá k posílení mandátu agentury Frontex, aby měla právní základ a lidské, finanční a technické zdroje, které potřebuje k náležité pomoci členským státům při řešení těchto hybridních hrozeb; v této souvislosti zdůrazňuje, že je třeba dále posílit schopnost EU přispívat k úsilí členských států v oblasti ochrany hranic dostatečnými investicemi v souladu s VFR na období 2028–2034;</w:t>
            </w:r>
          </w:p>
        </w:tc>
        <w:tc>
          <w:tcPr>
            <w:tcW w:w="4876" w:type="dxa"/>
            <w:tcBorders>
              <w:top w:val="nil"/>
              <w:left w:val="nil"/>
              <w:bottom w:val="nil"/>
              <w:right w:val="nil"/>
            </w:tcBorders>
          </w:tcPr>
          <w:p>
            <w:pPr>
              <w:pStyle w:val="Normal6a"/>
            </w:pPr>
            <w:r>
              <w:t>54.</w:t>
            </w:r>
            <w:r>
              <w:tab/>
            </w:r>
            <w:r>
              <w:t>důrazně odsuzuje účelové využívání migrace jako zbraně proti EU; zastává názor, že tento jev představuje nepřijatelný pokus nepřátelských třetích zemí vyvíjet politický tlak na členské státy v přední linii a na EU; vítá zvláštní ustanovení o účelovém využívání migrace, která byla nedávno začleněna do klíčových právních předpisů EU týkajících se správy hranic a migrace; zdůrazňuje, že členské státy postižené těmito hrozbami by měly mít možnost počítat s podporou specializovaných agentur EU; vyzývá k posílení mandátu agentury Frontex, aby měla právní základ</w:t>
            </w:r>
            <w:r>
              <w:rPr>
                <w:b/>
                <w:i/>
              </w:rPr>
              <w:t>, analytické kapacity</w:t>
            </w:r>
            <w:r>
              <w:t xml:space="preserve"> a lidské, finanční a technické zdroje, které potřebuje k náležité pomoci členským státům při řešení těchto hybridních hrozeb; v této souvislosti zdůrazňuje, že je třeba dále posílit schopnost EU</w:t>
            </w:r>
            <w:r>
              <w:rPr>
                <w:b/>
                <w:i/>
              </w:rPr>
              <w:t>, mimo jiné prostřednictvím agentury Frontex,</w:t>
            </w:r>
            <w:r>
              <w:t xml:space="preserve"> přispívat k úsilí členských států v oblasti ochrany hranic dostatečnými investicemi v souladu s VFR na období 2028–2034;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1396</w:t>
      </w:r>
      <w:r>
        <w:rPr>
          <w:rStyle w:val="HideTWBExt"/>
        </w:rPr>
        <w:t>&lt;/NumAm&gt;</w:t>
      </w:r>
    </w:p>
    <w:p>
      <w:pPr>
        <w:pStyle w:val="NormalBold"/>
      </w:pPr>
      <w:r>
        <w:rPr>
          <w:rStyle w:val="HideTWBExt"/>
          <w:b w:val="0"/>
        </w:rPr>
        <w:t>&lt;RepeatBlock-By&gt;</w:t>
      </w:r>
      <w:r>
        <w:rPr>
          <w:rStyle w:val="HideTWBExt"/>
          <w:b w:val="0"/>
        </w:rPr>
        <w:t>&lt;Members&gt;</w:t>
      </w:r>
      <w:r>
        <w:t>Michał Wawrykiewicz, Bartłomiej Sienkiewicz, Sandra Kalniete, Eszter Lakos,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54a.</w:t>
            </w:r>
            <w:r>
              <w:tab/>
            </w:r>
            <w:r>
              <w:rPr>
                <w:b/>
                <w:i/>
              </w:rPr>
              <w:t>podporuje vytvoření iniciativy označované jako „Hlídka východního křídla“ a vyzývá Komisi, aby vytvořila zvláštní rozpočtový mechanismus, který by byl vytvořen v rámci víceletého finančního rámce na období 2028–2034 a jehož cílem by bylo posílit bezpečnost a odolnost východních vnějších hranic Unie;</w:t>
            </w:r>
            <w:r>
              <w:t xml:space="preserve"> </w:t>
            </w:r>
            <w:r>
              <w:rPr>
                <w:b/>
                <w:i/>
              </w:rPr>
              <w:t>vyzývá Komisi, aby poskytla cílenou finanční podporu vnitrostátní pohraniční stráži v příhraničních členských státech s cílem umožnit nábor dalšího specializovaného personálu;</w:t>
            </w:r>
            <w:r>
              <w:t xml:space="preserve"> </w:t>
            </w:r>
            <w:r>
              <w:rPr>
                <w:b/>
                <w:i/>
              </w:rPr>
              <w:t>zdůrazňuje, že tyto jednotky by měly být konkrétně pověřeny bojem proti hybridním hrozbám, včetně ruských dezinformací a účelového využívání migrace;</w:t>
            </w:r>
            <w:r>
              <w:t xml:space="preserve"> </w:t>
            </w:r>
            <w:r>
              <w:rPr>
                <w:b/>
                <w:i/>
              </w:rPr>
              <w:t>dále vyzývá k vytvoření specializovaných programů odborné přípravy financovaných EU a k zavádění pokročilých technologií sledování s cílem zajistit integritu a účinnou ochranu vnějších hranic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1397</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54a.</w:t>
            </w:r>
            <w:r>
              <w:tab/>
            </w:r>
            <w:r>
              <w:rPr>
                <w:b/>
                <w:i/>
              </w:rPr>
              <w:t>vyzývá Komisi, aby v souvislosti s nadcházející revizí mandátu Europolu zahrnula hybridní hrozby do přílohy I nařízení o Europolu jako formu trestné činnosti poškozující společný zájem Unie s cílem poskytnout jasný právní základ pro činnost Europolu, posílit strategickou analýzu a sdílení zpravodajských informací a zlepšit operativní koordinaci mezi členskými státy při řešení přeshraničních kriminálních, digitálních a informačních hrozeb;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54a.</w:t>
            </w:r>
            <w:r>
              <w:tab/>
            </w:r>
            <w:r>
              <w:rPr>
                <w:b/>
                <w:i/>
              </w:rPr>
              <w:t>vyjadřuje politování nad tím, že v době vrcholící migrační krize na vnějších hranicích EU nehrála Unie dostatečně konstruktivní úlohu a že zavádějící narativy o situaci na hranicích, jakož i činnosti některých nevládních organizací a převaděčských sítí dále komplikovaly úsilí členských států v přední linii o ochranu vnějších hranic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1399</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54a.</w:t>
            </w:r>
            <w:r>
              <w:tab/>
            </w:r>
            <w:r>
              <w:rPr>
                <w:b/>
                <w:i/>
              </w:rPr>
              <w:t>vyzývá Komisi a členské státy, aby následovaly příklad Polska a vyšetřily a odhalily vazby evropských občanů, zejména politiků, na Jeffreyho Epsteina a ruské zpravodajské služby;</w:t>
            </w:r>
            <w:r>
              <w:t xml:space="preserve"> </w:t>
            </w:r>
            <w:r>
              <w:rPr>
                <w:b/>
                <w:i/>
              </w:rPr>
              <w:t>naléhavě vyzývá Spojené království a Belgii, aby prošetřily zahraniční vměšování do brexitu a zhroucení belgické vlády v roce 2018, jak bylo naznačováno v e-mailech, které Steve Bannon zaslal Jeffreymu Epsteinovi;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1400</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54a.</w:t>
            </w:r>
            <w:r>
              <w:tab/>
            </w:r>
            <w:r>
              <w:rPr>
                <w:b/>
                <w:i/>
              </w:rPr>
              <w:t>konstatuje, že je třeba zabránit přesměrování finančních prostředků EU, a to i prostřednictvím nevládních organizací, do organizací spojených s islamistickými fundamentalistickými hnutími;</w:t>
            </w:r>
            <w:r>
              <w:t xml:space="preserve"> </w:t>
            </w:r>
            <w:r>
              <w:rPr>
                <w:b/>
                <w:i/>
              </w:rPr>
              <w:t>vyzývá k pečlivému monitorování a preventivním opatřením s cílem zajistit, aby finanční podpora Unie nepřímo nepřispívala k činnostem narušujícím demokratické procesy a západní hodnoty;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54b.</w:t>
            </w:r>
            <w:r>
              <w:tab/>
            </w:r>
            <w:r>
              <w:rPr>
                <w:b/>
                <w:i/>
              </w:rPr>
              <w:t>vyjadřuje politování nad tím, že neodůvodněné útoky na legitimní kroky členských států se časově shodovaly s cíli nepřátelských aktérů, jako jsou režimy v Moskvě a Minsku, a opakovaly dezinformace a nepravdivá obvinění;</w:t>
            </w:r>
            <w:r>
              <w:t xml:space="preserve"> </w:t>
            </w:r>
            <w:r>
              <w:rPr>
                <w:b/>
                <w:i/>
              </w:rPr>
              <w:t>vyjadřuje politování nad tím, že namísto budování důvěry v členské státy Komise tyto škodlivé činnosti politicky a finančně podporovala;</w:t>
            </w:r>
            <w:r>
              <w:t xml:space="preserve"> </w:t>
            </w:r>
            <w:r>
              <w:rPr>
                <w:b/>
                <w:i/>
              </w:rPr>
              <w:t>vyzývá k jejich ukončení a k plné transparentnosti, pokud jde o veškerou podporu poskytovanou organizacím, které jednaly v rozporu s bezpečnostními politikami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1402</w:t>
      </w:r>
      <w:r>
        <w:rPr>
          <w:rStyle w:val="HideTWBExt"/>
        </w:rPr>
        <w:t>&lt;/NumAm&gt;</w:t>
      </w:r>
    </w:p>
    <w:p>
      <w:pPr>
        <w:pStyle w:val="NormalBold"/>
      </w:pPr>
      <w:r>
        <w:rPr>
          <w:rStyle w:val="HideTWBExt"/>
          <w:b w:val="0"/>
        </w:rPr>
        <w:t>&lt;RepeatBlock-By&gt;</w:t>
      </w:r>
      <w:r>
        <w:rPr>
          <w:rStyle w:val="HideTWBExt"/>
          <w:b w:val="0"/>
        </w:rPr>
        <w:t>&lt;Members&gt;</w:t>
      </w:r>
      <w:r>
        <w:t>Stefano Cavedagna,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54b.</w:t>
            </w:r>
            <w:r>
              <w:tab/>
            </w:r>
            <w:r>
              <w:rPr>
                <w:b/>
                <w:i/>
              </w:rPr>
              <w:t>vyzývá Komisi a členské státy, aby uznaly, že ochrana zámořských území Evropské unie je důležitou strategickou otázkou, a to jak pro svrchovanost, tak pro řádné demokratické fungování Unie;</w:t>
            </w:r>
            <w:r>
              <w:t xml:space="preserve"> </w:t>
            </w:r>
            <w:r>
              <w:rPr>
                <w:b/>
                <w:i/>
              </w:rPr>
              <w:t>zdůrazňuje, že území, jako je Nová Kaledonie, Martinik, Kanárské ostrovy a Azory, jsou pravidelně vystavena zahraničnímu vměšování, které oslabuje jejich stabilitu;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54c.</w:t>
            </w:r>
            <w:r>
              <w:tab/>
            </w:r>
            <w:r>
              <w:rPr>
                <w:b/>
                <w:i/>
              </w:rPr>
              <w:t>vyjadřuje hluboké politování nad šířením nepravdivých nebo zavádějících tvrzení týkajících se situace na polsko-běloruské hranici, včetně tvrzení o systematickém porušování základních práv, záměrném špatném zacházení nebo dokonce zabíjení migrantů polskou pohraniční stráží, která nebyla podložena příslušnými orgány nebo soudními orgány a která byla zneužita nepřátelskými aktéry v rámci širší dezinformační a destabilizační kampaně;</w:t>
            </w:r>
            <w:r>
              <w:t xml:space="preserve"> </w:t>
            </w:r>
            <w:r>
              <w:rPr>
                <w:b/>
                <w:i/>
              </w:rPr>
              <w:t>zdůrazňuje, že tyto narativy přispěly k informační válce vedené běloruským režimem a jeho spojenci s cílem delegitimizovat kroky členského státu jednajícího na obranu vnějších hranic Unie a narušit solidaritu mezi členskými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54d.</w:t>
            </w:r>
            <w:r>
              <w:tab/>
            </w:r>
            <w:r>
              <w:rPr>
                <w:b/>
                <w:i/>
              </w:rPr>
              <w:t>vyjadřuje vážné znepokojení nad důvěryhodnými zprávami, včetně investigativní žurnalistiky a důkazů předložených vnitrostátními orgány, které naznačují, že některé nevládní organizace působící podél vnějších hranic EU úmyslně nebo z hrubé nedbalosti usnadnily nebo podpořily nelegální migraci, mimo jiné poskytováním logistické pomoci, koordinace nebo pokynů, které účinně vytvořily možnosti pro sítě převaděčů migrantů;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54e.</w:t>
            </w:r>
            <w:r>
              <w:tab/>
            </w:r>
            <w:r>
              <w:rPr>
                <w:b/>
                <w:i/>
              </w:rPr>
              <w:t>zdůrazňuje, že humanitární pomoc nesmí nikdy sloužit jako zástěrka pro činnosti, které ohrožují bezpečnost hranic, porušují vnitrostátní právní předpisy nebo přispívají k hybridním operacím organizovaným nepřátelskými subjekty ze zemí mimo EU;</w:t>
            </w:r>
            <w:r>
              <w:t xml:space="preserve"> </w:t>
            </w:r>
            <w:r>
              <w:rPr>
                <w:b/>
                <w:i/>
              </w:rPr>
              <w:t>vyzývá proto k přísné kontrole, transparentnosti a odpovědnosti, pokud jde o finanční prostředky EU a vnitrostátní finanční prostředky poskytované organizacím působícím v příhraničních oblastech, včetně pozastavení nebo zpětného získání finančních prostředků v případech, kdy je zjištěno zapojení do nelegální migrace nebo její napomáhání;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1406</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55.</w:t>
            </w:r>
            <w:r>
              <w:tab/>
            </w:r>
            <w:r>
              <w:rPr>
                <w:b/>
                <w:i/>
              </w:rPr>
              <w:t>zdůrazňuje, že je třeba, aby Evropský štít pro demokracii měl silný vnější rozměr;</w:t>
            </w:r>
            <w:r>
              <w:t xml:space="preserve"> </w:t>
            </w:r>
            <w:r>
              <w:rPr>
                <w:b/>
                <w:i/>
              </w:rPr>
              <w:t>vítá, že do společného sdělení byla zahrnuta konkrétní opatření zaměřená na podporu zemí za hranicemi EU, zejména prostřednictvím budování kapacit s cílem zlepšit odolnost kandidátských a potenciálních kandidátských zemí vůči zahraniční manipulaci s informacemi a vměšování a hybridnímu vměšování, podpory nezávislých sdělovacích prostředků a žurnalistiky a zvýšení jejich schopnosti monitorovat dezinformace v sociálních médiích před volbami a během voleb;</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784.408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194</w:t>
    </w:r>
    <w:r>
      <w:fldChar w:fldCharType="end"/>
    </w:r>
    <w:r>
      <w:t>/</w:t>
    </w:r>
    <w:r>
      <w:fldChar w:fldCharType="begin"/>
    </w:r>
    <w:r>
      <w:instrText xml:space="preserve"> NUMPAGES </w:instrText>
    </w:r>
    <w:r>
      <w:fldChar w:fldCharType="separate"/>
    </w:r>
    <w:r>
      <w:t>195</w:t>
    </w:r>
    <w:r>
      <w:fldChar w:fldCharType="end"/>
    </w:r>
    <w:r>
      <w:tab/>
    </w:r>
    <w:r>
      <w:rPr>
        <w:rStyle w:val="HideTWBExt"/>
      </w:rPr>
      <w:t>&lt;PathFdR&gt;</w:t>
    </w:r>
    <w:r>
      <w:t>AM\1337439CS.docx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AM\1337439CS.docx</w:t>
    </w:r>
    <w:r>
      <w:rPr>
        <w:rStyle w:val="HideTWBExt"/>
      </w:rPr>
      <w:t>&lt;/PathFdR&gt;</w:t>
    </w:r>
    <w:r>
      <w:tab/>
    </w:r>
    <w:r>
      <w:fldChar w:fldCharType="begin"/>
    </w:r>
    <w:r>
      <w:instrText xml:space="preserve"> PAGE </w:instrText>
    </w:r>
    <w:r>
      <w:fldChar w:fldCharType="separate"/>
    </w:r>
    <w:r>
      <w:t>195</w:t>
    </w:r>
    <w:r>
      <w:fldChar w:fldCharType="end"/>
    </w:r>
    <w:r>
      <w:t>/</w:t>
    </w:r>
    <w:r>
      <w:fldChar w:fldCharType="begin"/>
    </w:r>
    <w:r>
      <w:instrText xml:space="preserve"> NUMPAGES </w:instrText>
    </w:r>
    <w:r>
      <w:fldChar w:fldCharType="separate"/>
    </w:r>
    <w:r>
      <w:t>195</w:t>
    </w:r>
    <w:r>
      <w:fldChar w:fldCharType="end"/>
    </w:r>
    <w:r>
      <w:tab/>
    </w:r>
    <w:r>
      <w:t>PE</w:t>
    </w:r>
    <w:r>
      <w:rPr>
        <w:rStyle w:val="HideTWBExt"/>
      </w:rPr>
      <w:t>&lt;NoPE&gt;</w:t>
    </w:r>
    <w:r>
      <w:t>784.408</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AM\1337439CS.docx</w:t>
    </w:r>
    <w:r>
      <w:rPr>
        <w:rStyle w:val="HideTWBExt"/>
      </w:rPr>
      <w:t>&lt;/PathFdR&gt;</w:t>
    </w:r>
    <w:r>
      <w:tab/>
    </w:r>
    <w:r>
      <w:tab/>
    </w:r>
    <w:r>
      <w:t>PE</w:t>
    </w:r>
    <w:r>
      <w:rPr>
        <w:rStyle w:val="HideTWBExt"/>
      </w:rPr>
      <w:t>&lt;NoPE&gt;</w:t>
    </w:r>
    <w:r>
      <w:t>784.408</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195</Pages>
  <Words>47717</Words>
  <Characters>298719</Characters>
  <Application>Microsoft Office Word</Application>
  <DocSecurity>0</DocSecurity>
  <Lines>1</Lines>
  <Paragraphs>2704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1337439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419952</vt:lpwstr>
  </property>
  <property fmtid="{D5CDD505-2E9C-101B-9397-08002B2CF9AE}" pid="7" name="dmxml.render.traceId">
    <vt:lpwstr>69b3d1dc0bf1df915743b78855b91b05</vt:lpwstr>
  </property>
  <property fmtid="{D5CDD505-2E9C-101B-9397-08002B2CF9AE}" pid="8" name="FooterPath">
    <vt:lpwstr>AM\1337439CS.docx</vt:lpwstr>
  </property>
  <property fmtid="{D5CDD505-2E9C-101B-9397-08002B2CF9AE}" pid="9" name="PE Number">
    <vt:lpwstr>784.408</vt:lpwstr>
  </property>
  <property fmtid="{D5CDD505-2E9C-101B-9397-08002B2CF9AE}" pid="10" name="UID">
    <vt:lpwstr>eu.europa.europarl-DIN1-2026-0000036100_01.00-cs-01.00_text-xml</vt:lpwstr>
  </property>
</Properties>
</file>