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{EUDS}</w:t>
      </w:r>
      <w:r>
        <w:t>Zvláštní výbor pro Evropský štít pro demokracii</w:t>
      </w:r>
      <w:r>
        <w:rPr>
          <w:rStyle w:val="HideTWBExt"/>
        </w:rPr>
        <w:t>&lt;/Commission&gt;</w:t>
      </w:r>
    </w:p>
    <w:p>
      <w:pPr>
        <w:pStyle w:val="LineBottom"/>
      </w:pPr>
      <w:r>
        <w:t xml:space="preserve"> </w:t>
      </w:r>
    </w:p>
    <w:p>
      <w:pPr>
        <w:pStyle w:val="CoverReference"/>
      </w:pPr>
      <w:r>
        <w:rPr>
          <w:rStyle w:val="HideTWBExt"/>
        </w:rPr>
        <w:t>&lt;RefProc&gt;</w:t>
      </w:r>
      <w:r>
        <w:t>2025/2069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{12/02/2026}</w:t>
      </w:r>
      <w:r>
        <w:t>12.2.2026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1407</w:t>
      </w:r>
      <w:r>
        <w:t xml:space="preserve"> - </w:t>
      </w:r>
      <w:r>
        <w:t>1655</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Tomáš Tobé</w:t>
      </w:r>
      <w:r>
        <w:rPr>
          <w:rStyle w:val="HideTWBExt"/>
        </w:rPr>
        <w:t>&lt;/Rapporteur&gt;</w:t>
      </w:r>
    </w:p>
    <w:p>
      <w:pPr>
        <w:pStyle w:val="CoverNormal24a"/>
      </w:pPr>
      <w:r>
        <w:rPr>
          <w:rStyle w:val="HideTWBExt"/>
        </w:rPr>
        <w:t>&lt;DocRefPE&gt;</w:t>
      </w:r>
      <w:r>
        <w:t>(PE775.431v01-00)</w:t>
      </w:r>
      <w:r>
        <w:rPr>
          <w:rStyle w:val="HideTWBExt"/>
        </w:rPr>
        <w:t>&lt;/DocRefPE&gt;</w:t>
      </w:r>
    </w:p>
    <w:p>
      <w:pPr>
        <w:pStyle w:val="CoverNormal"/>
      </w:pPr>
      <w:r>
        <w:rPr>
          <w:rStyle w:val="HideTWBExt"/>
        </w:rPr>
        <w:t>&lt;Titre&gt;</w:t>
      </w:r>
      <w:r>
        <w:t>Zjištění a doporučení zvláštního výboru pro Evropský štít pro demokracii</w:t>
      </w:r>
      <w:r>
        <w:rPr>
          <w:rStyle w:val="HideTWBExt"/>
        </w:rPr>
        <w:t>&lt;/Titre&gt;</w:t>
      </w:r>
    </w:p>
    <w:p>
      <w:pPr>
        <w:pStyle w:val="CoverNormal24a"/>
      </w:pPr>
      <w:r>
        <w:rPr>
          <w:rStyle w:val="HideTWBExt"/>
        </w:rPr>
        <w:t>&lt;DocRef&gt;</w:t>
      </w:r>
      <w:r>
        <w:t>(2025/2069(INI))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1407</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zdůrazňuje, že je třeba, aby Evropský štít pro demokracii měl silný vnější rozměr; vítá,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podpory nezávislých sdělovacích prostředků a žurnalistiky a zvýšení jejich schopnosti monitorovat dezinformace v sociálních médiích před volbami a během voleb;</w:t>
            </w:r>
          </w:p>
        </w:tc>
        <w:tc>
          <w:tcPr>
            <w:tcW w:w="4876" w:type="dxa"/>
            <w:tcBorders>
              <w:top w:val="nil"/>
              <w:left w:val="nil"/>
              <w:bottom w:val="nil"/>
              <w:right w:val="nil"/>
            </w:tcBorders>
          </w:tcPr>
          <w:p>
            <w:pPr>
              <w:pStyle w:val="Normal6a"/>
            </w:pPr>
            <w:r>
              <w:t>55.</w:t>
            </w:r>
            <w:r>
              <w:tab/>
            </w:r>
            <w:r>
              <w:t xml:space="preserve">zdůrazňuje, že je třeba, aby Evropský štít pro demokracii měl silný vnější rozměr; vítá,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podpory nezávislých sdělovacích prostředků a žurnalistiky a zvýšení jejich schopnosti monitorovat dezinformace v sociálních médiích před volbami a během voleb; </w:t>
            </w:r>
            <w:r>
              <w:rPr>
                <w:b/>
                <w:i/>
              </w:rPr>
              <w:t>konstatuje, že na seznam opatření by měly být zařazeny přeshraniční represe;</w:t>
            </w:r>
            <w:r>
              <w:t xml:space="preserve"> </w:t>
            </w:r>
            <w:r>
              <w:rPr>
                <w:b/>
                <w:i/>
              </w:rPr>
              <w:t>zdůrazňuje, že kapacity a odhodlání jednotlivých kandidátských zemí nebo potenciálních kandidátských zemí se mohou lišit, a proto vyzývá k tomu, aby byl při provádění Evropského štítu pro demokracii uplatňován diferencovaný přístup, který by zohledňoval konkrétní kontext a odrážel různou úroveň institucionálních kapacit, odborných znalostí a politického odhodlání;</w:t>
            </w:r>
            <w:r>
              <w:t xml:space="preserve"> </w:t>
            </w:r>
            <w:r>
              <w:rPr>
                <w:b/>
                <w:i/>
              </w:rPr>
              <w:t>poukazuje na to, že tato jasná kritéria spojená s hodnotami EU je třeba zachovat;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1408</w:t>
      </w:r>
      <w:r>
        <w:rPr>
          <w:rStyle w:val="HideTWBExt"/>
        </w:rPr>
        <w:t>&lt;/NumAm&gt;</w:t>
      </w:r>
    </w:p>
    <w:p>
      <w:pPr>
        <w:pStyle w:val="NormalBold"/>
      </w:pPr>
      <w:r>
        <w:rPr>
          <w:rStyle w:val="HideTWBExt"/>
          <w:b w:val="0"/>
        </w:rPr>
        <w:t>&lt;RepeatBlock-By&gt;</w:t>
      </w:r>
      <w:r>
        <w:rPr>
          <w:rStyle w:val="HideTWBExt"/>
          <w:b w:val="0"/>
        </w:rPr>
        <w:t>&lt;Members&gt;</w:t>
      </w:r>
      <w:r>
        <w:t>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zdůrazňuje, že je třeba, aby Evropský štít pro demokracii měl silný vnější rozměr; vítá,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podpory nezávislých sdělovacích prostředků a žurnalistiky a zvýšení jejich schopnosti monitorovat dezinformace v sociálních médiích před volbami a během voleb;</w:t>
            </w:r>
          </w:p>
        </w:tc>
        <w:tc>
          <w:tcPr>
            <w:tcW w:w="4876" w:type="dxa"/>
            <w:tcBorders>
              <w:top w:val="nil"/>
              <w:left w:val="nil"/>
              <w:bottom w:val="nil"/>
              <w:right w:val="nil"/>
            </w:tcBorders>
          </w:tcPr>
          <w:p>
            <w:pPr>
              <w:pStyle w:val="Normal6a"/>
            </w:pPr>
            <w:r>
              <w:t>55.</w:t>
            </w:r>
            <w:r>
              <w:tab/>
            </w:r>
            <w:r>
              <w:rPr>
                <w:b/>
                <w:i/>
              </w:rPr>
              <w:t>zdůrazňuje, že Unie by měla být na požádání připravena podpořit kandidátské země při řešení dezinformací šířených v souvislosti s volebními procesy, a to i výměnou informací a sdílením poznatků;</w:t>
            </w:r>
            <w:r>
              <w:t xml:space="preserve"> zdůrazňuje, že je třeba, aby Evropský štít pro demokracii měl silný vnější rozměr; vítá,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podpory nezávislých sdělovacích prostředků a žurnalistiky a zvýšení jejich schopnosti monitorovat dezinformace v sociálních médiích před volbami a během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1409</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zdůrazňuje, že je třeba, aby Evropský štít pro demokracii měl silný vnější rozměr; vítá,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podpory nezávislých sdělovacích prostředků a žurnalistiky a zvýšení jejich schopnosti monitorovat dezinformace v sociálních médiích před volbami a během voleb;</w:t>
            </w:r>
          </w:p>
        </w:tc>
        <w:tc>
          <w:tcPr>
            <w:tcW w:w="4876" w:type="dxa"/>
            <w:tcBorders>
              <w:top w:val="nil"/>
              <w:left w:val="nil"/>
              <w:bottom w:val="nil"/>
              <w:right w:val="nil"/>
            </w:tcBorders>
          </w:tcPr>
          <w:p>
            <w:pPr>
              <w:pStyle w:val="Normal6a"/>
            </w:pPr>
            <w:r>
              <w:t>55.</w:t>
            </w:r>
            <w:r>
              <w:tab/>
            </w:r>
            <w:r>
              <w:t xml:space="preserve">zdůrazňuje, že je třeba, aby Evropský štít pro demokracii měl silný vnější rozměr; vítá,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podpory nezávislých sdělovacích prostředků a žurnalistiky a zvýšení jejich schopnosti monitorovat dezinformace v sociálních médiích před volbami a během voleb; </w:t>
            </w:r>
            <w:r>
              <w:rPr>
                <w:b/>
                <w:i/>
              </w:rPr>
              <w:t>trvá na tom, že je třeba mít řádné financování, včetně základního financování, například prostřednictvím mechanismu Globální Evropa, na podporu nezávislých sdělovacích prostředků v sousedních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1410</w:t>
      </w:r>
      <w:r>
        <w:rPr>
          <w:rStyle w:val="HideTWBExt"/>
        </w:rPr>
        <w:t>&lt;/NumAm&gt;</w:t>
      </w:r>
    </w:p>
    <w:p>
      <w:pPr>
        <w:pStyle w:val="NormalBold"/>
      </w:pPr>
      <w:r>
        <w:rPr>
          <w:rStyle w:val="HideTWBExt"/>
          <w:b w:val="0"/>
        </w:rPr>
        <w:t>&lt;RepeatBlock-By&gt;</w:t>
      </w:r>
      <w:r>
        <w:rPr>
          <w:rStyle w:val="HideTWBExt"/>
          <w:b w:val="0"/>
        </w:rPr>
        <w:t>&lt;Members&gt;</w:t>
      </w:r>
      <w:r>
        <w:t>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zdůrazňuje, že </w:t>
            </w:r>
            <w:r>
              <w:rPr>
                <w:b/>
                <w:i/>
              </w:rPr>
              <w:t>je třeba, aby Evropský štít pro demokracii měl silný vnější rozměr;</w:t>
            </w:r>
            <w:r>
              <w:t xml:space="preserve"> </w:t>
            </w:r>
            <w:r>
              <w:rPr>
                <w:b/>
                <w:i/>
              </w:rPr>
              <w:t>vítá</w:t>
            </w:r>
            <w:r>
              <w:t>,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w:t>
            </w:r>
            <w:r>
              <w:rPr>
                <w:b/>
                <w:i/>
              </w:rPr>
              <w:t>, podpory nezávislých sdělovacích prostředků a žurnalistiky</w:t>
            </w:r>
            <w:r>
              <w:t xml:space="preserve"> a zvýšení jejich schopnosti monitorovat dezinformace v sociálních médiích před volbami a během voleb;</w:t>
            </w:r>
          </w:p>
        </w:tc>
        <w:tc>
          <w:tcPr>
            <w:tcW w:w="4876" w:type="dxa"/>
            <w:tcBorders>
              <w:top w:val="nil"/>
              <w:left w:val="nil"/>
              <w:bottom w:val="nil"/>
              <w:right w:val="nil"/>
            </w:tcBorders>
          </w:tcPr>
          <w:p>
            <w:pPr>
              <w:pStyle w:val="Normal6a"/>
            </w:pPr>
            <w:r>
              <w:t>55.</w:t>
            </w:r>
            <w:r>
              <w:tab/>
            </w:r>
            <w:r>
              <w:t xml:space="preserve">zdůrazňuje, že </w:t>
            </w:r>
            <w:r>
              <w:rPr>
                <w:b/>
                <w:i/>
              </w:rPr>
              <w:t>Unie by měla být na požádání připravena podpořit kandidátské země při řešení dezinformací šířených v souvislosti s volebními procesy, a to výměnou informací a sdílením poznatků;</w:t>
            </w:r>
            <w:r>
              <w:t xml:space="preserve"> </w:t>
            </w:r>
            <w:r>
              <w:rPr>
                <w:b/>
                <w:i/>
              </w:rPr>
              <w:t>bere na vědomí</w:t>
            </w:r>
            <w:r>
              <w:t>,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a zvýšení jejich schopnosti monitorovat dezinformace v sociálních médiích před volbami a během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zdůrazňuje, že je třeba, aby Evropský štít pro demokracii měl silný vnější rozměr; vítá,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podpory nezávislých sdělovacích prostředků a žurnalistiky a zvýšení jejich schopnosti monitorovat dezinformace v sociálních médiích před volbami a během voleb;</w:t>
            </w:r>
          </w:p>
        </w:tc>
        <w:tc>
          <w:tcPr>
            <w:tcW w:w="4876" w:type="dxa"/>
            <w:tcBorders>
              <w:top w:val="nil"/>
              <w:left w:val="nil"/>
              <w:bottom w:val="nil"/>
              <w:right w:val="nil"/>
            </w:tcBorders>
          </w:tcPr>
          <w:p>
            <w:pPr>
              <w:pStyle w:val="Normal6a"/>
            </w:pPr>
            <w:r>
              <w:t>55.</w:t>
            </w:r>
            <w:r>
              <w:tab/>
            </w:r>
            <w:r>
              <w:t xml:space="preserve">zdůrazňuje, že je třeba, aby Evropský štít pro demokracii měl </w:t>
            </w:r>
            <w:r>
              <w:rPr>
                <w:b/>
                <w:i/>
              </w:rPr>
              <w:t>v první řadě</w:t>
            </w:r>
            <w:r>
              <w:t xml:space="preserve"> silný vnější rozměr; vítá,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podpory nezávislých sdělovacích prostředků a žurnalistiky a zvýšení jejich schopnosti monitorovat dezinformace v sociálních médiích před volbami a během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55a.</w:t>
            </w:r>
            <w:r>
              <w:tab/>
            </w:r>
            <w:r>
              <w:rPr>
                <w:b/>
                <w:i/>
              </w:rPr>
              <w:t>zdůrazňuje, že cíle a ochrana Evropského štítu pro demokracii by měly být výslovně rozšířeny na kandidátské země, protože jsou intenzivněji vystaveny zahraniční manipulaci s informacemi a vměšování, hybridním hrozbám a pokusům o oslabení demokratických institucí, a že je nutné k nim zaujmout diferencovaný přístup zohledňující kontext;</w:t>
            </w:r>
            <w:r>
              <w:t xml:space="preserve"> </w:t>
            </w:r>
            <w:r>
              <w:rPr>
                <w:b/>
                <w:i/>
              </w:rPr>
              <w:t>zdůrazňuje, že posílení demokratické odolnosti v těchto zemích má zásadní význam nejen pro důvěryhodnost procesu rozšíření EU, ale také pro bezpečnost a demokratickou stabilitu Unie jako celku;</w:t>
            </w:r>
            <w:r>
              <w:t xml:space="preserve"> </w:t>
            </w:r>
            <w:r>
              <w:rPr>
                <w:b/>
                <w:i/>
              </w:rPr>
              <w:t>vyzývá Komisi a ESVČ, aby zajistily, že kandidátské země budou v rámci vnějšího rozměru Evropského štítu pro demokracii systematicky zahrnovány do příslušných činností, podpůrných mechanismů a opatření na budování kapacit;</w:t>
            </w:r>
            <w:r>
              <w:t xml:space="preserve"> </w:t>
            </w:r>
            <w:r>
              <w:rPr>
                <w:b/>
                <w:i/>
              </w:rPr>
              <w:t>vyzývá Komisi, aby podporovala a usnadňovala aktivní účast kandidátských zemí na všech příslušných nástrojích a iniciativách v rámci Evropského štítu pro demokracii;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55a.</w:t>
            </w:r>
            <w:r>
              <w:tab/>
            </w:r>
            <w:r>
              <w:rPr>
                <w:b/>
                <w:i/>
              </w:rPr>
              <w:t>konstatuje, že dlouhodobým cílem Moskvy je oslabit transatlantické vazby a vytlačit Spojené státy z Evropy, a vyjadřuje znepokojení nad veškerými iniciativami, které by mohly narušit spolupráci mezi Evropou a Spojenými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55b.</w:t>
            </w:r>
            <w:r>
              <w:tab/>
            </w:r>
            <w:r>
              <w:rPr>
                <w:b/>
                <w:i/>
              </w:rPr>
              <w:t>vyzývá Komisi, aby podporovala kandidátské země a potenciální kandidátské země při vypracovávání a provádění souborů digitálních a mediálních pravidel EU pro snazší komunikaci s orgány členských států s cílem zabránit mezerám v právních předpisech a přeshraničním vedlejším účinkům;</w:t>
            </w:r>
            <w:r>
              <w:t xml:space="preserve"> </w:t>
            </w:r>
            <w:r>
              <w:rPr>
                <w:b/>
                <w:i/>
              </w:rPr>
              <w:t>zdůrazňuje, že je třeba, aby Komise strukturovaně spolupracovala s online platformami v kandidátských zemích, zejména v souvislosti s volbami, s cílem zajistit jejich odpovědnost, zmírňování rizik a dodržování předpisů namísto opatření přijímaných ad hoc nebo v reakci na krizi;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55c.</w:t>
            </w:r>
            <w:r>
              <w:tab/>
            </w:r>
            <w:r>
              <w:rPr>
                <w:b/>
                <w:i/>
              </w:rPr>
              <w:t>bere na vědomí vedoucí úlohu Tchaj-wanu v rozvoji vyspělých technologií a jeho rozsáhlé zkušenosti s obranou před čínskými hybridními útoky a před zahraniční manipulací s informacemi a vměšováním, což by mělo být v první řadě zohledněno při posuzování možností pro posílení mnohostranných výměn a spolupráce;</w:t>
            </w:r>
            <w:r>
              <w:t xml:space="preserve"> </w:t>
            </w:r>
            <w:r>
              <w:rPr>
                <w:b/>
                <w:i/>
              </w:rPr>
              <w:t>vyzývá k pravidelným výměnám mezi EU a jejími tchajwanskými protějšky o důležitých bezpečnostních otázkách a k užší spolupráci v boji proti zahraniční manipulaci s informacemi a vměšování a proti sabotážím podmořských kabelů;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1416</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podporuje myšlenku využít diplomatické cesty k posílení kapacit v prioritních regionech; domnívá se</w:t>
            </w:r>
            <w:r>
              <w:rPr>
                <w:b/>
                <w:i/>
              </w:rPr>
              <w:t>, že úloha delegací EU a velvyslanectví členských států EU je klíčová, pokud jde o lepší pochopení místních podmínek, které mohou vést k zahraničnímu vměšování, a zajištění odpovídající reakce;</w:t>
            </w:r>
            <w:r>
              <w:t xml:space="preserve"> </w:t>
            </w:r>
            <w:r>
              <w:rPr>
                <w:b/>
                <w:i/>
              </w:rPr>
              <w:t>bere na vědomí</w:t>
            </w:r>
            <w:r>
              <w:t xml:space="preserve">, že delegace EU a velvyslanectví členských států </w:t>
            </w:r>
            <w:r>
              <w:rPr>
                <w:b/>
                <w:i/>
              </w:rPr>
              <w:t>mohou podporovat pořádání osvětových kampaní v hostitelských zemích;</w:t>
            </w:r>
            <w:r>
              <w:t xml:space="preserve"> </w:t>
            </w:r>
            <w:r>
              <w:rPr>
                <w:b/>
                <w:i/>
              </w:rPr>
              <w:t>zdůrazňuje, že je důležité zapojit mise a operace společné bezpečnostní a obranné politiky (SBOP) do činností plánovaných ve společném sdělení</w:t>
            </w:r>
            <w:r>
              <w:t xml:space="preserve">; </w:t>
            </w:r>
            <w:r>
              <w:rPr>
                <w:b/>
                <w:i/>
              </w:rPr>
              <w:t>vyzývá členské státy a ESVČ, aby do jednotlivých mandátů misí a operací začlenily činnost v oblasti budování kapacit a odbornou přípravu v oblasti hybridních hrozeb s cílem zvýšit připravenost vnitrostátních protějšků;</w:t>
            </w:r>
          </w:p>
        </w:tc>
        <w:tc>
          <w:tcPr>
            <w:tcW w:w="4876" w:type="dxa"/>
            <w:tcBorders>
              <w:top w:val="nil"/>
              <w:left w:val="nil"/>
              <w:bottom w:val="nil"/>
              <w:right w:val="nil"/>
            </w:tcBorders>
          </w:tcPr>
          <w:p>
            <w:pPr>
              <w:pStyle w:val="Normal6a"/>
            </w:pPr>
            <w:r>
              <w:t>56.</w:t>
            </w:r>
            <w:r>
              <w:tab/>
            </w:r>
            <w:r>
              <w:t xml:space="preserve">podporuje myšlenku využít diplomatické cesty k posílení </w:t>
            </w:r>
            <w:r>
              <w:rPr>
                <w:b/>
                <w:i/>
              </w:rPr>
              <w:t>diplomatických</w:t>
            </w:r>
            <w:r>
              <w:t xml:space="preserve"> kapacit v prioritních regionech; domnívá se, že delegace EU a velvyslanectví členských států </w:t>
            </w:r>
            <w:r>
              <w:rPr>
                <w:b/>
                <w:i/>
              </w:rPr>
              <w:t>EU mají klíčovou úlohu pro lepší pochopení místních podmínek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podporuje myšlenku využít diplomatické cesty k posílení kapacit v prioritních regionech; 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zdůrazňuje, že je důležité zapojit mise a operace společné bezpečnostní a obranné politiky (SBOP) do činností plánovaných ve společném sdělení; vyzývá členské státy a ESVČ, aby do jednotlivých mandátů misí a operací začlenily činnost v oblasti budování kapacit a odbornou přípravu v oblasti hybridních hrozeb </w:t>
            </w:r>
            <w:r>
              <w:rPr>
                <w:b/>
                <w:i/>
              </w:rPr>
              <w:t>s cílem zvýšit</w:t>
            </w:r>
            <w:r>
              <w:t xml:space="preserve"> připravenost vnitrostátních protějšků;</w:t>
            </w:r>
          </w:p>
        </w:tc>
        <w:tc>
          <w:tcPr>
            <w:tcW w:w="4876" w:type="dxa"/>
            <w:tcBorders>
              <w:top w:val="nil"/>
              <w:left w:val="nil"/>
              <w:bottom w:val="nil"/>
              <w:right w:val="nil"/>
            </w:tcBorders>
          </w:tcPr>
          <w:p>
            <w:pPr>
              <w:pStyle w:val="Normal6a"/>
            </w:pPr>
            <w:r>
              <w:t>56.</w:t>
            </w:r>
            <w:r>
              <w:tab/>
            </w:r>
            <w:r>
              <w:t xml:space="preserve">podporuje myšlenku využít diplomatické cesty k posílení kapacit v prioritních regionech; 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w:t>
            </w:r>
            <w:r>
              <w:rPr>
                <w:b/>
                <w:i/>
              </w:rPr>
              <w:t>za předpokladu, že tyto činnosti zůstanou zaměřené čistě na fakta a na bezpečnost a budou respektovat místní politický a společenský kontext</w:t>
            </w:r>
            <w:r>
              <w:t xml:space="preserve">; zdůrazňuje, že je důležité zapojit mise a operace společné bezpečnostní a obranné politiky (SBOP) do činností plánovaných ve společném sdělení; vyzývá členské státy a ESVČ, aby do jednotlivých mandátů misí a operací </w:t>
            </w:r>
            <w:r>
              <w:rPr>
                <w:b/>
                <w:i/>
              </w:rPr>
              <w:t>ve vhodných případech</w:t>
            </w:r>
            <w:r>
              <w:t xml:space="preserve"> začlenily činnost v oblasti budování kapacit a odbornou přípravu v oblasti hybridních hrozeb</w:t>
            </w:r>
            <w:r>
              <w:rPr>
                <w:b/>
                <w:i/>
              </w:rPr>
              <w:t>, přičemž by měly plně respektovat jejich civilní nebo vojenské povahu a hlavní bezpečnostní cíle, aby se zvýšila</w:t>
            </w:r>
            <w:r>
              <w:t xml:space="preserve"> připravenost vnitrostátních protějšků;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rPr>
                <w:b/>
                <w:i/>
              </w:rPr>
              <w:t>podporuje myšlenku využít diplomatické cesty k posílení kapacit v prioritních regionech;</w:t>
            </w:r>
            <w:r>
              <w:t xml:space="preserve"> 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w:t>
            </w:r>
            <w:r>
              <w:rPr>
                <w:b/>
                <w:i/>
              </w:rPr>
              <w:t>zdůrazňuje, že je důležité zapojit mise a operace společné bezpečnostní a obranné politiky (SBOP) do činností plánovaných ve společném sdělení;</w:t>
            </w:r>
            <w:r>
              <w:t xml:space="preserve"> vyzývá členské státy a ESVČ, aby do jednotlivých mandátů misí a operací </w:t>
            </w:r>
            <w:r>
              <w:rPr>
                <w:b/>
                <w:i/>
              </w:rPr>
              <w:t>začlenily činnost v oblasti budování kapacit a odbornou přípravu</w:t>
            </w:r>
            <w:r>
              <w:t xml:space="preserve"> v oblasti hybridních hrozeb s cílem zvýšit připravenost vnitrostátních protějšků;</w:t>
            </w:r>
          </w:p>
        </w:tc>
        <w:tc>
          <w:tcPr>
            <w:tcW w:w="4876" w:type="dxa"/>
            <w:tcBorders>
              <w:top w:val="nil"/>
              <w:left w:val="nil"/>
              <w:bottom w:val="nil"/>
              <w:right w:val="nil"/>
            </w:tcBorders>
          </w:tcPr>
          <w:p>
            <w:pPr>
              <w:pStyle w:val="Normal6a"/>
            </w:pPr>
            <w:r>
              <w:t>56.</w:t>
            </w:r>
            <w:r>
              <w:tab/>
            </w:r>
            <w:r>
              <w:t>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vyzývá členské státy a ESVČ</w:t>
            </w:r>
            <w:r>
              <w:rPr>
                <w:b/>
                <w:i/>
              </w:rPr>
              <w:t>, aby zajistila</w:t>
            </w:r>
            <w:r>
              <w:t xml:space="preserve">, aby do jednotlivých mandátů misí a operací </w:t>
            </w:r>
            <w:r>
              <w:rPr>
                <w:b/>
                <w:i/>
              </w:rPr>
              <w:t>byla zahrnuta odborná příprava</w:t>
            </w:r>
            <w:r>
              <w:t xml:space="preserve"> v oblasti hybridních hrozeb s cílem zvýšit připravenost vnitrostátních protějšků;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podporuje myšlenku využít diplomatické cesty k posílení kapacit v prioritních regionech; 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zdůrazňuje, že je důležité zapojit mise a operace společné bezpečnostní a obranné politiky (SBOP) do činností plánovaných ve společném sdělení; vyzývá členské státy a ESVČ, aby do jednotlivých mandátů misí a operací začlenily činnost v oblasti budování kapacit a odbornou přípravu v oblasti hybridních hrozeb s cílem zvýšit připravenost vnitrostátních protějšků;</w:t>
            </w:r>
          </w:p>
        </w:tc>
        <w:tc>
          <w:tcPr>
            <w:tcW w:w="4876" w:type="dxa"/>
            <w:tcBorders>
              <w:top w:val="nil"/>
              <w:left w:val="nil"/>
              <w:bottom w:val="nil"/>
              <w:right w:val="nil"/>
            </w:tcBorders>
          </w:tcPr>
          <w:p>
            <w:pPr>
              <w:pStyle w:val="Normal6a"/>
            </w:pPr>
            <w:r>
              <w:t>56.</w:t>
            </w:r>
            <w:r>
              <w:tab/>
            </w:r>
            <w:r>
              <w:t xml:space="preserve">podporuje myšlenku využít diplomatické cesty k posílení kapacit v prioritních regionech; 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w:t>
            </w:r>
            <w:r>
              <w:rPr>
                <w:b/>
                <w:i/>
              </w:rPr>
              <w:t>je proto znepokojen zprávami o možném snížení počtu delegací EU a jejich zaměstnanců, zejména v souvislosti s rostoucími mezinárodními výzvami a geopolitickým napětím;</w:t>
            </w:r>
            <w:r>
              <w:t xml:space="preserve"> zdůrazňuje, že je důležité zapojit mise a operace společné bezpečnostní a obranné politiky (SBOP) do činností plánovaných ve společném sdělení; vyzývá členské státy a ESVČ, aby do jednotlivých mandátů misí a operací začlenily činnost v oblasti budování kapacit a odbornou přípravu v oblasti hybridních hrozeb s cílem zvýšit připravenost vnitrostátních protějšků;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1420</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podporuje myšlenku využít diplomatické cesty k posílení kapacit v prioritních regionech; domnívá se, že úloha </w:t>
            </w:r>
            <w:r>
              <w:rPr>
                <w:b/>
                <w:i/>
              </w:rPr>
              <w:t>delegací EU a</w:t>
            </w:r>
            <w:r>
              <w:t xml:space="preserve"> velvyslanectví členských států EU je klíčová, pokud jde o lepší pochopení místních podmínek, které mohou vést k zahraničnímu vměšování, a zajištění odpovídající reakce; bere na vědomí, že </w:t>
            </w:r>
            <w:r>
              <w:rPr>
                <w:b/>
                <w:i/>
              </w:rPr>
              <w:t>delegace EU a</w:t>
            </w:r>
            <w:r>
              <w:t xml:space="preserve"> velvyslanectví členských států mohou podporovat pořádání osvětových kampaní v hostitelských zemích</w:t>
            </w:r>
            <w:r>
              <w:rPr>
                <w:b/>
                <w:i/>
              </w:rPr>
              <w:t>;</w:t>
            </w:r>
            <w:r>
              <w:t xml:space="preserve"> </w:t>
            </w:r>
            <w:r>
              <w:rPr>
                <w:b/>
                <w:i/>
              </w:rPr>
              <w:t>zdůrazňuje, že je důležité zapojit mise a operace společné bezpečnostní a obranné politiky (SBOP) do činností plánovaných ve společném sdělení</w:t>
            </w:r>
            <w:r>
              <w:t>; vyzývá členské státy a ESVČ, aby do jednotlivých mandátů misí a operací začlenily činnost v oblasti budování kapacit a odbornou přípravu v oblasti hybridních hrozeb s cílem zvýšit připravenost vnitrostátních protějšků;</w:t>
            </w:r>
          </w:p>
        </w:tc>
        <w:tc>
          <w:tcPr>
            <w:tcW w:w="4876" w:type="dxa"/>
            <w:tcBorders>
              <w:top w:val="nil"/>
              <w:left w:val="nil"/>
              <w:bottom w:val="nil"/>
              <w:right w:val="nil"/>
            </w:tcBorders>
          </w:tcPr>
          <w:p>
            <w:pPr>
              <w:pStyle w:val="Normal6a"/>
            </w:pPr>
            <w:r>
              <w:t>56.</w:t>
            </w:r>
            <w:r>
              <w:tab/>
            </w:r>
            <w:r>
              <w:t>podporuje myšlenku využít diplomatické cesty k posílení kapacit v prioritních regionech; domnívá se, že úloha velvyslanectví členských států EU je klíčová, pokud jde o lepší pochopení místních podmínek, které mohou vést k zahraničnímu vměšování, a zajištění odpovídající reakce; bere na vědomí, že velvyslanectví členských států mohou podporovat pořádání osvětových kampaní v hostitelských zemích; vyzývá členské státy a ESVČ, aby do jednotlivých mandátů misí a operací začlenily činnost v oblasti budování kapacit a odbornou přípravu v oblasti hybridních hrozeb s cílem zvýšit připravenost vnitrostátních protějšků;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podporuje myšlenku využít diplomatické cesty k posílení kapacit v prioritních regionech; 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zdůrazňuje, že je důležité zapojit mise a operace společné bezpečnostní a obranné politiky (SBOP) do činností plánovaných ve společném sdělení; vyzývá členské státy a ESVČ, aby do jednotlivých mandátů misí a operací začlenily činnost v oblasti budování kapacit a odbornou přípravu v oblasti hybridních hrozeb s cílem zvýšit připravenost vnitrostátních protějšků;</w:t>
            </w:r>
          </w:p>
        </w:tc>
        <w:tc>
          <w:tcPr>
            <w:tcW w:w="4876" w:type="dxa"/>
            <w:tcBorders>
              <w:top w:val="nil"/>
              <w:left w:val="nil"/>
              <w:bottom w:val="nil"/>
              <w:right w:val="nil"/>
            </w:tcBorders>
          </w:tcPr>
          <w:p>
            <w:pPr>
              <w:pStyle w:val="Normal6a"/>
            </w:pPr>
            <w:r>
              <w:t>56.</w:t>
            </w:r>
            <w:r>
              <w:tab/>
            </w:r>
            <w:r>
              <w:t xml:space="preserve">podporuje myšlenku využít diplomatické cesty k posílení kapacit v prioritních regionech; 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zdůrazňuje, že je důležité zapojit mise a operace společné bezpečnostní a obranné politiky (SBOP) do činností plánovaných ve společném sdělení; vyzývá členské státy a ESVČ, aby do jednotlivých mandátů misí a operací začlenily činnost v oblasti budování kapacit a odbornou přípravu v oblasti hybridních hrozeb s cílem zvýšit připravenost vnitrostátních protějšků </w:t>
            </w:r>
            <w:r>
              <w:rPr>
                <w:b/>
                <w:i/>
              </w:rPr>
              <w:t>a využít působení agentury Frontex ve třetích zemích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podporuje myšlenku využít diplomatické cesty k posílení kapacit v prioritních regionech; 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zdůrazňuje, že je důležité zapojit mise a operace společné bezpečnostní a obranné politiky (SBOP) do činností plánovaných ve společném sdělení; vyzývá členské státy a ESVČ, aby </w:t>
            </w:r>
            <w:r>
              <w:rPr>
                <w:b/>
                <w:i/>
              </w:rPr>
              <w:t>do jednotlivých mandátů misí a operací</w:t>
            </w:r>
            <w:r>
              <w:t xml:space="preserve"> začlenily činnost v oblasti budování kapacit a odbornou přípravu </w:t>
            </w:r>
            <w:r>
              <w:rPr>
                <w:b/>
                <w:i/>
              </w:rPr>
              <w:t>v oblasti hybridních hrozeb</w:t>
            </w:r>
            <w:r>
              <w:t xml:space="preserve"> s cílem zvýšit připravenost vnitrostátních protějšků;</w:t>
            </w:r>
          </w:p>
        </w:tc>
        <w:tc>
          <w:tcPr>
            <w:tcW w:w="4876" w:type="dxa"/>
            <w:tcBorders>
              <w:top w:val="nil"/>
              <w:left w:val="nil"/>
              <w:bottom w:val="nil"/>
              <w:right w:val="nil"/>
            </w:tcBorders>
          </w:tcPr>
          <w:p>
            <w:pPr>
              <w:pStyle w:val="Normal6a"/>
            </w:pPr>
            <w:r>
              <w:t>56.</w:t>
            </w:r>
            <w:r>
              <w:tab/>
            </w:r>
            <w:r>
              <w:t>podporuje myšlenku využít diplomatické cesty k posílení kapacit v prioritních regionech; domnívá se, že úloha delegací EU a velvyslanectví členských států EU je klíčová, pokud jde o lepší pochopení místních podmínek, které mohou vést k zahraničnímu vměšování, a zajištění odpovídající reakce; bere na vědomí, že delegace EU a velvyslanectví členských států mohou podporovat pořádání osvětových kampaní v hostitelských zemích; zdůrazňuje, že je důležité zapojit mise a operace společné bezpečnostní a obranné politiky (SBOP) do činností plánovaných ve společném sdělení; vyzývá členské státy a ESVČ, aby začlenily činnost v oblasti budování kapacit a odbornou přípravu s cílem zvýšit připravenost vnitrostátních protějšků;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56a.</w:t>
            </w:r>
            <w:r>
              <w:tab/>
            </w:r>
            <w:r>
              <w:rPr>
                <w:b/>
                <w:i/>
              </w:rPr>
              <w:t>poukazuje na to, že odborníci z kandidátských a potenciálních kandidátských zemí mohou poskytnout jedinečné odborné znalosti a pohled na zahraniční vměšování a provádění demokratických iniciativ;</w:t>
            </w:r>
            <w:r>
              <w:t xml:space="preserve"> </w:t>
            </w:r>
            <w:r>
              <w:rPr>
                <w:b/>
                <w:i/>
              </w:rPr>
              <w:t>v tomto ohledu vyzývá Komisi, aby aktivně podporovala a usnadňovala účast kandidátských a potenciálních kandidátských zemí na všech nástrojích a iniciativách v rámci Evropského štítu pro demokracii, včetně dobrovolných mechanismů, a aby zajistila systematické zapojování zástupců těchto zemí do všech plánovaných nezávislých sítí odborníků a formátů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57.</w:t>
            </w:r>
            <w:r>
              <w:tab/>
            </w:r>
            <w:r>
              <w:rPr>
                <w:b/>
                <w:i/>
              </w:rPr>
              <w:t>vyzývá k vypracování komplexní strategie, na jejímž základě by delegace EU a mise a operace SBOP mohly v úzké koordinaci s diplomatickými misemi členských států EU účinněji sloužit jako první linie obrany proti hybridním útokům, včetně kybernetických operací a operací zahraniční manipulace s informacemi a vměšování;</w:t>
            </w:r>
            <w:r>
              <w:t xml:space="preserve"> </w:t>
            </w:r>
            <w:r>
              <w:rPr>
                <w:b/>
                <w:i/>
              </w:rPr>
              <w:t>domnívá se, že posílení kapacit v oblasti strategické komunikace a veřejné diplomacie v rámci delegací EU – se zaměřením na podporu narativů založených na faktech, občanské angažovanosti a budování důvěry, zejména mezi mladými lidmi a pedagogy – má zásadní význam;</w:t>
            </w:r>
            <w:r>
              <w:t xml:space="preserve"> </w:t>
            </w:r>
            <w:r>
              <w:rPr>
                <w:b/>
                <w:i/>
              </w:rPr>
              <w:t>vyzývá místopředsedkyni Komise, vysokou představitelku Unie pro zahraniční věci a bezpečnostní politiku a Radu, aby do misí SBOP začlenily týmy pro sledování dezinformací a reakci na ně, zajistily odbornou přípravu všech pracovníků misí v oblasti zahraniční manipulace s informacemi a vměšování a posílily koordinaci civilních a vojenských operací s cílem bojovat proti hybridnímu vlivu;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vyzývá k vypracování komplexní strategie, na jejímž základě by delegace EU a mise a operace SBOP mohly v úzké koordinaci s diplomatickými misemi členských států EU účinněji sloužit jako první linie obrany proti hybridním útokům, včetně kybernetických operací a operací zahraniční manipulace s informacemi a vměšování; domnívá se, že posílení kapacit v oblasti strategické komunikace a veřejné diplomacie v rámci delegací EU – se zaměřením na podporu narativů založených na faktech, občanské angažovanosti a budování důvěry, zejména mezi mladými lidmi a pedagogy – má zásadní význam; vyzývá místopředsedkyni Komise, vysokou představitelku Unie pro zahraniční věci a bezpečnostní politiku a Radu, aby do misí SBOP začlenily týmy pro sledování dezinformací a reakci na ně, zajistily odbornou přípravu všech pracovníků misí v oblasti zahraniční manipulace s informacemi a vměšování a posílily koordinaci civilních a vojenských operací s cílem bojovat proti hybridnímu vlivu;</w:t>
            </w:r>
          </w:p>
        </w:tc>
        <w:tc>
          <w:tcPr>
            <w:tcW w:w="4876" w:type="dxa"/>
            <w:tcBorders>
              <w:top w:val="nil"/>
              <w:left w:val="nil"/>
              <w:bottom w:val="nil"/>
              <w:right w:val="nil"/>
            </w:tcBorders>
          </w:tcPr>
          <w:p>
            <w:pPr>
              <w:pStyle w:val="Normal6a"/>
            </w:pPr>
            <w:r>
              <w:t>57.</w:t>
            </w:r>
            <w:r>
              <w:tab/>
            </w:r>
            <w:r>
              <w:t xml:space="preserve">vyzývá k vypracování komplexní strategie, na jejímž základě by delegace EU a mise a operace SBOP mohly v úzké koordinaci s diplomatickými misemi členských států EU účinněji sloužit jako první linie obrany proti hybridním útokům, včetně kybernetických operací a operací zahraniční manipulace s informacemi a vměšování; domnívá se, že posílení kapacit v oblasti strategické komunikace a veřejné diplomacie v rámci delegací EU – se zaměřením na podporu narativů založených na faktech, občanské angažovanosti a budování důvěry, zejména mezi mladými lidmi a pedagogy – má zásadní význam; vyzývá </w:t>
            </w:r>
            <w:r>
              <w:rPr>
                <w:b/>
                <w:i/>
              </w:rPr>
              <w:t>k tomu, aby bylo o misích a operacích SBOP strategicky informováno po celém světě, zejména v zemích v bezprostředním sousedství EU a v kandidátských zemích;</w:t>
            </w:r>
            <w:r>
              <w:t xml:space="preserve"> </w:t>
            </w:r>
            <w:r>
              <w:rPr>
                <w:b/>
                <w:i/>
              </w:rPr>
              <w:t>vyzývá k většímu zviditelnění misí a operací SBOP a k posílení strategické komunikace o jejich přínosech, přítomnosti a úloze;</w:t>
            </w:r>
            <w:r>
              <w:t xml:space="preserve"> </w:t>
            </w:r>
            <w:r>
              <w:rPr>
                <w:b/>
                <w:i/>
              </w:rPr>
              <w:t>zdůrazňuje, že mise a operace SBOP představují nejhmatatelnější ukázku sil EU navenek a jako takové jsou zásadní součástí strategických nástrojů EU;</w:t>
            </w:r>
            <w:r>
              <w:t xml:space="preserve"> </w:t>
            </w:r>
            <w:r>
              <w:rPr>
                <w:b/>
                <w:i/>
              </w:rPr>
              <w:t>vyzývá</w:t>
            </w:r>
            <w:r>
              <w:t xml:space="preserve"> místopředsedkyni Komise, vysokou představitelku Unie pro zahraniční věci a bezpečnostní politiku a Radu, aby do misí SBOP začlenily týmy pro sledování dezinformací a reakci na ně, zajistily odbornou přípravu všech pracovníků misí v oblasti zahraniční manipulace s informacemi a vměšování a posílily koordinaci civilních a vojenských operací s cílem bojovat proti hybridnímu vlivu; </w:t>
            </w:r>
            <w:r>
              <w:rPr>
                <w:b/>
                <w:i/>
              </w:rPr>
              <w:t>zdůrazňuje, že v boji proti dezinformacím a kybernetickým útokům je důležité posílit spolupráci s NATO, jejím Střediskem excelence pro strategickou komunikaci a Evropskou sítí pro kybernetickou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1426</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rPr>
                <w:b/>
                <w:i/>
              </w:rPr>
              <w:t>vyzývá k vypracování komplexní strategie, na jejímž základě by delegace EU a mise a operace SBOP mohly v úzké koordinaci s diplomatickými misemi členských států EU účinněji sloužit jako první linie obrany proti hybridním útokům, včetně kybernetických operací a operací zahraniční manipulace s informacemi a vměšování;</w:t>
            </w:r>
            <w:r>
              <w:t xml:space="preserve"> </w:t>
            </w:r>
            <w:r>
              <w:rPr>
                <w:b/>
                <w:i/>
              </w:rPr>
              <w:t>domnívá se, že posílení kapacit v oblasti strategické komunikace a veřejné diplomacie v rámci delegací EU – se zaměřením na podporu narativů založených na faktech, občanské angažovanosti a budování důvěry, zejména mezi mladými lidmi a pedagogy – má zásadní význam;</w:t>
            </w:r>
            <w:r>
              <w:t xml:space="preserve"> vyzývá místopředsedkyni Komise, vysokou představitelku Unie pro zahraniční věci a bezpečnostní politiku a Radu, aby do misí SBOP začlenily týmy pro sledování dezinformací a reakci na ně, zajistily odbornou přípravu všech pracovníků misí v oblasti zahraniční manipulace s informacemi a vměšování a posílily koordinaci civilních a vojenských operací s cílem bojovat proti hybridnímu vlivu;</w:t>
            </w:r>
          </w:p>
        </w:tc>
        <w:tc>
          <w:tcPr>
            <w:tcW w:w="4876" w:type="dxa"/>
            <w:tcBorders>
              <w:top w:val="nil"/>
              <w:left w:val="nil"/>
              <w:bottom w:val="nil"/>
              <w:right w:val="nil"/>
            </w:tcBorders>
          </w:tcPr>
          <w:p>
            <w:pPr>
              <w:pStyle w:val="Normal6a"/>
            </w:pPr>
            <w:r>
              <w:t>57.</w:t>
            </w:r>
            <w:r>
              <w:tab/>
            </w:r>
            <w:r>
              <w:t>vyzývá místopředsedkyni Komise, vysokou představitelku Unie pro zahraniční věci a bezpečnostní politiku a Radu, aby do misí SBOP začlenily týmy pro sledování dezinformací a reakci na ně, zajistily odbornou přípravu všech pracovníků misí v oblasti zahraniční manipulace s informacemi a vměšování a posílily koordinaci civilních a vojenských operací s cílem bojovat proti hybridnímu vlivu;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1427</w:t>
      </w:r>
      <w:r>
        <w:rPr>
          <w:rStyle w:val="HideTWBExt"/>
        </w:rPr>
        <w:t>&lt;/NumAm&gt;</w:t>
      </w:r>
    </w:p>
    <w:p>
      <w:pPr>
        <w:pStyle w:val="NormalBold"/>
      </w:pPr>
      <w:r>
        <w:rPr>
          <w:rStyle w:val="HideTWBExt"/>
          <w:b w:val="0"/>
        </w:rPr>
        <w:t>&lt;RepeatBlock-By&gt;</w:t>
      </w:r>
      <w:r>
        <w:rPr>
          <w:rStyle w:val="HideTWBExt"/>
          <w:b w:val="0"/>
        </w:rPr>
        <w:t>&lt;Members&gt;</w:t>
      </w:r>
      <w:r>
        <w:t>Jaroslav Bžoch,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vyzývá k vypracování komplexní strategie, na jejímž základě by delegace </w:t>
            </w:r>
            <w:r>
              <w:rPr>
                <w:b/>
                <w:i/>
              </w:rPr>
              <w:t>EU</w:t>
            </w:r>
            <w:r>
              <w:t xml:space="preserve"> a mise </w:t>
            </w:r>
            <w:r>
              <w:rPr>
                <w:b/>
                <w:i/>
              </w:rPr>
              <w:t>a operace SBOP</w:t>
            </w:r>
            <w:r>
              <w:t xml:space="preserve"> mohly v úzké koordinaci s diplomatickými misemi členských států EU účinněji sloužit jako první linie obrany proti hybridním útokům, včetně kybernetických operací a operací zahraniční manipulace s informacemi a vměšování; </w:t>
            </w:r>
            <w:r>
              <w:rPr>
                <w:b/>
                <w:i/>
              </w:rPr>
              <w:t>domnívá se, že posílení kapacit v oblasti strategické komunikace a veřejné diplomacie v rámci delegací EU – se zaměřením na podporu narativů založených na faktech, občanské angažovanosti a budování důvěry, zejména mezi mladými lidmi a pedagogy – má zásadní význam;</w:t>
            </w:r>
            <w:r>
              <w:t xml:space="preserve"> vyzývá místopředsedkyni Komise, vysokou představitelku Unie pro zahraniční věci a bezpečnostní politiku a Radu, aby </w:t>
            </w:r>
            <w:r>
              <w:rPr>
                <w:b/>
                <w:i/>
              </w:rPr>
              <w:t>do misí SBOP začlenily týmy pro sledování dezinformací a reakci na ně,</w:t>
            </w:r>
            <w:r>
              <w:t xml:space="preserve"> zajistily odbornou přípravu všech pracovníků misí v oblasti zahraniční manipulace s informacemi a vměšování a posílily koordinaci civilních a vojenských operací s cílem bojovat proti hybridnímu vlivu;</w:t>
            </w:r>
          </w:p>
        </w:tc>
        <w:tc>
          <w:tcPr>
            <w:tcW w:w="4876" w:type="dxa"/>
            <w:tcBorders>
              <w:top w:val="nil"/>
              <w:left w:val="nil"/>
              <w:bottom w:val="nil"/>
              <w:right w:val="nil"/>
            </w:tcBorders>
          </w:tcPr>
          <w:p>
            <w:pPr>
              <w:pStyle w:val="Normal6a"/>
            </w:pPr>
            <w:r>
              <w:t>57.</w:t>
            </w:r>
            <w:r>
              <w:tab/>
            </w:r>
            <w:r>
              <w:t xml:space="preserve">vyzývá k vypracování komplexní strategie, na jejímž základě by delegace a mise </w:t>
            </w:r>
            <w:r>
              <w:rPr>
                <w:b/>
                <w:i/>
              </w:rPr>
              <w:t>EU</w:t>
            </w:r>
            <w:r>
              <w:t xml:space="preserve"> mohly v úzké koordinaci s diplomatickými misemi členských států EU účinněji sloužit jako první linie obrany proti hybridním útokům, včetně kybernetických operací a operací zahraniční manipulace s informacemi a vměšování; vyzývá místopředsedkyni Komise, vysokou představitelku Unie pro zahraniční věci a bezpečnostní politiku a Radu, aby zajistily odbornou přípravu všech pracovníků misí v oblasti zahraniční manipulace s informacemi a vměšování a posílily koordinaci civilních a vojenských operací s cílem bojovat proti hybridnímu vlivu;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vyzývá k vypracování komplexní strategie, na jejímž základě by delegace EU a mise a operace SBOP mohly v úzké koordinaci s diplomatickými misemi členských států EU účinněji sloužit jako první linie obrany proti hybridním útokům, včetně kybernetických operací a operací zahraniční manipulace s informacemi a vměšování; domnívá se, že posílení kapacit v oblasti strategické komunikace a veřejné diplomacie v rámci delegací EU </w:t>
            </w:r>
            <w:r>
              <w:rPr>
                <w:b/>
                <w:i/>
              </w:rPr>
              <w:t>– se zaměřením</w:t>
            </w:r>
            <w:r>
              <w:t xml:space="preserve"> na podporu narativů založených na faktech, občanské angažovanosti a budování důvěry, zejména mezi mladými lidmi a pedagogy </w:t>
            </w:r>
            <w:r>
              <w:rPr>
                <w:b/>
                <w:i/>
              </w:rPr>
              <w:t>– má zásadní význam</w:t>
            </w:r>
            <w:r>
              <w:t>; vyzývá místopředsedkyni Komise, vysokou představitelku Unie pro zahraniční věci a bezpečnostní politiku a Radu, aby do misí SBOP začlenily týmy pro sledování dezinformací a reakci na ně, zajistily odbornou přípravu všech pracovníků misí v oblasti zahraniční manipulace s informacemi a vměšování a posílily koordinaci civilních a vojenských operací s cílem bojovat proti hybridnímu vlivu;</w:t>
            </w:r>
          </w:p>
        </w:tc>
        <w:tc>
          <w:tcPr>
            <w:tcW w:w="4876" w:type="dxa"/>
            <w:tcBorders>
              <w:top w:val="nil"/>
              <w:left w:val="nil"/>
              <w:bottom w:val="nil"/>
              <w:right w:val="nil"/>
            </w:tcBorders>
          </w:tcPr>
          <w:p>
            <w:pPr>
              <w:pStyle w:val="Normal6a"/>
            </w:pPr>
            <w:r>
              <w:t>57.</w:t>
            </w:r>
            <w:r>
              <w:tab/>
            </w:r>
            <w:r>
              <w:t xml:space="preserve">vyzývá k vypracování komplexní strategie, na jejímž základě by delegace EU a mise a operace SBOP mohly v úzké koordinaci s diplomatickými misemi členských států EU účinněji sloužit jako první linie obrany proti hybridním útokům, včetně kybernetických operací a operací zahraniční manipulace s informacemi a vměšování; domnívá se, že </w:t>
            </w:r>
            <w:r>
              <w:rPr>
                <w:b/>
                <w:i/>
              </w:rPr>
              <w:t>je velmi důležité, aby</w:t>
            </w:r>
            <w:r>
              <w:t xml:space="preserve"> posílení kapacit v oblasti strategické komunikace a veřejné diplomacie v rámci delegací EU </w:t>
            </w:r>
            <w:r>
              <w:rPr>
                <w:b/>
                <w:i/>
              </w:rPr>
              <w:t>i nadále kladlo důraz výhradně na fakta, soustředilo se na bezpečnost a zůstalo neutrální a aby se zaměřilo</w:t>
            </w:r>
            <w:r>
              <w:t xml:space="preserve"> na podporu narativů založených na faktech, občanské angažovanosti a budování důvěry, zejména mezi mladými lidmi a pedagogy; vyzývá místopředsedkyni Komise, vysokou představitelku Unie pro zahraniční věci a bezpečnostní politiku a Radu, aby do misí SBOP začlenily týmy pro sledování dezinformací a reakci na ně, zajistily odbornou přípravu všech pracovníků misí v oblasti zahraniční manipulace s informacemi a vměšování a posílily koordinaci civilních a vojenských operací s cílem bojovat proti hybridnímu vlivu;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zdůrazňuje, že v rámci širší strategie Unie pro odolnost je důležité posílit náboženskou angažovanost a dialog a podporovat strukturovanou a transparentní spolupráci EU, členských států a legitimních náboženských aktérů v boji proti hybridním hrozbám, dezinformacím a účelovému využívání náboženství, přičemž je nutné plně respektovat svobodu náboženského vyznání nebo přesvědčení a pluralismus;</w:t>
            </w:r>
            <w:r>
              <w:t xml:space="preserve"> </w:t>
            </w:r>
            <w:r>
              <w:rPr>
                <w:b/>
                <w:i/>
              </w:rPr>
              <w:t>žádá, aby byly na úrovni EU vypracovány soudržné strategie na podporu místních mezináboženských iniciativ, zvýšení mediální a informační gramotnosti členů náboženských komunit a posílení záruk proti zahraničnímu zneužívání náboženských institucí a narativů pro politické nebo destabilizační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vyzývá ke komplexnímu prošetření politických, hospodářských a institucionálních pohnutek dřívějších politik usilujících o obnovení vztahů s Ruskou federací a škod způsobených těmito naivními nebo krátkozrakými přístupy;</w:t>
            </w:r>
            <w:r>
              <w:t xml:space="preserve"> </w:t>
            </w:r>
            <w:r>
              <w:rPr>
                <w:b/>
                <w:i/>
              </w:rPr>
              <w:t>zdůrazňuje, že opakované pokusy o normalizaci vztahů, aniž by byla zohledněna bytostná povaha ruského státu a jeho imperiální strategické cíle, přispěly ke zvýšené nestabilitě a k oslabení odrazujícího účinku a evropské a celosvětové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57b.</w:t>
            </w:r>
            <w:r>
              <w:tab/>
            </w:r>
            <w:r>
              <w:rPr>
                <w:b/>
                <w:i/>
              </w:rPr>
              <w:t>vyjadřuje vážné znepokojení nad zprávami moldavských orgánů a nezávislými posouzeními bezpečnosti, z nichž vyplývá, že během parlamentních voleb v Moldavské republice v roce 2025 byly struktury spojené s Metropolí Kišiněva a celého Moldavska, která spadá pod moskevský patriarchát, zneužity v širší hybridní vlivové kampani, v jejímž pozadí stálo Rusko a která měla za cíl šířit dezinformace, ovlivňovat voliče a utvářet veřejné mínění ve prospěch proruských politických sil;</w:t>
            </w:r>
            <w:r>
              <w:t xml:space="preserve"> </w:t>
            </w:r>
            <w:r>
              <w:rPr>
                <w:b/>
                <w:i/>
              </w:rPr>
              <w:t>připomíná, že moldavské volební orgány zdokumentovaly případy, kdy se pravoslavní duchovní Metropole Kišiněv a celého Moldavska zapojili do politické kampaně, a že odborné analýzy toto zapojení označily za jeden z vlivových vektorů – spolu s koordinovanou aktivitou internetových botů, falešnými sdělovacími prostředky a údajným kupováním hlasů – používaných k oslabování demokratických procesů a ztěžování evropské integrace Moldavska;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57b.</w:t>
            </w:r>
            <w:r>
              <w:tab/>
            </w:r>
            <w:r>
              <w:rPr>
                <w:b/>
                <w:i/>
              </w:rPr>
              <w:t>zastává názor, že ruský stát, ať už jako carské Rusko, Sovětský svaz nebo současný Putinovský režim, soustavně představuje hrozbu pro své sousedy, mezinárodní právo a mezinárodní řád založený na pravidlech, o čemž svědčí dlouhá tradice vojenských agresí, nátlakových akcí a porušování svrchovanosti;</w:t>
            </w:r>
            <w:r>
              <w:t xml:space="preserve"> </w:t>
            </w:r>
            <w:r>
              <w:rPr>
                <w:b/>
                <w:i/>
              </w:rPr>
              <w:t>zdůrazňuje, že budoucí politiky EU a členských států musí být založeny na realistickém posouzení této historické kontinuity a musí upřednostňovat odstrašování, odolnost a bezpečnost zemí v sousedství Ruska před krátkodobými hospodářskými nebo politickými hledisky;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1433</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vítá skutečnost, že ve společném sdělení byl posílen závazek rozvíjet kapacitu ofenzivních informačních operací;</w:t>
            </w:r>
            <w:r>
              <w:t xml:space="preserve"> </w:t>
            </w:r>
            <w:r>
              <w:rPr>
                <w:b/>
                <w:i/>
              </w:rPr>
              <w:t>konstatuje, že pro tento závazek, který vyžaduje dlouhodobé plánování, je třeba vyčlenit zdroje;</w:t>
            </w:r>
            <w:r>
              <w:t xml:space="preserve"> </w:t>
            </w:r>
            <w:r>
              <w:rPr>
                <w:b/>
                <w:i/>
              </w:rPr>
              <w:t>zdůrazňuje, že cílem by mělo být, aby EU ve svém sousedství posílila proaktivní informační opatření proti destabilizujícímu úsilí Ruska;</w:t>
            </w:r>
            <w:r>
              <w:t xml:space="preserve"> </w:t>
            </w:r>
            <w:r>
              <w:rPr>
                <w:b/>
                <w:i/>
              </w:rPr>
              <w:t>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w:t>
            </w:r>
            <w:r>
              <w:t xml:space="preserve"> </w:t>
            </w:r>
            <w:r>
              <w:rPr>
                <w:b/>
                <w:i/>
              </w:rPr>
              <w:t>vyzývá k maximálnímu možnému využití digitálního a kybernetického prostoru a jeho bezhraniční povahy k dosažení tohoto cíle;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vítá skutečnost, že ve společném sdělení byl posílen závazek rozvíjet kapacitu ofenzivních informačních operací;</w:t>
            </w:r>
            <w:r>
              <w:t xml:space="preserve"> </w:t>
            </w:r>
            <w:r>
              <w:rPr>
                <w:b/>
                <w:i/>
              </w:rPr>
              <w:t>konstatuje, že pro tento závazek, který vyžaduje dlouhodobé plánování, je třeba vyčlenit zdroje;</w:t>
            </w:r>
            <w:r>
              <w:t xml:space="preserve"> </w:t>
            </w:r>
            <w:r>
              <w:rPr>
                <w:b/>
                <w:i/>
              </w:rPr>
              <w:t>zdůrazňuje, že cílem by mělo být, aby EU ve svém sousedství posílila proaktivní informační opatření proti destabilizujícímu úsilí Ruska;</w:t>
            </w:r>
            <w:r>
              <w:t xml:space="preserve"> </w:t>
            </w:r>
            <w:r>
              <w:rPr>
                <w:b/>
                <w:i/>
              </w:rPr>
              <w:t>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w:t>
            </w:r>
            <w:r>
              <w:t xml:space="preserve"> </w:t>
            </w:r>
            <w:r>
              <w:rPr>
                <w:b/>
                <w:i/>
              </w:rPr>
              <w:t>vyzývá k maximálnímu možnému využití digitálního a kybernetického prostoru a jeho bezhraniční povahy k dosažení tohoto cíle;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vítá skutečnost, že ve společném sdělení byl posílen závazek rozvíjet kapacitu ofenzivních informačních operací; konstatuje, že pro tento závazek, který vyžaduje dlouhodobé plánování, je třeba vyčlenit zdroje; zdůrazňuje, že cílem by mělo být, aby EU ve svém sousedství posílila proaktivní informační opatření proti destabilizujícímu úsilí Ruska; 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 vyzývá k maximálnímu možnému využití digitálního a kybernetického prostoru a jeho bezhraniční povahy k dosažení tohoto cíle;</w:t>
            </w:r>
          </w:p>
        </w:tc>
        <w:tc>
          <w:tcPr>
            <w:tcW w:w="4876" w:type="dxa"/>
            <w:tcBorders>
              <w:top w:val="nil"/>
              <w:left w:val="nil"/>
              <w:bottom w:val="nil"/>
              <w:right w:val="nil"/>
            </w:tcBorders>
          </w:tcPr>
          <w:p>
            <w:pPr>
              <w:pStyle w:val="Normal6a"/>
            </w:pPr>
            <w:r>
              <w:t>58.</w:t>
            </w:r>
            <w:r>
              <w:tab/>
            </w:r>
            <w:r>
              <w:t xml:space="preserve">vítá skutečnost, že ve společném sdělení byl posílen závazek rozvíjet kapacitu ofenzivních informačních operací; konstatuje, že pro tento závazek, který vyžaduje dlouhodobé plánování, je třeba vyčlenit zdroje; zdůrazňuje, že cílem by mělo být, aby EU ve svém sousedství posílila proaktivní informační opatření proti destabilizujícímu úsilí Ruska; 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 </w:t>
            </w:r>
            <w:r>
              <w:rPr>
                <w:b/>
                <w:i/>
              </w:rPr>
              <w:t>konstatuje, že ruský imperialismus je hluboce zakořeněn nejen v carských, sovětských a putinovských institucích, ale také v ruské společnosti;</w:t>
            </w:r>
            <w:r>
              <w:t xml:space="preserve"> vyzývá k maximálnímu možnému využití digitálního a kybernetického prostoru a jeho bezhraniční povahy k dosažení tohoto cíle; </w:t>
            </w:r>
            <w:r>
              <w:rPr>
                <w:b/>
                <w:i/>
              </w:rPr>
              <w:t>konstatuje, že chybné, naivní a v některých oblastech škodlivé politiky EU a některých členských států vůči Rusku byly motivovány zvláštními zájmy, které byly upřednostněny před legitimními bezpečnostními zájmy partnerů a spojenců;</w:t>
            </w:r>
            <w:r>
              <w:t xml:space="preserve"> </w:t>
            </w:r>
            <w:r>
              <w:rPr>
                <w:b/>
                <w:i/>
              </w:rPr>
              <w:t>zdůrazňuje, že je třeba z těchto chyb čerpat jasné ponaučení při utváření realističtější a zásadovější politiky, která bude klást větší důraz na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1436</w:t>
      </w:r>
      <w:r>
        <w:rPr>
          <w:rStyle w:val="HideTWBExt"/>
        </w:rPr>
        <w:t>&lt;/NumAm&gt;</w:t>
      </w:r>
    </w:p>
    <w:p>
      <w:pPr>
        <w:pStyle w:val="NormalBold"/>
      </w:pPr>
      <w:r>
        <w:rPr>
          <w:rStyle w:val="HideTWBExt"/>
          <w:b w:val="0"/>
        </w:rPr>
        <w:t>&lt;RepeatBlock-By&gt;</w:t>
      </w:r>
      <w:r>
        <w:rPr>
          <w:rStyle w:val="HideTWBExt"/>
          <w:b w:val="0"/>
        </w:rPr>
        <w:t>&lt;Members&gt;</w:t>
      </w:r>
      <w:r>
        <w:t>Jaroslav Bžoch,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rPr>
                <w:b/>
                <w:i/>
              </w:rPr>
              <w:t>vítá skutečnost</w:t>
            </w:r>
            <w:r>
              <w:t xml:space="preserve">, že ve společném sdělení byl </w:t>
            </w:r>
            <w:r>
              <w:rPr>
                <w:b/>
                <w:i/>
              </w:rPr>
              <w:t>posílen</w:t>
            </w:r>
            <w:r>
              <w:t xml:space="preserve"> závazek </w:t>
            </w:r>
            <w:r>
              <w:rPr>
                <w:b/>
                <w:i/>
              </w:rPr>
              <w:t>rozvíjet kapacitu</w:t>
            </w:r>
            <w:r>
              <w:t xml:space="preserve"> ofenzivních informačních operací</w:t>
            </w:r>
            <w:r>
              <w:rPr>
                <w:b/>
                <w:i/>
              </w:rPr>
              <w:t>;</w:t>
            </w:r>
            <w:r>
              <w:t xml:space="preserve"> </w:t>
            </w:r>
            <w:r>
              <w:rPr>
                <w:b/>
                <w:i/>
              </w:rPr>
              <w:t>konstatuje, že pro tento závazek, který vyžaduje dlouhodobé plánování, je třeba vyčlenit zdroje;</w:t>
            </w:r>
            <w:r>
              <w:t xml:space="preserve"> </w:t>
            </w:r>
            <w:r>
              <w:rPr>
                <w:b/>
                <w:i/>
              </w:rPr>
              <w:t>zdůrazňuje, že cílem by mělo být, aby EU ve svém sousedství posílila proaktivní informační opatření proti destabilizujícímu úsilí Ruska;</w:t>
            </w:r>
            <w:r>
              <w:t xml:space="preserve"> </w:t>
            </w:r>
            <w:r>
              <w:rPr>
                <w:b/>
                <w:i/>
              </w:rPr>
              <w:t>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w:t>
            </w:r>
            <w:r>
              <w:t xml:space="preserve">; </w:t>
            </w:r>
            <w:r>
              <w:rPr>
                <w:b/>
                <w:i/>
              </w:rPr>
              <w:t>vyzývá k maximálnímu možnému využití digitálního a kybernetického prostoru a jeho bezhraniční povahy k dosažení tohoto cíle;</w:t>
            </w:r>
          </w:p>
        </w:tc>
        <w:tc>
          <w:tcPr>
            <w:tcW w:w="4876" w:type="dxa"/>
            <w:tcBorders>
              <w:top w:val="nil"/>
              <w:left w:val="nil"/>
              <w:bottom w:val="nil"/>
              <w:right w:val="nil"/>
            </w:tcBorders>
          </w:tcPr>
          <w:p>
            <w:pPr>
              <w:pStyle w:val="Normal6a"/>
            </w:pPr>
            <w:r>
              <w:t>58.</w:t>
            </w:r>
            <w:r>
              <w:tab/>
            </w:r>
            <w:r>
              <w:rPr>
                <w:b/>
                <w:i/>
              </w:rPr>
              <w:t>vyjadřuje znepokojení nad tím</w:t>
            </w:r>
            <w:r>
              <w:t xml:space="preserve">, že ve společném sdělení byl </w:t>
            </w:r>
            <w:r>
              <w:rPr>
                <w:b/>
                <w:i/>
              </w:rPr>
              <w:t>přijat</w:t>
            </w:r>
            <w:r>
              <w:t xml:space="preserve"> závazek </w:t>
            </w:r>
            <w:r>
              <w:rPr>
                <w:b/>
                <w:i/>
              </w:rPr>
              <w:t>k rozvoji a realizaci kapacity</w:t>
            </w:r>
            <w:r>
              <w:t xml:space="preserve"> ofenzivních informačních operací</w:t>
            </w:r>
            <w:r>
              <w:rPr>
                <w:b/>
                <w:i/>
              </w:rPr>
              <w:t>, a nad tím, jak má být prováděn v praxi, neboť to může vést ke zhoršení mezinárodních vztahů a opodstatněným obviněním ze zahraničního vměšování ze strany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1437</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vítá skutečnost, že ve společném sdělení byl posílen závazek rozvíjet kapacitu ofenzivních informačních operací; konstatuje, že pro tento závazek, který vyžaduje dlouhodobé plánování, je třeba vyčlenit zdroje; zdůrazňuje, že cílem by mělo být, aby EU ve svém sousedství posílila proaktivní informační opatření proti destabilizujícímu úsilí Ruska; 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 vyzývá k maximálnímu možnému využití digitálního a kybernetického prostoru a jeho bezhraniční povahy k dosažení tohoto cíle;</w:t>
            </w:r>
          </w:p>
        </w:tc>
        <w:tc>
          <w:tcPr>
            <w:tcW w:w="4876" w:type="dxa"/>
            <w:tcBorders>
              <w:top w:val="nil"/>
              <w:left w:val="nil"/>
              <w:bottom w:val="nil"/>
              <w:right w:val="nil"/>
            </w:tcBorders>
          </w:tcPr>
          <w:p>
            <w:pPr>
              <w:pStyle w:val="Normal6a"/>
            </w:pPr>
            <w:r>
              <w:t>58.</w:t>
            </w:r>
            <w:r>
              <w:tab/>
            </w:r>
            <w:r>
              <w:t xml:space="preserve">vítá skutečnost, že ve společném sdělení byl posílen závazek rozvíjet kapacitu ofenzivních informačních operací; konstatuje, že pro tento závazek, který vyžaduje dlouhodobé plánování, je třeba vyčlenit zdroje; zdůrazňuje, že cílem by mělo být, aby EU ve svém sousedství posílila proaktivní informační opatření proti destabilizujícímu úsilí Ruska </w:t>
            </w:r>
            <w:r>
              <w:rPr>
                <w:b/>
                <w:i/>
              </w:rPr>
              <w:t>a dalších nepřátelských států a proti státem podporované manipulaci s informacemi a kognitivním válečným operacím</w:t>
            </w:r>
            <w:r>
              <w:t>; 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 vyzývá k maximálnímu možnému využití digitálního a kybernetického prostoru a jeho bezhraniční povahy k dosažení tohoto cíle;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vítá skutečnost, že ve společném sdělení byl posílen závazek rozvíjet kapacitu ofenzivních informačních operací; konstatuje, že pro tento závazek, který vyžaduje dlouhodobé plánování, je třeba vyčlenit zdroje; zdůrazňuje, </w:t>
            </w:r>
            <w:r>
              <w:rPr>
                <w:b/>
                <w:i/>
              </w:rPr>
              <w:t>že</w:t>
            </w:r>
            <w:r>
              <w:t xml:space="preserve"> cílem by mělo být, aby EU ve svém sousedství posílila proaktivní informační opatření proti destabilizujícímu úsilí </w:t>
            </w:r>
            <w:r>
              <w:rPr>
                <w:b/>
                <w:i/>
              </w:rPr>
              <w:t>Ruska</w:t>
            </w:r>
            <w:r>
              <w:t>; 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 vyzývá k maximálnímu možnému využití digitálního a kybernetického prostoru a jeho bezhraniční povahy k dosažení tohoto cíle;</w:t>
            </w:r>
          </w:p>
        </w:tc>
        <w:tc>
          <w:tcPr>
            <w:tcW w:w="4876" w:type="dxa"/>
            <w:tcBorders>
              <w:top w:val="nil"/>
              <w:left w:val="nil"/>
              <w:bottom w:val="nil"/>
              <w:right w:val="nil"/>
            </w:tcBorders>
          </w:tcPr>
          <w:p>
            <w:pPr>
              <w:pStyle w:val="Normal6a"/>
            </w:pPr>
            <w:r>
              <w:t>58.</w:t>
            </w:r>
            <w:r>
              <w:tab/>
            </w:r>
            <w:r>
              <w:t xml:space="preserve">vítá skutečnost, že ve společném sdělení byl posílen závazek rozvíjet kapacitu ofenzivních informačních operací; konstatuje, že pro tento závazek, který vyžaduje dlouhodobé plánování, je třeba vyčlenit zdroje; zdůrazňuje, cílem by mělo být, aby EU ve svém sousedství posílila proaktivní informační opatření </w:t>
            </w:r>
            <w:r>
              <w:rPr>
                <w:b/>
                <w:i/>
              </w:rPr>
              <w:t>s cílem bojovat</w:t>
            </w:r>
            <w:r>
              <w:t xml:space="preserve"> proti destabilizujícímu úsilí</w:t>
            </w:r>
            <w:r>
              <w:rPr>
                <w:b/>
                <w:i/>
              </w:rPr>
              <w:t>, koordinované manipulaci s informacemi a nepřátelským vlivovým kampaním autoritářských nebo nepřátelských aktérů</w:t>
            </w:r>
            <w:r>
              <w:t>; 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 vyzývá k maximálnímu možnému využití digitálního a kybernetického prostoru a jeho bezhraniční povahy k dosažení tohoto cíle;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1439</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vítá skutečnost, že ve společném sdělení byl posílen závazek rozvíjet kapacitu ofenzivních informačních operací; konstatuje, že pro tento závazek, který vyžaduje dlouhodobé plánování, je třeba vyčlenit zdroje; zdůrazňuje, že cílem by mělo být, aby EU ve svém sousedství posílila proaktivní informační opatření proti destabilizujícímu úsilí Ruska; poukazuje na to, že mezi obyvatelstvem žijícím v autoritářských režimech, zejména v Rusku, je třeba šířit věcné a důvěryhodné informace, s cílem odhalit destruktivní postupy vlády, které ohrožují svobodu a mír nejen v sousedních zemích, ale především v jejich vlastní zemi; vyzývá k maximálnímu možnému využití digitálního a kybernetického prostoru a jeho bezhraniční povahy k dosažení tohoto cíle;</w:t>
            </w:r>
          </w:p>
        </w:tc>
        <w:tc>
          <w:tcPr>
            <w:tcW w:w="4876" w:type="dxa"/>
            <w:tcBorders>
              <w:top w:val="nil"/>
              <w:left w:val="nil"/>
              <w:bottom w:val="nil"/>
              <w:right w:val="nil"/>
            </w:tcBorders>
          </w:tcPr>
          <w:p>
            <w:pPr>
              <w:pStyle w:val="Normal6a"/>
            </w:pPr>
            <w:r>
              <w:t>58.</w:t>
            </w:r>
            <w:r>
              <w:tab/>
            </w:r>
            <w:r>
              <w:t xml:space="preserve">vítá skutečnost, že ve společném sdělení byl posílen závazek rozvíjet kapacitu ofenzivních informačních operací; konstatuje, že pro tento závazek, který vyžaduje dlouhodobé plánování, je třeba vyčlenit zdroje; zdůrazňuje, že cílem by mělo být, aby EU ve svém sousedství posílila </w:t>
            </w:r>
            <w:r>
              <w:rPr>
                <w:b/>
                <w:i/>
              </w:rPr>
              <w:t>a zintenzivnila</w:t>
            </w:r>
            <w:r>
              <w:t xml:space="preserve"> proaktivní informační opatření proti destabilizujícímu úsilí Ruska; poukazuje na to, že mezi obyvatelstvem žijícím v autoritářských režimech, zejména v Rusku </w:t>
            </w:r>
            <w:r>
              <w:rPr>
                <w:b/>
                <w:i/>
              </w:rPr>
              <w:t>a Bělorusku</w:t>
            </w:r>
            <w:r>
              <w:t>, je třeba šířit věcné a důvěryhodné informace, s cílem odhalit destruktivní postupy vlády, které ohrožují svobodu a mír nejen v sousedních zemích, ale především v jejich vlastní zemi; vyzývá k maximálnímu možnému využití digitálního a kybernetického prostoru a jeho bezhraniční povahy k dosažení tohoto cíle;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58a.</w:t>
            </w:r>
            <w:r>
              <w:tab/>
            </w:r>
            <w:r>
              <w:rPr>
                <w:b/>
                <w:i/>
              </w:rPr>
              <w:t>zdůrazňuje, že Rusko působí destabilizačně rovněž v rámci Unie a za tímto účelem využívá sítě politického vlivu;</w:t>
            </w:r>
            <w:r>
              <w:t xml:space="preserve"> </w:t>
            </w:r>
            <w:r>
              <w:rPr>
                <w:b/>
                <w:i/>
              </w:rPr>
              <w:t>s vážným znepokojením konstatuje, že v některých členských státech vládní opatření a strategická rozhodnutí opakovaně sloužila ruským zájmům;</w:t>
            </w:r>
            <w:r>
              <w:t xml:space="preserve"> </w:t>
            </w:r>
            <w:r>
              <w:rPr>
                <w:b/>
                <w:i/>
              </w:rPr>
              <w:t>v této souvislosti připomíná, že maďarská vláda vícekrát řádně neinformovala o útocích hackerů, kteří jsou napojeni na ruský stát, na ministerstvo zahraničních věcí a ani tyto útoky nevyšetřila, že s Ruskem uzavřela dlouhodobé smlouvy na dodávky plynu za ceny výrazně vyšší, než jsou ceny na trhu, systematicky blokovala unijní pomoc Ukrajině a důsledně se připojovala k ruským postojům v klíčových rozhodnutích Unie v oblasti zahraniční a bezpečnostní politiky, a to i během působení Várhelyiho na postu komisaře pro sousedství a rozšíření;</w:t>
            </w:r>
            <w:r>
              <w:t xml:space="preserve"> </w:t>
            </w:r>
            <w:r>
              <w:rPr>
                <w:b/>
                <w:i/>
              </w:rPr>
              <w:t>zdůrazňuje, že takové jednání podkopává jednotu, důvěryhodnost a bezpečnost Unie a zvyšuje účinnost ruské destabilizační strategie;</w:t>
            </w:r>
            <w:r>
              <w:t xml:space="preserve"> </w:t>
            </w:r>
            <w:r>
              <w:rPr>
                <w:b/>
                <w:i/>
              </w:rPr>
              <w:t>vyzývá proto k větší ostražitosti, posílenému monitorování a plnému využívání unijních nástrojů k ochraně Unie před vnitřními nástroji zahraničního vlivu a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1441</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59.</w:t>
            </w:r>
            <w:r>
              <w:tab/>
            </w:r>
            <w:r>
              <w:rPr>
                <w:b/>
                <w:i/>
              </w:rPr>
              <w:t>uznává, že bezprostřední sousedé EU, včetně západního Balkánu, Moldavska a Ukrajiny, čelí závažnému zahraničnímu vměšování;</w:t>
            </w:r>
            <w:r>
              <w:t xml:space="preserve"> </w:t>
            </w:r>
            <w:r>
              <w:rPr>
                <w:b/>
                <w:i/>
              </w:rPr>
              <w:t>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w:t>
            </w:r>
            <w:r>
              <w:t xml:space="preserve"> </w:t>
            </w:r>
            <w:r>
              <w:rPr>
                <w:b/>
                <w:i/>
              </w:rPr>
              <w:t>zdůrazňuje, že je třeba se konkrétně zaměřit na pomoc v oblasti integrity voleb v zemích, které jsou kandidáty na členství v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uznává, že bezprostřední sousedé EU, včetně západního Balkánu, Moldavska a Ukrajiny, čelí závažnému zahraničnímu vměšování; 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zdůrazňuje, že je třeba se konkrétně zaměřit na pomoc v oblasti integrity voleb v zemích, které jsou kandidáty na členství v EU;</w:t>
            </w:r>
          </w:p>
        </w:tc>
        <w:tc>
          <w:tcPr>
            <w:tcW w:w="4876" w:type="dxa"/>
            <w:tcBorders>
              <w:top w:val="nil"/>
              <w:left w:val="nil"/>
              <w:bottom w:val="nil"/>
              <w:right w:val="nil"/>
            </w:tcBorders>
          </w:tcPr>
          <w:p>
            <w:pPr>
              <w:pStyle w:val="Normal6a"/>
            </w:pPr>
            <w:r>
              <w:t>59.</w:t>
            </w:r>
            <w:r>
              <w:tab/>
            </w:r>
            <w:r>
              <w:t>uznává, že bezprostřední sousedé EU, včetně západního Balkánu, Moldavska a Ukrajiny, čelí závažnému zahraničnímu vměšování</w:t>
            </w:r>
            <w:r>
              <w:rPr>
                <w:b/>
                <w:i/>
              </w:rPr>
              <w:t>, domácí manipulaci s informacemi a hybridním hrozbám;</w:t>
            </w:r>
            <w:r>
              <w:t xml:space="preserve"> </w:t>
            </w:r>
            <w:r>
              <w:rPr>
                <w:b/>
                <w:i/>
              </w:rPr>
              <w:t>vyzývá Komisi a ESVČ, aby přešly od podpory ad hoc k systematické dlouhodobé pomoci zaměřené na budování institucionální, právní a občanské odolnosti;</w:t>
            </w:r>
            <w:r>
              <w:t xml:space="preserve"> </w:t>
            </w:r>
            <w:r>
              <w:rPr>
                <w:b/>
                <w:i/>
              </w:rPr>
              <w:t>zdůrazňuje, že EU by si měla odnést velmi cenné ponaučení z posilování odolnosti v Moldavsku a na Ukrajině;</w:t>
            </w:r>
            <w:r>
              <w:t xml:space="preserve"> </w:t>
            </w:r>
            <w:r>
              <w:rPr>
                <w:b/>
                <w:i/>
              </w:rPr>
              <w:t>vyzývá k tomu, aby Evropský štít pro demokracii sloužil jako obousměrný mechanismus předávání odborných znalostí, v jehož rámci by Unie integrovala úspěšné modely rychlé reakce, rámce civilně-vojenské spolupráce a detekční techniky v reálném čase vyvinuté těmito partnery v přední linii, kteří jsou v současné době „živou laboratoří“ ruské agrese</w:t>
            </w:r>
            <w:r>
              <w:t xml:space="preserve"> ; vyzývá k financování regionálních koordinačních center </w:t>
            </w:r>
            <w:r>
              <w:rPr>
                <w:b/>
                <w:i/>
              </w:rPr>
              <w:t>pro potírání hrozeb, které ohrožují integritu informací na internetu, a</w:t>
            </w:r>
            <w:r>
              <w:t xml:space="preserve">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zdůrazňuje, že je třeba se konkrétně zaměřit na pomoc v oblasti integrity voleb v zemích, které jsou kandidáty na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uznává, že bezprostřední sousedé EU, včetně západního Balkánu, Moldavska a Ukrajiny, čelí závažnému zahraničnímu vměšování; 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zdůrazňuje, že je třeba se konkrétně zaměřit na pomoc v oblasti integrity voleb v zemích, které jsou kandidáty na členství v EU;</w:t>
            </w:r>
          </w:p>
        </w:tc>
        <w:tc>
          <w:tcPr>
            <w:tcW w:w="4876" w:type="dxa"/>
            <w:tcBorders>
              <w:top w:val="nil"/>
              <w:left w:val="nil"/>
              <w:bottom w:val="nil"/>
              <w:right w:val="nil"/>
            </w:tcBorders>
          </w:tcPr>
          <w:p>
            <w:pPr>
              <w:pStyle w:val="Normal6a"/>
            </w:pPr>
            <w:r>
              <w:t>59.</w:t>
            </w:r>
            <w:r>
              <w:tab/>
            </w:r>
            <w:r>
              <w:t>uznává, že bezprostřední sousedé EU, včetně západního Balkánu, Moldavska a Ukrajiny, čelí závažnému zahraničnímu vměšování</w:t>
            </w:r>
            <w:r>
              <w:rPr>
                <w:b/>
                <w:i/>
              </w:rPr>
              <w:t>;</w:t>
            </w:r>
            <w:r>
              <w:t xml:space="preserve"> </w:t>
            </w:r>
            <w:r>
              <w:rPr>
                <w:b/>
                <w:i/>
              </w:rPr>
              <w:t>konstatuje, že kandidátské země, potenciální kandidátské země a země sousedící s EU jsou jasným terčem ruských operací zahraniční manipulace s informacemi a vměšování, přičemž jedním z cílů je zdiskreditovat EU a oslabit vnímaný přínos vstupu do EU</w:t>
            </w:r>
            <w:r>
              <w:t xml:space="preserve">; 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w:t>
            </w:r>
            <w:r>
              <w:rPr>
                <w:b/>
                <w:i/>
              </w:rPr>
              <w:t>vyzývá Komisi a ESVČ, aby se zranitelnými zeměmi v procesu rozšíření prohloubily spolupráci v oblasti informační odolnosti, kybernetické bezpečnosti a hybridních hrozeb;</w:t>
            </w:r>
            <w:r>
              <w:t xml:space="preserve"> </w:t>
            </w:r>
            <w:r>
              <w:rPr>
                <w:b/>
                <w:i/>
              </w:rPr>
              <w:t>vyzývá ESVČ a delegace EU ve třetích zemích, aby dále posílily své kapacity pro boj proti dezinformacím a propagandě namířeným proti SZBP EU, mimo jiné aby investovaly do komunikačních kampaní zaměřených na boj proti zahraničnímu vlivu;</w:t>
            </w:r>
            <w:r>
              <w:t xml:space="preserve"> zdůrazňuje, že je třeba se konkrétně zaměřit na pomoc v oblasti integrity voleb v zemích, které jsou kandidáty na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uznává, že bezprostřední sousedé EU, včetně západního Balkánu, Moldavska a Ukrajiny, čelí závažnému zahraničnímu vměšování; vyzývá k </w:t>
            </w:r>
            <w:r>
              <w:rPr>
                <w:b/>
                <w:i/>
              </w:rPr>
              <w:t>financování</w:t>
            </w:r>
            <w:r>
              <w:t xml:space="preserve"> regionálních koordinačních center pro boj proti zahraniční manipulaci s informacemi a vměšování, </w:t>
            </w:r>
            <w:r>
              <w:rPr>
                <w:b/>
                <w:i/>
              </w:rPr>
              <w:t>k intenzivnější podpoře</w:t>
            </w:r>
            <w:r>
              <w:t xml:space="preserve"> investigativní žurnalistiky a regulačních orgánů pro sdělovací prostředky a </w:t>
            </w:r>
            <w:r>
              <w:rPr>
                <w:b/>
                <w:i/>
              </w:rPr>
              <w:t>k rozšíření</w:t>
            </w:r>
            <w:r>
              <w:t xml:space="preserve"> strategické komunikace založené na faktech prostřednictvím delegací EU s cílem bojovat proti dezinformacím namířeným proti EU; zdůrazňuje, že je třeba se konkrétně zaměřit na pomoc v oblasti integrity voleb v zemích, které jsou kandidáty na členství v EU;</w:t>
            </w:r>
          </w:p>
        </w:tc>
        <w:tc>
          <w:tcPr>
            <w:tcW w:w="4876" w:type="dxa"/>
            <w:tcBorders>
              <w:top w:val="nil"/>
              <w:left w:val="nil"/>
              <w:bottom w:val="nil"/>
              <w:right w:val="nil"/>
            </w:tcBorders>
          </w:tcPr>
          <w:p>
            <w:pPr>
              <w:pStyle w:val="Normal6a"/>
            </w:pPr>
            <w:r>
              <w:t>59.</w:t>
            </w:r>
            <w:r>
              <w:tab/>
            </w:r>
            <w:r>
              <w:t xml:space="preserve">uznává, že bezprostřední sousedé EU, včetně </w:t>
            </w:r>
            <w:r>
              <w:rPr>
                <w:b/>
                <w:i/>
              </w:rPr>
              <w:t>zemí</w:t>
            </w:r>
            <w:r>
              <w:t xml:space="preserve"> západního Balkánu, Moldavska a Ukrajiny, čelí závažnému zahraničnímu vměšování</w:t>
            </w:r>
            <w:r>
              <w:rPr>
                <w:b/>
                <w:i/>
              </w:rPr>
              <w:t>, domácí manipulaci s informacemi a hybridním hrozbám;</w:t>
            </w:r>
            <w:r>
              <w:t xml:space="preserve"> </w:t>
            </w:r>
            <w:r>
              <w:rPr>
                <w:b/>
                <w:i/>
              </w:rPr>
              <w:t>vyzývá Komisi a ESVČ, aby přešly od podpory ad hoc k systematické dlouhodobé pomoci zaměřené na budování institucionální, právní a občanské odolnosti</w:t>
            </w:r>
            <w:r>
              <w:t xml:space="preserve">; vyzývá k </w:t>
            </w:r>
            <w:r>
              <w:rPr>
                <w:b/>
                <w:i/>
              </w:rPr>
              <w:t>tomu, aby EU pokračovala v podpoře těchto zemí při budování odolnosti a boje proti zahraniční manipulaci s informacemi a vměšování, mimo jiné financováním</w:t>
            </w:r>
            <w:r>
              <w:t xml:space="preserve"> regionálních koordinačních center pro boj proti zahraniční manipulaci s informacemi a vměšování, </w:t>
            </w:r>
            <w:r>
              <w:rPr>
                <w:b/>
                <w:i/>
              </w:rPr>
              <w:t>zintenzivněním podpory</w:t>
            </w:r>
            <w:r>
              <w:t xml:space="preserve"> investigativní žurnalistiky a regulačních orgánů pro sdělovací prostředky a </w:t>
            </w:r>
            <w:r>
              <w:rPr>
                <w:b/>
                <w:i/>
              </w:rPr>
              <w:t>rozšířením</w:t>
            </w:r>
            <w:r>
              <w:t xml:space="preserve"> strategické komunikace založené na faktech prostřednictvím delegací EU s cílem bojovat proti dezinformacím namířeným proti EU; zdůrazňuje, že je třeba se konkrétně zaměřit na pomoc v oblasti integrity voleb v zemích, které jsou kandidáty na členství v EU</w:t>
            </w:r>
            <w:r>
              <w:rPr>
                <w:b/>
                <w:i/>
              </w:rPr>
              <w:t>, a to i v souvislosti se stažením finančních prostředků agentury USAID a se zvláštním důrazem na regiony, které získaly poměrně menší podporu, zejména země západního Balkánu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uznává, že bezprostřední sousedé EU, včetně západního Balkánu, Moldavska a Ukrajiny, čelí závažnému zahraničnímu vměšování; </w:t>
            </w:r>
            <w:r>
              <w:rPr>
                <w:b/>
                <w:i/>
              </w:rPr>
              <w:t>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w:t>
            </w:r>
            <w:r>
              <w:t xml:space="preserve"> </w:t>
            </w:r>
            <w:r>
              <w:rPr>
                <w:b/>
                <w:i/>
              </w:rPr>
              <w:t>zdůrazňuje, že je třeba se konkrétně zaměřit na pomoc v oblasti integrity voleb v zemích, které jsou kandidáty na členství v EU;</w:t>
            </w:r>
          </w:p>
        </w:tc>
        <w:tc>
          <w:tcPr>
            <w:tcW w:w="4876" w:type="dxa"/>
            <w:tcBorders>
              <w:top w:val="nil"/>
              <w:left w:val="nil"/>
              <w:bottom w:val="nil"/>
              <w:right w:val="nil"/>
            </w:tcBorders>
          </w:tcPr>
          <w:p>
            <w:pPr>
              <w:pStyle w:val="Normal6a"/>
            </w:pPr>
            <w:r>
              <w:t>59.</w:t>
            </w:r>
            <w:r>
              <w:tab/>
            </w:r>
            <w:r>
              <w:t>uznává, že bezprostřední sousedé EU, včetně západního Balkánu, Moldavska a Ukrajiny, čelí závažnému zahraničnímu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uznává, že bezprostřední sousedé EU, včetně západního Balkánu, Moldavska </w:t>
            </w:r>
            <w:r>
              <w:rPr>
                <w:b/>
                <w:i/>
              </w:rPr>
              <w:t>a</w:t>
            </w:r>
            <w:r>
              <w:t> Ukrajiny, čelí závažnému zahraničnímu vměšování; 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zdůrazňuje, že je třeba se konkrétně zaměřit na pomoc v oblasti integrity voleb v zemích, které jsou kandidáty na členství v EU;</w:t>
            </w:r>
          </w:p>
        </w:tc>
        <w:tc>
          <w:tcPr>
            <w:tcW w:w="4876" w:type="dxa"/>
            <w:tcBorders>
              <w:top w:val="nil"/>
              <w:left w:val="nil"/>
              <w:bottom w:val="nil"/>
              <w:right w:val="nil"/>
            </w:tcBorders>
          </w:tcPr>
          <w:p>
            <w:pPr>
              <w:pStyle w:val="Normal6a"/>
            </w:pPr>
            <w:r>
              <w:t>59.</w:t>
            </w:r>
            <w:r>
              <w:tab/>
            </w:r>
            <w:r>
              <w:t>uznává, že bezprostřední sousedé EU, včetně západního Balkánu, Moldavska</w:t>
            </w:r>
            <w:r>
              <w:rPr>
                <w:b/>
                <w:i/>
              </w:rPr>
              <w:t>,</w:t>
            </w:r>
            <w:r>
              <w:t xml:space="preserve"> Ukrajiny</w:t>
            </w:r>
            <w:r>
              <w:rPr>
                <w:b/>
                <w:i/>
              </w:rPr>
              <w:t>, Arménie a Gruzie</w:t>
            </w:r>
            <w:r>
              <w:t>, čelí závažnému zahraničnímu vměšování</w:t>
            </w:r>
            <w:r>
              <w:rPr>
                <w:b/>
                <w:i/>
              </w:rPr>
              <w:t>, domácí manipulaci s informacemi a hybridním hrozbám;</w:t>
            </w:r>
            <w:r>
              <w:t xml:space="preserve"> </w:t>
            </w:r>
            <w:r>
              <w:rPr>
                <w:b/>
                <w:i/>
              </w:rPr>
              <w:t>vyzývá Komisi a ESVČ, aby přešly od podpory ad hoc k systematické dlouhodobé pomoci zaměřené na budování institucionální, právní a občanské odolnosti</w:t>
            </w:r>
            <w:r>
              <w:t xml:space="preserve">; 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zdůrazňuje, že je třeba se konkrétně zaměřit na pomoc v oblasti integrity voleb v zemích, které jsou kandidáty </w:t>
            </w:r>
            <w:r>
              <w:rPr>
                <w:b/>
                <w:i/>
              </w:rPr>
              <w:t>nebo potenciálními kandidáty</w:t>
            </w:r>
            <w:r>
              <w:t xml:space="preserve"> na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1447</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uznává, že bezprostřední sousedé EU, včetně západního Balkánu, Moldavska a Ukrajiny, čelí závažnému zahraničnímu vměšování; 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zdůrazňuje, že je třeba se konkrétně zaměřit na pomoc v oblasti integrity voleb v zemích, které jsou kandidáty na členství v EU;</w:t>
            </w:r>
          </w:p>
        </w:tc>
        <w:tc>
          <w:tcPr>
            <w:tcW w:w="4876" w:type="dxa"/>
            <w:tcBorders>
              <w:top w:val="nil"/>
              <w:left w:val="nil"/>
              <w:bottom w:val="nil"/>
              <w:right w:val="nil"/>
            </w:tcBorders>
          </w:tcPr>
          <w:p>
            <w:pPr>
              <w:pStyle w:val="Normal6a"/>
            </w:pPr>
            <w:r>
              <w:t>59.</w:t>
            </w:r>
            <w:r>
              <w:tab/>
            </w:r>
            <w:r>
              <w:t xml:space="preserve">uznává, že bezprostřední sousedé EU, včetně západního Balkánu, Moldavska a Ukrajiny, čelí závažnému zahraničnímu vměšování; 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zdůrazňuje, že je třeba se konkrétně zaměřit na pomoc v oblasti integrity voleb v zemích, které jsou kandidáty na členství v EU; </w:t>
            </w:r>
            <w:r>
              <w:rPr>
                <w:b/>
                <w:i/>
              </w:rPr>
              <w:t>zdůrazňuje, že podpora, kterou EU poskytuje kandidátským zemím při posilování odolnosti vůči zahraničnímu vměšování, musí být doprovázena prokázaným prováděním příslušných reforem v těchto zemích a jejich hmatatelnými výsledky;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uznává, že bezprostřední sousedé EU, včetně západního Balkánu, Moldavska a Ukrajiny, čelí závažnému zahraničnímu vměšování; 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zdůrazňuje, že je třeba se konkrétně zaměřit na pomoc v oblasti integrity voleb v zemích, které jsou kandidáty na členství v EU;</w:t>
            </w:r>
          </w:p>
        </w:tc>
        <w:tc>
          <w:tcPr>
            <w:tcW w:w="4876" w:type="dxa"/>
            <w:tcBorders>
              <w:top w:val="nil"/>
              <w:left w:val="nil"/>
              <w:bottom w:val="nil"/>
              <w:right w:val="nil"/>
            </w:tcBorders>
          </w:tcPr>
          <w:p>
            <w:pPr>
              <w:pStyle w:val="Normal6a"/>
            </w:pPr>
            <w:r>
              <w:t>59.</w:t>
            </w:r>
            <w:r>
              <w:tab/>
            </w:r>
            <w:r>
              <w:t>uznává, že bezprostřední sousedé EU, včetně západního Balkánu, Moldavska a Ukrajiny</w:t>
            </w:r>
            <w:r>
              <w:rPr>
                <w:b/>
                <w:i/>
              </w:rPr>
              <w:t>, Gruzie a Arménie</w:t>
            </w:r>
            <w:r>
              <w:t>, čelí závažnému zahraničnímu vměšování; vyzývá k financování regionálních koordinačních center pro boj proti zahraniční manipulaci s informacemi a vměšování, k intenzivnější podpoře investigativní žurnalistiky a regulačních orgánů pro sdělovací prostředky a k rozšíření strategické komunikace založené na faktech prostřednictvím delegací EU s cílem bojovat proti dezinformacím namířeným proti EU; zdůrazňuje, že je třeba se konkrétně zaměřit na pomoc v oblasti integrity voleb v zemích, které jsou kandidáty na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se znepokojením konstatuje, že před parlamentními volbami v roce 2026 čelí Arménie zintenzivnění hybridních hrozeb spojených s Ruskem, jejichž cílem je oslabit její demokratické procesy, sociální soudržnost a úsilí o budování míru, včetně zlovolných kybernetických aktivit, koordinované manipulace s informacemi a aktivace vlivových sítí;</w:t>
            </w:r>
            <w:r>
              <w:t xml:space="preserve"> </w:t>
            </w:r>
            <w:r>
              <w:rPr>
                <w:b/>
                <w:i/>
              </w:rPr>
              <w:t>připomíná, že arménská zahraniční zpravodajská služba informovala o používání otevřených a skrytých informačních operací, rušivých narativů a úsilí o manipulaci veřejného diskurzu způsoby, které poškozují národní zájmy Arménie, a zdůrazňuje, že tento hybridní tlak může zahrnovat státní i nestátní subjekty spojené s širšími ruskými vlivovými strategiemi v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1450</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vyzývá Komisi, ESVČ a Evropské středisko pro demokratickou odolnost, aby Moldavské republice jakožto kandidátské zemi EU, která čelí soustavné a koordinované zahraniční manipulaci s informacemi a vměšování, včetně státem podporovaných dezinformací a hybridních vlivových operací, poskytovaly posílenou, cílenou a trvalou podporu s cílem oslabit demokratické instituce, integritu voleb a důvěru veřejnosti v proces přistoupení k EU;</w:t>
            </w:r>
            <w:r>
              <w:t xml:space="preserve"> </w:t>
            </w:r>
            <w:r>
              <w:rPr>
                <w:b/>
                <w:i/>
              </w:rPr>
              <w:t>zdůrazňuje, že jsou zapotřebí mechanismy rychlé reakce, posílená strategická komunikace, úzká koordinace s on-line platformami a zvýšená podpora nezávislých sdělovacích prostředků a občanské společnosti, zejména v souvislosti s volebními obdobími;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vyzývá Evropskou komisi, aby při posuzování pokroku kandidátských zemí v rámci přístupových kapitol týkajících se základních práv, právního státu a demokratické odolnosti uplatňovala přísný přístup;</w:t>
            </w:r>
            <w:r>
              <w:t xml:space="preserve"> </w:t>
            </w:r>
            <w:r>
              <w:rPr>
                <w:b/>
                <w:i/>
              </w:rPr>
              <w:t>zdůrazňuje, že nedostatky v uznávání a řešení klíčových otázek, jako je korupce, chybějící nezávislé sdělovací prostředky, porušování lidských práv a nedostatky v demokratických procesech, podkopávají důvěru občanů ve vnitrostátní a evropské orgány, čímž vytvářejí euroskeptické narativy, které mohou být zneužity třetími zeměmi a subjekty zapojenými do zahraniční manipulace s informacemi a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zdůrazňuje, že iniciativy orgánů Unie na podporu demokracie a odolnosti, zejména v souvislosti s volbami v Unii a v sousedních zemích, musí zůstat přísně neutrální, transparentní a omezené na technickou podporu, aby se zabránilo jakémukoli vnímání institucionálního zapojení do politické soutěže nebo volebních výsledků;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1453</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uznává, že Ukrajina je nedílnou součástí evropského bezpečnostního prostředí;</w:t>
            </w:r>
            <w:r>
              <w:t xml:space="preserve"> </w:t>
            </w:r>
            <w:r>
              <w:rPr>
                <w:b/>
                <w:i/>
              </w:rPr>
              <w:t>vyzývá k systematickému začleňování Ukrajiny do iniciativ EU v oblasti budování odolnosti, boje proti zahraničním manipulacím s informacemi a vměšování a v oblasti připravenosti jako strategického partnera přispívajícího k evropské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vyzývá Komisi, aby zřídila specializované regionální centrum Evropského střediska pro sledování digitálních médií (EDMO) pro západní Balkán, přičemž je třeba mít na paměti, že takové centrum již pro Moldavsko existuje;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59b.</w:t>
            </w:r>
            <w:r>
              <w:tab/>
            </w:r>
            <w:r>
              <w:rPr>
                <w:b/>
                <w:i/>
              </w:rPr>
              <w:t>zdůrazňuje, že spolupráce se třetími zeměmi a kandidátskými zeměmi v rámci vnějšího rozměru Evropského štítu pro demokracii se musí i nadále zaměřovat na posílení institucionální odolnosti, transparentnosti a záruk právního státu proti jasně identifikovatelnému zahraničnímu vměšování a nesmí vést k vývozu modelů správy zaměřených na monitorování obsahu, narativové zásahy nebo správní koordinaci s platformami;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1456</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60.</w:t>
            </w:r>
            <w:r>
              <w:tab/>
            </w:r>
            <w:r>
              <w:rPr>
                <w:b/>
                <w:i/>
              </w:rPr>
              <w:t>vyzývá Komisi, aby z programů mediální gramotnosti učinila trvalou součást předvstupní pomoci a evropského nástroje sousedství se zvláštními granty EU na podporu investigativní žurnalistiky ve zranitelných regionech;</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vyzývá Komisi, aby z programů mediální gramotnosti učinila trvalou součást předvstupní pomoci a evropského nástroje sousedství </w:t>
            </w:r>
            <w:r>
              <w:rPr>
                <w:b/>
                <w:i/>
              </w:rPr>
              <w:t>se zvláštními</w:t>
            </w:r>
            <w:r>
              <w:t xml:space="preserve"> granty EU na podporu investigativní žurnalistiky ve zranitelných regionech;</w:t>
            </w:r>
          </w:p>
        </w:tc>
        <w:tc>
          <w:tcPr>
            <w:tcW w:w="4876" w:type="dxa"/>
            <w:tcBorders>
              <w:top w:val="nil"/>
              <w:left w:val="nil"/>
              <w:bottom w:val="nil"/>
              <w:right w:val="nil"/>
            </w:tcBorders>
          </w:tcPr>
          <w:p>
            <w:pPr>
              <w:pStyle w:val="Normal6a"/>
            </w:pPr>
            <w:r>
              <w:t>60.</w:t>
            </w:r>
            <w:r>
              <w:tab/>
            </w:r>
            <w:r>
              <w:rPr>
                <w:b/>
                <w:i/>
              </w:rPr>
              <w:t>zdůrazňuje, že zrušení tematických programů a finančních přídělů pro lidská práva a demokracii a organizace občanské společnosti přináší značnou nejistotu ohledně toho, jak budou tyto závazky vyplývající ze Smlouvy o EU účinně začleňovány, uplatňovány a monitorovány;</w:t>
            </w:r>
            <w:r>
              <w:t xml:space="preserve"> </w:t>
            </w:r>
            <w:r>
              <w:rPr>
                <w:b/>
                <w:i/>
              </w:rPr>
              <w:t>opakuje svou výzvu Komisi, aby posílila a vyčlenila programy zaměřené na rozsáhlé zapojení a podporu občanské společnosti, obránců lidských práv, novinářů a investigativních sdělovacích prostředků ve třetích zemích;</w:t>
            </w:r>
            <w:r>
              <w:t xml:space="preserve"> </w:t>
            </w:r>
            <w:r>
              <w:rPr>
                <w:b/>
                <w:i/>
              </w:rPr>
              <w:t>zdůrazňuje, že tito aktéři mají zásadní význam pro ochranu občanského prostoru, zajištění demokratické transparentnosti a odolávání autoritářskému směřování;</w:t>
            </w:r>
            <w:r>
              <w:t xml:space="preserve"> </w:t>
            </w:r>
            <w:r>
              <w:rPr>
                <w:b/>
                <w:i/>
              </w:rPr>
              <w:t>trvá na tom, aby nový VFR poskytoval udržitelné, dostupné a flexibilní financování, které umožní rychlou reakci na hrozby proti základním svobodám a podpoří místní iniciativy;</w:t>
            </w:r>
            <w:r>
              <w:t xml:space="preserve"> vyzývá Komisi, aby z programů mediální gramotnosti učinila trvalou součást předvstupní pomoci a evropského nástroje sousedství </w:t>
            </w:r>
            <w:r>
              <w:rPr>
                <w:b/>
                <w:i/>
              </w:rPr>
              <w:t>a aby navrhla zvláštní</w:t>
            </w:r>
            <w:r>
              <w:t xml:space="preserve"> granty EU na podporu investigativní žurnalistiky ve zranitelných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vyzývá Komisi, aby z programů mediální gramotnosti učinila trvalou součást předvstupní pomoci a evropského nástroje sousedství se zvláštními granty EU na podporu investigativní žurnalistiky ve zranitelných regionech;</w:t>
            </w:r>
          </w:p>
        </w:tc>
        <w:tc>
          <w:tcPr>
            <w:tcW w:w="4876" w:type="dxa"/>
            <w:tcBorders>
              <w:top w:val="nil"/>
              <w:left w:val="nil"/>
              <w:bottom w:val="nil"/>
              <w:right w:val="nil"/>
            </w:tcBorders>
          </w:tcPr>
          <w:p>
            <w:pPr>
              <w:pStyle w:val="Normal6a"/>
            </w:pPr>
            <w:r>
              <w:t>60.</w:t>
            </w:r>
            <w:r>
              <w:tab/>
            </w:r>
            <w:r>
              <w:t xml:space="preserve">vyzývá Komisi, aby z programů mediální gramotnosti učinila trvalou součást předvstupní pomoci a evropského nástroje sousedství se zvláštními granty EU na podporu investigativní žurnalistiky ve zranitelných regionech; </w:t>
            </w:r>
            <w:r>
              <w:rPr>
                <w:b/>
                <w:i/>
              </w:rPr>
              <w:t>zdůrazňuje, že nedílnou součástí těchto nástrojů by měla být kulturní spolupráce, která posílí společenskou soudržnost, sdílené hodnoty a mezilidskou angažovanost v přistupujících a sousedních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1459</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vyzývá Komisi, aby </w:t>
            </w:r>
            <w:r>
              <w:rPr>
                <w:b/>
                <w:i/>
              </w:rPr>
              <w:t>z programů mediální gramotnosti učinila trvalou součást předvstupní pomoci a evropského nástroje sousedství se zvláštními granty EU na podporu</w:t>
            </w:r>
            <w:r>
              <w:t xml:space="preserve"> investigativní </w:t>
            </w:r>
            <w:r>
              <w:rPr>
                <w:b/>
                <w:i/>
              </w:rPr>
              <w:t>žurnalistiky ve zranitelných regionech</w:t>
            </w:r>
            <w:r>
              <w:t>;</w:t>
            </w:r>
          </w:p>
        </w:tc>
        <w:tc>
          <w:tcPr>
            <w:tcW w:w="4876" w:type="dxa"/>
            <w:tcBorders>
              <w:top w:val="nil"/>
              <w:left w:val="nil"/>
              <w:bottom w:val="nil"/>
              <w:right w:val="nil"/>
            </w:tcBorders>
          </w:tcPr>
          <w:p>
            <w:pPr>
              <w:pStyle w:val="Normal6a"/>
            </w:pPr>
            <w:r>
              <w:t>60.</w:t>
            </w:r>
            <w:r>
              <w:tab/>
            </w:r>
            <w:r>
              <w:t xml:space="preserve">vyzývá Komisi, aby </w:t>
            </w:r>
            <w:r>
              <w:rPr>
                <w:b/>
                <w:i/>
              </w:rPr>
              <w:t>podporovala</w:t>
            </w:r>
            <w:r>
              <w:t xml:space="preserve"> investigativní </w:t>
            </w:r>
            <w:r>
              <w:rPr>
                <w:b/>
                <w:i/>
              </w:rPr>
              <w:t>žurnalistiku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vyzývá Komisi, aby z programů mediální gramotnosti učinila trvalou součást předvstupní pomoci a evropského nástroje sousedství se zvláštními granty EU na podporu investigativní žurnalistiky ve zranitelných regionech;</w:t>
            </w:r>
          </w:p>
        </w:tc>
        <w:tc>
          <w:tcPr>
            <w:tcW w:w="4876" w:type="dxa"/>
            <w:tcBorders>
              <w:top w:val="nil"/>
              <w:left w:val="nil"/>
              <w:bottom w:val="nil"/>
              <w:right w:val="nil"/>
            </w:tcBorders>
          </w:tcPr>
          <w:p>
            <w:pPr>
              <w:pStyle w:val="Normal6a"/>
            </w:pPr>
            <w:r>
              <w:t>60.</w:t>
            </w:r>
            <w:r>
              <w:tab/>
            </w:r>
            <w:r>
              <w:t>vyzývá Komisi, aby z programů mediální gramotnosti učinila trvalou součást předvstupní pomoci a evropského nástroje sousedství</w:t>
            </w:r>
            <w:r>
              <w:rPr>
                <w:b/>
                <w:i/>
              </w:rPr>
              <w:t>, a to při plném respektování vnitrostátních pravomocí a místních kontextů,</w:t>
            </w:r>
            <w:r>
              <w:t xml:space="preserve"> se zvláštními granty EU na podporu investigativní žurnalistiky ve zranitelných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vyzývá Komisi, aby z programů mediální gramotnosti učinila trvalou součást předvstupní pomoci a evropského nástroje sousedství se zvláštními granty EU na podporu </w:t>
            </w:r>
            <w:r>
              <w:rPr>
                <w:b/>
                <w:i/>
              </w:rPr>
              <w:t>investigativní</w:t>
            </w:r>
            <w:r>
              <w:t xml:space="preserve"> žurnalistiky ve zranitelných regionech;</w:t>
            </w:r>
          </w:p>
        </w:tc>
        <w:tc>
          <w:tcPr>
            <w:tcW w:w="4876" w:type="dxa"/>
            <w:tcBorders>
              <w:top w:val="nil"/>
              <w:left w:val="nil"/>
              <w:bottom w:val="nil"/>
              <w:right w:val="nil"/>
            </w:tcBorders>
          </w:tcPr>
          <w:p>
            <w:pPr>
              <w:pStyle w:val="Normal6a"/>
            </w:pPr>
            <w:r>
              <w:t>60.</w:t>
            </w:r>
            <w:r>
              <w:tab/>
            </w:r>
            <w:r>
              <w:t xml:space="preserve">vyzývá Komisi, aby z programů mediální gramotnosti učinila trvalou součást předvstupní pomoci a evropského nástroje sousedství se zvláštními granty EU na podporu žurnalistiky </w:t>
            </w:r>
            <w:r>
              <w:rPr>
                <w:b/>
                <w:i/>
              </w:rPr>
              <w:t>ve veřejném zájmu</w:t>
            </w:r>
            <w:r>
              <w:t xml:space="preserve"> ve zranitelných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1462</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61.</w:t>
            </w:r>
            <w:r>
              <w:tab/>
            </w:r>
            <w:r>
              <w:rPr>
                <w:b/>
                <w:i/>
              </w:rPr>
              <w:t>vyzývá k posílení stávajícího úsilí EU o podporu partnerských zemí v jejím sousedství, jakož i v prioritních zemích subsaharské Afriky, asijsko-tichomořského regionu a Latinské Ameriky při budování odolnosti vůči zahraniční manipulaci s informacemi a vměšování, posilování demokratických procesů a zajišťování integrity voleb;</w:t>
            </w:r>
            <w:r>
              <w:t xml:space="preserve"> </w:t>
            </w:r>
            <w:r>
              <w:rPr>
                <w:b/>
                <w:i/>
              </w:rPr>
              <w:t>zdůrazňuje zejména, že je třeba nadále rozvíjet stěžejní projekt EUvsDisinfo;</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1463</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61.</w:t>
            </w:r>
            <w:r>
              <w:tab/>
            </w:r>
            <w:r>
              <w:rPr>
                <w:b/>
                <w:i/>
              </w:rPr>
              <w:t>vyzývá k posílení stávajícího úsilí EU o podporu partnerských zemí v jejím sousedství, jakož i v prioritních zemích subsaharské Afriky, asijsko-tichomořského regionu a Latinské Ameriky při budování odolnosti vůči zahraniční manipulaci s informacemi a vměšování, posilování demokratických procesů a zajišťování integrity voleb;</w:t>
            </w:r>
            <w:r>
              <w:t xml:space="preserve"> </w:t>
            </w:r>
            <w:r>
              <w:rPr>
                <w:b/>
                <w:i/>
              </w:rPr>
              <w:t>zdůrazňuje zejména, že je třeba nadále rozvíjet stěžejní projekt EUvsDisinfo;</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1464</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vyzývá k posílení stávajícího úsilí EU o podporu partnerských zemí v jejím sousedství, jakož i v prioritních zemích subsaharské Afriky, asijsko-tichomořského regionu a Latinské Ameriky při budování odolnosti vůči zahraniční manipulaci s informacemi a vměšování, posilování demokratických procesů a zajišťování integrity voleb; zdůrazňuje zejména, že je třeba nadále rozvíjet stěžejní projekt EUvsDisinfo;</w:t>
            </w:r>
          </w:p>
        </w:tc>
        <w:tc>
          <w:tcPr>
            <w:tcW w:w="4876" w:type="dxa"/>
            <w:tcBorders>
              <w:top w:val="nil"/>
              <w:left w:val="nil"/>
              <w:bottom w:val="nil"/>
              <w:right w:val="nil"/>
            </w:tcBorders>
          </w:tcPr>
          <w:p>
            <w:pPr>
              <w:pStyle w:val="Normal6a"/>
            </w:pPr>
            <w:r>
              <w:t>61.</w:t>
            </w:r>
            <w:r>
              <w:tab/>
            </w:r>
            <w:r>
              <w:t>vyzývá k posílení stávajícího úsilí EU o podporu partnerských zemí v jejím sousedství, jakož i v prioritních zemích subsaharské Afriky, asijsko-tichomořského regionu a Latinské Ameriky při budování odolnosti vůči zahraniční manipulaci s informacemi a vměšování, posilování demokratických procesů a zajišťování integrity voleb; zdůrazňuje</w:t>
            </w:r>
            <w:r>
              <w:rPr>
                <w:b/>
                <w:i/>
              </w:rPr>
              <w:t>, že Rusko a Čína stále více spolupracují na posílení revizionistických narativů o údajném úpadku Západu a „neokolonialismu“ v těchto regionech, což odhaluje strategickou komunikační mezeru, která podkopává důvěryhodnost a vliv Unie;</w:t>
            </w:r>
            <w:r>
              <w:t xml:space="preserve"> </w:t>
            </w:r>
            <w:r>
              <w:rPr>
                <w:b/>
                <w:i/>
              </w:rPr>
              <w:t>se znepokojením konstatuje, že v mnoha těchto souvislostech byly nezávislé sdělovací prostředky omezeny nebo vyhoštěny a že západní veřejná diplomacie často zůstává nekonzistentní, nedostatečně financovaná a nedostatečně přizpůsobená místním jazykům a kulturám, což omezuje její účinnost v boji proti takovým narativům;</w:t>
            </w:r>
            <w:r>
              <w:t xml:space="preserve"> </w:t>
            </w:r>
            <w:r>
              <w:rPr>
                <w:b/>
                <w:i/>
              </w:rPr>
              <w:t>zdůrazňuje</w:t>
            </w:r>
            <w:r>
              <w:t xml:space="preserve"> zejména, že je třeba nadále rozvíjet stěžejní projekt EUvsDisinfo;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vyzývá k posílení stávajícího úsilí EU o podporu partnerských zemí v jejím sousedství, jakož i v prioritních zemích subsaharské Afriky, asijsko-tichomořského regionu a Latinské Ameriky při budování odolnosti vůči zahraniční manipulaci s informacemi a vměšování, posilování demokratických procesů a zajišťování integrity voleb; zdůrazňuje zejména, že je třeba nadále rozvíjet stěžejní projekt EUvsDisinfo;</w:t>
            </w:r>
          </w:p>
        </w:tc>
        <w:tc>
          <w:tcPr>
            <w:tcW w:w="4876" w:type="dxa"/>
            <w:tcBorders>
              <w:top w:val="nil"/>
              <w:left w:val="nil"/>
              <w:bottom w:val="nil"/>
              <w:right w:val="nil"/>
            </w:tcBorders>
          </w:tcPr>
          <w:p>
            <w:pPr>
              <w:pStyle w:val="Normal6a"/>
            </w:pPr>
            <w:r>
              <w:t>61.</w:t>
            </w:r>
            <w:r>
              <w:tab/>
            </w:r>
            <w:r>
              <w:t xml:space="preserve">vyzývá k posílení stávajícího úsilí EU o podporu partnerských zemí v jejím sousedství, jakož i v prioritních zemích subsaharské Afriky, asijsko-tichomořského regionu a Latinské Ameriky při budování odolnosti vůči zahraniční manipulaci s informacemi a vměšování, posilování demokratických procesů a zajišťování integrity voleb; zdůrazňuje zejména, že </w:t>
            </w:r>
            <w:r>
              <w:rPr>
                <w:b/>
                <w:i/>
              </w:rPr>
              <w:t>transformace probíhající v severní Africe a oblasti Sahelu mají přímý dopad na bezpečnost a demokratickou odolnost EU, a konstatuje, že tyto regiony jsou vůči zahraničním manipulacím s informacemi a vměšování obzvláště zranitelné, zejména v důsledku politické nestability a křehkých informačních ekosystémů;</w:t>
            </w:r>
            <w:r>
              <w:t xml:space="preserve"> </w:t>
            </w:r>
            <w:r>
              <w:rPr>
                <w:b/>
                <w:i/>
              </w:rPr>
              <w:t>zdůrazňuje zejména, že</w:t>
            </w:r>
            <w:r>
              <w:t xml:space="preserve"> je třeba nadále rozvíjet </w:t>
            </w:r>
            <w:r>
              <w:rPr>
                <w:b/>
                <w:i/>
              </w:rPr>
              <w:t>cílená opatření zaměřená na odolnost vůči zahraniční manipulaci s informacemi a vměšování pro tyto regiony, včetně podpory nezávislých sdělovacích prostředků, občanské společnosti, digitální gramotnosti, strategické komunikace a posílených mechanismů monitorování a reakce, jako je</w:t>
            </w:r>
            <w:r>
              <w:t xml:space="preserve"> stěžejní projekt EUvsDisinfo;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vyzývá k posílení stávajícího úsilí EU o podporu partnerských zemí v jejím sousedství, jakož i v prioritních zemích subsaharské Afriky, asijsko-tichomořského regionu a Latinské Ameriky při budování odolnosti vůči zahraniční manipulaci s informacemi a vměšování, posilování demokratických procesů a zajišťování integrity voleb; zdůrazňuje zejména, že je třeba nadále rozvíjet stěžejní projekt EUvsDisinfo;</w:t>
            </w:r>
          </w:p>
        </w:tc>
        <w:tc>
          <w:tcPr>
            <w:tcW w:w="4876" w:type="dxa"/>
            <w:tcBorders>
              <w:top w:val="nil"/>
              <w:left w:val="nil"/>
              <w:bottom w:val="nil"/>
              <w:right w:val="nil"/>
            </w:tcBorders>
          </w:tcPr>
          <w:p>
            <w:pPr>
              <w:pStyle w:val="Normal6a"/>
            </w:pPr>
            <w:r>
              <w:t>61.</w:t>
            </w:r>
            <w:r>
              <w:tab/>
            </w:r>
            <w:r>
              <w:rPr>
                <w:b/>
                <w:i/>
              </w:rPr>
              <w:t>naléhavě</w:t>
            </w:r>
            <w:r>
              <w:t xml:space="preserve"> vyzývá k posílení stávajícího úsilí EU o podporu partnerských zemí v jejím sousedství, jakož i v prioritních zemích subsaharské Afriky, asijsko-tichomořského regionu a Latinské Ameriky při budování odolnosti vůči zahraniční manipulaci s informacemi a vměšování, posilování demokratických procesů a zajišťování integrity voleb</w:t>
            </w:r>
            <w:r>
              <w:rPr>
                <w:b/>
                <w:i/>
              </w:rPr>
              <w:t>, mimo jiné i prostřednictvím vyhrazeného financování v rámci příštího VFR</w:t>
            </w:r>
            <w:r>
              <w:t>; zdůrazňuje zejména, že je třeba nadále rozvíjet stěžejní projekt EUvsDisinfo;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vyzývá k posílení stávajícího úsilí EU o podporu partnerských zemí v jejím sousedství, jakož i v prioritních zemích subsaharské Afriky, asijsko-tichomořského regionu a Latinské Ameriky při budování odolnosti vůči zahraniční manipulaci s informacemi a vměšování, posilování demokratických procesů a zajišťování integrity voleb; zdůrazňuje zejména, že je třeba nadále rozvíjet stěžejní projekt EUvsDisinfo;</w:t>
            </w:r>
          </w:p>
        </w:tc>
        <w:tc>
          <w:tcPr>
            <w:tcW w:w="4876" w:type="dxa"/>
            <w:tcBorders>
              <w:top w:val="nil"/>
              <w:left w:val="nil"/>
              <w:bottom w:val="nil"/>
              <w:right w:val="nil"/>
            </w:tcBorders>
          </w:tcPr>
          <w:p>
            <w:pPr>
              <w:pStyle w:val="Normal6a"/>
            </w:pPr>
            <w:r>
              <w:t>61.</w:t>
            </w:r>
            <w:r>
              <w:tab/>
            </w:r>
            <w:r>
              <w:t xml:space="preserve">vyzývá k posílení stávajícího úsilí EU o podporu partnerských zemí v jejím </w:t>
            </w:r>
            <w:r>
              <w:rPr>
                <w:b/>
                <w:i/>
              </w:rPr>
              <w:t>východním a jižním</w:t>
            </w:r>
            <w:r>
              <w:t xml:space="preserve"> sousedství, jakož i v prioritních zemích subsaharské Afriky, asijsko-tichomořského regionu a Latinské Ameriky při budování odolnosti vůči zahraniční manipulaci s informacemi a vměšování, posilování demokratických procesů a zajišťování integrity voleb; zdůrazňuje zejména, že je třeba nadále rozvíjet stěžejní projekt EUvsDisinfo;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61a.</w:t>
            </w:r>
            <w:r>
              <w:tab/>
            </w:r>
            <w:r>
              <w:rPr>
                <w:b/>
                <w:i/>
              </w:rPr>
              <w:t>uznává, že finančně motivovaní aktéři zapojení do neautentických on-line činností mají bydliště zejména v regionech mimo EU a že přechod na monetizační služby platforem nebo jejich ukončení může vést k přerušení obživy skupin aktérů, jejichž příjem závisí na využívání uvedených služeb monetizace;</w:t>
            </w:r>
            <w:r>
              <w:t xml:space="preserve"> </w:t>
            </w:r>
            <w:r>
              <w:rPr>
                <w:b/>
                <w:i/>
              </w:rPr>
              <w:t>uznává, že tito aktéři mají k dispozici know-how a infrastrukturu, které mohou využít k dezinformačním nebo podvodným činnostem, které by se mohly přímo zaměřit na EU;</w:t>
            </w:r>
            <w:r>
              <w:t xml:space="preserve"> </w:t>
            </w:r>
            <w:r>
              <w:rPr>
                <w:b/>
                <w:i/>
              </w:rPr>
              <w:t>vyzývá k celosvětovým investicím do vypracování něčeho, co se podobá „strategii odzbrojení“, aby se zmírnilo riziko, že aktéři, kteří dříve profitovali z monetizace, přejdou k placené dezinformaci nebo jiným podvodným činnostem;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61a.</w:t>
            </w:r>
            <w:r>
              <w:tab/>
            </w:r>
            <w:r>
              <w:rPr>
                <w:b/>
                <w:i/>
              </w:rPr>
              <w:t>zdůrazňuje, že nadnárodní represe představují vážnou vnější hrozbu pro demokratické svobody, základní práva a právní stát v samotné EU;</w:t>
            </w:r>
            <w:r>
              <w:t xml:space="preserve"> </w:t>
            </w:r>
            <w:r>
              <w:rPr>
                <w:b/>
                <w:i/>
              </w:rPr>
              <w:t>vyzývá Komisi a ESVČ, aby se v rámci vnějšího rozměru Evropského štítu pro demokracii výslovně zabývaly nadnárodními represemi, mimo jiné prostřednictvím koordinovaných diplomatických reakcí, ochranných a podpůrných mechanismů pro cílené jednotlivce a důkladnějšího monitorování postupů třetích zemí, které se snaží umlčet disent za svými hranicemi;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61a.</w:t>
            </w:r>
            <w:r>
              <w:tab/>
            </w:r>
            <w:r>
              <w:rPr>
                <w:b/>
                <w:i/>
              </w:rPr>
              <w:t>zdůrazňuje, že mechanismy připravenosti a reakce na krize v rámci Evropského štítu pro demokracii musí zůstat výjimečné, jasně definované a časově omezené a nesmí vést k normalizaci trvalého dohledu, průběžnému sledování rizik zákonného diskurzu nebo preventivnímu zásahu do demokratické diskuse;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1471</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62.</w:t>
            </w:r>
            <w:r>
              <w:tab/>
            </w:r>
            <w:r>
              <w:rPr>
                <w:b/>
                <w:i/>
              </w:rPr>
              <w:t>uznává zřízení mise Evropské unie v Moldavsku jako úspěšný příklad toho, jak může EU hrát rozhodující úlohu při podpoře struktur partnerské země pro řešení krizí a posilování její odolnosti vůči hybridním a kybernetickým hrozbám a hrozbám zahraniční manipulace s informacemi a vměšování;</w:t>
            </w:r>
            <w:r>
              <w:t xml:space="preserve"> </w:t>
            </w:r>
            <w:r>
              <w:rPr>
                <w:b/>
                <w:i/>
              </w:rPr>
              <w:t>domnívá se, že mise Evropské unie v Moldavsku by měla sloužit jako vzor pro začlenění boje proti hybridním hrozbám do mandátu stávajících misí nebo pro zřízení podobných misí v jiných partnerských zemích;</w:t>
            </w:r>
            <w:r>
              <w:t xml:space="preserve"> </w:t>
            </w:r>
            <w:r>
              <w:rPr>
                <w:b/>
                <w:i/>
              </w:rPr>
              <w:t>bere na vědomí parlamentní volby, které se v Moldavsku konaly dne 28. září 2025, a výrazné vítězství proevropské Strany akce a solidarity (PAS);</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rPr>
                <w:b/>
                <w:i/>
              </w:rPr>
              <w:t>uznává zřízení mise Evropské unie v Moldavsku jako úspěšný příklad toho, jak může EU hrát rozhodující úlohu při podpoře struktur partnerské země pro řešení krizí a posilování její odolnosti vůči hybridním a kybernetickým hrozbám a hrozbám zahraniční manipulace s informacemi a vměšování;</w:t>
            </w:r>
            <w:r>
              <w:t xml:space="preserve"> </w:t>
            </w:r>
            <w:r>
              <w:rPr>
                <w:b/>
                <w:i/>
              </w:rPr>
              <w:t>domnívá se, že mise Evropské unie v Moldavsku by měla sloužit jako vzor pro začlenění boje proti hybridním hrozbám do mandátu stávajících misí nebo pro zřízení podobných misí v jiných partnerských zemích;</w:t>
            </w:r>
            <w:r>
              <w:t xml:space="preserve"> bere na vědomí parlamentní volby, které se v Moldavsku konaly dne 28. září 2025, a výrazné vítězství proevropské Strany akce a solidarity (PAS);</w:t>
            </w:r>
          </w:p>
        </w:tc>
        <w:tc>
          <w:tcPr>
            <w:tcW w:w="4876" w:type="dxa"/>
            <w:tcBorders>
              <w:top w:val="nil"/>
              <w:left w:val="nil"/>
              <w:bottom w:val="nil"/>
              <w:right w:val="nil"/>
            </w:tcBorders>
          </w:tcPr>
          <w:p>
            <w:pPr>
              <w:pStyle w:val="Normal6a"/>
            </w:pPr>
            <w:r>
              <w:t>62.</w:t>
            </w:r>
            <w:r>
              <w:tab/>
            </w:r>
            <w:r>
              <w:t>bere na vědomí parlamentní volby, které se v Moldavsku konaly dne 28. září 2025, a výrazné vítězství proevropské Strany akce a solidarity (PAS);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 xml:space="preserve">uznává zřízení mise Evropské unie v Moldavsku jako úspěšný příklad toho, jak může EU hrát rozhodující úlohu při podpoře struktur partnerské země pro řešení krizí a posilování její odolnosti vůči hybridním a kybernetickým hrozbám a hrozbám zahraniční manipulace s informacemi a vměšování; domnívá se, že mise Evropské unie v Moldavsku by měla sloužit jako vzor pro začlenění boje proti hybridním hrozbám do mandátu stávajících misí nebo pro zřízení podobných misí v jiných partnerských zemích; bere na vědomí parlamentní volby, které se v Moldavsku konaly dne 28. září 2025, a výrazné vítězství </w:t>
            </w:r>
            <w:r>
              <w:rPr>
                <w:b/>
                <w:i/>
              </w:rPr>
              <w:t>proevropské Strany akce a solidarity (PAS)</w:t>
            </w:r>
            <w:r>
              <w:t>;</w:t>
            </w:r>
          </w:p>
        </w:tc>
        <w:tc>
          <w:tcPr>
            <w:tcW w:w="4876" w:type="dxa"/>
            <w:tcBorders>
              <w:top w:val="nil"/>
              <w:left w:val="nil"/>
              <w:bottom w:val="nil"/>
              <w:right w:val="nil"/>
            </w:tcBorders>
          </w:tcPr>
          <w:p>
            <w:pPr>
              <w:pStyle w:val="Normal6a"/>
            </w:pPr>
            <w:r>
              <w:t>62.</w:t>
            </w:r>
            <w:r>
              <w:tab/>
            </w:r>
            <w:r>
              <w:t xml:space="preserve">uznává zřízení mise Evropské unie v Moldavsku jako úspěšný příklad toho, jak může EU hrát rozhodující úlohu při podpoře struktur partnerské země pro řešení krizí a posilování její odolnosti vůči hybridním a kybernetickým hrozbám a hrozbám zahraniční manipulace s informacemi a vměšování; domnívá se, že mise Evropské unie v Moldavsku by měla sloužit jako vzor pro začlenění boje proti hybridním hrozbám do mandátu stávajících misí nebo pro zřízení podobných misí v jiných partnerských zemích; bere na vědomí parlamentní volby, které se v Moldavsku konaly dne 28. září 2025, </w:t>
            </w:r>
            <w:r>
              <w:rPr>
                <w:b/>
                <w:i/>
              </w:rPr>
              <w:t>jakož i prezidentské volby konané dne 3. listopadu 2024</w:t>
            </w:r>
            <w:r>
              <w:t xml:space="preserve"> a výrazné vítězství </w:t>
            </w:r>
            <w:r>
              <w:rPr>
                <w:b/>
                <w:i/>
              </w:rPr>
              <w:t>proevropských sil, a to navzdory značnému úsilí a zdrojům, které Rusko vynaložilo na destabilizaci situace v Moldavsku a jeho odklon od evropské a euroatlantické cesty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1474</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uznává zřízení mise Evropské unie v Moldavsku jako úspěšný příklad toho, jak může EU hrát rozhodující úlohu při podpoře struktur partnerské země pro řešení krizí a posilování její odolnosti vůči hybridním a kybernetickým hrozbám a hrozbám zahraniční manipulace s informacemi a vměšování; domnívá se, že mise Evropské unie v Moldavsku by měla sloužit jako vzor pro začlenění boje proti hybridním hrozbám do mandátu stávajících misí nebo pro zřízení podobných misí v jiných partnerských zemích; bere na vědomí parlamentní volby, které se v Moldavsku konaly dne 28. září 2025, a výrazné vítězství proevropské Strany akce a solidarity (PAS);</w:t>
            </w:r>
          </w:p>
        </w:tc>
        <w:tc>
          <w:tcPr>
            <w:tcW w:w="4876" w:type="dxa"/>
            <w:tcBorders>
              <w:top w:val="nil"/>
              <w:left w:val="nil"/>
              <w:bottom w:val="nil"/>
              <w:right w:val="nil"/>
            </w:tcBorders>
          </w:tcPr>
          <w:p>
            <w:pPr>
              <w:pStyle w:val="Normal6a"/>
            </w:pPr>
            <w:r>
              <w:t>62.</w:t>
            </w:r>
            <w:r>
              <w:tab/>
            </w:r>
            <w:r>
              <w:t xml:space="preserve">uznává zřízení mise Evropské unie v Moldavsku jako úspěšný příklad toho, jak může EU hrát rozhodující úlohu při podpoře struktur partnerské země pro řešení krizí a posilování její odolnosti vůči hybridním a kybernetickým hrozbám a hrozbám zahraniční manipulace s informacemi a vměšování; domnívá se, že mise Evropské unie v Moldavsku by měla sloužit jako vzor pro začlenění boje proti hybridním hrozbám do mandátu stávajících misí nebo pro zřízení podobných misí v jiných partnerských zemích; </w:t>
            </w:r>
            <w:r>
              <w:rPr>
                <w:b/>
                <w:i/>
              </w:rPr>
              <w:t>domnívá se, že takové dohody by měly být upřednostňovány se zeměmi, jejichž vnitřní nestabilita přímo ovlivňuje bezpečnost Evropské unie, jako jsou země v oblasti Sahelu;</w:t>
            </w:r>
            <w:r>
              <w:t xml:space="preserve"> bere na vědomí parlamentní volby, které se v Moldavsku konaly dne 28. září 2025, a výrazné vítězství proevropské Strany akce a solidarity (PAS);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uznává zřízení mise Evropské unie v Moldavsku jako úspěšný příklad toho, jak může EU hrát rozhodující úlohu při podpoře struktur partnerské země pro řešení krizí a posilování její odolnosti vůči hybridním a kybernetickým hrozbám a hrozbám zahraniční manipulace s informacemi a vměšování; domnívá se, že mise Evropské unie v Moldavsku by měla sloužit jako vzor pro začlenění boje proti hybridním hrozbám do mandátu stávajících misí nebo pro zřízení podobných misí v jiných partnerských zemích; bere na vědomí parlamentní volby, které se v Moldavsku konaly dne 28. září 2025, a výrazné vítězství proevropské Strany akce a solidarity (PAS);</w:t>
            </w:r>
          </w:p>
        </w:tc>
        <w:tc>
          <w:tcPr>
            <w:tcW w:w="4876" w:type="dxa"/>
            <w:tcBorders>
              <w:top w:val="nil"/>
              <w:left w:val="nil"/>
              <w:bottom w:val="nil"/>
              <w:right w:val="nil"/>
            </w:tcBorders>
          </w:tcPr>
          <w:p>
            <w:pPr>
              <w:pStyle w:val="Normal6a"/>
            </w:pPr>
            <w:r>
              <w:t>62.</w:t>
            </w:r>
            <w:r>
              <w:tab/>
            </w:r>
            <w:r>
              <w:t xml:space="preserve">uznává zřízení mise Evropské unie v Moldavsku jako úspěšný příklad toho, jak může EU hrát rozhodující úlohu při podpoře struktur partnerské země pro řešení krizí a posilování její odolnosti vůči hybridním a kybernetickým hrozbám a hrozbám zahraniční manipulace s informacemi a vměšování; domnívá se, že mise Evropské unie v Moldavsku by měla sloužit jako vzor pro začlenění boje proti hybridním hrozbám do mandátu stávajících misí nebo pro zřízení podobných misí v jiných partnerských zemích; bere na vědomí parlamentní volby, které se v Moldavsku konaly dne 28. září 2025, a výrazné vítězství proevropské Strany akce a solidarity (PAS); </w:t>
            </w:r>
            <w:r>
              <w:rPr>
                <w:b/>
                <w:i/>
              </w:rPr>
              <w:t>opakuje, že je třeba podporovat Arménii v boji proti ruskému vměšování před parlamentními volbami, které se budou konat v červnu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1476</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 xml:space="preserve">uznává zřízení mise Evropské unie v Moldavsku jako úspěšný příklad toho, jak může EU hrát rozhodující úlohu při podpoře struktur partnerské země pro řešení krizí a posilování její odolnosti vůči </w:t>
            </w:r>
            <w:r>
              <w:rPr>
                <w:b/>
                <w:i/>
              </w:rPr>
              <w:t>hybridním a</w:t>
            </w:r>
            <w:r>
              <w:t xml:space="preserve"> kybernetickým hrozbám </w:t>
            </w:r>
            <w:r>
              <w:rPr>
                <w:b/>
                <w:i/>
              </w:rPr>
              <w:t>a</w:t>
            </w:r>
            <w:r>
              <w:t xml:space="preserve"> hrozbám zahraniční manipulace s informacemi a vměšování; domnívá se, že mise Evropské unie v Moldavsku by měla sloužit jako vzor pro začlenění boje proti hybridním hrozbám do mandátu stávajících misí nebo pro zřízení podobných misí v jiných partnerských zemích; bere na vědomí parlamentní volby, které se v Moldavsku konaly dne 28. září 2025, a výrazné vítězství proevropské Strany akce a solidarity (PAS);</w:t>
            </w:r>
          </w:p>
        </w:tc>
        <w:tc>
          <w:tcPr>
            <w:tcW w:w="4876" w:type="dxa"/>
            <w:tcBorders>
              <w:top w:val="nil"/>
              <w:left w:val="nil"/>
              <w:bottom w:val="nil"/>
              <w:right w:val="nil"/>
            </w:tcBorders>
          </w:tcPr>
          <w:p>
            <w:pPr>
              <w:pStyle w:val="Normal6a"/>
            </w:pPr>
            <w:r>
              <w:t>62.</w:t>
            </w:r>
            <w:r>
              <w:tab/>
            </w:r>
            <w:r>
              <w:t>uznává zřízení mise Evropské unie v Moldavsku jako úspěšný příklad toho, jak může EU hrát rozhodující úlohu při podpoře struktur partnerské země pro řešení krizí a posilování její odolnosti vůči kybernetickým hrozbám</w:t>
            </w:r>
            <w:r>
              <w:rPr>
                <w:b/>
                <w:i/>
              </w:rPr>
              <w:t>,</w:t>
            </w:r>
            <w:r>
              <w:t xml:space="preserve"> hrozbám zahraniční manipulace s informacemi a vměšování </w:t>
            </w:r>
            <w:r>
              <w:rPr>
                <w:b/>
                <w:i/>
              </w:rPr>
              <w:t>a jiným hrozbám</w:t>
            </w:r>
            <w:r>
              <w:t>; domnívá se, že mise Evropské unie v Moldavsku by měla sloužit jako vzor pro začlenění boje proti hybridním hrozbám do mandátu stávajících misí nebo pro zřízení podobných misí v jiných partnerských zemích; bere na vědomí parlamentní volby, které se v Moldavsku konaly dne 28. září 2025, a výrazné vítězství proevropské Strany akce a solidarity (PAS);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62a.</w:t>
            </w:r>
            <w:r>
              <w:tab/>
            </w:r>
            <w:r>
              <w:rPr>
                <w:b/>
                <w:i/>
              </w:rPr>
              <w:t>připomíná, že příští parlamentní volby v Arménii se mají konat dne 7. června 2026;</w:t>
            </w:r>
            <w:r>
              <w:t xml:space="preserve"> </w:t>
            </w:r>
            <w:r>
              <w:rPr>
                <w:b/>
                <w:i/>
              </w:rPr>
              <w:t>trvá na tom, že je třeba zemi poskytnout okamžitou a dostatečnou podporu s cílem čelit ruskému vměšování a ruským zástupcům v zemi, a to buď úpravou mandátu mise EUAM Armenia, nebo prostřednictvím mise ad hoc;</w:t>
            </w:r>
            <w:r>
              <w:t xml:space="preserve"> </w:t>
            </w:r>
            <w:r>
              <w:rPr>
                <w:b/>
                <w:i/>
              </w:rPr>
              <w:t>trvá na tom, že tato podpora může mít podobu posílení správní kapacity a základního financování, aby se zajistilo, že země bude mít nástroj pro reakci;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1478</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63.</w:t>
            </w:r>
            <w:r>
              <w:tab/>
            </w:r>
            <w:r>
              <w:rPr>
                <w:b/>
                <w:i/>
              </w:rPr>
              <w:t>vítá nasazení týmů rychlé reakce EU na hybridní hrozby, jak dokládá nedávný příklad Moldavska, jako užitečný nástroj při budování kapacit a odolnosti v zemích, na něž se zaměřují hybridní a kybernetické útoky a útoky zahraniční manipulace s informacemi a vměšování, a to na základě specifického know-how a odborných znalostí EU a jejích členských států;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1479</w:t>
      </w:r>
      <w:r>
        <w:rPr>
          <w:rStyle w:val="HideTWBExt"/>
        </w:rPr>
        <w:t>&lt;/NumAm&gt;</w:t>
      </w:r>
    </w:p>
    <w:p>
      <w:pPr>
        <w:pStyle w:val="NormalBold"/>
      </w:pPr>
      <w:r>
        <w:rPr>
          <w:rStyle w:val="HideTWBExt"/>
          <w:b w:val="0"/>
        </w:rPr>
        <w:t>&lt;RepeatBlock-By&gt;</w:t>
      </w:r>
      <w:r>
        <w:rPr>
          <w:rStyle w:val="HideTWBExt"/>
          <w:b w:val="0"/>
        </w:rPr>
        <w:t>&lt;Members&gt;</w:t>
      </w:r>
      <w:r>
        <w:t>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rPr>
                <w:b/>
                <w:i/>
              </w:rPr>
              <w:t>vítá nasazení týmů rychlé reakce EU na hybridní hrozby, jak dokládá nedávný příklad Moldavska, jako užitečný nástroj při budování kapacit a odolnosti v zemích, na něž se zaměřují hybridní a kybernetické útoky a útoky zahraniční manipulace s informacemi a vměšování, a to</w:t>
            </w:r>
            <w:r>
              <w:t xml:space="preserve"> na základě specifického know-how a odborných znalostí EU a jejích členských států;</w:t>
            </w:r>
          </w:p>
        </w:tc>
        <w:tc>
          <w:tcPr>
            <w:tcW w:w="4876" w:type="dxa"/>
            <w:tcBorders>
              <w:top w:val="nil"/>
              <w:left w:val="nil"/>
              <w:bottom w:val="nil"/>
              <w:right w:val="nil"/>
            </w:tcBorders>
          </w:tcPr>
          <w:p>
            <w:pPr>
              <w:pStyle w:val="Normal6a"/>
            </w:pPr>
            <w:r>
              <w:t>63.</w:t>
            </w:r>
            <w:r>
              <w:tab/>
            </w:r>
            <w:r>
              <w:rPr>
                <w:b/>
                <w:i/>
              </w:rPr>
              <w:t>konstatuje, že</w:t>
            </w:r>
            <w:r>
              <w:t xml:space="preserve"> na základě specifického know-how a odborných znalostí EU a jejích členských států </w:t>
            </w:r>
            <w:r>
              <w:rPr>
                <w:b/>
                <w:i/>
              </w:rPr>
              <w:t>se opatření EU během nedávných voleb v Moldavsku ukázala jako účinná</w:t>
            </w:r>
            <w:r>
              <w:t xml:space="preserve">; </w:t>
            </w:r>
            <w:r>
              <w:rPr>
                <w:b/>
                <w:i/>
              </w:rPr>
              <w:t>v této souvislosti konstatuje, že se souhlasem Moldavska byl vyslán tým EU na pomoc v obraně proti dezinformacím a zahraniční manipulaci;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uznává, že finančně motivovaní aktéři zapojení do neautentických on-line činností mají bydliště zejména v regionech mimo EU a že přechod na služby zpeněžování platforem nebo jejich ukončení může vést k přerušení obživy skupin aktérů, jejichž příjem závisí na využívání uvedených služeb zpeněžení;</w:t>
            </w:r>
            <w:r>
              <w:t xml:space="preserve"> </w:t>
            </w:r>
            <w:r>
              <w:rPr>
                <w:b/>
                <w:i/>
              </w:rPr>
              <w:t>uznává, že tito aktéři mají k dispozici know-how a infrastrukturu, které mohou využít k dezinformačním nebo podvodným činnostem, které by se mohly přímo zaměřit na EU;</w:t>
            </w:r>
            <w:r>
              <w:t xml:space="preserve"> </w:t>
            </w:r>
            <w:r>
              <w:rPr>
                <w:b/>
                <w:i/>
              </w:rPr>
              <w:t>vyzývá k celosvětovým investicím do vypracování něčeho, co se podobá „strategii odzbrojení“, aby se zmírnilo riziko, že se dříve zpeněžené subjekty vrátí k dezinformacím za účelem pronájmu nebo jiným podvodným činnostem;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potvrzuje prvořadou úlohu NATO v boji proti hybridní válce zaměřené na politické instituce kolektivního Západu, formování veřejného mínění a podkopávání bezpečnosti občanů spojeneckých zemí;</w:t>
            </w:r>
            <w:r>
              <w:t xml:space="preserve"> </w:t>
            </w:r>
            <w:r>
              <w:rPr>
                <w:b/>
                <w:i/>
              </w:rPr>
              <w:t>zdůrazňuje, že po přistoupení Finska a Švédska je 23 z 27 členských států EU rovněž spojenci NATO;</w:t>
            </w:r>
            <w:r>
              <w:t xml:space="preserve"> </w:t>
            </w:r>
            <w:r>
              <w:rPr>
                <w:b/>
                <w:i/>
              </w:rPr>
              <w:t>připomíná, že NATO vyvinulo specializované nástroje a strategie pro boj proti hybridním hrozbám;</w:t>
            </w:r>
            <w:r>
              <w:t xml:space="preserve"> </w:t>
            </w:r>
            <w:r>
              <w:rPr>
                <w:b/>
                <w:i/>
              </w:rPr>
              <w:t>trvá na tom, že úloha EU musí zůstat striktně doplňková a podpůrná, aby se zabránilo zdvojování, institucionálnímu rozšiřování nebo vytváření paralelních 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63b.</w:t>
            </w:r>
            <w:r>
              <w:tab/>
            </w:r>
            <w:r>
              <w:rPr>
                <w:b/>
                <w:i/>
              </w:rPr>
              <w:t>zdůrazňuje, že rychlost, rozsah a intenzita hybridních hrozeb, které usnadňují rychlé technologické změny a globální propojení, vyžadují transatlantickou koordinaci, a nikoli duplicitu struktur na úrovni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63c.</w:t>
            </w:r>
            <w:r>
              <w:tab/>
            </w:r>
            <w:r>
              <w:rPr>
                <w:b/>
                <w:i/>
              </w:rPr>
              <w:t>vyjadřuje vážné znepokojení nad prohlubováním strategických partnerství mezi nepřátelskými režimy v Moskvě a Minsku a dalšími autoritářskými aktéry, včetně Číny, Íránu, Severní Koreje, Kuby a Nikaraguy;</w:t>
            </w:r>
            <w:r>
              <w:t xml:space="preserve"> </w:t>
            </w:r>
            <w:r>
              <w:rPr>
                <w:b/>
                <w:i/>
              </w:rPr>
              <w:t>domnívá se, že nedůsledný a politicky selektivní přístup EU oslabil její důvěryhodnost;</w:t>
            </w:r>
            <w:r>
              <w:t xml:space="preserve"> </w:t>
            </w:r>
            <w:r>
              <w:rPr>
                <w:b/>
                <w:i/>
              </w:rPr>
              <w:t>poukazuje zejména na případ Kuby, u níž EU zachovává dohodu o politickém dialogu a spolupráci, kterou komunistický režim využil k zajištění finančního posílení a politické legitimizace, a to navzdory systematickému porušování základních zásad a závazků v ní zakotvených, mimo jiné prostřednictvím tvrdých represí vůči občanské společnosti a nasazení kubánského personálu v zahraničí na podporu autoritářských režimů;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t xml:space="preserve">zdůrazňuje, že v mezinárodní spolupráci s podobně smýšlejícími partnery, jako jsou G7, NATO, OSN, Organizace pro bezpečnost a spolupráci v Evropě a Rada Evropy, je důležité přednostně se zaměřit na zásady a cíle Evropského štítu pro demokracii; vítá kroky, které již byly učiněny v rámci dvoustranného a mnohostranného zapojení, zejména Kodex chování OSN pro informační integritu na digitálních platformách, závazek členských států Rady Evropy v </w:t>
            </w:r>
            <w:r>
              <w:rPr>
                <w:b/>
                <w:i/>
              </w:rPr>
              <w:t>Reykjavícké</w:t>
            </w:r>
            <w:r>
              <w:t xml:space="preserve"> deklaraci chránit volební systémy před zahraničním vměšováním, partnerství v oblasti bezpečnosti a obrany a pokračující úsilí mechanismu rychlé reakce skupiny G7 předvídat a rozvíjet kolektivní reakce na zahraniční manipulace s informacemi a vměšování;</w:t>
            </w:r>
          </w:p>
        </w:tc>
        <w:tc>
          <w:tcPr>
            <w:tcW w:w="4876" w:type="dxa"/>
            <w:tcBorders>
              <w:top w:val="nil"/>
              <w:left w:val="nil"/>
              <w:bottom w:val="nil"/>
              <w:right w:val="nil"/>
            </w:tcBorders>
          </w:tcPr>
          <w:p>
            <w:pPr>
              <w:pStyle w:val="Normal6a"/>
            </w:pPr>
            <w:r>
              <w:t>64.</w:t>
            </w:r>
            <w:r>
              <w:tab/>
            </w:r>
            <w:r>
              <w:t xml:space="preserve">zdůrazňuje, že v mezinárodní spolupráci s podobně smýšlejícími partnery, jako jsou G7, NATO, OSN, Organizace pro bezpečnost a spolupráci v Evropě a Rada Evropy, je důležité přednostně se zaměřit na zásady a cíle Evropského štítu pro demokracii; vítá kroky, které již byly učiněny v rámci dvoustranného a mnohostranného zapojení, zejména Kodex chování OSN pro informační integritu na digitálních platformách, závazek členských států Rady Evropy v </w:t>
            </w:r>
            <w:r>
              <w:rPr>
                <w:b/>
                <w:i/>
              </w:rPr>
              <w:t>Reykjavické</w:t>
            </w:r>
            <w:r>
              <w:t xml:space="preserve"> deklaraci chránit volební systémy před zahraničním vměšováním, partnerství v oblasti bezpečnosti a obrany a pokračující úsilí mechanismu rychlé reakce skupiny G7 předvídat a rozvíjet kolektivní reakce na zahraniční manipulace s informacemi a vměšování; </w:t>
            </w:r>
            <w:r>
              <w:rPr>
                <w:b/>
                <w:i/>
              </w:rPr>
              <w:t>zdůrazňuje, že v boji proti dezinformacím a kybernetickým útokům je důležité posílit spolupráci s NATO, jejím Střediskem excelence pro strategickou komunikaci a Evropskou sítí pro kybernetickou bezpečnost;</w:t>
            </w:r>
            <w:r>
              <w:t xml:space="preserve"> </w:t>
            </w:r>
            <w:r>
              <w:rPr>
                <w:b/>
                <w:i/>
              </w:rPr>
              <w:t>vyzývá Komisi, aby pokud možno spolupracovala s vnitrostátními orgány a organizacemi občanské společnosti z podobně smýšlejících třetích zemí, které se zabývají bojem proti dezinformacím a zahraniční manipulaci s informacemi a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t xml:space="preserve">zdůrazňuje, že v mezinárodní spolupráci s podobně smýšlejícími partnery, jako jsou G7, NATO, OSN, Organizace pro bezpečnost a spolupráci v Evropě a Rada Evropy, je důležité přednostně se zaměřit na zásady a cíle Evropského štítu pro demokracii; vítá kroky, které již byly učiněny v rámci dvoustranného a mnohostranného zapojení, zejména Kodex chování OSN pro informační integritu na digitálních platformách, závazek členských států Rady Evropy v </w:t>
            </w:r>
            <w:r>
              <w:rPr>
                <w:b/>
                <w:i/>
              </w:rPr>
              <w:t>Reykjavícké</w:t>
            </w:r>
            <w:r>
              <w:t xml:space="preserve"> deklaraci chránit volební systémy před zahraničním vměšováním, partnerství v oblasti bezpečnosti a obrany a pokračující úsilí mechanismu rychlé reakce skupiny G7 předvídat a rozvíjet kolektivní reakce na zahraniční manipulace s informacemi a vměšování;</w:t>
            </w:r>
          </w:p>
        </w:tc>
        <w:tc>
          <w:tcPr>
            <w:tcW w:w="4876" w:type="dxa"/>
            <w:tcBorders>
              <w:top w:val="nil"/>
              <w:left w:val="nil"/>
              <w:bottom w:val="nil"/>
              <w:right w:val="nil"/>
            </w:tcBorders>
          </w:tcPr>
          <w:p>
            <w:pPr>
              <w:pStyle w:val="Normal6a"/>
            </w:pPr>
            <w:r>
              <w:t>64.</w:t>
            </w:r>
            <w:r>
              <w:tab/>
            </w:r>
            <w:r>
              <w:t>zdůrazňuje, že v mezinárodní spolupráci s podobně smýšlejícími partnery, jako jsou G7, NATO</w:t>
            </w:r>
            <w:r>
              <w:rPr>
                <w:b/>
                <w:i/>
              </w:rPr>
              <w:t>, Tchaj-wan</w:t>
            </w:r>
            <w:r>
              <w:t xml:space="preserve">, OSN, Organizace pro bezpečnost a spolupráci v Evropě a Rada Evropy, je důležité přednostně se zaměřit na zásady a cíle Evropského štítu pro demokracii; vítá kroky, které již byly učiněny v rámci dvoustranného a mnohostranného zapojení, zejména Kodex chování OSN pro informační integritu na digitálních platformách, závazek členských států Rady Evropy v </w:t>
            </w:r>
            <w:r>
              <w:rPr>
                <w:b/>
                <w:i/>
              </w:rPr>
              <w:t>Reykjavické</w:t>
            </w:r>
            <w:r>
              <w:t xml:space="preserve"> deklaraci chránit volební systémy před zahraničním vměšováním, partnerství v oblasti bezpečnosti a obrany a pokračující úsilí mechanismu rychlé reakce skupiny G7 předvídat a rozvíjet kolektivní reakce na zahraniční manipulace s informacemi a vměšování; </w:t>
            </w:r>
            <w:r>
              <w:rPr>
                <w:b/>
                <w:i/>
              </w:rPr>
              <w:t>vybízí k dalšímu rozvoji sdílených standardů otevřeného zdrojového kódu, datových modelů, metodik a taxonomií mezi podobně smýšlejícími partnery s cílem umožnit účinnější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t xml:space="preserve">zdůrazňuje, že v mezinárodní spolupráci s podobně smýšlejícími partnery, jako jsou G7, NATO, OSN, Organizace pro bezpečnost a spolupráci v Evropě a Rada Evropy, je důležité přednostně se zaměřit na zásady a cíle Evropského štítu pro demokracii; vítá kroky, které již byly učiněny v rámci dvoustranného a mnohostranného zapojení, zejména Kodex chování OSN pro informační integritu na digitálních platformách, závazek členských států Rady Evropy v </w:t>
            </w:r>
            <w:r>
              <w:rPr>
                <w:b/>
                <w:i/>
              </w:rPr>
              <w:t>Reykjavícké</w:t>
            </w:r>
            <w:r>
              <w:t xml:space="preserve"> deklaraci chránit volební systémy před zahraničním vměšováním, partnerství v oblasti bezpečnosti a obrany a pokračující úsilí mechanismu rychlé reakce skupiny G7 předvídat a rozvíjet kolektivní reakce na zahraniční manipulace s informacemi a vměšování;</w:t>
            </w:r>
          </w:p>
        </w:tc>
        <w:tc>
          <w:tcPr>
            <w:tcW w:w="4876" w:type="dxa"/>
            <w:tcBorders>
              <w:top w:val="nil"/>
              <w:left w:val="nil"/>
              <w:bottom w:val="nil"/>
              <w:right w:val="nil"/>
            </w:tcBorders>
          </w:tcPr>
          <w:p>
            <w:pPr>
              <w:pStyle w:val="Normal6a"/>
            </w:pPr>
            <w:r>
              <w:t>64.</w:t>
            </w:r>
            <w:r>
              <w:tab/>
            </w:r>
            <w:r>
              <w:t xml:space="preserve">zdůrazňuje, že v mezinárodní spolupráci s podobně smýšlejícími partnery, jako jsou G7, NATO, OSN, Organizace pro bezpečnost a spolupráci v Evropě a Rada Evropy, je důležité přednostně se zaměřit na zásady a cíle Evropského štítu pro demokracii; vítá kroky, které již byly učiněny v rámci dvoustranného a mnohostranného zapojení, zejména Kodex chování OSN pro informační integritu na digitálních platformách, závazek členských států Rady Evropy v </w:t>
            </w:r>
            <w:r>
              <w:rPr>
                <w:b/>
                <w:i/>
              </w:rPr>
              <w:t>Reykjavické</w:t>
            </w:r>
            <w:r>
              <w:t xml:space="preserve"> deklaraci chránit volební systémy před zahraničním vměšováním, partnerství v oblasti bezpečnosti a obrany a pokračující úsilí mechanismu rychlé reakce skupiny G7 předvídat a rozvíjet kolektivní reakce na zahraniční manipulace s informacemi a vměšování; </w:t>
            </w:r>
            <w:r>
              <w:rPr>
                <w:b/>
                <w:i/>
              </w:rPr>
              <w:t>vybízí k dalšímu rozvoji sdílených standardů otevřeného zdrojového kódu, datových modelů, metodik a taxonomií mezi podobně smýšlejícími partnery s cílem umožnit účinnější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t xml:space="preserve">zdůrazňuje, že v mezinárodní spolupráci s podobně smýšlejícími partnery, jako jsou G7, NATO, OSN, Organizace pro bezpečnost a spolupráci v Evropě a Rada Evropy, je důležité přednostně se zaměřit na zásady a cíle Evropského štítu pro demokracii; vítá kroky, které již byly učiněny v rámci dvoustranného a mnohostranného zapojení, zejména Kodex chování OSN pro informační integritu na digitálních platformách, závazek členských států Rady Evropy v </w:t>
            </w:r>
            <w:r>
              <w:rPr>
                <w:b/>
                <w:i/>
              </w:rPr>
              <w:t>Reykjavícké</w:t>
            </w:r>
            <w:r>
              <w:t xml:space="preserve"> deklaraci chránit volební systémy před zahraničním vměšováním, partnerství v oblasti bezpečnosti a obrany a pokračující úsilí mechanismu rychlé reakce skupiny G7 předvídat a rozvíjet kolektivní reakce na zahraniční manipulace s informacemi a vměšování;</w:t>
            </w:r>
          </w:p>
        </w:tc>
        <w:tc>
          <w:tcPr>
            <w:tcW w:w="4876" w:type="dxa"/>
            <w:tcBorders>
              <w:top w:val="nil"/>
              <w:left w:val="nil"/>
              <w:bottom w:val="nil"/>
              <w:right w:val="nil"/>
            </w:tcBorders>
          </w:tcPr>
          <w:p>
            <w:pPr>
              <w:pStyle w:val="Normal6a"/>
            </w:pPr>
            <w:r>
              <w:t>64.</w:t>
            </w:r>
            <w:r>
              <w:tab/>
            </w:r>
            <w:r>
              <w:t>zdůrazňuje, že v mezinárodní spolupráci s podobně smýšlejícími partnery</w:t>
            </w:r>
            <w:r>
              <w:rPr>
                <w:b/>
                <w:i/>
              </w:rPr>
              <w:t>, jako jsou Spojené státy, Spojené království, Kanada, Japonsko a Tchaj-wan, a také s organizacemi</w:t>
            </w:r>
            <w:r>
              <w:t xml:space="preserve">, jako jsou G7, NATO, OSN, Organizace pro bezpečnost a spolupráci v Evropě a Rada Evropy, je důležité přednostně se zaměřit na zásady a cíle Evropského štítu pro demokracii; vítá kroky, které již byly učiněny v rámci dvoustranného a mnohostranného zapojení, zejména Kodex chování OSN pro informační integritu na digitálních platformách, závazek členských států Rady Evropy v </w:t>
            </w:r>
            <w:r>
              <w:rPr>
                <w:b/>
                <w:i/>
              </w:rPr>
              <w:t>Reykjavické</w:t>
            </w:r>
            <w:r>
              <w:t xml:space="preserve"> deklaraci chránit volební systémy před zahraničním vměšováním, partnerství v oblasti bezpečnosti a obrany a pokračující úsilí mechanismu rychlé reakce skupiny G7 předvídat a rozvíjet kolektivní reakce na zahraniční manipulace s informacemi a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rPr>
                <w:b/>
                <w:i/>
              </w:rPr>
              <w:t>zdůrazňuje</w:t>
            </w:r>
            <w:r>
              <w:t xml:space="preserve">, že v mezinárodní spolupráci s podobně smýšlejícími partnery, jako jsou G7, NATO, OSN, Organizace pro bezpečnost a spolupráci v Evropě a Rada Evropy, </w:t>
            </w:r>
            <w:r>
              <w:rPr>
                <w:b/>
                <w:i/>
              </w:rPr>
              <w:t>je důležité přednostně se zaměřit na zásady a cíle Evropského štítu pro demokracii;</w:t>
            </w:r>
            <w:r>
              <w:t xml:space="preserve"> </w:t>
            </w:r>
            <w:r>
              <w:rPr>
                <w:b/>
                <w:i/>
              </w:rPr>
              <w:t>vítá kroky, které</w:t>
            </w:r>
            <w:r>
              <w:t xml:space="preserve"> již byly učiněny v rámci dvoustranného a mnohostranného zapojení, zejména Kodex chování OSN pro informační integritu na digitálních platformách, závazek členských států Rady Evropy v </w:t>
            </w:r>
            <w:r>
              <w:rPr>
                <w:b/>
                <w:i/>
              </w:rPr>
              <w:t>Reykjavícké</w:t>
            </w:r>
            <w:r>
              <w:t xml:space="preserve"> deklaraci chránit volební systémy před zahraničním vměšováním, partnerství v oblasti bezpečnosti a obrany a pokračující úsilí mechanismu rychlé reakce skupiny G7 předvídat a rozvíjet kolektivní reakce na zahraniční manipulace s informacemi a vměšování;</w:t>
            </w:r>
          </w:p>
        </w:tc>
        <w:tc>
          <w:tcPr>
            <w:tcW w:w="4876" w:type="dxa"/>
            <w:tcBorders>
              <w:top w:val="nil"/>
              <w:left w:val="nil"/>
              <w:bottom w:val="nil"/>
              <w:right w:val="nil"/>
            </w:tcBorders>
          </w:tcPr>
          <w:p>
            <w:pPr>
              <w:pStyle w:val="Normal6a"/>
            </w:pPr>
            <w:r>
              <w:t>64.</w:t>
            </w:r>
            <w:r>
              <w:tab/>
            </w:r>
            <w:r>
              <w:rPr>
                <w:b/>
                <w:i/>
              </w:rPr>
              <w:t>konstatuje</w:t>
            </w:r>
            <w:r>
              <w:t xml:space="preserve">, že v mezinárodní spolupráci s podobně smýšlejícími partnery, jako jsou G7, NATO, OSN, Organizace pro bezpečnost a spolupráci v Evropě a Rada Evropy, již byly učiněny </w:t>
            </w:r>
            <w:r>
              <w:rPr>
                <w:b/>
                <w:i/>
              </w:rPr>
              <w:t>kroky</w:t>
            </w:r>
            <w:r>
              <w:t xml:space="preserve"> v rámci dvoustranného a mnohostranného zapojení, zejména Kodex chování OSN pro informační integritu na digitálních platformách, závazek členských států Rady Evropy v </w:t>
            </w:r>
            <w:r>
              <w:rPr>
                <w:b/>
                <w:i/>
              </w:rPr>
              <w:t>Reykjavické</w:t>
            </w:r>
            <w:r>
              <w:t xml:space="preserve"> deklaraci chránit volební systémy před zahraničním vměšováním, partnerství v oblasti bezpečnosti a obrany a pokračující úsilí mechanismu rychlé reakce skupiny G7 předvídat</w:t>
            </w:r>
            <w:r>
              <w:rPr>
                <w:b/>
                <w:i/>
              </w:rPr>
              <w:t>, zvažovat</w:t>
            </w:r>
            <w:r>
              <w:t xml:space="preserve"> a rozvíjet kolektivní reakce na zahraniční manipulace s informacemi a vměšování; </w:t>
            </w:r>
            <w:r>
              <w:rPr>
                <w:b/>
                <w:i/>
              </w:rPr>
              <w:t>zdůrazňuje však, že svrchovanost členských států musí být vždy respektována a že veškeré přijaté kroky musí být konzultovány s dotčenými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1489</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64a.</w:t>
            </w:r>
            <w:r>
              <w:tab/>
            </w:r>
            <w:r>
              <w:rPr>
                <w:b/>
                <w:i/>
              </w:rPr>
              <w:t>požaduje, aby budoucí struktura štítu pro demokracii zahrnovala specifické ukazatele rizik týkající se účelového využívání obchodu, rozvojové pomoci a státního dluhu jako nástrojů politického tlaku ze strany autoritářských režimů, zejména vůči kandidátským zemím, zemím sousedství a tzv. globálnímu Jihu, s cílem posílit vnější činnost Unie při ochraně demokratické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t>vítá vytvoření partnerství v oblasti bezpečnosti a obrany mezi EU a Spojeným královstvím v květnu 2025; vítá jeho zaměření mimo jiné na spolupráci v boji proti kybernetickým problémům, hybridním hrozbám a zahraniční manipulaci s informacemi a vměšování a na ochranu kritické infrastruktury;</w:t>
            </w:r>
          </w:p>
        </w:tc>
        <w:tc>
          <w:tcPr>
            <w:tcW w:w="4876" w:type="dxa"/>
            <w:tcBorders>
              <w:top w:val="nil"/>
              <w:left w:val="nil"/>
              <w:bottom w:val="nil"/>
              <w:right w:val="nil"/>
            </w:tcBorders>
          </w:tcPr>
          <w:p>
            <w:pPr>
              <w:pStyle w:val="Normal6a"/>
            </w:pPr>
            <w:r>
              <w:t>65.</w:t>
            </w:r>
            <w:r>
              <w:tab/>
            </w:r>
            <w:r>
              <w:t xml:space="preserve">vítá vytvoření partnerství v oblasti bezpečnosti a obrany mezi EU a Spojeným královstvím v květnu 2025; vítá jeho zaměření mimo jiné na spolupráci v boji proti kybernetickým problémům, hybridním hrozbám a zahraniční manipulaci s informacemi a vměšování a na ochranu kritické infrastruktury; </w:t>
            </w:r>
            <w:r>
              <w:rPr>
                <w:b/>
                <w:i/>
              </w:rPr>
              <w:t>oceňuje angažovanost Spojeného království a jeho příspěvek k bezpečnosti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1491</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t>vítá vytvoření partnerství v oblasti bezpečnosti a obrany mezi EU a Spojeným královstvím v květnu 2025; vítá jeho zaměření mimo jiné na spolupráci v boji proti kybernetickým problémům</w:t>
            </w:r>
            <w:r>
              <w:rPr>
                <w:b/>
                <w:i/>
              </w:rPr>
              <w:t>, hybridním hrozbám</w:t>
            </w:r>
            <w:r>
              <w:t xml:space="preserve"> a zahraniční manipulaci s informacemi a vměšování a na ochranu kritické infrastruktury;</w:t>
            </w:r>
          </w:p>
        </w:tc>
        <w:tc>
          <w:tcPr>
            <w:tcW w:w="4876" w:type="dxa"/>
            <w:tcBorders>
              <w:top w:val="nil"/>
              <w:left w:val="nil"/>
              <w:bottom w:val="nil"/>
              <w:right w:val="nil"/>
            </w:tcBorders>
          </w:tcPr>
          <w:p>
            <w:pPr>
              <w:pStyle w:val="Normal6a"/>
            </w:pPr>
            <w:r>
              <w:t>65.</w:t>
            </w:r>
            <w:r>
              <w:tab/>
            </w:r>
            <w:r>
              <w:t>vítá vytvoření partnerství v oblasti bezpečnosti a obrany mezi EU a Spojeným královstvím v květnu 2025; vítá jeho zaměření mimo jiné na spolupráci v boji proti kybernetickým problémům a zahraniční manipulaci s informacemi a vměšování a na ochranu kritické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1492</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Bartłomiej Sienkiewicz, Michał Wawrykiewicz, Ana Miguel Pedro,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65a.</w:t>
            </w:r>
            <w:r>
              <w:tab/>
            </w:r>
            <w:r>
              <w:rPr>
                <w:b/>
                <w:i/>
              </w:rPr>
              <w:t>opakuje své obavy ohledně toho, že některé prvky nové národní bezpečnostní strategie USA zdaleka nepostačují k tomu, aby byla odpovídajícím způsobem řešena hrozba, kterou představuje Rusko, zejména pro evropskou, a tudíž i americkou bezpečnost;</w:t>
            </w:r>
            <w:r>
              <w:t xml:space="preserve"> </w:t>
            </w:r>
            <w:r>
              <w:rPr>
                <w:b/>
                <w:i/>
              </w:rPr>
              <w:t>dále vyjadřuje politování nad tím, že tato národní bezpečnostní strategie nesprávně posuzuje politický systém EU;</w:t>
            </w:r>
            <w:r>
              <w:t xml:space="preserve"> </w:t>
            </w:r>
            <w:r>
              <w:rPr>
                <w:b/>
                <w:i/>
              </w:rPr>
              <w:t>domnívá se, že národní bezpečnostní strategie dále posiluje nutnost, aby Evropa pokročila ve své strategické autonomii, snížila závislosti a diverzifikovala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65a.</w:t>
            </w:r>
            <w:r>
              <w:tab/>
            </w:r>
            <w:r>
              <w:rPr>
                <w:b/>
                <w:i/>
              </w:rPr>
              <w:t>připomíná, že pokud jde o zpravodajské a diplomatické služby, jsou hlavními aktéry členské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zdůrazňuje, že hlavním cílem Evropského štítu pro demokracii by mělo být chránit integritu voleb na místní, regionální, celostátní a evropské úrovni; vyzývá Komisi a členské státy, aby při plném dodržování zásady subsidiarity spolupracovaly na provádění reforem zaměřených na posílení odolnosti volebních procesů v Evropě se zvláštním zaměřením na opatření, která mají zabránit zahraničnímu vměšování;</w:t>
            </w:r>
          </w:p>
        </w:tc>
        <w:tc>
          <w:tcPr>
            <w:tcW w:w="4876" w:type="dxa"/>
            <w:tcBorders>
              <w:top w:val="nil"/>
              <w:left w:val="nil"/>
              <w:bottom w:val="nil"/>
              <w:right w:val="nil"/>
            </w:tcBorders>
          </w:tcPr>
          <w:p>
            <w:pPr>
              <w:pStyle w:val="Normal6a"/>
            </w:pPr>
            <w:r>
              <w:t>66.</w:t>
            </w:r>
            <w:r>
              <w:tab/>
            </w:r>
            <w:r>
              <w:t xml:space="preserve">zdůrazňuje, že hlavním cílem Evropského štítu pro demokracii by mělo být chránit integritu voleb na místní, regionální, celostátní a evropské úrovni; vyzývá Komisi a členské státy, aby při plném dodržování zásady subsidiarity spolupracovaly na provádění reforem zaměřených na posílení odolnosti volebních procesů v Evropě se zvláštním zaměřením na opatření, která mají zabránit zahraničnímu vměšování; </w:t>
            </w:r>
            <w:r>
              <w:rPr>
                <w:b/>
                <w:i/>
              </w:rPr>
              <w:t>navrhuje, aby štít pro demokracii podporoval svolávání, koordinaci a financování úsilí o integritu evropských voleb na místní, regionální, celostátní a evropské úrovni, a to online i offline, včetně aspektů financování hybridních hrozeb, kybernetických hrozeb a manipulace s informacemi;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rPr>
                <w:b/>
                <w:i/>
              </w:rPr>
              <w:t>zdůrazňuje, že hlavním cílem Evropského štítu pro demokracii by mělo být chránit integritu</w:t>
            </w:r>
            <w:r>
              <w:t xml:space="preserve"> voleb </w:t>
            </w:r>
            <w:r>
              <w:rPr>
                <w:b/>
                <w:i/>
              </w:rPr>
              <w:t>na místní, regionální, celostátní a evropské úrovni;</w:t>
            </w:r>
            <w:r>
              <w:t xml:space="preserve"> </w:t>
            </w:r>
            <w:r>
              <w:rPr>
                <w:b/>
                <w:i/>
              </w:rPr>
              <w:t>vyzývá Komisi a členské státy, aby při plném dodržování zásady subsidiarity spolupracovaly na provádění reforem zaměřených na posílení odolnosti volebních procesů v Evropě se zvláštním zaměřením na opatření, která mají zabránit zahraničnímu vměšování</w:t>
            </w:r>
            <w:r>
              <w:t>;</w:t>
            </w:r>
          </w:p>
        </w:tc>
        <w:tc>
          <w:tcPr>
            <w:tcW w:w="4876" w:type="dxa"/>
            <w:tcBorders>
              <w:top w:val="nil"/>
              <w:left w:val="nil"/>
              <w:bottom w:val="nil"/>
              <w:right w:val="nil"/>
            </w:tcBorders>
          </w:tcPr>
          <w:p>
            <w:pPr>
              <w:pStyle w:val="Normal6a"/>
            </w:pPr>
            <w:r>
              <w:t>66.</w:t>
            </w:r>
            <w:r>
              <w:tab/>
            </w:r>
            <w:r>
              <w:rPr>
                <w:b/>
                <w:i/>
              </w:rPr>
              <w:t>připomíná, že organizace a průběh</w:t>
            </w:r>
            <w:r>
              <w:t xml:space="preserve"> voleb </w:t>
            </w:r>
            <w:r>
              <w:rPr>
                <w:b/>
                <w:i/>
              </w:rPr>
              <w:t>a dohled nad nimi spadají do výlučné odpovědnosti členských států, a odmítá jakýkoli výklad, který by rozšířil pravomoci EU do této klíčové oblasti národní demokratické svrchovanosti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rPr>
                <w:b/>
                <w:i/>
              </w:rPr>
              <w:t>zdůrazňuje</w:t>
            </w:r>
            <w:r>
              <w:t xml:space="preserve">, že hlavním cílem Evropského štítu pro demokracii by mělo být chránit integritu voleb na místní, regionální, celostátní a evropské úrovni; vyzývá Komisi </w:t>
            </w:r>
            <w:r>
              <w:rPr>
                <w:b/>
                <w:i/>
              </w:rPr>
              <w:t>a členské státy, aby při plném dodržování</w:t>
            </w:r>
            <w:r>
              <w:t xml:space="preserve"> zásady subsidiarity </w:t>
            </w:r>
            <w:r>
              <w:rPr>
                <w:b/>
                <w:i/>
              </w:rPr>
              <w:t>spolupracovaly na provádění reforem zaměřených na posílení odolnosti volebních procesů v Evropě se zvláštním zaměřením na opatření, která mají zabránit zahraničnímu vměšování</w:t>
            </w:r>
            <w:r>
              <w:t>;</w:t>
            </w:r>
          </w:p>
        </w:tc>
        <w:tc>
          <w:tcPr>
            <w:tcW w:w="4876" w:type="dxa"/>
            <w:tcBorders>
              <w:top w:val="nil"/>
              <w:left w:val="nil"/>
              <w:bottom w:val="nil"/>
              <w:right w:val="nil"/>
            </w:tcBorders>
          </w:tcPr>
          <w:p>
            <w:pPr>
              <w:pStyle w:val="Normal6a"/>
            </w:pPr>
            <w:r>
              <w:t>66.</w:t>
            </w:r>
            <w:r>
              <w:tab/>
            </w:r>
            <w:r>
              <w:rPr>
                <w:b/>
                <w:i/>
              </w:rPr>
              <w:t>vyjadřuje znepokojení nad tím, že Komise uvádí</w:t>
            </w:r>
            <w:r>
              <w:t>, že hlavním cílem Evropského štítu pro demokracii by mělo být chránit integritu voleb na místní, regionální, celostátní a evropské úrovni; vyzývá Komisi</w:t>
            </w:r>
            <w:r>
              <w:rPr>
                <w:b/>
                <w:i/>
              </w:rPr>
              <w:t>, aby dodržovala Smlouvy a</w:t>
            </w:r>
            <w:r>
              <w:t xml:space="preserve"> zásady </w:t>
            </w:r>
            <w:r>
              <w:rPr>
                <w:b/>
                <w:i/>
              </w:rPr>
              <w:t>svěření pravomocí,</w:t>
            </w:r>
            <w:r>
              <w:t xml:space="preserve"> subsidiarity </w:t>
            </w:r>
            <w:r>
              <w:rPr>
                <w:b/>
                <w:i/>
              </w:rPr>
              <w:t>a proporcionality a respektovala pravomoci členských států v citlivé oblasti voleb;</w:t>
            </w:r>
            <w:r>
              <w:t xml:space="preserve"> </w:t>
            </w:r>
            <w:r>
              <w:rPr>
                <w:b/>
                <w:i/>
              </w:rPr>
              <w:t>zdůrazňuje vážné obavy týkající se cenzury a nepřiměřeného omezování svobody projevu, jakož i práva na informace a svobody projevu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 xml:space="preserve">zdůrazňuje, že hlavním cílem Evropského štítu pro demokracii by mělo být chránit integritu voleb na místní, regionální, celostátní a evropské úrovni; vyzývá Komisi a členské státy, aby při plném dodržování zásady subsidiarity spolupracovaly na </w:t>
            </w:r>
            <w:r>
              <w:rPr>
                <w:b/>
                <w:i/>
              </w:rPr>
              <w:t>provádění reforem zaměřených na</w:t>
            </w:r>
            <w:r>
              <w:t xml:space="preserve"> posílení odolnosti volebních procesů v Evropě se zvláštním zaměřením na opatření, která mají zabránit zahraničnímu vměšování;</w:t>
            </w:r>
          </w:p>
        </w:tc>
        <w:tc>
          <w:tcPr>
            <w:tcW w:w="4876" w:type="dxa"/>
            <w:tcBorders>
              <w:top w:val="nil"/>
              <w:left w:val="nil"/>
              <w:bottom w:val="nil"/>
              <w:right w:val="nil"/>
            </w:tcBorders>
          </w:tcPr>
          <w:p>
            <w:pPr>
              <w:pStyle w:val="Normal6a"/>
            </w:pPr>
            <w:r>
              <w:t>66.</w:t>
            </w:r>
            <w:r>
              <w:tab/>
            </w:r>
            <w:r>
              <w:t xml:space="preserve">zdůrazňuje, že hlavním cílem Evropského štítu pro demokracii by mělo být chránit integritu voleb na místní, regionální, celostátní a evropské úrovni; </w:t>
            </w:r>
            <w:r>
              <w:rPr>
                <w:b/>
                <w:i/>
              </w:rPr>
              <w:t>zdůrazňuje, že primární odpovědnost za organizaci a průběh voleb a dohled nad nimi nesou členské státy;</w:t>
            </w:r>
            <w:r>
              <w:t xml:space="preserve"> vyzývá Komisi a členské státy, aby při plném dodržování zásady subsidiarity spolupracovaly na </w:t>
            </w:r>
            <w:r>
              <w:rPr>
                <w:b/>
                <w:i/>
              </w:rPr>
              <w:t>podpoře úsilí o</w:t>
            </w:r>
            <w:r>
              <w:t xml:space="preserve"> posílení odolnosti volebních procesů v Evropě se zvláštním zaměřením na opatření, která mají zabránit zahraničnímu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zdůrazňuje, že hlavním cílem Evropského štítu pro demokracii by mělo být chránit integritu voleb na místní, regionální, celostátní a evropské úrovni; vyzývá Komisi a členské státy, aby při plném dodržování zásady subsidiarity spolupracovaly na provádění reforem zaměřených na posílení odolnosti volebních procesů v Evropě se zvláštním zaměřením na opatření, která mají zabránit zahraničnímu vměšování;</w:t>
            </w:r>
          </w:p>
        </w:tc>
        <w:tc>
          <w:tcPr>
            <w:tcW w:w="4876" w:type="dxa"/>
            <w:tcBorders>
              <w:top w:val="nil"/>
              <w:left w:val="nil"/>
              <w:bottom w:val="nil"/>
              <w:right w:val="nil"/>
            </w:tcBorders>
          </w:tcPr>
          <w:p>
            <w:pPr>
              <w:pStyle w:val="Normal6a"/>
            </w:pPr>
            <w:r>
              <w:t>66.</w:t>
            </w:r>
            <w:r>
              <w:tab/>
            </w:r>
            <w:r>
              <w:t xml:space="preserve">zdůrazňuje, že hlavním cílem Evropského štítu pro demokracii by mělo být chránit integritu voleb na místní, regionální, celostátní a evropské úrovni; vyzývá Komisi a členské státy, aby při plném dodržování zásady subsidiarity </w:t>
            </w:r>
            <w:r>
              <w:rPr>
                <w:b/>
                <w:i/>
              </w:rPr>
              <w:t>a národní svrchovanosti, jak je stanoveno ve smlouvách EU,</w:t>
            </w:r>
            <w:r>
              <w:t xml:space="preserve"> spolupracovaly na provádění reforem zaměřených na posílení odolnosti volebních procesů v Evropě se zvláštním zaměřením na opatření, která mají zabránit zahraničnímu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1499</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zdůrazňuje, že hlavním cílem Evropského štítu pro demokracii by mělo být chránit integritu voleb na místní, regionální, celostátní a evropské úrovni; vyzývá Komisi a členské státy, aby při plném dodržování zásady subsidiarity spolupracovaly na provádění reforem zaměřených na posílení odolnosti volebních procesů v Evropě se zvláštním zaměřením na opatření, která mají zabránit zahraničnímu vměšování;</w:t>
            </w:r>
          </w:p>
        </w:tc>
        <w:tc>
          <w:tcPr>
            <w:tcW w:w="4876" w:type="dxa"/>
            <w:tcBorders>
              <w:top w:val="nil"/>
              <w:left w:val="nil"/>
              <w:bottom w:val="nil"/>
              <w:right w:val="nil"/>
            </w:tcBorders>
          </w:tcPr>
          <w:p>
            <w:pPr>
              <w:pStyle w:val="Normal6a"/>
            </w:pPr>
            <w:r>
              <w:t>66.</w:t>
            </w:r>
            <w:r>
              <w:tab/>
            </w:r>
            <w:r>
              <w:t>zdůrazňuje, že hlavním cílem Evropského štítu pro demokracii by mělo být chránit integritu voleb na místní, regionální, celostátní a evropské úrovni; vyzývá Komisi a členské státy, aby při plném dodržování zásady subsidiarity spolupracovaly</w:t>
            </w:r>
            <w:r>
              <w:rPr>
                <w:b/>
                <w:i/>
              </w:rPr>
              <w:t>, rovněž společně s kandidátskými zeměmi,</w:t>
            </w:r>
            <w:r>
              <w:t xml:space="preserve"> na provádění reforem zaměřených na posílení odolnosti volebních procesů v Evropě se zvláštním zaměřením na opatření, která mají zabránit zahraničnímu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zdůrazňuje, že hlavním cílem Evropského štítu pro demokracii by mělo být chránit integritu voleb na místní, regionální, celostátní a evropské úrovni; vyzývá Komisi a členské státy, aby při plném dodržování zásady subsidiarity spolupracovaly na provádění reforem zaměřených na posílení odolnosti volebních procesů v Evropě se zvláštním zaměřením na opatření, která mají zabránit zahraničnímu vměšování;</w:t>
            </w:r>
          </w:p>
        </w:tc>
        <w:tc>
          <w:tcPr>
            <w:tcW w:w="4876" w:type="dxa"/>
            <w:tcBorders>
              <w:top w:val="nil"/>
              <w:left w:val="nil"/>
              <w:bottom w:val="nil"/>
              <w:right w:val="nil"/>
            </w:tcBorders>
          </w:tcPr>
          <w:p>
            <w:pPr>
              <w:pStyle w:val="Normal6a"/>
            </w:pPr>
            <w:r>
              <w:t>66.</w:t>
            </w:r>
            <w:r>
              <w:tab/>
            </w:r>
            <w:r>
              <w:t xml:space="preserve">zdůrazňuje, že hlavním cílem Evropského štítu pro demokracii by mělo být chránit integritu voleb na místní, regionální, celostátní a evropské úrovni; vyzývá Komisi a členské státy, aby při plném dodržování zásady subsidiarity spolupracovaly na provádění reforem zaměřených na posílení odolnosti volebních procesů v Evropě se zvláštním zaměřením na opatření, která mají zabránit zahraničnímu vměšování </w:t>
            </w:r>
            <w:r>
              <w:rPr>
                <w:b/>
                <w:i/>
              </w:rPr>
              <w:t>a algoritmické manipulaci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66a.</w:t>
            </w:r>
            <w:r>
              <w:tab/>
            </w:r>
            <w:r>
              <w:rPr>
                <w:b/>
                <w:i/>
              </w:rPr>
              <w:t>důrazně odsuzuje veškeré kroky Evropské komise, jejích útvarů nebo agentur, které přímo či nepřímo zasahují do volebních procesů, politické diskuse nebo svobodného utváření názorů voličů;</w:t>
            </w:r>
            <w:r>
              <w:t xml:space="preserve"> </w:t>
            </w:r>
            <w:r>
              <w:rPr>
                <w:b/>
                <w:i/>
              </w:rPr>
              <w:t>zdůrazňuje, že ovlivňování moderování obsahu, informačních toků nebo politického diskurzu v souvislosti s volbami představuje nepřijatelné vměšování neslučitelné s demokratickými zásadami, Smlouvami a povinností Komise zachovávat institucionální neutralitu;</w:t>
            </w:r>
            <w:r>
              <w:t xml:space="preserve"> </w:t>
            </w:r>
            <w:r>
              <w:rPr>
                <w:b/>
                <w:i/>
              </w:rPr>
              <w:t>připomíná, že ochrany demokracie nelze dosáhnout správním nebo regulačním vlivem na politické projevy;</w:t>
            </w:r>
            <w:r>
              <w:t xml:space="preserve"> </w:t>
            </w:r>
            <w:r>
              <w:rPr>
                <w:b/>
                <w:i/>
              </w:rPr>
              <w:t>vyzývá Komisi, aby zcela transparentně prošetřila své potenciální protiprávní jednání a aby se v budoucnu zdržela jakýchkoli praktik, které by mohly být vnímány jako zasahování do voleb nebo jako podpora politicky upřednostňovaného narativu, aby zajistila plnou transparentnost svých kontaktů a výměn s on-line platformami a aby přísně respektovala pravomoci členských států a základní práva občanů, zejména svobodu projevu a politický pluralismus;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66a.</w:t>
            </w:r>
            <w:r>
              <w:tab/>
            </w:r>
            <w:r>
              <w:rPr>
                <w:b/>
                <w:i/>
              </w:rPr>
              <w:t>v souvislosti s volbami identifikuje opakující se strategické vzorce operací zahraniční manipulace s informacemi a vměšování:</w:t>
            </w:r>
            <w:r>
              <w:t xml:space="preserve"> </w:t>
            </w:r>
            <w:r>
              <w:rPr>
                <w:b/>
                <w:i/>
              </w:rPr>
              <w:t>umělá propagace nebo diskreditace konkrétních kandidátů nebo politických stran;</w:t>
            </w:r>
            <w:r>
              <w:t xml:space="preserve"> </w:t>
            </w:r>
            <w:r>
              <w:rPr>
                <w:b/>
                <w:i/>
              </w:rPr>
              <w:t>záměrné oslabování důvěry ve volební postupy a v instituce odpovědné za zajištění demokratické integrity;</w:t>
            </w:r>
            <w:r>
              <w:t xml:space="preserve"> </w:t>
            </w:r>
            <w:r>
              <w:rPr>
                <w:b/>
                <w:i/>
              </w:rPr>
              <w:t>účelové využívání a prohlubování polarizujících společenských problémů s cílem prohloubit rozpory ve společnosti;</w:t>
            </w:r>
            <w:r>
              <w:t xml:space="preserve"> </w:t>
            </w:r>
            <w:r>
              <w:rPr>
                <w:b/>
                <w:i/>
              </w:rPr>
              <w:t>a koordinované úsilí o oslabení důvěryhodnosti zavedených sdělovacích prostředků a zároveň nasměrování publika k kontrolovaným nebo nespolehlivým zdrojům informací, čímž se oslabuje informovaná volba voličů a důvěra veřejnosti v demokratické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66a.</w:t>
            </w:r>
            <w:r>
              <w:tab/>
            </w:r>
            <w:r>
              <w:rPr>
                <w:b/>
                <w:i/>
              </w:rPr>
              <w:t>zdůrazňuje, že integrita volebních procesů musí být chráněna v průběhu celého volebního cyklu, a to jak offline, tak online;</w:t>
            </w:r>
            <w:r>
              <w:t xml:space="preserve"> </w:t>
            </w:r>
            <w:r>
              <w:rPr>
                <w:b/>
                <w:i/>
              </w:rPr>
              <w:t>zdůrazňuje, že hrozby pro volby jsou stále častěji kombinací fyzických, digitálních a informačních útoků;</w:t>
            </w:r>
            <w:r>
              <w:t xml:space="preserve"> </w:t>
            </w:r>
            <w:r>
              <w:rPr>
                <w:b/>
                <w:i/>
              </w:rPr>
              <w:t>požaduje koordinovaný přístup Unie, který by se zabýval těmito aspekty současně;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66a.</w:t>
            </w:r>
            <w:r>
              <w:tab/>
            </w:r>
            <w:r>
              <w:rPr>
                <w:b/>
                <w:i/>
              </w:rPr>
              <w:t>je přesvědčen, že by štít pro demokracii měl podporovat svolávání, koordinaci a financování úsilí o integritu evropských voleb na místní, regionální, celostátní a evropské úrovni, a to online i offline, včetně aspektů financování hybridních hrozeb, kybernetických hrozeb a manipulace s informacemi;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1505</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66b.</w:t>
            </w:r>
            <w:r>
              <w:tab/>
            </w:r>
            <w:r>
              <w:rPr>
                <w:b/>
                <w:i/>
              </w:rPr>
              <w:t>vyzývá Komisi a členské státy, aby posílily fyzickou i kybernetickou bezpečnost volebních technologií, včetně systémů registrace voličů, hlasovacích strojů, infrastruktury pro sčítání hlasů a systémů pro přenos výsledků;</w:t>
            </w:r>
            <w:r>
              <w:t xml:space="preserve"> </w:t>
            </w:r>
            <w:r>
              <w:rPr>
                <w:b/>
                <w:i/>
              </w:rPr>
              <w:t>zdůrazňuje, že jsou zapotřebí:</w:t>
            </w:r>
            <w:r>
              <w:t xml:space="preserve"> </w:t>
            </w:r>
            <w:r>
              <w:rPr>
                <w:b/>
                <w:i/>
              </w:rPr>
              <w:t>minimální bezpečnostní normy platné v celé Unii;</w:t>
            </w:r>
            <w:r>
              <w:t xml:space="preserve"> </w:t>
            </w:r>
            <w:r>
              <w:rPr>
                <w:b/>
                <w:i/>
              </w:rPr>
              <w:t>pravidelné nezávislé bezpečnostní audity a penetrační testování;</w:t>
            </w:r>
            <w:r>
              <w:t xml:space="preserve"> </w:t>
            </w:r>
            <w:r>
              <w:rPr>
                <w:b/>
                <w:i/>
              </w:rPr>
              <w:t>bezpečné dodavatelské řetězce a ochrana před zahraničním vlivem nebo vlastnictvím;</w:t>
            </w:r>
            <w:r>
              <w:t xml:space="preserve"> </w:t>
            </w:r>
            <w:r>
              <w:rPr>
                <w:b/>
                <w:i/>
              </w:rPr>
              <w:t>pohotovostní plánování a mechanismy rychlé reakce v případě kybernetických nebo fyzických incidentů;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vyzývá členské státy, aby zvýšily úsilí o provádění doporučení Komise týkajících se inkluzivních, spolehlivých a odolných volebních procesů v EU; zdůrazňuje zejména, že je důležité zřídit vnitrostátní volební sítě, které by vnitrostátním orgánům a odborným subjektům pomáhaly pracovat v součinnosti;</w:t>
            </w:r>
          </w:p>
        </w:tc>
        <w:tc>
          <w:tcPr>
            <w:tcW w:w="4876" w:type="dxa"/>
            <w:tcBorders>
              <w:top w:val="nil"/>
              <w:left w:val="nil"/>
              <w:bottom w:val="nil"/>
              <w:right w:val="nil"/>
            </w:tcBorders>
          </w:tcPr>
          <w:p>
            <w:pPr>
              <w:pStyle w:val="Normal6a"/>
            </w:pPr>
            <w:r>
              <w:t>67.</w:t>
            </w:r>
            <w:r>
              <w:tab/>
            </w:r>
            <w:r>
              <w:t xml:space="preserve">vyzývá členské státy, aby zvýšily úsilí o provádění doporučení Komise týkajících se inkluzivních, spolehlivých a odolných volebních procesů v EU; zdůrazňuje zejména, že je důležité zřídit vnitrostátní volební sítě, které by vnitrostátním orgánům a odborným subjektům pomáhaly pracovat v součinnosti; </w:t>
            </w:r>
            <w:r>
              <w:rPr>
                <w:b/>
                <w:i/>
              </w:rPr>
              <w:t>požaduje systematický rozvoj a rozšiřování zátěžových testů zaměřených na volby, které by vycházely z praktických zkušeností a zkušeností získaných z předchozích volebních cyklů, s cílem lépe předvídat, simulovat a zmírňovat rizika spojená s manipulací s informacemi, kybernetickým vměšováním a zesilováním prostřednictvím platforem;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 xml:space="preserve">vyzývá členské státy, aby </w:t>
            </w:r>
            <w:r>
              <w:rPr>
                <w:b/>
                <w:i/>
              </w:rPr>
              <w:t>zvýšily</w:t>
            </w:r>
            <w:r>
              <w:t xml:space="preserve"> úsilí o </w:t>
            </w:r>
            <w:r>
              <w:rPr>
                <w:b/>
                <w:i/>
              </w:rPr>
              <w:t>provádění</w:t>
            </w:r>
            <w:r>
              <w:t xml:space="preserve"> doporučení Komise týkajících se </w:t>
            </w:r>
            <w:r>
              <w:rPr>
                <w:b/>
                <w:i/>
              </w:rPr>
              <w:t>inkluzivních, spolehlivých a odolných volebních procesů v EU;</w:t>
            </w:r>
            <w:r>
              <w:t xml:space="preserve"> zdůrazňuje </w:t>
            </w:r>
            <w:r>
              <w:rPr>
                <w:b/>
                <w:i/>
              </w:rPr>
              <w:t>zejména, že je důležité zřídit vnitrostátní volební sítě, které by</w:t>
            </w:r>
            <w:r>
              <w:t xml:space="preserve"> vnitrostátním </w:t>
            </w:r>
            <w:r>
              <w:rPr>
                <w:b/>
                <w:i/>
              </w:rPr>
              <w:t>orgánům a odborným subjektům pomáhaly pracovat v součinnosti</w:t>
            </w:r>
            <w:r>
              <w:t>;</w:t>
            </w:r>
          </w:p>
        </w:tc>
        <w:tc>
          <w:tcPr>
            <w:tcW w:w="4876" w:type="dxa"/>
            <w:tcBorders>
              <w:top w:val="nil"/>
              <w:left w:val="nil"/>
              <w:bottom w:val="nil"/>
              <w:right w:val="nil"/>
            </w:tcBorders>
          </w:tcPr>
          <w:p>
            <w:pPr>
              <w:pStyle w:val="Normal6a"/>
            </w:pPr>
            <w:r>
              <w:t>67.</w:t>
            </w:r>
            <w:r>
              <w:tab/>
            </w:r>
            <w:r>
              <w:t xml:space="preserve">vyzývá členské státy, aby </w:t>
            </w:r>
            <w:r>
              <w:rPr>
                <w:b/>
                <w:i/>
              </w:rPr>
              <w:t>na dobrovolném základě zintenzivnily</w:t>
            </w:r>
            <w:r>
              <w:t xml:space="preserve"> úsilí o </w:t>
            </w:r>
            <w:r>
              <w:rPr>
                <w:b/>
                <w:i/>
              </w:rPr>
              <w:t>zohlednění</w:t>
            </w:r>
            <w:r>
              <w:t xml:space="preserve"> doporučení Komise týkajících se </w:t>
            </w:r>
            <w:r>
              <w:rPr>
                <w:b/>
                <w:i/>
              </w:rPr>
              <w:t>inkluzivnosti a</w:t>
            </w:r>
            <w:r>
              <w:t xml:space="preserve"> zdůrazňuje</w:t>
            </w:r>
            <w:r>
              <w:rPr>
                <w:b/>
                <w:i/>
              </w:rPr>
              <w:t>, že tato doporučení nejsou závazná a musí být přizpůsobena</w:t>
            </w:r>
            <w:r>
              <w:t xml:space="preserve"> vnitrostátním </w:t>
            </w:r>
            <w:r>
              <w:rPr>
                <w:b/>
                <w:i/>
              </w:rPr>
              <w:t>ústavním, právním a volebním tradicím;</w:t>
            </w:r>
            <w:r>
              <w:t xml:space="preserve"> </w:t>
            </w:r>
            <w:r>
              <w:rPr>
                <w:b/>
                <w:i/>
              </w:rPr>
              <w:t>zdůrazňuje význam zřízení nebo posílení vnitrostátních volebních sítí tam, kde je to vhodné, aby se napomohlo synergické spolupráci vnitrostátních orgánů a odborných orgánů bez dohledu na úrovni EU nebo harmonizace volebních systémů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1508</w:t>
      </w:r>
      <w:r>
        <w:rPr>
          <w:rStyle w:val="HideTWBExt"/>
        </w:rPr>
        <w:t>&lt;/NumAm&gt;</w:t>
      </w:r>
    </w:p>
    <w:p>
      <w:pPr>
        <w:pStyle w:val="NormalBold"/>
      </w:pPr>
      <w:r>
        <w:rPr>
          <w:rStyle w:val="HideTWBExt"/>
          <w:b w:val="0"/>
        </w:rPr>
        <w:t>&lt;RepeatBlock-By&gt;</w:t>
      </w:r>
      <w:r>
        <w:rPr>
          <w:rStyle w:val="HideTWBExt"/>
          <w:b w:val="0"/>
        </w:rPr>
        <w:t>&lt;Members&gt;</w:t>
      </w:r>
      <w:r>
        <w:t>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 xml:space="preserve">vyzývá členské státy, aby </w:t>
            </w:r>
            <w:r>
              <w:rPr>
                <w:b/>
                <w:i/>
              </w:rPr>
              <w:t>zvýšily</w:t>
            </w:r>
            <w:r>
              <w:t xml:space="preserve"> úsilí </w:t>
            </w:r>
            <w:r>
              <w:rPr>
                <w:b/>
                <w:i/>
              </w:rPr>
              <w:t>o provádění doporučení Komise týkajících se inkluzivních, spolehlivých a odolných</w:t>
            </w:r>
            <w:r>
              <w:t xml:space="preserve"> volebních procesů v </w:t>
            </w:r>
            <w:r>
              <w:rPr>
                <w:b/>
                <w:i/>
              </w:rPr>
              <w:t>EU</w:t>
            </w:r>
            <w:r>
              <w:t xml:space="preserve">; </w:t>
            </w:r>
            <w:r>
              <w:rPr>
                <w:b/>
                <w:i/>
              </w:rPr>
              <w:t>zdůrazňuje zejména, že je důležité zřídit vnitrostátní volební sítě, které by vnitrostátním orgánům a odborným subjektům pomáhaly pracovat v součinnosti;</w:t>
            </w:r>
          </w:p>
        </w:tc>
        <w:tc>
          <w:tcPr>
            <w:tcW w:w="4876" w:type="dxa"/>
            <w:tcBorders>
              <w:top w:val="nil"/>
              <w:left w:val="nil"/>
              <w:bottom w:val="nil"/>
              <w:right w:val="nil"/>
            </w:tcBorders>
          </w:tcPr>
          <w:p>
            <w:pPr>
              <w:pStyle w:val="Normal6a"/>
            </w:pPr>
            <w:r>
              <w:t>67.</w:t>
            </w:r>
            <w:r>
              <w:tab/>
            </w:r>
            <w:r>
              <w:t xml:space="preserve">vyzývá členské státy, aby </w:t>
            </w:r>
            <w:r>
              <w:rPr>
                <w:b/>
                <w:i/>
              </w:rPr>
              <w:t>zintenzivnily své</w:t>
            </w:r>
            <w:r>
              <w:t xml:space="preserve"> úsilí </w:t>
            </w:r>
            <w:r>
              <w:rPr>
                <w:b/>
                <w:i/>
              </w:rPr>
              <w:t>v oblasti ochrany před dezinformacemi a zahraničním vměšováním;</w:t>
            </w:r>
            <w:r>
              <w:t xml:space="preserve"> </w:t>
            </w:r>
            <w:r>
              <w:rPr>
                <w:b/>
                <w:i/>
              </w:rPr>
              <w:t>vyzývá Komisi a orgány Unie, aby členským státům poskytovaly poradenství a sdílely s nimi zdroje, včetně lidských a technologických kapacit, jakož i zkušenosti, odborné znalosti a relevantní informace, s cílem posílit odolnost</w:t>
            </w:r>
            <w:r>
              <w:t xml:space="preserve"> volebních procesů v </w:t>
            </w:r>
            <w:r>
              <w:rPr>
                <w:b/>
                <w:i/>
              </w:rPr>
              <w:t>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67a.</w:t>
            </w:r>
            <w:r>
              <w:tab/>
            </w:r>
            <w:r>
              <w:rPr>
                <w:b/>
                <w:i/>
              </w:rPr>
              <w:t>zdůrazňuje, že posílení odolnosti voleb vyžaduje, aby nezávislí výzkumní pracovníci, organizace občanské společnosti a akreditované akademické instituce měli smysluplný a včasný přístup k příslušným údajům platformy, a to v plném souladu s pravidly ochrany údajů a soukromí;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1510</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vyzývá členské státy, aby zajistily, aby volební orgány nebo rovnocenné orgány odpovědné za funkční, svobodné a spravedlivé volby byly dostatečně financovány a vybaveny vhodnými nástroji, které jim umožní plnit jejich funkce, ať už jde o poskytování odborné přípravy personálu a nezbytných digitálních nástrojů, nebo o zajištění dostatečných investic do volebních orgánů a volební infrastruktury;</w:t>
            </w:r>
          </w:p>
        </w:tc>
        <w:tc>
          <w:tcPr>
            <w:tcW w:w="4876" w:type="dxa"/>
            <w:tcBorders>
              <w:top w:val="nil"/>
              <w:left w:val="nil"/>
              <w:bottom w:val="nil"/>
              <w:right w:val="nil"/>
            </w:tcBorders>
          </w:tcPr>
          <w:p>
            <w:pPr>
              <w:pStyle w:val="Normal6a"/>
            </w:pPr>
            <w:r>
              <w:t>68.</w:t>
            </w:r>
            <w:r>
              <w:tab/>
            </w:r>
            <w:r>
              <w:t xml:space="preserve">vyzývá členské státy, aby zajistily, aby volební orgány nebo rovnocenné orgány odpovědné za funkční, svobodné a spravedlivé volby byly dostatečně financovány a vybaveny vhodnými nástroji, které jim umožní plnit jejich funkce, ať už jde o poskytování odborné přípravy personálu a nezbytných digitálních nástrojů, nebo o zajištění dostatečných investic do volebních orgánů a volební infrastruktury; </w:t>
            </w:r>
            <w:r>
              <w:rPr>
                <w:b/>
                <w:i/>
              </w:rPr>
              <w:t>konstatuje, že útoky na integritu voleb jsou mnohostranné, komplexní a dlouhodobé a jsou součástí ekosystému hrozeb, které je třeba řešit celospolečenským přístupem;</w:t>
            </w:r>
            <w:r>
              <w:t xml:space="preserve"> </w:t>
            </w:r>
            <w:r>
              <w:rPr>
                <w:b/>
                <w:i/>
              </w:rPr>
              <w:t>zdůrazňuje, že úsilí o integritu voleb musí být komplexní a musí koordinovaně čelit hrozbám, včetně zahraniční manipulace s informacemi a vměšování a dezinformačních kampaní, kybernetických hrozeb a trestné činnosti;</w:t>
            </w:r>
            <w:r>
              <w:t xml:space="preserve"> </w:t>
            </w:r>
            <w:r>
              <w:rPr>
                <w:b/>
                <w:i/>
              </w:rPr>
              <w:t>zdůrazňuje, že takové úsilí musí být účinně financováno a vybaveno zdroji, a to nejen v bezprostředním období před volbami, ale i průběžně před nimi a po nich;</w:t>
            </w:r>
            <w:r>
              <w:t xml:space="preserve"> </w:t>
            </w:r>
            <w:r>
              <w:rPr>
                <w:b/>
                <w:i/>
              </w:rPr>
              <w:t>zdůrazňuje potřebu investic do sítí pro výzkum a analýzu otevřených zdrojů informací a jejich úlohu v boji proti operacím ovlivňování, zahraniční manipulaci s informacemi a vměšování a hybridním hrozbám;</w:t>
            </w:r>
            <w:r>
              <w:t xml:space="preserve"> </w:t>
            </w:r>
            <w:r>
              <w:rPr>
                <w:b/>
                <w:i/>
              </w:rPr>
              <w:t>zdůrazňuje, že úsilí o boj proti dezinformacím, zahraniční manipulaci s informacemi a vměšování a operacím ovlivňování musí být obecně zaměřeno na systematické narušování těchto hrozeb tím, že se bude zabývat taktikou, aktéry hrozeb a systémovými riziky;</w:t>
            </w:r>
            <w:r>
              <w:t xml:space="preserve"> </w:t>
            </w:r>
            <w:r>
              <w:rPr>
                <w:b/>
                <w:i/>
              </w:rPr>
              <w:t>konstatuje, že programy zaměřené na boj proti manipulaci s informacemi by se měly soustředit na aktivní narušování informačních hrozeb;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vyzývá členské státy, aby zajistily, aby volební orgány nebo rovnocenné orgány odpovědné za funkční, svobodné a spravedlivé volby byly dostatečně financovány a vybaveny vhodnými nástroji, které jim umožní plnit jejich funkce, ať už jde o poskytování odborné přípravy personálu a nezbytných digitálních nástrojů, nebo o zajištění dostatečných investic do volebních orgánů a volební infrastruktury;</w:t>
            </w:r>
          </w:p>
        </w:tc>
        <w:tc>
          <w:tcPr>
            <w:tcW w:w="4876" w:type="dxa"/>
            <w:tcBorders>
              <w:top w:val="nil"/>
              <w:left w:val="nil"/>
              <w:bottom w:val="nil"/>
              <w:right w:val="nil"/>
            </w:tcBorders>
          </w:tcPr>
          <w:p>
            <w:pPr>
              <w:pStyle w:val="Normal6a"/>
            </w:pPr>
            <w:r>
              <w:t>68.</w:t>
            </w:r>
            <w:r>
              <w:tab/>
            </w:r>
            <w:r>
              <w:t xml:space="preserve">vyzývá členské státy, aby zajistily, aby volební orgány nebo rovnocenné orgány odpovědné za funkční, svobodné a spravedlivé volby byly dostatečně financovány a vybaveny vhodnými nástroji, které jim umožní plnit jejich funkce, ať už jde o poskytování odborné přípravy personálu a nezbytných digitálních nástrojů, nebo o zajištění dostatečných investic do volebních orgánů a volební infrastruktury; </w:t>
            </w:r>
            <w:r>
              <w:rPr>
                <w:b/>
                <w:i/>
              </w:rPr>
              <w:t>uznává v této souvislosti, že tyto otázky spadají do výlučné pravomoci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68a.</w:t>
            </w:r>
            <w:r>
              <w:tab/>
            </w:r>
            <w:r>
              <w:rPr>
                <w:b/>
                <w:i/>
              </w:rPr>
              <w:t>konstatuje, že útoky na integritu voleb jsou mnohostranné, komplexní a dlouhodobé a jsou součástí ekosystému hrozeb, které je třeba řešit celospolečenským přístupem;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68b.</w:t>
            </w:r>
            <w:r>
              <w:tab/>
            </w:r>
            <w:r>
              <w:rPr>
                <w:b/>
                <w:i/>
              </w:rPr>
              <w:t>zdůrazňuje, že úsilí o integritu voleb musí být komplexní a musí koordinovaně čelit hrozbám, včetně zahraniční manipulace s informacemi a vměšování a dezinformačních kampaní, kybernetických hrozeb a trestné činnosti;</w:t>
            </w:r>
            <w:r>
              <w:t xml:space="preserve"> </w:t>
            </w:r>
            <w:r>
              <w:rPr>
                <w:b/>
                <w:i/>
              </w:rPr>
              <w:t>zdůrazňuje, že takové úsilí musí být účinně financováno a vybaveno zdroji, a to nejen v bezprostředním období před volbami, ale i průběžně před nimi a po nich;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domnívá se, že nenávistné kampaně a násilí, které kandidátům ztěžují účast ve veřejné debatě nebo interakci s voliči, představují hrozbu pro demokracii</w:t>
            </w:r>
            <w:r>
              <w:rPr>
                <w:b/>
                <w:i/>
              </w:rPr>
              <w:t>.</w:t>
            </w:r>
            <w:r>
              <w:t xml:space="preserve"> zdůrazňuje, že tyto hrozby mohou být podněcovány pokusy třetích zemí o destabilizaci EU; vítá v tomto ohledu závazek Komise předložit doporučení týkající se bezpečnosti v politice; vyzývá členské státy, aby zvýšily své úsilí o ochranu kandidátů ve volbách a zvolených zástupců;</w:t>
            </w:r>
          </w:p>
        </w:tc>
        <w:tc>
          <w:tcPr>
            <w:tcW w:w="4876" w:type="dxa"/>
            <w:tcBorders>
              <w:top w:val="nil"/>
              <w:left w:val="nil"/>
              <w:bottom w:val="nil"/>
              <w:right w:val="nil"/>
            </w:tcBorders>
          </w:tcPr>
          <w:p>
            <w:pPr>
              <w:pStyle w:val="Normal6a"/>
            </w:pPr>
            <w:r>
              <w:t>69.</w:t>
            </w:r>
            <w:r>
              <w:tab/>
            </w:r>
            <w:r>
              <w:t>domnívá se, že nenávistné kampaně a násilí, které kandidátům ztěžují účast ve veřejné debatě nebo interakci s voliči, představují hrozbu pro demokracii</w:t>
            </w:r>
            <w:r>
              <w:rPr>
                <w:b/>
                <w:i/>
              </w:rPr>
              <w:t>;</w:t>
            </w:r>
            <w:r>
              <w:t xml:space="preserve"> </w:t>
            </w:r>
            <w:r>
              <w:rPr>
                <w:b/>
                <w:i/>
              </w:rPr>
              <w:t>připomíná v této souvislosti nedávnou nenávistnou kampaň v Polsku namířenou proti konzervativní vládě, která spočívala ve vulgárním sloganu symbolizovaném osmi hvězdičkami;</w:t>
            </w:r>
            <w:r>
              <w:t xml:space="preserve"> zdůrazňuje, že tyto hrozby mohou být podněcovány pokusy třetích zemí o destabilizaci EU; vítá v tomto ohledu závazek Komise předložit </w:t>
            </w:r>
            <w:r>
              <w:rPr>
                <w:b/>
                <w:i/>
              </w:rPr>
              <w:t>nezávazná</w:t>
            </w:r>
            <w:r>
              <w:t xml:space="preserve"> doporučení týkající se bezpečnosti v politice; vyzývá členské státy, aby zvýšily své úsilí o ochranu kandidátů ve volbách a zvolených zástupců;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 xml:space="preserve">domnívá se, že nenávistné kampaně a násilí, které kandidátům ztěžují účast ve veřejné debatě nebo interakci s voliči, představují hrozbu pro demokracii. zdůrazňuje, že tyto hrozby mohou být podněcovány </w:t>
            </w:r>
            <w:r>
              <w:rPr>
                <w:b/>
                <w:i/>
              </w:rPr>
              <w:t>pokusy třetích zemí o destabilizaci EU;</w:t>
            </w:r>
            <w:r>
              <w:t xml:space="preserve"> </w:t>
            </w:r>
            <w:r>
              <w:rPr>
                <w:b/>
                <w:i/>
              </w:rPr>
              <w:t>vítá v tomto ohledu závazek Komise předložit doporučení týkající se bezpečnosti v politice</w:t>
            </w:r>
            <w:r>
              <w:t>; vyzývá členské státy, aby zvýšily své úsilí o ochranu kandidátů ve volbách a zvolených zástupců;</w:t>
            </w:r>
          </w:p>
        </w:tc>
        <w:tc>
          <w:tcPr>
            <w:tcW w:w="4876" w:type="dxa"/>
            <w:tcBorders>
              <w:top w:val="nil"/>
              <w:left w:val="nil"/>
              <w:bottom w:val="nil"/>
              <w:right w:val="nil"/>
            </w:tcBorders>
          </w:tcPr>
          <w:p>
            <w:pPr>
              <w:pStyle w:val="Normal6a"/>
            </w:pPr>
            <w:r>
              <w:t>69.</w:t>
            </w:r>
            <w:r>
              <w:tab/>
            </w:r>
            <w:r>
              <w:t xml:space="preserve">domnívá se, že nenávistné kampaně a násilí, které kandidátům ztěžují účast ve veřejné debatě nebo interakci s voliči, představují hrozbu pro demokracii. zdůrazňuje, že tyto hrozby mohou být podněcovány </w:t>
            </w:r>
            <w:r>
              <w:rPr>
                <w:b/>
                <w:i/>
              </w:rPr>
              <w:t>třetími zeměmi</w:t>
            </w:r>
            <w:r>
              <w:t>; vyzývá členské státy, aby zvýšily své úsilí o ochranu kandidátů ve volbách a zvolených zástupců;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1516</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 xml:space="preserve">domnívá se, že nenávistné kampaně a násilí, které kandidátům ztěžují účast ve veřejné debatě nebo interakci s voliči, představují hrozbu pro demokracii. </w:t>
            </w:r>
            <w:r>
              <w:rPr>
                <w:b/>
                <w:i/>
              </w:rPr>
              <w:t>zdůrazňuje, že</w:t>
            </w:r>
            <w:r>
              <w:t xml:space="preserve"> tyto hrozby mohou být podněcovány pokusy třetích zemí </w:t>
            </w:r>
            <w:r>
              <w:rPr>
                <w:b/>
                <w:i/>
              </w:rPr>
              <w:t>o destabilizaci EU;</w:t>
            </w:r>
            <w:r>
              <w:t xml:space="preserve"> </w:t>
            </w:r>
            <w:r>
              <w:rPr>
                <w:b/>
                <w:i/>
              </w:rPr>
              <w:t>vítá v tomto ohledu závazek Komise předložit doporučení týkající se bezpečnosti v politice</w:t>
            </w:r>
            <w:r>
              <w:t>; vyzývá členské státy, aby zvýšily své úsilí o ochranu kandidátů ve volbách a zvolených zástupců;</w:t>
            </w:r>
          </w:p>
        </w:tc>
        <w:tc>
          <w:tcPr>
            <w:tcW w:w="4876" w:type="dxa"/>
            <w:tcBorders>
              <w:top w:val="nil"/>
              <w:left w:val="nil"/>
              <w:bottom w:val="nil"/>
              <w:right w:val="nil"/>
            </w:tcBorders>
          </w:tcPr>
          <w:p>
            <w:pPr>
              <w:pStyle w:val="Normal6a"/>
            </w:pPr>
            <w:r>
              <w:t>69.</w:t>
            </w:r>
            <w:r>
              <w:tab/>
            </w:r>
            <w:r>
              <w:t xml:space="preserve">domnívá se, že nenávistné kampaně a násilí, které kandidátům ztěžují účast ve veřejné debatě nebo interakci s voliči, představují hrozbu pro demokracii. tyto hrozby mohou být </w:t>
            </w:r>
            <w:r>
              <w:rPr>
                <w:b/>
                <w:i/>
              </w:rPr>
              <w:t>rovněž</w:t>
            </w:r>
            <w:r>
              <w:t xml:space="preserve"> podněcovány pokusy třetích zemí </w:t>
            </w:r>
            <w:r>
              <w:rPr>
                <w:b/>
                <w:i/>
              </w:rPr>
              <w:t>a militantními organizacemi</w:t>
            </w:r>
            <w:r>
              <w:t>; vyzývá členské státy, aby zvýšily své úsilí o ochranu kandidátů ve volbách a zvolených zástupců;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domnívá se, že nenávistné kampaně a násilí, které kandidátům ztěžují účast ve veřejné debatě nebo interakci s voliči, představují hrozbu pro demokracii. zdůrazňuje, že tyto hrozby mohou být podněcovány pokusy třetích zemí o destabilizaci EU; vítá v tomto ohledu závazek Komise předložit doporučení týkající se bezpečnosti v politice; vyzývá členské státy, aby zvýšily své úsilí o ochranu kandidátů ve volbách a zvolených zástupců;</w:t>
            </w:r>
          </w:p>
        </w:tc>
        <w:tc>
          <w:tcPr>
            <w:tcW w:w="4876" w:type="dxa"/>
            <w:tcBorders>
              <w:top w:val="nil"/>
              <w:left w:val="nil"/>
              <w:bottom w:val="nil"/>
              <w:right w:val="nil"/>
            </w:tcBorders>
          </w:tcPr>
          <w:p>
            <w:pPr>
              <w:pStyle w:val="Normal6a"/>
            </w:pPr>
            <w:r>
              <w:t>69.</w:t>
            </w:r>
            <w:r>
              <w:tab/>
            </w:r>
            <w:r>
              <w:t>domnívá se, že nenávistné kampaně</w:t>
            </w:r>
            <w:r>
              <w:rPr>
                <w:b/>
                <w:i/>
              </w:rPr>
              <w:t>, zastrašování</w:t>
            </w:r>
            <w:r>
              <w:t xml:space="preserve"> a násilí, které kandidátům ztěžují účast ve veřejné debatě nebo interakci s voliči, představují hrozbu pro demokracii. zdůrazňuje, že tyto hrozby mohou být podněcovány pokusy třetích zemí o destabilizaci EU; vítá v tomto ohledu závazek Komise předložit doporučení týkající se bezpečnosti v politice; vyzývá členské státy, aby zvýšily své úsilí o ochranu kandidátů ve volbách a zvolených zástupců;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69a.</w:t>
            </w:r>
            <w:r>
              <w:tab/>
            </w:r>
            <w:r>
              <w:rPr>
                <w:b/>
                <w:i/>
              </w:rPr>
              <w:t>zdůrazňuje, že bezpečnost a ochrana žen v politickém životě jsou nezbytným předpokladem pro dosažení rovného zastoupení a pro zajištění odolné a inkluzivní demokracie;</w:t>
            </w:r>
            <w:r>
              <w:t xml:space="preserve"> </w:t>
            </w:r>
            <w:r>
              <w:rPr>
                <w:b/>
                <w:i/>
              </w:rPr>
              <w:t>odsuzuje využívání online dezinformačních kampaní k obtěžování, vyhrožování a zastrašování kandidátek, přičemž se tyto kampaně často opírají o misogynní narativy zpochybňující kompetence, důvěryhodnost a morální integrit kandidátek;</w:t>
            </w:r>
            <w:r>
              <w:t xml:space="preserve"> </w:t>
            </w:r>
            <w:r>
              <w:rPr>
                <w:b/>
                <w:i/>
              </w:rPr>
              <w:t>poukazuje na zásahy zaznamenané během volebních procesů v Moldavsku a dalších evropských zemích, kde byly ženy ve vedoucích pozicích nepřiměřeně terčem takových hybridních taktik s cílem odradit ženy od účasti na politickém životě a destabilizovat demokratické instituce;</w:t>
            </w:r>
            <w:r>
              <w:t xml:space="preserve"> </w:t>
            </w:r>
            <w:r>
              <w:rPr>
                <w:b/>
                <w:i/>
              </w:rPr>
              <w:t>vyzývá členské státy a Komisi, aby přijaly cílená opatření pro monitorování, prevenci a potírání dezinformací založených na pohlaví v rámci svých strategií pro integritu voleb a demokratickou odolnost;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69b.</w:t>
            </w:r>
            <w:r>
              <w:tab/>
            </w:r>
            <w:r>
              <w:rPr>
                <w:b/>
                <w:i/>
              </w:rPr>
              <w:t>odsuzuje vydávání se za politiky, novináře a jiné veřejné osobnosti a zneužití jejich identity v podvodných reklamách;</w:t>
            </w:r>
            <w:r>
              <w:t xml:space="preserve"> </w:t>
            </w:r>
            <w:r>
              <w:rPr>
                <w:b/>
                <w:i/>
              </w:rPr>
              <w:t>varuje, že ačkoli primárním účelem těchto podvodů je finanční zisk, neoprávněné použití obrazu a podoby veřejné osoby představuje zdroj poškození dobré pověsti, přispívá k narušení hranice mezi autentickými informacemi a smyšleným obsahem a dále podkopává důvěru veřejnosti v demokratické procesy a politické aktéry;</w:t>
            </w:r>
            <w:r>
              <w:t xml:space="preserve"> </w:t>
            </w:r>
            <w:r>
              <w:rPr>
                <w:b/>
                <w:i/>
              </w:rPr>
              <w:t>vyzývá Komisi, aby prošetřila, zda online platformy dodržují předpisy týkající se postupů pro odstraňování nelegálních reklam;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1520</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70.</w:t>
            </w:r>
            <w:r>
              <w:tab/>
            </w:r>
            <w:r>
              <w:rPr>
                <w:b/>
                <w:i/>
              </w:rPr>
              <w:t>zdůrazňuje klíčovou úlohu Evropské sítě pro volební spolupráci (ECNE) při zajišťování výměny osvědčených postupů, pokud jde o volební odolnost v EU a jejích členských státech;</w:t>
            </w:r>
            <w:r>
              <w:t xml:space="preserve"> </w:t>
            </w:r>
            <w:r>
              <w:rPr>
                <w:b/>
                <w:i/>
              </w:rPr>
              <w:t>bere však na vědomí stávající omezení její činností;</w:t>
            </w:r>
            <w:r>
              <w:t xml:space="preserve"> </w:t>
            </w:r>
            <w:r>
              <w:rPr>
                <w:b/>
                <w:i/>
              </w:rPr>
              <w:t>vítá závazek Komise posílit ECNE, včetně reforem, jako je zavedení registru společných referencí a norem pro volební procesy;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zdůrazňuje klíčovou úlohu Evropské sítě pro volební spolupráci (ECNE) při zajišťování výměny osvědčených postupů, pokud jde o volební odolnost v EU a jejích členských státech; bere však na vědomí stávající omezení její činností; </w:t>
            </w:r>
            <w:r>
              <w:rPr>
                <w:b/>
                <w:i/>
              </w:rPr>
              <w:t>vítá závazek Komise posílit ECNE, včetně reforem, jako je zavedení registru společných referencí a norem pro volební procesy;</w:t>
            </w:r>
          </w:p>
        </w:tc>
        <w:tc>
          <w:tcPr>
            <w:tcW w:w="4876" w:type="dxa"/>
            <w:tcBorders>
              <w:top w:val="nil"/>
              <w:left w:val="nil"/>
              <w:bottom w:val="nil"/>
              <w:right w:val="nil"/>
            </w:tcBorders>
          </w:tcPr>
          <w:p>
            <w:pPr>
              <w:pStyle w:val="Normal6a"/>
            </w:pPr>
            <w:r>
              <w:t>70.</w:t>
            </w:r>
            <w:r>
              <w:tab/>
            </w:r>
            <w:r>
              <w:t>zdůrazňuje klíčovou úlohu Evropské sítě pro volební spolupráci (ECNE) při zajišťování výměny osvědčených postupů, pokud jde o volební odolnost v EU a jejích členských státech; bere však na vědomí stávající omezení její činností;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zdůrazňuje klíčovou úlohu Evropské sítě pro volební spolupráci (ECNE) při zajišťování výměny osvědčených postupů, pokud jde o volební odolnost v EU a jejích členských státech; bere však na vědomí stávající omezení její činností; </w:t>
            </w:r>
            <w:r>
              <w:rPr>
                <w:b/>
                <w:i/>
              </w:rPr>
              <w:t>vítá</w:t>
            </w:r>
            <w:r>
              <w:t xml:space="preserve"> závazek Komise posílit ECNE, včetně reforem, jako je zavedení registru společných referencí a norem pro volební procesy;</w:t>
            </w:r>
          </w:p>
        </w:tc>
        <w:tc>
          <w:tcPr>
            <w:tcW w:w="4876" w:type="dxa"/>
            <w:tcBorders>
              <w:top w:val="nil"/>
              <w:left w:val="nil"/>
              <w:bottom w:val="nil"/>
              <w:right w:val="nil"/>
            </w:tcBorders>
          </w:tcPr>
          <w:p>
            <w:pPr>
              <w:pStyle w:val="Normal6a"/>
            </w:pPr>
            <w:r>
              <w:t>70.</w:t>
            </w:r>
            <w:r>
              <w:tab/>
            </w:r>
            <w:r>
              <w:t xml:space="preserve">zdůrazňuje klíčovou úlohu Evropské sítě pro volební spolupráci (ECNE) při zajišťování výměny osvědčených postupů, pokud jde o volební odolnost v EU a jejích členských státech; bere však na vědomí stávající omezení její činností; </w:t>
            </w:r>
            <w:r>
              <w:rPr>
                <w:b/>
                <w:i/>
              </w:rPr>
              <w:t>bere na vědomí</w:t>
            </w:r>
            <w:r>
              <w:t xml:space="preserve"> závazek Komise posílit ECNE, včetně reforem, jako je zavedení registru společných referencí a norem pro volební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1523</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 xml:space="preserve">vyzývá Komisi, aby </w:t>
            </w:r>
            <w:r>
              <w:rPr>
                <w:b/>
                <w:i/>
              </w:rPr>
              <w:t>zvýšila svou úroveň ambicí, pokud jde o reformu ECNE, mimo jiné přezkumem jejích zdrojů a stálých zaměstnanců a dalším rozvíjením společného mechanismu</w:t>
            </w:r>
            <w:r>
              <w:t xml:space="preserve"> volební </w:t>
            </w:r>
            <w:r>
              <w:rPr>
                <w:b/>
                <w:i/>
              </w:rPr>
              <w:t>odolnosti;</w:t>
            </w:r>
            <w:r>
              <w:t xml:space="preserve"> </w:t>
            </w:r>
            <w:r>
              <w:rPr>
                <w:b/>
                <w:i/>
              </w:rPr>
              <w:t>zdůrazňuje, že je důležité provádět konkrétní opatření k intenzivnějšímu zapojení kandidátských zemí do činnosti ECNE;</w:t>
            </w:r>
            <w:r>
              <w:t xml:space="preserve"> </w:t>
            </w:r>
            <w:r>
              <w:rPr>
                <w:b/>
                <w:i/>
              </w:rPr>
              <w:t>vyzývá Komisi, aby v rámci ECNE zřídila stálou monitorovací skupinu odpovědnou za dohled nad prováděním doporučení Komise týkajících se inkluzivních a odolných volebních procesů v EU a nadcházejících doporučení týkajících se bezpečnosti politických aktérů</w:t>
            </w:r>
            <w:r>
              <w:t xml:space="preserve">; </w:t>
            </w:r>
            <w:r>
              <w:rPr>
                <w:b/>
                <w:i/>
              </w:rPr>
              <w:t>domnívá se, že tato monitorovací skupina by měla být rovněž pověřena vypracováním návrhů na budoucí aktualizace těchto doporučení;</w:t>
            </w:r>
          </w:p>
        </w:tc>
        <w:tc>
          <w:tcPr>
            <w:tcW w:w="4876" w:type="dxa"/>
            <w:tcBorders>
              <w:top w:val="nil"/>
              <w:left w:val="nil"/>
              <w:bottom w:val="nil"/>
              <w:right w:val="nil"/>
            </w:tcBorders>
          </w:tcPr>
          <w:p>
            <w:pPr>
              <w:pStyle w:val="Normal6a"/>
            </w:pPr>
            <w:r>
              <w:t>71.</w:t>
            </w:r>
            <w:r>
              <w:tab/>
            </w:r>
            <w:r>
              <w:t xml:space="preserve">vyzývá Komisi, aby </w:t>
            </w:r>
            <w:r>
              <w:rPr>
                <w:b/>
                <w:i/>
              </w:rPr>
              <w:t>přezkoumala Evropskou síť pro</w:t>
            </w:r>
            <w:r>
              <w:t xml:space="preserve"> volební </w:t>
            </w:r>
            <w:r>
              <w:rPr>
                <w:b/>
                <w:i/>
              </w:rPr>
              <w:t>spolupráci (ECNE) a její dosavadní činnost a výsledky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rPr>
                <w:b/>
                <w:i/>
              </w:rPr>
              <w:t>vyzývá Komisi, aby zvýšila svou úroveň ambicí, pokud jde o reformu ECNE, mimo jiné přezkumem jejích zdrojů a stálých zaměstnanců a dalším rozvíjením společného mechanismu volební odolnosti;</w:t>
            </w:r>
            <w:r>
              <w:t xml:space="preserve"> zdůrazňuje, že je důležité provádět konkrétní opatření k intenzivnějšímu zapojení kandidátských zemí do činnosti ECNE; </w:t>
            </w:r>
            <w:r>
              <w:rPr>
                <w:b/>
                <w:i/>
              </w:rPr>
              <w:t>vyzývá Komisi, aby v rámci ECNE zřídila stálou monitorovací skupinu odpovědnou za dohled nad prováděním doporučení Komise týkajících se inkluzivních a odolných volebních procesů v EU a nadcházejících doporučení týkajících se bezpečnosti politických aktérů;</w:t>
            </w:r>
            <w:r>
              <w:t xml:space="preserve"> </w:t>
            </w:r>
            <w:r>
              <w:rPr>
                <w:b/>
                <w:i/>
              </w:rPr>
              <w:t>domnívá se, že tato monitorovací skupina by měla být rovněž pověřena vypracováním návrhů na budoucí aktualizace těchto doporučení;</w:t>
            </w:r>
          </w:p>
        </w:tc>
        <w:tc>
          <w:tcPr>
            <w:tcW w:w="4876" w:type="dxa"/>
            <w:tcBorders>
              <w:top w:val="nil"/>
              <w:left w:val="nil"/>
              <w:bottom w:val="nil"/>
              <w:right w:val="nil"/>
            </w:tcBorders>
          </w:tcPr>
          <w:p>
            <w:pPr>
              <w:pStyle w:val="Normal6a"/>
            </w:pPr>
            <w:r>
              <w:t>71.</w:t>
            </w:r>
            <w:r>
              <w:tab/>
            </w:r>
            <w:r>
              <w:t>zdůrazňuje, že je důležité provádět konkrétní opatření k intenzivnějšímu zapojení kandidátských zemí do činnosti ECNE;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71a.</w:t>
            </w:r>
            <w:r>
              <w:tab/>
            </w:r>
            <w:r>
              <w:rPr>
                <w:b/>
                <w:i/>
              </w:rPr>
              <w:t>zdůrazňuje, že je třeba, aby Komise trvale a strukturovaně spolupracovala s online platformami působícími v kandidátských a potenciálně kandidátských zemích, zejména v souvislosti s volbami, s cílem zajistit jejich odpovědnost, zmírňování rizik a dodržování příslušných závazků namísto jednorázových opatření nebo opatření přijímaných v reakci na krizi;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72.</w:t>
            </w:r>
            <w:r>
              <w:tab/>
            </w:r>
            <w:r>
              <w:rPr>
                <w:b/>
                <w:i/>
              </w:rPr>
              <w:t>vyzývá Komisi, aby do všech zasedání ECNE zapojila Parlament a Úřad pro evropské politické strany a evropské politické nadace (APPF) jako stálé partnery;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1527</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72.</w:t>
            </w:r>
            <w:r>
              <w:tab/>
            </w:r>
            <w:r>
              <w:t xml:space="preserve">vyzývá Komisi, aby do všech zasedání ECNE zapojila Parlament a Úřad pro evropské politické strany a </w:t>
            </w:r>
            <w:r>
              <w:rPr>
                <w:b/>
                <w:i/>
              </w:rPr>
              <w:t>evropské politické nadace (APPF)</w:t>
            </w:r>
            <w:r>
              <w:t xml:space="preserve"> jako stálé partnery;</w:t>
            </w:r>
          </w:p>
        </w:tc>
        <w:tc>
          <w:tcPr>
            <w:tcW w:w="4876" w:type="dxa"/>
            <w:tcBorders>
              <w:top w:val="nil"/>
              <w:left w:val="nil"/>
              <w:bottom w:val="nil"/>
              <w:right w:val="nil"/>
            </w:tcBorders>
          </w:tcPr>
          <w:p>
            <w:pPr>
              <w:pStyle w:val="Normal6a"/>
            </w:pPr>
            <w:r>
              <w:t>72.</w:t>
            </w:r>
            <w:r>
              <w:tab/>
            </w:r>
            <w:r>
              <w:t xml:space="preserve">vyzývá Komisi, aby do všech zasedání ECNE zapojila Parlament a Úřad pro evropské politické strany a </w:t>
            </w:r>
            <w:r>
              <w:rPr>
                <w:b/>
                <w:i/>
              </w:rPr>
              <w:t>příslušné orgány členských států</w:t>
            </w:r>
            <w:r>
              <w:t xml:space="preserve"> jako stálé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73.</w:t>
            </w:r>
            <w:r>
              <w:tab/>
            </w:r>
            <w:r>
              <w:rPr>
                <w:b/>
                <w:i/>
              </w:rPr>
              <w:t>vítá</w:t>
            </w:r>
            <w:r>
              <w:t xml:space="preserve"> záměr Komise posílit ochranu infrastruktury související s volbami prostřednictvím stávajících právních předpisů a nástrojů; vyzývá Komisi</w:t>
            </w:r>
            <w:r>
              <w:rPr>
                <w:b/>
                <w:i/>
              </w:rPr>
              <w:t>, aby toto úsilí doplnila cílenou revizí</w:t>
            </w:r>
            <w:r>
              <w:t xml:space="preserve"> směrnice o odolnosti kritických subjektů </w:t>
            </w:r>
            <w:r>
              <w:rPr>
                <w:b/>
                <w:i/>
              </w:rPr>
              <w:t>s cílem zahrnout volební infrastrukturu do seznamu základních služeb veřejné správy uvedeného v této směrnici</w:t>
            </w:r>
            <w:r>
              <w:t>;</w:t>
            </w:r>
          </w:p>
        </w:tc>
        <w:tc>
          <w:tcPr>
            <w:tcW w:w="4876" w:type="dxa"/>
            <w:tcBorders>
              <w:top w:val="nil"/>
              <w:left w:val="nil"/>
              <w:bottom w:val="nil"/>
              <w:right w:val="nil"/>
            </w:tcBorders>
          </w:tcPr>
          <w:p>
            <w:pPr>
              <w:pStyle w:val="Normal6a"/>
            </w:pPr>
            <w:r>
              <w:t>73.</w:t>
            </w:r>
            <w:r>
              <w:tab/>
            </w:r>
            <w:r>
              <w:rPr>
                <w:b/>
                <w:i/>
              </w:rPr>
              <w:t>zdůrazňuje, že volební infrastruktura je základním prvkem demokratické odolnosti Unie a musí být účinně chráněna před rostoucími fyzickými a kybernetickými hrozbami;</w:t>
            </w:r>
            <w:r>
              <w:t xml:space="preserve"> </w:t>
            </w:r>
            <w:r>
              <w:rPr>
                <w:b/>
                <w:i/>
              </w:rPr>
              <w:t>vítá proto</w:t>
            </w:r>
            <w:r>
              <w:t xml:space="preserve"> záměr Komise posílit ochranu infrastruktury související s volbami prostřednictvím stávajících právních předpisů a nástrojů; vyzývá Komisi </w:t>
            </w:r>
            <w:r>
              <w:rPr>
                <w:b/>
                <w:i/>
              </w:rPr>
              <w:t>a členské státy, aby zajistily, že volební infrastruktura bude v rámci acquis EU považována za kritickou infrastrukturu, a to tím, že ji formálně zařadí mezi kritické subjekty podle</w:t>
            </w:r>
            <w:r>
              <w:t xml:space="preserve"> směrnice o odolnosti kritických subjektů </w:t>
            </w:r>
            <w:r>
              <w:rPr>
                <w:b/>
                <w:i/>
              </w:rPr>
              <w:t>a výslovně ji zahrnou jako zásadní nebo důležitý subjekt podle směrnice NIS 2, aby byla zaručena vysoká společná úroveň bezpečnosti a odolnosti volebních procesů v celé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1529</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73.</w:t>
            </w:r>
            <w:r>
              <w:tab/>
            </w:r>
            <w:r>
              <w:t>vítá záměr Komise posílit ochranu infrastruktury související s volbami prostřednictvím stávajících právních předpisů a nástrojů; vyzývá Komisi, aby toto úsilí doplnila cílenou revizí směrnice o odolnosti kritických subjektů s cílem zahrnout volební infrastrukturu do seznamu základních služeb veřejné správy uvedeného v této směrnici;</w:t>
            </w:r>
          </w:p>
        </w:tc>
        <w:tc>
          <w:tcPr>
            <w:tcW w:w="4876" w:type="dxa"/>
            <w:tcBorders>
              <w:top w:val="nil"/>
              <w:left w:val="nil"/>
              <w:bottom w:val="nil"/>
              <w:right w:val="nil"/>
            </w:tcBorders>
          </w:tcPr>
          <w:p>
            <w:pPr>
              <w:pStyle w:val="Normal6a"/>
            </w:pPr>
            <w:r>
              <w:t>73.</w:t>
            </w:r>
            <w:r>
              <w:tab/>
            </w:r>
            <w:r>
              <w:t xml:space="preserve">vítá záměr Komise posílit ochranu infrastruktury související s volbami prostřednictvím stávajících právních předpisů a nástrojů; vyzývá Komisi, aby toto úsilí doplnila cílenou revizí směrnice o odolnosti kritických subjektů s cílem zahrnout volební infrastrukturu do seznamu základních služeb veřejné správy uvedeného v této směrnici; </w:t>
            </w:r>
            <w:r>
              <w:rPr>
                <w:b/>
                <w:i/>
              </w:rPr>
              <w:t>vyzývá Komisi, aby ve spolupráci s agenturou ENISA a členskými státy vypracovala a přijala celoevropské normy kybernetické bezpečnosti pro volební infrastrukturu, které zajistí, že kritické demokratické systémy budou splňovat povinné požadavky na certifikaci s vysokou úrovní zabezpečení a povinnosti v oblasti bezpečnosti dodavatelského řetězce před volbami do Evropského parlamentu v roce 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1530</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73.</w:t>
            </w:r>
            <w:r>
              <w:tab/>
            </w:r>
            <w:r>
              <w:t xml:space="preserve">vítá záměr Komise posílit ochranu infrastruktury související s volbami prostřednictvím stávajících právních předpisů a nástrojů; </w:t>
            </w:r>
            <w:r>
              <w:rPr>
                <w:b/>
                <w:i/>
              </w:rPr>
              <w:t>vyzývá Komisi, aby toto úsilí doplnila cílenou revizí směrnice o odolnosti kritických subjektů s cílem zahrnout volební infrastrukturu do seznamu základních služeb veřejné správy uvedeného v této směrnici;</w:t>
            </w:r>
          </w:p>
        </w:tc>
        <w:tc>
          <w:tcPr>
            <w:tcW w:w="4876" w:type="dxa"/>
            <w:tcBorders>
              <w:top w:val="nil"/>
              <w:left w:val="nil"/>
              <w:bottom w:val="nil"/>
              <w:right w:val="nil"/>
            </w:tcBorders>
          </w:tcPr>
          <w:p>
            <w:pPr>
              <w:pStyle w:val="Normal6a"/>
            </w:pPr>
            <w:r>
              <w:t>73.</w:t>
            </w:r>
            <w:r>
              <w:tab/>
            </w:r>
            <w:r>
              <w:t>vítá záměr Komise posílit ochranu infrastruktury související s volbami prostřednictvím stávajících právních předpisů a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73.</w:t>
            </w:r>
            <w:r>
              <w:tab/>
            </w:r>
            <w:r>
              <w:t xml:space="preserve">vítá záměr Komise posílit ochranu infrastruktury související s volbami prostřednictvím stávajících právních předpisů a nástrojů; vyzývá </w:t>
            </w:r>
            <w:r>
              <w:rPr>
                <w:b/>
                <w:i/>
              </w:rPr>
              <w:t>Komisi, aby toto</w:t>
            </w:r>
            <w:r>
              <w:t xml:space="preserve"> úsilí </w:t>
            </w:r>
            <w:r>
              <w:rPr>
                <w:b/>
                <w:i/>
              </w:rPr>
              <w:t>doplnila cílenou revizí směrnice o odolnosti kritických subjektů s cílem zahrnout</w:t>
            </w:r>
            <w:r>
              <w:t xml:space="preserve"> volební infrastrukturu </w:t>
            </w:r>
            <w:r>
              <w:rPr>
                <w:b/>
                <w:i/>
              </w:rPr>
              <w:t>do seznamu základních služeb veřejné správy uvedeného v této směrnici</w:t>
            </w:r>
            <w:r>
              <w:t>;</w:t>
            </w:r>
          </w:p>
        </w:tc>
        <w:tc>
          <w:tcPr>
            <w:tcW w:w="4876" w:type="dxa"/>
            <w:tcBorders>
              <w:top w:val="nil"/>
              <w:left w:val="nil"/>
              <w:bottom w:val="nil"/>
              <w:right w:val="nil"/>
            </w:tcBorders>
          </w:tcPr>
          <w:p>
            <w:pPr>
              <w:pStyle w:val="Normal6a"/>
            </w:pPr>
            <w:r>
              <w:t>73.</w:t>
            </w:r>
            <w:r>
              <w:tab/>
            </w:r>
            <w:r>
              <w:t xml:space="preserve">vítá záměr Komise posílit ochranu infrastruktury související s volbami prostřednictvím stávajících právních předpisů a nástrojů; </w:t>
            </w:r>
            <w:r>
              <w:rPr>
                <w:b/>
                <w:i/>
              </w:rPr>
              <w:t>zdůrazňuje, že výlučná pravomoc v oblasti organizace a ochrany volebních procesů náleží členským státům;</w:t>
            </w:r>
            <w:r>
              <w:t xml:space="preserve"> vyzývá </w:t>
            </w:r>
            <w:r>
              <w:rPr>
                <w:b/>
                <w:i/>
              </w:rPr>
              <w:t>členské státy, aby zintenzivnily své</w:t>
            </w:r>
            <w:r>
              <w:t xml:space="preserve"> úsilí </w:t>
            </w:r>
            <w:r>
              <w:rPr>
                <w:b/>
                <w:i/>
              </w:rPr>
              <w:t>o zajištění integrity a bezpečnosti</w:t>
            </w:r>
            <w:r>
              <w:t xml:space="preserve"> volební </w:t>
            </w:r>
            <w:r>
              <w:rPr>
                <w:b/>
                <w:i/>
              </w:rPr>
              <w:t>infrastruktury a aby ji uznávaly jako kritickou</w:t>
            </w:r>
            <w:r>
              <w:t xml:space="preserve"> infrastrukturu;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vyzývá Komisi a členské státy, aby se zabývaly problémem vměšování zahraničních aktérů do stranické politické scény v Evropě; se znepokojením bere na vědomí různé příklady financování extremistických hnutí v EU zeměmi mimo EU; domnívá se, že důležitým nástrojem k objasnění tohoto problému je finanční transparentnost, a v této souvislosti vyzývá k rozsáhlejší výměně názorů mezi soukromými a veřejnými subjekty; zdůrazňuje zejména, že je třeba bojovat proti skryté politické komunikaci, včetně neprůhledných struktur financování a skrytých sponzorů, s cílem chránit demokratickou integritu a zajistit transparentnost pro občany;</w:t>
            </w:r>
          </w:p>
        </w:tc>
        <w:tc>
          <w:tcPr>
            <w:tcW w:w="4876" w:type="dxa"/>
            <w:tcBorders>
              <w:top w:val="nil"/>
              <w:left w:val="nil"/>
              <w:bottom w:val="nil"/>
              <w:right w:val="nil"/>
            </w:tcBorders>
          </w:tcPr>
          <w:p>
            <w:pPr>
              <w:pStyle w:val="Normal6a"/>
            </w:pPr>
            <w:r>
              <w:t>74.</w:t>
            </w:r>
            <w:r>
              <w:tab/>
            </w:r>
            <w:r>
              <w:t xml:space="preserve">vyzývá Komisi a členské státy, aby se zabývaly problémem vměšování zahraničních aktérů do stranické politické scény v Evropě; se znepokojením bere na vědomí různé příklady financování extremistických hnutí </w:t>
            </w:r>
            <w:r>
              <w:rPr>
                <w:b/>
                <w:i/>
              </w:rPr>
              <w:t>a stran</w:t>
            </w:r>
            <w:r>
              <w:t xml:space="preserve"> v EU zeměmi mimo EU; domnívá se, že důležitým nástrojem k objasnění tohoto problému je finanční transparentnost, a v této souvislosti vyzývá k rozsáhlejší výměně názorů mezi soukromými a veřejnými subjekty; </w:t>
            </w:r>
            <w:r>
              <w:rPr>
                <w:b/>
                <w:i/>
              </w:rPr>
              <w:t>je znepokojen přetrvávajícími nedostatky ve fungování registrů skutečných majitelů v členských státech, včetně kvality údajů nebo rizika příliš omezeného přístupu k registrům skutečných majitelů pro osoby s oprávněným zájmem, jako jsou novináři nebo organizace občanské společnosti;</w:t>
            </w:r>
            <w:r>
              <w:t xml:space="preserve"> </w:t>
            </w:r>
            <w:r>
              <w:rPr>
                <w:b/>
                <w:i/>
              </w:rPr>
              <w:t>naléhavě vyzývá členské státy, aby plně a věrně provedly směrnici (EU) 2024/1640 („AMLD VI“), která harmonizuje pravidla pro přístup k rejstříkům skutečných majitelů, mimo jiné tím, že předpokládá oprávněný zájem novinářů a organizací občanské společnosti;</w:t>
            </w:r>
            <w:r>
              <w:t xml:space="preserve"> </w:t>
            </w:r>
            <w:r>
              <w:rPr>
                <w:b/>
                <w:i/>
              </w:rPr>
              <w:t>vyzývá Komisi, aby zahájila řízení o nesplnění povinnosti v případě, že členské státy neprovedou směrnici AMLD VI;</w:t>
            </w:r>
            <w:r>
              <w:t xml:space="preserve"> zdůrazňuje zejména, že je třeba bojovat proti skryté politické komunikaci, včetně neprůhledných struktur financování</w:t>
            </w:r>
            <w:r>
              <w:rPr>
                <w:b/>
                <w:i/>
              </w:rPr>
              <w:t>, finančních toků</w:t>
            </w:r>
            <w:r>
              <w:t xml:space="preserve"> a skrytých sponzorů, s cílem chránit demokratickou integritu a zajistit transparentnost pro občany; </w:t>
            </w:r>
            <w:r>
              <w:rPr>
                <w:b/>
                <w:i/>
              </w:rPr>
              <w:t>vyzývá Komisi, aby navrhla právní předpisy EU týkající se volebních kampaní a financování politických stran;</w:t>
            </w:r>
            <w:r>
              <w:t xml:space="preserve"> </w:t>
            </w:r>
            <w:r>
              <w:rPr>
                <w:b/>
                <w:i/>
              </w:rPr>
              <w:t>vyzývá členské státy, aby zavedly zákaz zahraničních darů, a to jak věcných, tak peněžitých příspěvků nebo benefitů, a aby omezily dary politickým stranám a kandidátům;</w:t>
            </w:r>
            <w:r>
              <w:t xml:space="preserve"> </w:t>
            </w:r>
            <w:r>
              <w:rPr>
                <w:b/>
                <w:i/>
              </w:rPr>
              <w:t>domnívá se, že političtí aktéři, kterým byl nabídnut nebo kteří přijali finanční nebo věcný příspěvek od zahraničního subjektu, musí mít povinnost tuto skutečnost oznámit příslušným orgánům a tato informace by následně měla být hlášena i na úrovni EU, aby bylo možné monitorování v celé EU;</w:t>
            </w:r>
            <w:r>
              <w:t xml:space="preserve"> </w:t>
            </w:r>
            <w:r>
              <w:rPr>
                <w:b/>
                <w:i/>
              </w:rPr>
              <w:t>v tomto smyslu vyzývá Komisi a členské státy, aby prozkoumaly možnosti zlepšení spolupráce mezi orgány pro boj proti korupci a nezávislými volebními komisemi v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1533</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Sander Smit,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vyzývá Komisi a členské státy, aby se zabývaly problémem vměšování zahraničních aktérů do stranické politické scény v Evropě; se znepokojením bere na vědomí různé příklady financování extremistických hnutí v EU zeměmi mimo EU; domnívá se, že důležitým nástrojem k objasnění tohoto problému je finanční transparentnost, a v této souvislosti vyzývá k rozsáhlejší výměně názorů mezi soukromými a veřejnými subjekty; zdůrazňuje </w:t>
            </w:r>
            <w:r>
              <w:rPr>
                <w:b/>
                <w:i/>
              </w:rPr>
              <w:t>zejména, že je třeba bojovat proti skryté politické komunikaci, včetně neprůhledných struktur</w:t>
            </w:r>
            <w:r>
              <w:t xml:space="preserve"> financování </w:t>
            </w:r>
            <w:r>
              <w:rPr>
                <w:b/>
                <w:i/>
              </w:rPr>
              <w:t>a skrytých sponzorů, s</w:t>
            </w:r>
            <w:r>
              <w:t xml:space="preserve"> cílem </w:t>
            </w:r>
            <w:r>
              <w:rPr>
                <w:b/>
                <w:i/>
              </w:rPr>
              <w:t>chránit demokratickou integritu a zajistit transparentnost pro občany</w:t>
            </w:r>
            <w:r>
              <w:t>;</w:t>
            </w:r>
          </w:p>
        </w:tc>
        <w:tc>
          <w:tcPr>
            <w:tcW w:w="4876" w:type="dxa"/>
            <w:tcBorders>
              <w:top w:val="nil"/>
              <w:left w:val="nil"/>
              <w:bottom w:val="nil"/>
              <w:right w:val="nil"/>
            </w:tcBorders>
          </w:tcPr>
          <w:p>
            <w:pPr>
              <w:pStyle w:val="Normal6a"/>
            </w:pPr>
            <w:r>
              <w:t>74.</w:t>
            </w:r>
            <w:r>
              <w:tab/>
            </w:r>
            <w:r>
              <w:t xml:space="preserve">vyzývá Komisi a členské státy, aby se </w:t>
            </w:r>
            <w:r>
              <w:rPr>
                <w:b/>
                <w:i/>
              </w:rPr>
              <w:t>transparentně</w:t>
            </w:r>
            <w:r>
              <w:t xml:space="preserve"> zabývaly problémem vměšování zahraničních aktérů do stranické politické scény v Evropě; se znepokojením bere na vědomí různé příklady financování extremistických hnutí v EU zeměmi mimo EU; domnívá se, že důležitým nástrojem k objasnění tohoto problému je finanční transparentnost, a v této souvislosti vyzývá k rozsáhlejší výměně názorů mezi soukromými a veřejnými subjekty; zdůrazňuje</w:t>
            </w:r>
            <w:r>
              <w:rPr>
                <w:b/>
                <w:i/>
              </w:rPr>
              <w:t>, že politická reklama a politická komunikace v online prostředí musí podléhat plné transparentnosti, pokud jde o konečný zdroj financování;</w:t>
            </w:r>
            <w:r>
              <w:t xml:space="preserve"> </w:t>
            </w:r>
            <w:r>
              <w:rPr>
                <w:b/>
                <w:i/>
              </w:rPr>
              <w:t>vyzývá k výslovnému zákazu</w:t>
            </w:r>
            <w:r>
              <w:t xml:space="preserve"> financování </w:t>
            </w:r>
            <w:r>
              <w:rPr>
                <w:b/>
                <w:i/>
              </w:rPr>
              <w:t>prostřednictvím zástupců, zprostředkovatelských finančních struktur a jiných schémat, jejichž</w:t>
            </w:r>
            <w:r>
              <w:t xml:space="preserve"> cílem </w:t>
            </w:r>
            <w:r>
              <w:rPr>
                <w:b/>
                <w:i/>
              </w:rPr>
              <w:t>je skrýt skutečného sponzora, včetně využívání fiktivních společností, influencerů nebo reklamních sítí třetích stran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1534</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vyzývá Komisi a členské státy, aby se zabývaly problémem vměšování zahraničních aktérů do </w:t>
            </w:r>
            <w:r>
              <w:rPr>
                <w:b/>
                <w:i/>
              </w:rPr>
              <w:t>stranické</w:t>
            </w:r>
            <w:r>
              <w:t xml:space="preserve"> politické scény v Evropě; se znepokojením bere na vědomí různé příklady financování </w:t>
            </w:r>
            <w:r>
              <w:rPr>
                <w:b/>
                <w:i/>
              </w:rPr>
              <w:t>extremistických hnutí v EU</w:t>
            </w:r>
            <w:r>
              <w:t xml:space="preserve"> zeměmi mimo EU; domnívá se, že důležitým nástrojem k objasnění tohoto problému je finanční transparentnost, a v této souvislosti vyzývá k rozsáhlejší výměně názorů mezi soukromými a veřejnými subjekty; zdůrazňuje zejména, že je třeba bojovat proti skryté politické komunikaci, včetně neprůhledných struktur financování a skrytých sponzorů, s cílem chránit demokratickou integritu a zajistit transparentnost pro občany;</w:t>
            </w:r>
          </w:p>
        </w:tc>
        <w:tc>
          <w:tcPr>
            <w:tcW w:w="4876" w:type="dxa"/>
            <w:tcBorders>
              <w:top w:val="nil"/>
              <w:left w:val="nil"/>
              <w:bottom w:val="nil"/>
              <w:right w:val="nil"/>
            </w:tcBorders>
          </w:tcPr>
          <w:p>
            <w:pPr>
              <w:pStyle w:val="Normal6a"/>
            </w:pPr>
            <w:r>
              <w:t>74.</w:t>
            </w:r>
            <w:r>
              <w:tab/>
            </w:r>
            <w:r>
              <w:t xml:space="preserve">vyzývá Komisi a členské státy, aby se zabývaly problémem vměšování zahraničních aktérů do politické scény v Evropě; se znepokojením bere na vědomí různé příklady financování </w:t>
            </w:r>
            <w:r>
              <w:rPr>
                <w:b/>
                <w:i/>
              </w:rPr>
              <w:t>politických aktérů EU, včetně Evropského parlamentu,</w:t>
            </w:r>
            <w:r>
              <w:t xml:space="preserve"> zeměmi mimo EU; domnívá se, že důležitým nástrojem k objasnění tohoto problému je finanční transparentnost, a v této souvislosti vyzývá k rozsáhlejší výměně názorů mezi soukromými a veřejnými subjekty; zdůrazňuje zejména, že je třeba bojovat proti skryté politické komunikaci, včetně neprůhledných struktur financování a skrytých sponzorů, s cílem chránit demokratickou integritu a zajistit transparentnost pro občany; </w:t>
            </w:r>
            <w:r>
              <w:rPr>
                <w:b/>
                <w:i/>
              </w:rPr>
              <w:t>vyzývá k transparentnosti financování občanské společnosti, zejména pokud jde o takzvané „politické nevládní organizace“;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vyzývá Komisi a členské státy, aby se zabývaly problémem vměšování zahraničních aktérů do stranické politické scény v Evropě; se znepokojením bere na vědomí různé příklady financování extremistických hnutí v EU zeměmi mimo EU; domnívá se, že důležitým nástrojem k objasnění tohoto problému je finanční transparentnost, a v této souvislosti vyzývá k rozsáhlejší výměně názorů mezi soukromými a veřejnými subjekty; zdůrazňuje zejména, že je třeba bojovat proti skryté politické komunikaci, včetně neprůhledných struktur financování a skrytých sponzorů, s cílem chránit demokratickou integritu a zajistit transparentnost pro občany;</w:t>
            </w:r>
          </w:p>
        </w:tc>
        <w:tc>
          <w:tcPr>
            <w:tcW w:w="4876" w:type="dxa"/>
            <w:tcBorders>
              <w:top w:val="nil"/>
              <w:left w:val="nil"/>
              <w:bottom w:val="nil"/>
              <w:right w:val="nil"/>
            </w:tcBorders>
          </w:tcPr>
          <w:p>
            <w:pPr>
              <w:pStyle w:val="Normal6a"/>
            </w:pPr>
            <w:r>
              <w:t>74.</w:t>
            </w:r>
            <w:r>
              <w:tab/>
            </w:r>
            <w:r>
              <w:t>vyzývá Komisi a členské státy, aby se zabývaly problémem vměšování zahraničních aktérů do stranické politické scény v Evropě</w:t>
            </w:r>
            <w:r>
              <w:rPr>
                <w:b/>
                <w:i/>
              </w:rPr>
              <w:t>, jak v oblasti rétoriky, tak financování</w:t>
            </w:r>
            <w:r>
              <w:t>; se znepokojením bere na vědomí různé příklady financování extremistických hnutí v EU zeměmi mimo EU; domnívá se, že důležitým nástrojem k objasnění tohoto problému je finanční transparentnost, a v této souvislosti vyzývá k rozsáhlejší výměně názorů mezi soukromými a veřejnými subjekty; zdůrazňuje zejména, že je třeba bojovat proti skryté politické komunikaci, včetně neprůhledných struktur financování a skrytých sponzorů, s cílem chránit demokratickou integritu a zajistit transparentnost pro občany;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1536</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74a.</w:t>
            </w:r>
            <w:r>
              <w:tab/>
            </w:r>
            <w:r>
              <w:rPr>
                <w:b/>
                <w:i/>
              </w:rPr>
              <w:t>připomíná, že v minulosti, dlouho před založením Open Society Foundation, mnoho probruselských organizací, včetně výboru Jeana Monneta, přímo či nepřímo využívalo tajné zahraniční financování, aniž by o tom informovaly evropské občany.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75.</w:t>
            </w:r>
            <w:r>
              <w:tab/>
            </w:r>
            <w:r>
              <w:t>se znepokojením bere na vědomí rostoucí důkazy o zahraničním vměšování a špionáži v evropském politickém systému; vítá vyšetřovací úsilí ve všech členských státech, které vedlo k odsouzení a probíhajícím řízením týkajícím se úplatkářství, špionáže a prosazování zájmů cizích států; zdůrazňuje vážná rizika, která představují nedostatečná bezpečnostní opatření při náboru zaměstnanců a společníků s úzkými vazbami na autoritářské režimy;</w:t>
            </w:r>
          </w:p>
        </w:tc>
        <w:tc>
          <w:tcPr>
            <w:tcW w:w="4876" w:type="dxa"/>
            <w:tcBorders>
              <w:top w:val="nil"/>
              <w:left w:val="nil"/>
              <w:bottom w:val="nil"/>
              <w:right w:val="nil"/>
            </w:tcBorders>
          </w:tcPr>
          <w:p>
            <w:pPr>
              <w:pStyle w:val="Normal6a"/>
            </w:pPr>
            <w:r>
              <w:t>75.</w:t>
            </w:r>
            <w:r>
              <w:tab/>
            </w:r>
            <w:r>
              <w:t>se znepokojením bere na vědomí rostoucí důkazy o zahraničním vměšování a špionáži v evropském politickém systému</w:t>
            </w:r>
            <w:r>
              <w:rPr>
                <w:b/>
                <w:i/>
              </w:rPr>
              <w:t>;</w:t>
            </w:r>
            <w:r>
              <w:t xml:space="preserve"> </w:t>
            </w:r>
            <w:r>
              <w:rPr>
                <w:b/>
                <w:i/>
              </w:rPr>
              <w:t>zdůrazňuje, že taková špionáž byla zjištěna nejen na úrovni členských států, ale také v samotných orgánech EU, včetně těch, které mají za úkol utvářet a zastupovat evropskou demokracii, jako je Evropský parlament a další orgány EU</w:t>
            </w:r>
            <w:r>
              <w:t>; vítá vyšetřovací úsilí ve všech členských státech, které vedlo k odsouzení a probíhajícím řízením týkajícím se úplatkářství, špionáže a prosazování zájmů cizích států; zdůrazňuje vážná rizika, která představují nedostatečná bezpečnostní opatření při náboru zaměstnanců a společníků s úzkými vazbami na autoritářské režimy</w:t>
            </w:r>
            <w:r>
              <w:rPr>
                <w:b/>
                <w:i/>
              </w:rPr>
              <w:t>, jakož i používání vysoce rizikového softwaru a hardwaru dodávaného subjekty ze zemí mimo EU, včetně dodavatelů v oblasti kybernetické bezpečnosti, s ohledem na věrohodné obavy týkající se jejich vazeb na zahraniční státní zpravodajské služby a jejich role ve špionážních a informačních operacích, které vystavují orgány EU riziku neoprávněného přístupu, sledování a úniku dat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1538</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75.</w:t>
            </w:r>
            <w:r>
              <w:tab/>
            </w:r>
            <w:r>
              <w:t xml:space="preserve">se znepokojením bere na vědomí rostoucí důkazy o zahraničním vměšování a špionáži v evropském politickém systému; vítá vyšetřovací úsilí ve všech členských státech, které vedlo k odsouzení a probíhajícím řízením týkajícím se úplatkářství, špionáže a prosazování zájmů cizích států; zdůrazňuje vážná rizika, která představují nedostatečná bezpečnostní opatření při náboru zaměstnanců </w:t>
            </w:r>
            <w:r>
              <w:rPr>
                <w:b/>
                <w:i/>
              </w:rPr>
              <w:t>a společníků s úzkými vazbami na autoritářské režimy</w:t>
            </w:r>
            <w:r>
              <w:t>;</w:t>
            </w:r>
          </w:p>
        </w:tc>
        <w:tc>
          <w:tcPr>
            <w:tcW w:w="4876" w:type="dxa"/>
            <w:tcBorders>
              <w:top w:val="nil"/>
              <w:left w:val="nil"/>
              <w:bottom w:val="nil"/>
              <w:right w:val="nil"/>
            </w:tcBorders>
          </w:tcPr>
          <w:p>
            <w:pPr>
              <w:pStyle w:val="Normal6a"/>
            </w:pPr>
            <w:r>
              <w:t>75.</w:t>
            </w:r>
            <w:r>
              <w:tab/>
            </w:r>
            <w:r>
              <w:t>se znepokojením bere na vědomí rostoucí důkazy o zahraničním vměšování a špionáži v evropském politickém systému; vítá vyšetřovací úsilí ve všech členských státech, které vedlo k odsouzení a probíhajícím řízením týkajícím se úplatkářství, špionáže a prosazování zájmů cizích států; zdůrazňuje vážná rizika, která představují nedostatečná bezpečnostní opatření při náboru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75a.</w:t>
            </w:r>
            <w:r>
              <w:tab/>
            </w:r>
            <w:r>
              <w:rPr>
                <w:b/>
                <w:i/>
              </w:rPr>
              <w:t>vyjadřuje vážné znepokojení nad závažnými a dobře zdokumentovanými obviněními, že maďarské zpravodajské služby prováděly špionážní činnosti zaměřené na orgány EU, včetně údajného sledování vyšetřovatelů Evropského úřadu pro boj proti podvodům (OLAF) během vyšetřovacích misí v Maďarsku, a nad nedávnými obviněními z pokusů o nábor úředníků EU v Bruselu za účelem získání důvěrných informací a předběžných varování o citlivých řízeních;</w:t>
            </w:r>
            <w:r>
              <w:t xml:space="preserve"> </w:t>
            </w:r>
            <w:r>
              <w:rPr>
                <w:b/>
                <w:i/>
              </w:rPr>
              <w:t>zdůrazňuje, že takové jednání, pokud by se potvrdilo, by představovalo nepřijatelný útok na integritu a bezpečnost orgánů Unie a jasné porušení zásady loajální spolupráce stanovené v čl. 4 odst. 3 Smlouvy o EU, což by podkopalo vzájemnou důvěru mezi členskými státy a řádné fungování Unie;</w:t>
            </w:r>
            <w:r>
              <w:t xml:space="preserve"> </w:t>
            </w:r>
            <w:r>
              <w:rPr>
                <w:b/>
                <w:i/>
              </w:rPr>
              <w:t>vyzývá Komisi, aby provedla důkladné, rychlé a transparentní následné kroky, mimo jiné prostřednictvím svých vnitřních bezpečnostních služeb, a v případě potřeby zahájila řízení o porušení předpisů a přijala další opatření na ochranu zaměstnanců a informací EU;</w:t>
            </w:r>
            <w:r>
              <w:t xml:space="preserve"> </w:t>
            </w:r>
            <w:r>
              <w:rPr>
                <w:b/>
                <w:i/>
              </w:rPr>
              <w:t>naléhavě žádá zavedení posílených opatření proti špionáži a povinných bezpečnostních protokolů pro kontakty se zástupci třetích zemí a členských států, u nichž byla zjištěna rizika;</w:t>
            </w:r>
            <w:r>
              <w:t xml:space="preserve"> </w:t>
            </w:r>
            <w:r>
              <w:rPr>
                <w:b/>
                <w:i/>
              </w:rPr>
              <w:t>zdůrazňuje rovněž, že řešení pokusů o špionáž a infiltraci proti institucím EU a odrazování od těchto pokusů musí být nedílnou součástí přístupu Evropského štítu pro demokracii k hybridním hrozbám a nepřátelským zásahům;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1540</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75a.</w:t>
            </w:r>
            <w:r>
              <w:tab/>
            </w:r>
            <w:r>
              <w:rPr>
                <w:b/>
                <w:i/>
              </w:rPr>
              <w:t>zpochybňuje setrvání bývalých britských úředníků na strategických a vedoucích pozicích v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1541</w:t>
      </w:r>
      <w:r>
        <w:rPr>
          <w:rStyle w:val="HideTWBExt"/>
        </w:rPr>
        <w:t>&lt;/NumAm&gt;</w:t>
      </w:r>
    </w:p>
    <w:p>
      <w:pPr>
        <w:pStyle w:val="NormalBold"/>
      </w:pPr>
      <w:r>
        <w:rPr>
          <w:rStyle w:val="HideTWBExt"/>
          <w:b w:val="0"/>
        </w:rPr>
        <w:t>&lt;RepeatBlock-By&gt;</w:t>
      </w:r>
      <w:r>
        <w:rPr>
          <w:rStyle w:val="HideTWBExt"/>
          <w:b w:val="0"/>
        </w:rPr>
        <w:t>&lt;Members&gt;</w:t>
      </w:r>
      <w:r>
        <w:t>Nathalie Loiseau,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vítá nedávno přijaté revidované znění nařízení o statutu a financování evropských politických stran a evropských politických nadací; bere na vědomí ustanovení týkající se financování a účasti stran ze zemí mimo EU; vyzývá spolunormotvůrce k zajištění jeho účinného a urychleného provedení;</w:t>
            </w:r>
          </w:p>
        </w:tc>
        <w:tc>
          <w:tcPr>
            <w:tcW w:w="4876" w:type="dxa"/>
            <w:tcBorders>
              <w:top w:val="nil"/>
              <w:left w:val="nil"/>
              <w:bottom w:val="nil"/>
              <w:right w:val="nil"/>
            </w:tcBorders>
          </w:tcPr>
          <w:p>
            <w:pPr>
              <w:pStyle w:val="Normal6a"/>
            </w:pPr>
            <w:r>
              <w:t>76.</w:t>
            </w:r>
            <w:r>
              <w:tab/>
            </w:r>
            <w:r>
              <w:t>vítá nedávno přijaté revidované znění nařízení o statutu a financování evropských politických stran a evropských politických nadací; bere na vědomí ustanovení týkající se financování a účasti stran ze zemí mimo EU</w:t>
            </w:r>
            <w:r>
              <w:rPr>
                <w:b/>
                <w:i/>
              </w:rPr>
              <w:t>, zejména pokud jde o skutečnost, že strany ze zemí mimo EU by neměly mít žádné právo veta ani kontrolu nad evropskými stranami</w:t>
            </w:r>
            <w:r>
              <w:t xml:space="preserve">; vyzývá spolunormotvůrce k zajištění jeho účinného a urychleného provedení; </w:t>
            </w:r>
            <w:r>
              <w:rPr>
                <w:b/>
                <w:i/>
              </w:rPr>
              <w:t>je toho názoru, že by měla být v přiměřené lhůtě stanovena přísnější pravidla, aby se zabránilo jakémukoli financování ze strany subjektů mimo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vítá nedávno přijaté revidované znění nařízení o statutu a financování evropských politických stran a evropských politických nadací; bere na vědomí ustanovení týkající se financování a účasti stran ze zemí mimo EU; vyzývá spolunormotvůrce k zajištění jeho účinného a urychleného provedení;</w:t>
            </w:r>
          </w:p>
        </w:tc>
        <w:tc>
          <w:tcPr>
            <w:tcW w:w="4876" w:type="dxa"/>
            <w:tcBorders>
              <w:top w:val="nil"/>
              <w:left w:val="nil"/>
              <w:bottom w:val="nil"/>
              <w:right w:val="nil"/>
            </w:tcBorders>
          </w:tcPr>
          <w:p>
            <w:pPr>
              <w:pStyle w:val="Normal6a"/>
            </w:pPr>
            <w:r>
              <w:t>76.</w:t>
            </w:r>
            <w:r>
              <w:tab/>
            </w:r>
            <w:r>
              <w:t xml:space="preserve">vítá nedávno přijaté revidované znění nařízení o statutu a financování evropských politických stran a evropských politických nadací; bere na vědomí ustanovení týkající se financování a účasti stran ze zemí mimo EU; vyzývá spolunormotvůrce k zajištění jeho účinného a urychleného provedení; </w:t>
            </w:r>
            <w:r>
              <w:rPr>
                <w:b/>
                <w:i/>
              </w:rPr>
              <w:t>konstatuje, že nábor do příslušných orgánů by měl zahrnovat i členy opoziční strany, jinak by mohl ztratit na důvěryhodnosti;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rPr>
                <w:b/>
                <w:i/>
              </w:rPr>
              <w:t>vítá</w:t>
            </w:r>
            <w:r>
              <w:t xml:space="preserve"> nedávno přijaté revidované znění nařízení o statutu a financování evropských politických stran a evropských politických nadací; bere na vědomí ustanovení týkající se financování a účasti stran ze zemí mimo EU; vyzývá spolunormotvůrce k zajištění jeho účinného a urychleného provedení;</w:t>
            </w:r>
          </w:p>
        </w:tc>
        <w:tc>
          <w:tcPr>
            <w:tcW w:w="4876" w:type="dxa"/>
            <w:tcBorders>
              <w:top w:val="nil"/>
              <w:left w:val="nil"/>
              <w:bottom w:val="nil"/>
              <w:right w:val="nil"/>
            </w:tcBorders>
          </w:tcPr>
          <w:p>
            <w:pPr>
              <w:pStyle w:val="Normal6a"/>
            </w:pPr>
            <w:r>
              <w:t>76.</w:t>
            </w:r>
            <w:r>
              <w:tab/>
            </w:r>
            <w:r>
              <w:rPr>
                <w:b/>
                <w:i/>
              </w:rPr>
              <w:t>konstatuje, že</w:t>
            </w:r>
            <w:r>
              <w:t xml:space="preserve"> nedávno přijaté revidované znění nařízení o statutu a financování evropských politických stran a evropských politických nadací; bere na vědomí ustanovení týkající se financování a účasti stran ze zemí mimo EU; vyzývá spolunormotvůrce k zajištění jeho účinného a urychleného provedení </w:t>
            </w:r>
            <w:r>
              <w:rPr>
                <w:b/>
                <w:i/>
              </w:rPr>
              <w:t>způsobem, který plně respektuje vnitrostátní pravomoci a nezasahuje do vnitřních záležitostí vnitrostátních politických stran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 xml:space="preserve">vítá nedávno přijaté revidované znění nařízení o statutu a financování evropských politických stran a evropských politických nadací; </w:t>
            </w:r>
            <w:r>
              <w:rPr>
                <w:b/>
                <w:i/>
              </w:rPr>
              <w:t>bere na vědomí ustanovení týkající se financování a účasti stran ze zemí mimo EU;</w:t>
            </w:r>
            <w:r>
              <w:t xml:space="preserve"> vyzývá spolunormotvůrce k zajištění jeho účinného a urychleného provedení;</w:t>
            </w:r>
          </w:p>
        </w:tc>
        <w:tc>
          <w:tcPr>
            <w:tcW w:w="4876" w:type="dxa"/>
            <w:tcBorders>
              <w:top w:val="nil"/>
              <w:left w:val="nil"/>
              <w:bottom w:val="nil"/>
              <w:right w:val="nil"/>
            </w:tcBorders>
          </w:tcPr>
          <w:p>
            <w:pPr>
              <w:pStyle w:val="Normal6a"/>
            </w:pPr>
            <w:r>
              <w:t>76.</w:t>
            </w:r>
            <w:r>
              <w:tab/>
            </w:r>
            <w:r>
              <w:t>vítá nedávno přijaté revidované znění nařízení o statutu a financování evropských politických stran a evropských politických nadací; vyzývá spolunormotvůrce k zajištění jeho účinného a urychleného provedení;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76a.</w:t>
            </w:r>
            <w:r>
              <w:tab/>
            </w:r>
            <w:r>
              <w:rPr>
                <w:b/>
                <w:i/>
              </w:rPr>
              <w:t>zdůrazňuje, že je třeba posílit naše demokracie proti zahraničním zásahům a autoritářským tendencím;</w:t>
            </w:r>
            <w:r>
              <w:t xml:space="preserve"> </w:t>
            </w:r>
            <w:r>
              <w:rPr>
                <w:b/>
                <w:i/>
              </w:rPr>
              <w:t>vyzývá Komisi, aby rozšířila rozsah výroční zprávy o právním státě tak, aby zahrnovala demokracii a základní práva, a aby členským státům předložila doporučení ohledně posílení jejich demokracií prostřednictvím robustních právních záruk týkajících se svobodných a spravedlivých voleb a systémů kontrol a protivah proti činům směřujícím k ničení práv a svobod;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1546</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76a.</w:t>
            </w:r>
            <w:r>
              <w:tab/>
            </w:r>
            <w:r>
              <w:rPr>
                <w:b/>
                <w:i/>
              </w:rPr>
              <w:t>zdůrazňuje, že zajištění integrity voleb vyžaduje také odpovídající připravenost v oblasti kybernetické bezpečnosti, podloženou průmyslově ověřenými schopnostmi monitorovat, testovat a posilovat odolnost volební infrastruktury proti kybernetickým zásahům;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 xml:space="preserve">konstatuje, že </w:t>
            </w:r>
            <w:r>
              <w:rPr>
                <w:b/>
                <w:i/>
              </w:rPr>
              <w:t>vývoj v oblasti</w:t>
            </w:r>
            <w:r>
              <w:t xml:space="preserve"> kryptoměn vytváří potenciální zranitelnost </w:t>
            </w:r>
            <w:r>
              <w:rPr>
                <w:b/>
                <w:i/>
              </w:rPr>
              <w:t>jak z hlediska nedostatečné</w:t>
            </w:r>
            <w:r>
              <w:t xml:space="preserve"> transparentnosti</w:t>
            </w:r>
            <w:r>
              <w:rPr>
                <w:b/>
                <w:i/>
              </w:rPr>
              <w:t>, tak z hlediska možnosti</w:t>
            </w:r>
            <w:r>
              <w:t xml:space="preserve"> kontrolovat financování politických stran a hnutí v Evropě; oceňuje závazek Komise spojit národní odborníky pod záštitou ECNE a další sítě EU a zúčastněné strany za účelem úzké spolupráce v oblasti výměny osvědčených postupů, přípravy možných pokynů a podpory společných opatření v této souvislosti; vyzývá Komisi, aby </w:t>
            </w:r>
            <w:r>
              <w:rPr>
                <w:b/>
                <w:i/>
              </w:rPr>
              <w:t>nadále sledovala</w:t>
            </w:r>
            <w:r>
              <w:t xml:space="preserve"> provádění balíčku opatření proti praní peněz a nařízení o trzích s </w:t>
            </w:r>
            <w:r>
              <w:rPr>
                <w:b/>
                <w:i/>
              </w:rPr>
              <w:t>kryptoaktivy a aby se zabývala veškerými případnými mezerami</w:t>
            </w:r>
            <w:r>
              <w:t xml:space="preserve"> v právních předpisech, které </w:t>
            </w:r>
            <w:r>
              <w:rPr>
                <w:b/>
                <w:i/>
              </w:rPr>
              <w:t>bude případně nutné odstranit</w:t>
            </w:r>
            <w:r>
              <w:t>;</w:t>
            </w:r>
          </w:p>
        </w:tc>
        <w:tc>
          <w:tcPr>
            <w:tcW w:w="4876" w:type="dxa"/>
            <w:tcBorders>
              <w:top w:val="nil"/>
              <w:left w:val="nil"/>
              <w:bottom w:val="nil"/>
              <w:right w:val="nil"/>
            </w:tcBorders>
          </w:tcPr>
          <w:p>
            <w:pPr>
              <w:pStyle w:val="Normal6a"/>
            </w:pPr>
            <w:r>
              <w:t>77.</w:t>
            </w:r>
            <w:r>
              <w:tab/>
            </w:r>
            <w:r>
              <w:t xml:space="preserve">konstatuje, že </w:t>
            </w:r>
            <w:r>
              <w:rPr>
                <w:b/>
                <w:i/>
              </w:rPr>
              <w:t>rychlý rozvoj</w:t>
            </w:r>
            <w:r>
              <w:t xml:space="preserve"> kryptoměn</w:t>
            </w:r>
            <w:r>
              <w:rPr>
                <w:b/>
                <w:i/>
              </w:rPr>
              <w:t>, mimo jiné prostřednictvím decentralizovaného financování (DeFi) a platforem nebo poskytovatelů služeb působících mimo Unii,</w:t>
            </w:r>
            <w:r>
              <w:t xml:space="preserve"> vytváří potenciální </w:t>
            </w:r>
            <w:r>
              <w:rPr>
                <w:b/>
                <w:i/>
              </w:rPr>
              <w:t>významnou</w:t>
            </w:r>
            <w:r>
              <w:t xml:space="preserve"> zranitelnost</w:t>
            </w:r>
            <w:r>
              <w:rPr>
                <w:b/>
                <w:i/>
              </w:rPr>
              <w:t>, pokud jde o nedostatek</w:t>
            </w:r>
            <w:r>
              <w:t xml:space="preserve"> transparentnosti </w:t>
            </w:r>
            <w:r>
              <w:rPr>
                <w:b/>
                <w:i/>
              </w:rPr>
              <w:t>a schopnost</w:t>
            </w:r>
            <w:r>
              <w:t xml:space="preserve"> kontrolovat financování politických stran a hnutí v Evropě</w:t>
            </w:r>
            <w:r>
              <w:rPr>
                <w:b/>
                <w:i/>
              </w:rPr>
              <w:t>;</w:t>
            </w:r>
            <w:r>
              <w:t xml:space="preserve"> </w:t>
            </w:r>
            <w:r>
              <w:rPr>
                <w:b/>
                <w:i/>
              </w:rPr>
              <w:t>zdůrazňuje zejména, že vzhledem ke své pseudonymní povaze, globálnímu dosahu a možnosti využívat anonymizační techniky a služby mohou být kryptoměny snadno zneužity k utajení skutečného zdroje politických darů a k usnadnění zahraničního vlivu na demokratické procesy</w:t>
            </w:r>
            <w:r>
              <w:t xml:space="preserve">; oceňuje závazek Komise spojit národní odborníky pod záštitou ECNE a další sítě EU a zúčastněné strany za účelem úzké spolupráce v oblasti výměny osvědčených postupů, přípravy možných pokynů a podpory společných opatření v této souvislosti; vyzývá Komisi, aby </w:t>
            </w:r>
            <w:r>
              <w:rPr>
                <w:b/>
                <w:i/>
              </w:rPr>
              <w:t>pokračovala v monitorování</w:t>
            </w:r>
            <w:r>
              <w:t xml:space="preserve"> provádění balíčku opatření proti praní peněz a nařízení o trzích s </w:t>
            </w:r>
            <w:r>
              <w:rPr>
                <w:b/>
                <w:i/>
              </w:rPr>
              <w:t>kryptoměnami, zajistila jeho účinné a důsledné prosazování a bez dalšího odkladu řešila případné mezery</w:t>
            </w:r>
            <w:r>
              <w:t xml:space="preserve"> v právních předpisech, které </w:t>
            </w:r>
            <w:r>
              <w:rPr>
                <w:b/>
                <w:i/>
              </w:rPr>
              <w:t>je třeba vyplnit, zejména ty, které již byly identifikovány Evropskou radou pro systémová rizika (ESRB) v souvislosti s přeshraničními toky stabilních kryptoměn, protože dále zvyšují riziko, že kryptoaktiva mohou být použita jako zadní vrátka pro nelegální zahraniční politické financování a zahraniční vliv, výnosy z trestné činnosti a jiné nelegální finanční toky, a tak narušovat demokratickou odpovědnost a důvěru veřejnosti</w:t>
            </w:r>
            <w:r>
              <w:t xml:space="preserve">; </w:t>
            </w:r>
            <w:r>
              <w:rPr>
                <w:b/>
                <w:i/>
              </w:rPr>
              <w:t>dále vyzývá Komisi, aby předložila posílená opatření, která zajistí, že politické dary zahrnující kryptoměny budou podléhat zásadě „poznej svého dárce“ a budou splňovat stejné standardy transparentnosti a odpovědnosti jako tradiční finanční příspěvky;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 xml:space="preserve">konstatuje, že vývoj v oblasti kryptoměn vytváří potenciální zranitelnost jak z hlediska nedostatečné transparentnosti, tak z hlediska možnosti kontrolovat financování politických stran a hnutí v Evropě; oceňuje závazek Komise spojit národní odborníky pod záštitou ECNE a další sítě EU a zúčastněné strany za účelem úzké spolupráce v oblasti výměny osvědčených postupů, přípravy </w:t>
            </w:r>
            <w:r>
              <w:rPr>
                <w:b/>
                <w:i/>
              </w:rPr>
              <w:t>možných</w:t>
            </w:r>
            <w:r>
              <w:t xml:space="preserve"> pokynů a podpory společných opatření v této souvislosti; vyzývá Komisi, aby nadále sledovala provádění balíčku opatření proti praní peněz a nařízení o trzích s kryptoaktivy a aby se zabývala veškerými případnými mezerami v právních předpisech, které bude případně nutné odstranit;</w:t>
            </w:r>
          </w:p>
        </w:tc>
        <w:tc>
          <w:tcPr>
            <w:tcW w:w="4876" w:type="dxa"/>
            <w:tcBorders>
              <w:top w:val="nil"/>
              <w:left w:val="nil"/>
              <w:bottom w:val="nil"/>
              <w:right w:val="nil"/>
            </w:tcBorders>
          </w:tcPr>
          <w:p>
            <w:pPr>
              <w:pStyle w:val="Normal6a"/>
            </w:pPr>
            <w:r>
              <w:t>77.</w:t>
            </w:r>
            <w:r>
              <w:tab/>
            </w:r>
            <w:r>
              <w:t xml:space="preserve">konstatuje, že vývoj v oblasti kryptoměn vytváří potenciální zranitelnost jak z hlediska nedostatečné transparentnosti, tak z hlediska možnosti kontrolovat financování politických stran a hnutí v Evropě; oceňuje závazek Komise spojit národní odborníky pod záštitou ECNE a další sítě EU a zúčastněné strany za účelem úzké spolupráce v oblasti výměny osvědčených postupů, přípravy </w:t>
            </w:r>
            <w:r>
              <w:rPr>
                <w:b/>
                <w:i/>
              </w:rPr>
              <w:t>nezávazných</w:t>
            </w:r>
            <w:r>
              <w:t xml:space="preserve"> pokynů a podpory společných opatření v této souvislosti; vyzývá Komisi, aby nadále sledovala provádění balíčku opatření proti praní peněz a nařízení o trzích s kryptoaktivy a aby se zabývala veškerými případnými mezerami v právních předpisech, které bude případně nutné odstranit;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1549</w:t>
      </w:r>
      <w:r>
        <w:rPr>
          <w:rStyle w:val="HideTWBExt"/>
        </w:rPr>
        <w:t>&lt;/NumAm&gt;</w:t>
      </w:r>
    </w:p>
    <w:p>
      <w:pPr>
        <w:pStyle w:val="NormalBold"/>
      </w:pPr>
      <w:r>
        <w:rPr>
          <w:rStyle w:val="HideTWBExt"/>
          <w:b w:val="0"/>
        </w:rPr>
        <w:t>&lt;RepeatBlock-By&gt;</w:t>
      </w:r>
      <w:r>
        <w:rPr>
          <w:rStyle w:val="HideTWBExt"/>
          <w:b w:val="0"/>
        </w:rPr>
        <w:t>&lt;Members&gt;</w:t>
      </w:r>
      <w:r>
        <w:t>Nathalie Loiseau,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77a.</w:t>
            </w:r>
            <w:r>
              <w:tab/>
            </w:r>
            <w:r>
              <w:rPr>
                <w:b/>
                <w:i/>
              </w:rPr>
              <w:t>připomíná úlohu Úřadu pro evropské politické strany a evropské politické nadace (APPF) při kontrole financování evropských politických stran;</w:t>
            </w:r>
            <w:r>
              <w:t xml:space="preserve"> </w:t>
            </w:r>
            <w:r>
              <w:rPr>
                <w:b/>
                <w:i/>
              </w:rPr>
              <w:t>konstatuje, že nesrovnalosti v pravidlech financování politických stran osobami a subjekty ze zemí mimo EU na vnitrostátní úrovni vytvářejí legislativní mezery, které umožňují převod finančních prostředků, které by jinak nebyly povoleny, z vnitrostátních stran na strany evropské;</w:t>
            </w:r>
            <w:r>
              <w:t xml:space="preserve"> </w:t>
            </w:r>
            <w:r>
              <w:rPr>
                <w:b/>
                <w:i/>
              </w:rPr>
              <w:t>trvá na nutnosti lepší spolupráce mezi vnitrostátními orgány odpovědnými za kontrolu financování vnitrostátních politických stran;</w:t>
            </w:r>
            <w:r>
              <w:t xml:space="preserve"> </w:t>
            </w:r>
            <w:r>
              <w:rPr>
                <w:b/>
                <w:i/>
              </w:rPr>
              <w:t>je znepokojen skutečností, že některé organizace na vnitrostátní úrovni nevědí o existenci ostatních organizací nebo si nevyměňují informace, čímž vznikají izolované systémy;</w:t>
            </w:r>
            <w:r>
              <w:t xml:space="preserve"> </w:t>
            </w:r>
            <w:r>
              <w:rPr>
                <w:b/>
                <w:i/>
              </w:rPr>
              <w:t>vyzvat členské státy, aby přijaly osvědčené postupy s cílem zajistit nezávislý dohled nad financováním politických stran;</w:t>
            </w:r>
            <w:r>
              <w:t xml:space="preserve"> </w:t>
            </w:r>
            <w:r>
              <w:rPr>
                <w:b/>
                <w:i/>
              </w:rPr>
              <w:t>je znepokojen skutečností, že některé finanční zpravodajské jednotky nemají mandát předávat informace, které shromažďují o zasahování do vnitrostátních a evropských voleb;</w:t>
            </w:r>
            <w:r>
              <w:t xml:space="preserve"> </w:t>
            </w:r>
            <w:r>
              <w:rPr>
                <w:b/>
                <w:i/>
              </w:rPr>
              <w:t>vyzývá členské státy, aby revidovaly své mandáty s cílem zlepšit tok informací;</w:t>
            </w:r>
            <w:r>
              <w:t xml:space="preserve"> </w:t>
            </w:r>
            <w:r>
              <w:rPr>
                <w:b/>
                <w:i/>
              </w:rPr>
              <w:t>vyzývá k posílení Úřadu pro evropské politické strany a evropské politické nadace, aby lépe koordinoval národní a evropské organizace odpovědné za kontrolu financování politických stran;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77a.</w:t>
            </w:r>
            <w:r>
              <w:tab/>
            </w:r>
            <w:r>
              <w:rPr>
                <w:b/>
                <w:i/>
              </w:rPr>
              <w:t>Je hluboce znepokojen nedávnými sankcemi, které uvalila administrativa prezidenta Trumpa na osoby spojené s mezinárodními organizacemi, zejména na zpravodajku OSN Francescu Albaneseovou a několik soudců Mezinárodního trestního soudu, které omezují jejich přístup k běžným službám, zejména k finančním službám;</w:t>
            </w:r>
            <w:r>
              <w:t xml:space="preserve"> </w:t>
            </w:r>
            <w:r>
              <w:rPr>
                <w:b/>
                <w:i/>
              </w:rPr>
              <w:t>je hluboce znepokojen nedávnými sankcemi, které uvalila administrativa prezidenta Trumpa na bývalého komisaře EU Thierryho Bretona a jednotlivce z občanské společnosti, aby vyvinula tlak na úředníky a občanskou společnost zapojené do diskusí o DSA a jeho provádění a ohrozila regulační suverenitu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1551</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rPr>
                <w:b/>
                <w:i/>
              </w:rPr>
              <w:t>považuje</w:t>
            </w:r>
            <w:r>
              <w:t xml:space="preserve"> sankce vůči zahraničním subjektům, zemím nebo jednotlivcům</w:t>
            </w:r>
            <w:r>
              <w:rPr>
                <w:b/>
                <w:i/>
              </w:rPr>
              <w:t>, podílejícím se na</w:t>
            </w:r>
            <w:r>
              <w:t xml:space="preserve"> jednání, jehož </w:t>
            </w:r>
            <w:r>
              <w:rPr>
                <w:b/>
                <w:i/>
              </w:rPr>
              <w:t>záměrem</w:t>
            </w:r>
            <w:r>
              <w:t xml:space="preserve"> je narušit demokratickou integritu </w:t>
            </w:r>
            <w:r>
              <w:rPr>
                <w:b/>
                <w:i/>
              </w:rPr>
              <w:t>EU nebo jejích</w:t>
            </w:r>
            <w:r>
              <w:t xml:space="preserve"> členských států</w:t>
            </w:r>
            <w:r>
              <w:rPr>
                <w:b/>
                <w:i/>
              </w:rPr>
              <w:t>, za důležitý prvek cílů Evropského štítu pro demokracii</w:t>
            </w:r>
            <w:r>
              <w:t xml:space="preserve">; </w:t>
            </w:r>
            <w:r>
              <w:rPr>
                <w:b/>
                <w:i/>
              </w:rPr>
              <w:t>dále zdůrazňuje, že účinné sankce musí zahrnovat komplexní soubor opatření, včetně zmrazení a konfiskace majetku, přiřazení a odhalení odpovědnosti, zvyšování nákladů a snižování příjmů, zákazů dovozu a vývozu, odepření přístupu a dalších příslušných omezujících opatření;</w:t>
            </w:r>
          </w:p>
        </w:tc>
        <w:tc>
          <w:tcPr>
            <w:tcW w:w="4876" w:type="dxa"/>
            <w:tcBorders>
              <w:top w:val="nil"/>
              <w:left w:val="nil"/>
              <w:bottom w:val="nil"/>
              <w:right w:val="nil"/>
            </w:tcBorders>
          </w:tcPr>
          <w:p>
            <w:pPr>
              <w:pStyle w:val="Normal6a"/>
            </w:pPr>
            <w:r>
              <w:t>78.</w:t>
            </w:r>
            <w:r>
              <w:tab/>
            </w:r>
            <w:r>
              <w:rPr>
                <w:b/>
                <w:i/>
              </w:rPr>
              <w:t>domnívá se, že</w:t>
            </w:r>
            <w:r>
              <w:t xml:space="preserve"> sankce vůči zahraničním subjektům, zemím nebo jednotlivcům </w:t>
            </w:r>
            <w:r>
              <w:rPr>
                <w:b/>
                <w:i/>
              </w:rPr>
              <w:t>by měly být ukládány pouze jako přímá a přiměřená reakce na jasně prokázané a doložené</w:t>
            </w:r>
            <w:r>
              <w:t xml:space="preserve"> jednání, jehož </w:t>
            </w:r>
            <w:r>
              <w:rPr>
                <w:b/>
                <w:i/>
              </w:rPr>
              <w:t>cílem</w:t>
            </w:r>
            <w:r>
              <w:t xml:space="preserve"> je narušit demokratickou integritu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 xml:space="preserve">považuje sankce vůči </w:t>
            </w:r>
            <w:r>
              <w:rPr>
                <w:b/>
                <w:i/>
              </w:rPr>
              <w:t>zahraničním subjektům, zemím nebo</w:t>
            </w:r>
            <w:r>
              <w:t xml:space="preserve"> jednotlivcům</w:t>
            </w:r>
            <w:r>
              <w:rPr>
                <w:b/>
                <w:i/>
              </w:rPr>
              <w:t>, podílejícím</w:t>
            </w:r>
            <w:r>
              <w:t xml:space="preserve"> se na </w:t>
            </w:r>
            <w:r>
              <w:rPr>
                <w:b/>
                <w:i/>
              </w:rPr>
              <w:t>jednání, jehož</w:t>
            </w:r>
            <w:r>
              <w:t xml:space="preserve"> záměrem je narušit demokratickou integritu EU </w:t>
            </w:r>
            <w:r>
              <w:rPr>
                <w:b/>
                <w:i/>
              </w:rPr>
              <w:t>nebo jejích</w:t>
            </w:r>
            <w:r>
              <w:t xml:space="preserve"> členských států</w:t>
            </w:r>
            <w:r>
              <w:rPr>
                <w:b/>
                <w:i/>
              </w:rPr>
              <w:t>, za důležitý prvek cílů</w:t>
            </w:r>
            <w:r>
              <w:t xml:space="preserve"> Evropského štítu pro demokracii; </w:t>
            </w:r>
            <w:r>
              <w:rPr>
                <w:b/>
                <w:i/>
              </w:rPr>
              <w:t>dále</w:t>
            </w:r>
            <w:r>
              <w:t xml:space="preserve"> zdůrazňuje, že </w:t>
            </w:r>
            <w:r>
              <w:rPr>
                <w:b/>
                <w:i/>
              </w:rPr>
              <w:t>účinné</w:t>
            </w:r>
            <w:r>
              <w:t xml:space="preserve"> sankce musí zahrnovat komplexní soubor opatření, včetně zmrazení a konfiskace majetku, přiřazení </w:t>
            </w:r>
            <w:r>
              <w:rPr>
                <w:b/>
                <w:i/>
              </w:rPr>
              <w:t>a odhalení</w:t>
            </w:r>
            <w:r>
              <w:t xml:space="preserve"> odpovědnosti</w:t>
            </w:r>
            <w:r>
              <w:rPr>
                <w:b/>
                <w:i/>
              </w:rPr>
              <w:t>, zvyšování</w:t>
            </w:r>
            <w:r>
              <w:t xml:space="preserve"> nákladů </w:t>
            </w:r>
            <w:r>
              <w:rPr>
                <w:b/>
                <w:i/>
              </w:rPr>
              <w:t>a snižování</w:t>
            </w:r>
            <w:r>
              <w:t xml:space="preserve"> příjmů, </w:t>
            </w:r>
            <w:r>
              <w:rPr>
                <w:b/>
                <w:i/>
              </w:rPr>
              <w:t>zákazů</w:t>
            </w:r>
            <w:r>
              <w:t xml:space="preserve"> dovozu a vývozu, odepření přístupu a dalších </w:t>
            </w:r>
            <w:r>
              <w:rPr>
                <w:b/>
                <w:i/>
              </w:rPr>
              <w:t>příslušných</w:t>
            </w:r>
            <w:r>
              <w:t xml:space="preserve"> omezujících opatření;</w:t>
            </w:r>
          </w:p>
        </w:tc>
        <w:tc>
          <w:tcPr>
            <w:tcW w:w="4876" w:type="dxa"/>
            <w:tcBorders>
              <w:top w:val="nil"/>
              <w:left w:val="nil"/>
              <w:bottom w:val="nil"/>
              <w:right w:val="nil"/>
            </w:tcBorders>
          </w:tcPr>
          <w:p>
            <w:pPr>
              <w:pStyle w:val="Normal6a"/>
            </w:pPr>
            <w:r>
              <w:t>78.</w:t>
            </w:r>
            <w:r>
              <w:tab/>
            </w:r>
            <w:r>
              <w:t xml:space="preserve">považuje sankce vůči </w:t>
            </w:r>
            <w:r>
              <w:rPr>
                <w:b/>
                <w:i/>
              </w:rPr>
              <w:t>státním a nestátním aktérům a</w:t>
            </w:r>
            <w:r>
              <w:t xml:space="preserve"> jednotlivcům </w:t>
            </w:r>
            <w:r>
              <w:rPr>
                <w:b/>
                <w:i/>
              </w:rPr>
              <w:t>podílejících</w:t>
            </w:r>
            <w:r>
              <w:t xml:space="preserve"> se na </w:t>
            </w:r>
            <w:r>
              <w:rPr>
                <w:b/>
                <w:i/>
              </w:rPr>
              <w:t>akcích , jejichž</w:t>
            </w:r>
            <w:r>
              <w:t xml:space="preserve"> záměrem je narušit demokratickou integritu EU</w:t>
            </w:r>
            <w:r>
              <w:rPr>
                <w:b/>
                <w:i/>
              </w:rPr>
              <w:t>, demokracii, svrchovanost a ústavní pořádek</w:t>
            </w:r>
            <w:r>
              <w:t xml:space="preserve"> členských států </w:t>
            </w:r>
            <w:r>
              <w:rPr>
                <w:b/>
                <w:i/>
              </w:rPr>
              <w:t>za zásadní složku</w:t>
            </w:r>
            <w:r>
              <w:t xml:space="preserve"> Evropského štítu pro demokracii; zdůrazňuje, že </w:t>
            </w:r>
            <w:r>
              <w:rPr>
                <w:b/>
                <w:i/>
              </w:rPr>
              <w:t>takové</w:t>
            </w:r>
            <w:r>
              <w:t xml:space="preserve"> sankce musí </w:t>
            </w:r>
            <w:r>
              <w:rPr>
                <w:b/>
                <w:i/>
              </w:rPr>
              <w:t>být rychlé, cílené a odrazující a měly by</w:t>
            </w:r>
            <w:r>
              <w:t xml:space="preserve"> zahrnovat komplexní soubor opatření, včetně zmrazení a konfiskace majetku, </w:t>
            </w:r>
            <w:r>
              <w:rPr>
                <w:b/>
                <w:i/>
              </w:rPr>
              <w:t>jasného</w:t>
            </w:r>
            <w:r>
              <w:t xml:space="preserve"> přiřazení odpovědnosti </w:t>
            </w:r>
            <w:r>
              <w:rPr>
                <w:b/>
                <w:i/>
              </w:rPr>
              <w:t>a veřejného odhalení, uložení významných ekonomických a finančních</w:t>
            </w:r>
            <w:r>
              <w:t xml:space="preserve"> nákladů</w:t>
            </w:r>
            <w:r>
              <w:rPr>
                <w:b/>
                <w:i/>
              </w:rPr>
              <w:t>, snížení</w:t>
            </w:r>
            <w:r>
              <w:t xml:space="preserve"> příjmů, </w:t>
            </w:r>
            <w:r>
              <w:rPr>
                <w:b/>
                <w:i/>
              </w:rPr>
              <w:t>zákazu</w:t>
            </w:r>
            <w:r>
              <w:t xml:space="preserve"> dovozu a vývozu</w:t>
            </w:r>
            <w:r>
              <w:rPr>
                <w:b/>
                <w:i/>
              </w:rPr>
              <w:t>, zákazu cestování</w:t>
            </w:r>
            <w:r>
              <w:t xml:space="preserve">, odepření přístupu </w:t>
            </w:r>
            <w:r>
              <w:rPr>
                <w:b/>
                <w:i/>
              </w:rPr>
              <w:t>na trhy a do finančních systémů EU</w:t>
            </w:r>
            <w:r>
              <w:t xml:space="preserve"> a dalších </w:t>
            </w:r>
            <w:r>
              <w:rPr>
                <w:b/>
                <w:i/>
              </w:rPr>
              <w:t>účinných, robustních a dopadových</w:t>
            </w:r>
            <w:r>
              <w:t xml:space="preserve"> omezujících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považuje sankce vůči zahraničním subjektům, zemím nebo jednotlivcům, podílejícím se na jednání, jehož záměrem je narušit demokratickou integritu EU nebo jejích členských států, za důležitý prvek cílů Evropského štítu pro demokracii; dále zdůrazňuje, že účinné sankce musí zahrnovat komplexní soubor opatření, včetně zmrazení a konfiskace majetku, přiřazení a odhalení odpovědnosti, zvyšování nákladů a snižování příjmů, zákazů dovozu a vývozu, odepření přístupu a dalších příslušných omezujících opatření;</w:t>
            </w:r>
          </w:p>
        </w:tc>
        <w:tc>
          <w:tcPr>
            <w:tcW w:w="4876" w:type="dxa"/>
            <w:tcBorders>
              <w:top w:val="nil"/>
              <w:left w:val="nil"/>
              <w:bottom w:val="nil"/>
              <w:right w:val="nil"/>
            </w:tcBorders>
          </w:tcPr>
          <w:p>
            <w:pPr>
              <w:pStyle w:val="Normal6a"/>
            </w:pPr>
            <w:r>
              <w:t>78.</w:t>
            </w:r>
            <w:r>
              <w:tab/>
            </w:r>
            <w:r>
              <w:t xml:space="preserve">považuje sankce vůči zahraničním subjektům, zemím nebo jednotlivcům, podílejícím se na jednání, jehož záměrem je narušit demokratickou integritu EU nebo jejích členských států, za důležitý prvek cílů Evropského štítu pro demokracii; dále zdůrazňuje, že účinné sankce musí zahrnovat komplexní soubor opatření, včetně zmrazení a konfiskace majetku, přiřazení a odhalení odpovědnosti, zvyšování nákladů a snižování příjmů, zákazů dovozu a vývozu, odepření přístupu a dalších příslušných omezujících opatření; </w:t>
            </w:r>
            <w:r>
              <w:rPr>
                <w:b/>
                <w:i/>
              </w:rPr>
              <w:t>opakuje svou výzvu Radě, aby v rámci našeho sankčního režimu postupně přešla k hlasování kvalifikovanou většinou;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považuje sankce vůči zahraničním subjektům, zemím nebo jednotlivcům, podílejícím se na jednání, jehož záměrem je narušit demokratickou integritu EU nebo jejích členských států, za důležitý prvek cílů Evropského štítu pro demokracii; dále zdůrazňuje, že účinné sankce musí zahrnovat komplexní soubor opatření, včetně zmrazení a konfiskace majetku, přiřazení a odhalení odpovědnosti, zvyšování nákladů a snižování příjmů, zákazů dovozu a vývozu, odepření přístupu a dalších příslušných omezujících opatření;</w:t>
            </w:r>
          </w:p>
        </w:tc>
        <w:tc>
          <w:tcPr>
            <w:tcW w:w="4876" w:type="dxa"/>
            <w:tcBorders>
              <w:top w:val="nil"/>
              <w:left w:val="nil"/>
              <w:bottom w:val="nil"/>
              <w:right w:val="nil"/>
            </w:tcBorders>
          </w:tcPr>
          <w:p>
            <w:pPr>
              <w:pStyle w:val="Normal6a"/>
            </w:pPr>
            <w:r>
              <w:t>78.</w:t>
            </w:r>
            <w:r>
              <w:tab/>
            </w:r>
            <w:r>
              <w:t>považuje sankce vůči zahraničním subjektům, zemím nebo jednotlivcům, podílejícím se na jednání, jehož záměrem je narušit demokratickou integritu EU nebo jejích členských států, za důležitý prvek cílů Evropského štítu pro demokracii</w:t>
            </w:r>
            <w:r>
              <w:rPr>
                <w:b/>
                <w:i/>
              </w:rPr>
              <w:t>, za předpokladu, že hodnocení je nestranné a jednotné pro všechny zúčastněné strany</w:t>
            </w:r>
            <w:r>
              <w:t>; dále zdůrazňuje, že účinné sankce musí zahrnovat komplexní soubor opatření, včetně zmrazení a konfiskace majetku, přiřazení a odhalení odpovědnosti, zvyšování nákladů a snižování příjmů, zákazů dovozu a vývozu, odepření přístupu a dalších příslušných omezujících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 xml:space="preserve">považuje sankce vůči zahraničním subjektům, zemím nebo jednotlivcům, podílejícím se na jednání, jehož záměrem je narušit demokratickou integritu EU nebo jejích členských států, za důležitý prvek </w:t>
            </w:r>
            <w:r>
              <w:rPr>
                <w:b/>
                <w:i/>
              </w:rPr>
              <w:t>cílů Evropského štítu pro demokracii</w:t>
            </w:r>
            <w:r>
              <w:t>; dále zdůrazňuje, že účinné sankce musí zahrnovat komplexní soubor opatření, včetně zmrazení a konfiskace majetku, přiřazení a odhalení odpovědnosti, zvyšování nákladů a snižování příjmů, zákazů dovozu a vývozu, odepření přístupu a dalších příslušných omezujících opatření;</w:t>
            </w:r>
          </w:p>
        </w:tc>
        <w:tc>
          <w:tcPr>
            <w:tcW w:w="4876" w:type="dxa"/>
            <w:tcBorders>
              <w:top w:val="nil"/>
              <w:left w:val="nil"/>
              <w:bottom w:val="nil"/>
              <w:right w:val="nil"/>
            </w:tcBorders>
          </w:tcPr>
          <w:p>
            <w:pPr>
              <w:pStyle w:val="Normal6a"/>
            </w:pPr>
            <w:r>
              <w:t>78.</w:t>
            </w:r>
            <w:r>
              <w:tab/>
            </w:r>
            <w:r>
              <w:t xml:space="preserve">považuje sankce vůči zahraničním subjektům, zemím nebo jednotlivcům, podílejícím se na </w:t>
            </w:r>
            <w:r>
              <w:rPr>
                <w:b/>
                <w:i/>
              </w:rPr>
              <w:t>prokazatelném</w:t>
            </w:r>
            <w:r>
              <w:t xml:space="preserve"> jednání, jehož záměrem je narušit demokratickou integritu EU nebo jejích členských států, za důležitý prvek </w:t>
            </w:r>
            <w:r>
              <w:rPr>
                <w:b/>
                <w:i/>
              </w:rPr>
              <w:t>ochrany Unie a členských států</w:t>
            </w:r>
            <w:r>
              <w:t>; dále zdůrazňuje, že účinné sankce musí zahrnovat komplexní soubor opatření, včetně zmrazení a konfiskace majetku, přiřazení a odhalení odpovědnosti, zvyšování nákladů a snižování příjmů, zákazů dovozu a vývozu, odepření přístupu a dalších příslušných omezujících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1556</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 xml:space="preserve">považuje sankce vůči zahraničním subjektům, zemím nebo jednotlivcům, podílejícím se na jednání, jehož záměrem je narušit demokratickou integritu EU nebo jejích členských států, za důležitý prvek cílů Evropského štítu pro demokracii; dále zdůrazňuje, že účinné sankce musí zahrnovat komplexní soubor opatření, </w:t>
            </w:r>
            <w:r>
              <w:rPr>
                <w:b/>
                <w:i/>
              </w:rPr>
              <w:t>včetně zmrazení a konfiskace majetku,</w:t>
            </w:r>
            <w:r>
              <w:t xml:space="preserve"> přiřazení a odhalení odpovědnosti, zvyšování nákladů a snižování příjmů, zákazů dovozu a vývozu, odepření přístupu a dalších příslušných omezujících opatření;</w:t>
            </w:r>
          </w:p>
        </w:tc>
        <w:tc>
          <w:tcPr>
            <w:tcW w:w="4876" w:type="dxa"/>
            <w:tcBorders>
              <w:top w:val="nil"/>
              <w:left w:val="nil"/>
              <w:bottom w:val="nil"/>
              <w:right w:val="nil"/>
            </w:tcBorders>
          </w:tcPr>
          <w:p>
            <w:pPr>
              <w:pStyle w:val="Normal6a"/>
            </w:pPr>
            <w:r>
              <w:t>78.</w:t>
            </w:r>
            <w:r>
              <w:tab/>
            </w:r>
            <w:r>
              <w:t>považuje sankce vůči zahraničním subjektům, zemím nebo jednotlivcům, podílejícím se na jednání, jehož záměrem je narušit demokratickou integritu EU nebo jejích členských států, za důležitý prvek cílů Evropského štítu pro demokracii; dále zdůrazňuje, že účinné sankce musí zahrnovat komplexní soubor opatření, přiřazení a odhalení odpovědnosti, zvyšování nákladů a snižování příjmů, zákazů dovozu a vývozu, odepření přístupu a dalších příslušných omezujících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zdůrazňuje, že účinnost sankčních nástrojů Evropského štítu pro demokracii závisí na jeho schopnosti řešit nejen hybridní aktivity podporované státem, ale také nestátní subjekty, sítě a zprostředkovatele, kteří tyto aktivity provádějí, umožňují nebo z nich mají finanční prospěch;</w:t>
            </w:r>
            <w:r>
              <w:t xml:space="preserve"> </w:t>
            </w:r>
            <w:r>
              <w:rPr>
                <w:b/>
                <w:i/>
              </w:rPr>
              <w:t>připomíná, že omezující opatření Unie proti terorismu se vztahují na osoby, skupiny i subjekty;</w:t>
            </w:r>
            <w:r>
              <w:t xml:space="preserve"> </w:t>
            </w:r>
            <w:r>
              <w:rPr>
                <w:b/>
                <w:i/>
              </w:rPr>
              <w:t>vyzývá Komisi, ESVČ a členské státy, aby zajistily, že příslušné sankční nástroje budou důsledně využívány, pokud to je právně odůvodněné, proti finančním, logistickým a technickým zprostředkovatelům hybridního vměšování, zahrnující online monetizaci a skryté finanční toky;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1558</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Plně uznává legitimní cíl přijetí politik zaměřených na boj proti dezinformacím a manipulaci s informacemi, avšak vyzývá Komisi, aby posoudila, zda sankce EU v boji proti dezinformacím splňují požadavek proporcionality podle práva EU a článek 11 Listiny;</w:t>
            </w:r>
            <w:r>
              <w:t xml:space="preserve"> </w:t>
            </w:r>
            <w:r>
              <w:rPr>
                <w:b/>
                <w:i/>
              </w:rPr>
              <w:t>domnívá se, že právo být vyslechnut a přiměřené právní záruky musí být zaručeny dříve, než Rada taková opatření uplatní, zejména pokud hrozí, že budou ohrožena práva občanů EU, zejména novinářů;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1559</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konstatuje že dotovaní ověřovatelé faktů, jako je EU Disinfo Lab, i nadále dostávali finanční prostředky a byli zváni jako odborníci do evropských orgánů, a to navzdory tomu, že byli francouzským a belgickým úřadem pro ochranu osobních údajů (CNIL) odsouzeni v kauze Benalla a za politické sledování účtů na Twitteru.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vyzývá Radu a Komisi, aby zvýšily účinnost a dopad sankcí proti Rusku s cílem definitivně oslabit schopnost Ruska pokračovat v brutální útočné válce proti Ukrajině a ohrožovat bezpečnost dalších sousedních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78b.</w:t>
            </w:r>
            <w:r>
              <w:tab/>
            </w:r>
            <w:r>
              <w:rPr>
                <w:b/>
                <w:i/>
              </w:rPr>
              <w:t>připomíná skandál fondu Marianne, který byl věnován profesorovi Samuelovi Patymu, jenž prostřednictvím násilného činu přišel o hlavu, a vyplýtván v pochybným způsobem;</w:t>
            </w:r>
            <w:r>
              <w:t xml:space="preserve"> </w:t>
            </w:r>
            <w:r>
              <w:rPr>
                <w:b/>
                <w:i/>
              </w:rPr>
              <w:t>vyzývá k přísné kontrole finančních prostředků určených na boj proti nenávisti a za demokracii;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78c.</w:t>
            </w:r>
            <w:r>
              <w:tab/>
            </w:r>
            <w:r>
              <w:rPr>
                <w:b/>
                <w:i/>
              </w:rPr>
              <w:t>konstatuje, že jeden novinář byl propuštěn poté, co položil otázku Evropské komisi;</w:t>
            </w:r>
            <w:r>
              <w:t xml:space="preserve"> </w:t>
            </w:r>
            <w:r>
              <w:rPr>
                <w:b/>
                <w:i/>
              </w:rPr>
              <w:t>je znepokojen opakovaným tlakem vyvíjeným ve Francii proti opozičním sdělovacím prostředkům (CNews, C8, France soir);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1563</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vyzývá Komisi a členské státy, aby pravidelně a pečlivě posuzovaly uložené sankce z hlediska optimální účinnosti a možného dalšího rozšíření, včetně sekundárních sankcí zaměřených na subjekty, které se podílejí na obcházení sankcí; domnívá se, že </w:t>
            </w:r>
            <w:r>
              <w:rPr>
                <w:b/>
                <w:i/>
              </w:rPr>
              <w:t>by EU měla dále rozšířit svůj sankční režim,</w:t>
            </w:r>
            <w:r>
              <w:t xml:space="preserve"> zejména v oblasti hybridních hrozeb a destabilizujících </w:t>
            </w:r>
            <w:r>
              <w:rPr>
                <w:b/>
                <w:i/>
              </w:rPr>
              <w:t>aktivit Ruska, a to zaměřením se</w:t>
            </w:r>
            <w:r>
              <w:t xml:space="preserve"> na finanční a technické </w:t>
            </w:r>
            <w:r>
              <w:rPr>
                <w:b/>
                <w:i/>
              </w:rPr>
              <w:t>struktury</w:t>
            </w:r>
            <w:r>
              <w:t>, které podporují dezinformace, kybernetické útoky a vměšování do voleb, jako jsou kryptoměny, reklamní sítě a poskytovatelé hostingu</w:t>
            </w:r>
            <w:r>
              <w:rPr>
                <w:b/>
                <w:i/>
              </w:rPr>
              <w:t>, a zároveň by měla narušit ruské zástupné sítě v zemích mimo EU, zejména v Africe a na Blízkém východě, a uvalit sankce na média, logistická centra a skupiny spojené s Wagnerem, které šíří protiunijní narativy</w:t>
            </w:r>
            <w:r>
              <w:t xml:space="preserve">; </w:t>
            </w:r>
            <w:r>
              <w:rPr>
                <w:b/>
                <w:i/>
              </w:rPr>
              <w:t>domnívá se, že za účelem dalšího zvýšení nákladů na hybridní agresi by EU měla rozšířit sekundární sankce na firmy ze zemí mimo EU, a zejména na čínské firmy, které usnadňují ruské operace, a že by měla ruským kybernetickým žoldnéřům zakázat využívání služeb se sídlem v EU, jako jsou hostingové, doménové a cloudové služby, a veřejně odhalovat politiky EU nebo lobbisty tajně financované Moskvou a uvalovat na ně sankce;</w:t>
            </w:r>
          </w:p>
        </w:tc>
        <w:tc>
          <w:tcPr>
            <w:tcW w:w="4876" w:type="dxa"/>
            <w:tcBorders>
              <w:top w:val="nil"/>
              <w:left w:val="nil"/>
              <w:bottom w:val="nil"/>
              <w:right w:val="nil"/>
            </w:tcBorders>
          </w:tcPr>
          <w:p>
            <w:pPr>
              <w:pStyle w:val="Normal6a"/>
            </w:pPr>
            <w:r>
              <w:t>79.</w:t>
            </w:r>
            <w:r>
              <w:tab/>
            </w:r>
            <w:r>
              <w:t xml:space="preserve">vyzývá Komisi a členské státy, aby pravidelně a pečlivě posuzovaly uložené sankce z hlediska optimální účinnosti a možného dalšího rozšíření, včetně sekundárních sankcí zaměřených na subjekty, které se podílejí na obcházení sankcí; domnívá se, že zejména v oblasti </w:t>
            </w:r>
            <w:r>
              <w:rPr>
                <w:b/>
                <w:i/>
              </w:rPr>
              <w:t>ruských</w:t>
            </w:r>
            <w:r>
              <w:t xml:space="preserve"> hybridních hrozeb a destabilizujících </w:t>
            </w:r>
            <w:r>
              <w:rPr>
                <w:b/>
                <w:i/>
              </w:rPr>
              <w:t>činností by EU měla dále rozšířit svůj režim sankcí tím, že se zaměří</w:t>
            </w:r>
            <w:r>
              <w:t xml:space="preserve"> na finanční a technické </w:t>
            </w:r>
            <w:r>
              <w:rPr>
                <w:b/>
                <w:i/>
              </w:rPr>
              <w:t>subjekty</w:t>
            </w:r>
            <w:r>
              <w:t>, které podporují dezinformace, kybernetické útoky a vměšování do voleb, jako jsou kryptoměny, reklamní sítě a poskytovatelé hostingu;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vyzývá Komisi a členské státy, aby pravidelně a pečlivě posuzovaly uložené sankce z hlediska optimální účinnosti a možného dalšího rozšíření, včetně sekundárních sankcí zaměřených na subjekty, které se podílejí na obcházení sankcí; domnívá se, že by EU měla dále rozšířit svůj sankční režim, zejména v oblasti hybridních hrozeb a destabilizujících aktivit Ruska, a to zaměřením se na finanční a technické struktury, které podporují dezinformace, kybernetické útoky a vměšování do voleb, jako jsou kryptoměny, reklamní sítě a poskytovatelé hostingu, a zároveň by měla narušit ruské zástupné sítě v zemích mimo EU, zejména v Africe </w:t>
            </w:r>
            <w:r>
              <w:rPr>
                <w:b/>
                <w:i/>
              </w:rPr>
              <w:t>a</w:t>
            </w:r>
            <w:r>
              <w:t xml:space="preserve"> na Blízkém východě, a uvalit sankce na média, logistická centra a </w:t>
            </w:r>
            <w:r>
              <w:rPr>
                <w:b/>
                <w:i/>
              </w:rPr>
              <w:t>skupiny spojené s Wagnerem</w:t>
            </w:r>
            <w:r>
              <w:t xml:space="preserve">, které </w:t>
            </w:r>
            <w:r>
              <w:rPr>
                <w:b/>
                <w:i/>
              </w:rPr>
              <w:t>šíří protiunijní narativy</w:t>
            </w:r>
            <w:r>
              <w:t>; domnívá se, že za účelem dalšího zvýšení nákladů na hybridní agresi by EU měla rozšířit sekundární sankce na firmy ze zemí mimo EU, a zejména na čínské firmy, které usnadňují ruské operace, a že by měla ruským kybernetickým žoldnéřům zakázat využívání služeb se sídlem v EU, jako jsou hostingové, doménové a cloudové služby, a veřejně odhalovat politiky EU nebo lobbisty tajně financované Moskvou a uvalovat na ně sankce;</w:t>
            </w:r>
          </w:p>
        </w:tc>
        <w:tc>
          <w:tcPr>
            <w:tcW w:w="4876" w:type="dxa"/>
            <w:tcBorders>
              <w:top w:val="nil"/>
              <w:left w:val="nil"/>
              <w:bottom w:val="nil"/>
              <w:right w:val="nil"/>
            </w:tcBorders>
          </w:tcPr>
          <w:p>
            <w:pPr>
              <w:pStyle w:val="Normal6a"/>
            </w:pPr>
            <w:r>
              <w:t>79.</w:t>
            </w:r>
            <w:r>
              <w:tab/>
            </w:r>
            <w:r>
              <w:t>vyzývá Komisi a členské státy, aby pravidelně a pečlivě posuzovaly uložené sankce z hlediska optimální účinnosti a možného dalšího rozšíření, včetně sekundárních sankcí zaměřených na subjekty, které se podílejí na obcházení sankcí; domnívá se, že by EU měla dále rozšířit svůj sankční režim, zejména v oblasti hybridních hrozeb a destabilizujících aktivit Ruska, a to zaměřením se na finanční a technické struktury, které podporují dezinformace, kybernetické útoky a vměšování do voleb, jako jsou kryptoměny, reklamní sítě a poskytovatelé hostingu, a zároveň by měla narušit ruské zástupné sítě v zemích mimo EU, zejména v Africe</w:t>
            </w:r>
            <w:r>
              <w:rPr>
                <w:b/>
                <w:i/>
              </w:rPr>
              <w:t>,</w:t>
            </w:r>
            <w:r>
              <w:t xml:space="preserve"> na Blízkém východě </w:t>
            </w:r>
            <w:r>
              <w:rPr>
                <w:b/>
                <w:i/>
              </w:rPr>
              <w:t>a v Latinské Americe, především co se týče Kuby a Nikaraguy</w:t>
            </w:r>
            <w:r>
              <w:t xml:space="preserve">, a uvalit sankce na média, logistická centra a </w:t>
            </w:r>
            <w:r>
              <w:rPr>
                <w:b/>
                <w:i/>
              </w:rPr>
              <w:t>na Kreml napojené zástupné paramilitární formace, jako je Wagnerova skupina</w:t>
            </w:r>
            <w:r>
              <w:t xml:space="preserve">, které </w:t>
            </w:r>
            <w:r>
              <w:rPr>
                <w:b/>
                <w:i/>
              </w:rPr>
              <w:t>provádí teroristické činy a nepřátelské destabilizující aktivity</w:t>
            </w:r>
            <w:r>
              <w:t xml:space="preserve">; domnívá se, že za účelem dalšího zvýšení nákladů na hybridní agresi by EU měla rozšířit sekundární sankce na firmy ze zemí mimo EU, a zejména na čínské firmy, </w:t>
            </w:r>
            <w:r>
              <w:rPr>
                <w:b/>
                <w:i/>
              </w:rPr>
              <w:t>včetně těch se sídlem v Hongkongu,</w:t>
            </w:r>
            <w:r>
              <w:t xml:space="preserve"> které usnadňují ruské operace, a že by měla ruským</w:t>
            </w:r>
            <w:r>
              <w:rPr>
                <w:b/>
                <w:i/>
              </w:rPr>
              <w:t>, severokorejským, íránským, čínským a dalším nepřátelským</w:t>
            </w:r>
            <w:r>
              <w:t xml:space="preserve"> kybernetickým žoldnéřům zakázat využívání služeb se sídlem v EU, jako jsou hostingové, doménové a cloudové služby, a veřejně odhalovat politiky EU nebo lobbisty tajně financované Moskvou a uvalovat na ně sankce;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1565</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vyzývá Komisi a členské státy, aby pravidelně a pečlivě posuzovaly uložené sankce z hlediska optimální účinnosti a možného dalšího rozšíření, včetně sekundárních sankcí zaměřených na subjekty, které se podílejí na obcházení sankcí; domnívá se, že by EU měla dále rozšířit svůj sankční režim, zejména v oblasti hybridních hrozeb a destabilizujících aktivit </w:t>
            </w:r>
            <w:r>
              <w:rPr>
                <w:b/>
                <w:i/>
              </w:rPr>
              <w:t>Ruska</w:t>
            </w:r>
            <w:r>
              <w:t xml:space="preserve">, a to zaměřením se na finanční a technické struktury, které podporují dezinformace, kybernetické útoky a vměšování do voleb, jako jsou kryptoměny, reklamní sítě a poskytovatelé hostingu, a zároveň by měla narušit </w:t>
            </w:r>
            <w:r>
              <w:rPr>
                <w:b/>
                <w:i/>
              </w:rPr>
              <w:t>ruské</w:t>
            </w:r>
            <w:r>
              <w:t xml:space="preserve"> zástupné sítě v zemích mimo EU, </w:t>
            </w:r>
            <w:r>
              <w:rPr>
                <w:b/>
                <w:i/>
              </w:rPr>
              <w:t>zejména v Africe a na Blízkém východě, a uvalit sankce na média</w:t>
            </w:r>
            <w:r>
              <w:t xml:space="preserve">, logistická centra a skupiny </w:t>
            </w:r>
            <w:r>
              <w:rPr>
                <w:b/>
                <w:i/>
              </w:rPr>
              <w:t>spojené s Wagnerem</w:t>
            </w:r>
            <w:r>
              <w:t xml:space="preserve">, které šíří protiunijní narativy; domnívá se, že za účelem dalšího zvýšení nákladů na hybridní agresi by EU měla rozšířit sekundární sankce na </w:t>
            </w:r>
            <w:r>
              <w:rPr>
                <w:b/>
                <w:i/>
              </w:rPr>
              <w:t>firmy</w:t>
            </w:r>
            <w:r>
              <w:t xml:space="preserve"> ze zemí mimo EU</w:t>
            </w:r>
            <w:r>
              <w:rPr>
                <w:b/>
                <w:i/>
              </w:rPr>
              <w:t>, a zejména na čínské firmy, které usnadňují ruské operace,</w:t>
            </w:r>
            <w:r>
              <w:t xml:space="preserve"> a že by měla </w:t>
            </w:r>
            <w:r>
              <w:rPr>
                <w:b/>
                <w:i/>
              </w:rPr>
              <w:t>ruským</w:t>
            </w:r>
            <w:r>
              <w:t xml:space="preserve"> kybernetickým žoldnéřům zakázat využívání služeb se sídlem v EU, jako jsou hostingové, doménové a cloudové služby, a veřejně odhalovat politiky EU nebo lobbisty </w:t>
            </w:r>
            <w:r>
              <w:rPr>
                <w:b/>
                <w:i/>
              </w:rPr>
              <w:t>tajně financované Moskvou a uvalovat na ně sankce</w:t>
            </w:r>
            <w:r>
              <w:t>;</w:t>
            </w:r>
          </w:p>
        </w:tc>
        <w:tc>
          <w:tcPr>
            <w:tcW w:w="4876" w:type="dxa"/>
            <w:tcBorders>
              <w:top w:val="nil"/>
              <w:left w:val="nil"/>
              <w:bottom w:val="nil"/>
              <w:right w:val="nil"/>
            </w:tcBorders>
          </w:tcPr>
          <w:p>
            <w:pPr>
              <w:pStyle w:val="Normal6a"/>
            </w:pPr>
            <w:r>
              <w:t>79.</w:t>
            </w:r>
            <w:r>
              <w:tab/>
            </w:r>
            <w:r>
              <w:t xml:space="preserve">vyzývá Komisi a členské státy, aby pravidelně a pečlivě posuzovaly uložené sankce z hlediska optimální účinnosti a možného dalšího rozšíření, včetně sekundárních sankcí zaměřených na subjekty, které se podílejí na obcházení sankcí; domnívá se, že by EU měla dále rozšířit svůj sankční režim, zejména v oblasti hybridních hrozeb a destabilizujících aktivit </w:t>
            </w:r>
            <w:r>
              <w:rPr>
                <w:b/>
                <w:i/>
              </w:rPr>
              <w:t>nepřátelských třetích zemí</w:t>
            </w:r>
            <w:r>
              <w:t>, a to zaměřením se na finanční a technické struktury, které podporují dezinformace, kybernetické útoky a vměšování do voleb, jako jsou kryptoměny, reklamní sítě a poskytovatelé hostingu, a zároveň by měla narušit zástupné sítě</w:t>
            </w:r>
            <w:r>
              <w:rPr>
                <w:b/>
                <w:i/>
              </w:rPr>
              <w:t>, jež jsou provozovány nepřátelskými třetími zeměmi</w:t>
            </w:r>
            <w:r>
              <w:t xml:space="preserve"> v zemích mimo EU, </w:t>
            </w:r>
            <w:r>
              <w:rPr>
                <w:b/>
                <w:i/>
              </w:rPr>
              <w:t>a to uvalením sankcí na sdělovací prostředky</w:t>
            </w:r>
            <w:r>
              <w:t xml:space="preserve">, logistická centra a </w:t>
            </w:r>
            <w:r>
              <w:rPr>
                <w:b/>
                <w:i/>
              </w:rPr>
              <w:t>ty</w:t>
            </w:r>
            <w:r>
              <w:t xml:space="preserve"> skupiny, které šíří protiunijní narativy</w:t>
            </w:r>
            <w:r>
              <w:rPr>
                <w:b/>
                <w:i/>
              </w:rPr>
              <w:t>, které představují koordinované nepřátelské ovlivňující operace, a nikoli legitimní svobodu projevu</w:t>
            </w:r>
            <w:r>
              <w:t xml:space="preserve">; domnívá se, že za účelem dalšího zvýšení nákladů na hybridní agresi by EU měla rozšířit sekundární sankce na </w:t>
            </w:r>
            <w:r>
              <w:rPr>
                <w:b/>
                <w:i/>
              </w:rPr>
              <w:t>subjekty</w:t>
            </w:r>
            <w:r>
              <w:t xml:space="preserve"> ze zemí mimo EU a že by měla kybernetickým žoldnéřům </w:t>
            </w:r>
            <w:r>
              <w:rPr>
                <w:b/>
                <w:i/>
              </w:rPr>
              <w:t>působícím jménem nepřátelských třetích zemí</w:t>
            </w:r>
            <w:r>
              <w:t xml:space="preserve"> zakázat využívání služeb se sídlem v EU, jako jsou hostingové, doménové a cloudové služby, a veřejně odhalovat politiky EU nebo lobbisty</w:t>
            </w:r>
            <w:r>
              <w:rPr>
                <w:b/>
                <w:i/>
              </w:rPr>
              <w:t>, u nichž bylo věrohodně zjištěno, že jsou skrytě financováni nepřátelskými třetími zeměmi, a to při plném respektování spravedlivého procesu a presumpce neviny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vyzývá Komisi a členské státy, aby pravidelně a pečlivě posuzovaly uložené sankce z hlediska optimální účinnosti a možného dalšího rozšíření, včetně </w:t>
            </w:r>
            <w:r>
              <w:rPr>
                <w:b/>
                <w:i/>
              </w:rPr>
              <w:t>sekundárních</w:t>
            </w:r>
            <w:r>
              <w:t xml:space="preserve"> sankcí zaměřených na subjekty, </w:t>
            </w:r>
            <w:r>
              <w:rPr>
                <w:b/>
                <w:i/>
              </w:rPr>
              <w:t>které</w:t>
            </w:r>
            <w:r>
              <w:t xml:space="preserve"> se podílejí na obcházení sankcí; domnívá se, že by EU měla dále rozšířit svůj sankční režim, zejména v oblasti hybridních hrozeb a destabilizujících aktivit Ruska, a to zaměřením se na finanční a technické struktury, které podporují dezinformace, kybernetické útoky a vměšování do voleb, jako jsou kryptoměny, reklamní sítě a poskytovatelé hostingu, a zároveň by měla narušit ruské zástupné sítě v zemích mimo EU, zejména v Africe a na Blízkém východě, a uvalit sankce na média, logistická centra a skupiny spojené s Wagnerem, které šíří protiunijní narativy; domnívá se, že za účelem dalšího zvýšení nákladů na hybridní agresi by EU měla rozšířit </w:t>
            </w:r>
            <w:r>
              <w:rPr>
                <w:b/>
                <w:i/>
              </w:rPr>
              <w:t>sekundární</w:t>
            </w:r>
            <w:r>
              <w:t xml:space="preserve"> sankce </w:t>
            </w:r>
            <w:r>
              <w:rPr>
                <w:b/>
                <w:i/>
              </w:rPr>
              <w:t>na firmy</w:t>
            </w:r>
            <w:r>
              <w:t xml:space="preserve"> ze zemí mimo EU</w:t>
            </w:r>
            <w:r>
              <w:rPr>
                <w:b/>
                <w:i/>
              </w:rPr>
              <w:t>, a</w:t>
            </w:r>
            <w:r>
              <w:t xml:space="preserve"> zejména </w:t>
            </w:r>
            <w:r>
              <w:rPr>
                <w:b/>
                <w:i/>
              </w:rPr>
              <w:t>na čínské firmy,</w:t>
            </w:r>
            <w:r>
              <w:t xml:space="preserve"> které usnadňují ruské operace, a že by měla ruským kybernetickým žoldnéřům zakázat využívání služeb se sídlem v EU, jako jsou hostingové, doménové a cloudové služby, a veřejně odhalovat politiky EU nebo lobbisty tajně financované Moskvou a uvalovat na ně sankce;</w:t>
            </w:r>
          </w:p>
        </w:tc>
        <w:tc>
          <w:tcPr>
            <w:tcW w:w="4876" w:type="dxa"/>
            <w:tcBorders>
              <w:top w:val="nil"/>
              <w:left w:val="nil"/>
              <w:bottom w:val="nil"/>
              <w:right w:val="nil"/>
            </w:tcBorders>
          </w:tcPr>
          <w:p>
            <w:pPr>
              <w:pStyle w:val="Normal6a"/>
            </w:pPr>
            <w:r>
              <w:t>79.</w:t>
            </w:r>
            <w:r>
              <w:tab/>
            </w:r>
            <w:r>
              <w:t xml:space="preserve">vyzývá Komisi a členské státy, aby pravidelně a pečlivě posuzovaly uložené sankce z hlediska optimální účinnosti a možného dalšího rozšíření, včetně sankcí zaměřených na </w:t>
            </w:r>
            <w:r>
              <w:rPr>
                <w:b/>
                <w:i/>
              </w:rPr>
              <w:t>jednotlivce a</w:t>
            </w:r>
            <w:r>
              <w:t xml:space="preserve"> subjekty, </w:t>
            </w:r>
            <w:r>
              <w:rPr>
                <w:b/>
                <w:i/>
              </w:rPr>
              <w:t>kteří</w:t>
            </w:r>
            <w:r>
              <w:t xml:space="preserve"> se podílejí na obcházení </w:t>
            </w:r>
            <w:r>
              <w:rPr>
                <w:b/>
                <w:i/>
              </w:rPr>
              <w:t>účinnosti</w:t>
            </w:r>
            <w:r>
              <w:t xml:space="preserve"> sankcí </w:t>
            </w:r>
            <w:r>
              <w:rPr>
                <w:b/>
                <w:i/>
              </w:rPr>
              <w:t>EU vůči Rusku</w:t>
            </w:r>
            <w:r>
              <w:t xml:space="preserve">; domnívá se, že by EU měla dále rozšířit svůj sankční režim, zejména v oblasti hybridních hrozeb a destabilizujících aktivit Ruska, a to zaměřením se na finanční a technické struktury, které podporují dezinformace, kybernetické útoky a vměšování do voleb, jako jsou kryptoměny, reklamní sítě a poskytovatelé hostingu, a zároveň by měla narušit ruské zástupné sítě v zemích mimo EU, zejména v Africe a na Blízkém východě, a uvalit sankce na média, logistická centra a skupiny spojené s Wagnerem, které šíří protiunijní narativy; domnívá se, že za účelem dalšího zvýšení nákladů na hybridní agresi by EU měla rozšířit sankce </w:t>
            </w:r>
            <w:r>
              <w:rPr>
                <w:b/>
                <w:i/>
              </w:rPr>
              <w:t>zaměřené na osoby a subjekty</w:t>
            </w:r>
            <w:r>
              <w:t xml:space="preserve"> ze zemí mimo EU </w:t>
            </w:r>
            <w:r>
              <w:rPr>
                <w:b/>
                <w:i/>
              </w:rPr>
              <w:t>odpovědné za aktivní obcházení sankcí,</w:t>
            </w:r>
            <w:r>
              <w:t xml:space="preserve"> zejména </w:t>
            </w:r>
            <w:r>
              <w:rPr>
                <w:b/>
                <w:i/>
              </w:rPr>
              <w:t>z Číny, a</w:t>
            </w:r>
            <w:r>
              <w:t xml:space="preserve"> které usnadňují ruské operace, a že by měla ruským kybernetickým žoldnéřům zakázat využívání služeb se sídlem v EU, jako jsou hostingové, doménové a cloudové služby, a veřejně odhalovat politiky EU nebo lobbisty tajně financované Moskvou a uvalovat na ně sankce;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1567</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79a.</w:t>
            </w:r>
            <w:r>
              <w:tab/>
            </w:r>
            <w:r>
              <w:rPr>
                <w:b/>
                <w:i/>
              </w:rPr>
              <w:t>domnívá se, že orgány a instituce EU i členské státy by měly standardně veřejně připisovat a označovat urážlivé kybernetické incidenty a incidenty zahraniční manipulace s informacemi i vměšování namířené proti Unii;</w:t>
            </w:r>
            <w:r>
              <w:t xml:space="preserve"> </w:t>
            </w:r>
            <w:r>
              <w:rPr>
                <w:b/>
                <w:i/>
              </w:rPr>
              <w:t>domnívá se, že pokud tak neučiní, promarní příležitost informovat širší veřejnost o rozsahu a přetrvávání kybernetických hrozeb a hrozeb zahraniční manipulace s informacemi a vměšování, kterým EU čelí;</w:t>
            </w:r>
            <w:r>
              <w:t xml:space="preserve"> </w:t>
            </w:r>
            <w:r>
              <w:rPr>
                <w:b/>
                <w:i/>
              </w:rPr>
              <w:t>dále se domnívá, že Unie by měla uzavřít koloběh připisování tím, že bude systematicky ukládat náklady na tyto nepřátelské operace, mimo jiné prostřednictvím aktivnějšího využívání souborů nástrojů v oblasti kybernetiky a zahraniční manipulace s informacemi a vměšování, odvětvových sankcí a propojením způsobilosti podle rámců EU pro zadávání veřejných zakázek s připisováním ofenzivních kybernetických operací prováděných zahraničními mocnostmi proti EU, v souladu s prováděcím aktem, který stanoví předvýběrová kritéria a kritéria pro zadání aukcí v souvislosti s aktem o průmyslu pro nulové čisté emise;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79a.</w:t>
            </w:r>
            <w:r>
              <w:tab/>
            </w:r>
            <w:r>
              <w:rPr>
                <w:b/>
                <w:i/>
              </w:rPr>
              <w:t>vyzývá Komisi, aby urychleně vydala pokyny k očekávané úrovni náležité péče on-line platforem, zejména pokud jde o reklamní a zpeněžovací služby, které mohou být přímo či nepřímo zneužity sankcionovanými subjekty nebo jejich zmocněnci, a to i prostřednictvím zprostředkovatelů nebo neprůhledných platebních a distribučních ujednání;</w:t>
            </w:r>
            <w:r>
              <w:t xml:space="preserve"> </w:t>
            </w:r>
            <w:r>
              <w:rPr>
                <w:b/>
                <w:i/>
              </w:rPr>
              <w:t>dále se domnívá, že tyto pokyny by měly upřesnit podmínky, za nichž mohou platformy případně využívat výjimek z odpovědnosti stanovených v aktu o digitálních službách, a jasně určit, které činnosti platforem do oblasti působnosti těchto výjimek nespadají;</w:t>
            </w:r>
            <w:r>
              <w:t xml:space="preserve"> </w:t>
            </w:r>
            <w:r>
              <w:rPr>
                <w:b/>
                <w:i/>
              </w:rPr>
              <w:t>dále vyzývá Komisi, aby objasnila, za jakých okolností jsou tyto činnosti považovány za zprostředkovatelské služby ve smyslu nařízení o digitálních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1569</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79a.</w:t>
            </w:r>
            <w:r>
              <w:tab/>
            </w:r>
            <w:r>
              <w:rPr>
                <w:b/>
                <w:i/>
              </w:rPr>
              <w:t>připomíná, že jakékoli evropské sankce na ochranu demokracie vůči státnímu příslušníkovi nebo rezidentovi členského státu nemohou být uloženy bez soudního řízení u soudů členského státu;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1570</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79b.</w:t>
            </w:r>
            <w:r>
              <w:tab/>
            </w:r>
            <w:r>
              <w:rPr>
                <w:b/>
                <w:i/>
              </w:rPr>
              <w:t>vyzývá členské státy, aby přijaly sankce proti spotřebitelským bankám, které odmítají půjčovat schváleným politickým stranám, jejich voleným zástupcům a kandidátům;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79c.</w:t>
            </w:r>
            <w:r>
              <w:tab/>
            </w:r>
            <w:r>
              <w:rPr>
                <w:b/>
                <w:i/>
              </w:rPr>
              <w:t>konstatuje, že volení zástupci a političtí influenceři se setkávají s uzavřením svých bankovních účtů bez obchodních důvodů, že tento jev je stále častější a že by příslušné orgány měly proti němu bojovat s cílem podpořit klidnou demokratickou diskusi;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domnívá se, že důležitým krokem k uznání problému jasného systematického a mnohostranného vměšování, které v Evropě provádějí země, jako je Rusko nebo Írán, by mohla být identifikace a pojmenovávání zemí původu, nikoliv jednotlivců nebo společností; vítá rozhodnutí Komise zařadit Rusko na seznam vysoce rizikových třetích zemí v rámci EU pro boj proti praní peněz a financování terorismu s cílem udržet integritu finančního systému EU; připomíná, že nové nařízení o boji proti praní peněz poskytne další právní základ pro identifikaci nebezpečných zemí, včetně těch, které se podílejí na šíření zbraní hromadného ničení;</w:t>
            </w:r>
          </w:p>
        </w:tc>
        <w:tc>
          <w:tcPr>
            <w:tcW w:w="4876" w:type="dxa"/>
            <w:tcBorders>
              <w:top w:val="nil"/>
              <w:left w:val="nil"/>
              <w:bottom w:val="nil"/>
              <w:right w:val="nil"/>
            </w:tcBorders>
          </w:tcPr>
          <w:p>
            <w:pPr>
              <w:pStyle w:val="Normal6a"/>
            </w:pPr>
            <w:r>
              <w:t>80.</w:t>
            </w:r>
            <w:r>
              <w:tab/>
            </w:r>
            <w:r>
              <w:t xml:space="preserve">domnívá se, že důležitým krokem k uznání problému jasného systematického a mnohostranného vměšování, které v Evropě provádějí země, jako je Rusko nebo Írán, by mohla být identifikace a pojmenovávání zemí původu, nikoliv jednotlivců nebo společností; vítá rozhodnutí Komise zařadit Rusko na seznam vysoce rizikových třetích zemí v rámci EU pro boj proti praní peněz a financování terorismu s cílem udržet integritu finančního systému EU; připomíná, že nové nařízení o boji proti praní peněz poskytne další právní základ pro identifikaci nebezpečných zemí, včetně těch, které se podílejí na šíření zbraní hromadného ničení; </w:t>
            </w:r>
            <w:r>
              <w:rPr>
                <w:b/>
                <w:i/>
              </w:rPr>
              <w:t>vyzývá Komisi, aby v úzké spolupráci s vnitrostátními finančními zpravodajskými jednotkami prozkoumala úlohu Orgánu pro boj proti praní peněz a financování terorismu (AMLA) při podpoře odhalování a koordinace případů zahrnujících obcházení sankcí;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1573</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rPr>
                <w:b/>
                <w:i/>
              </w:rPr>
              <w:t>domnívá se, že důležitým krokem k uznání problému jasného systematického a mnohostranného vměšování, které v Evropě provádějí země, jako je Rusko nebo Írán, by mohla být identifikace a pojmenovávání zemí původu, nikoliv jednotlivců nebo společností;</w:t>
            </w:r>
            <w:r>
              <w:t xml:space="preserve"> </w:t>
            </w:r>
            <w:r>
              <w:rPr>
                <w:b/>
                <w:i/>
              </w:rPr>
              <w:t>vítá</w:t>
            </w:r>
            <w:r>
              <w:t xml:space="preserve"> rozhodnutí Komise zařadit Rusko na seznam vysoce rizikových třetích zemí v rámci EU pro boj proti praní peněz a financování terorismu s cílem udržet integritu finančního systému EU; připomíná, že nové nařízení o boji proti praní peněz poskytne další právní základ pro identifikaci nebezpečných zemí, včetně těch, které se podílejí na šíření zbraní hromadného ničení;</w:t>
            </w:r>
          </w:p>
        </w:tc>
        <w:tc>
          <w:tcPr>
            <w:tcW w:w="4876" w:type="dxa"/>
            <w:tcBorders>
              <w:top w:val="nil"/>
              <w:left w:val="nil"/>
              <w:bottom w:val="nil"/>
              <w:right w:val="nil"/>
            </w:tcBorders>
          </w:tcPr>
          <w:p>
            <w:pPr>
              <w:pStyle w:val="Normal6a"/>
            </w:pPr>
            <w:r>
              <w:t>80.</w:t>
            </w:r>
            <w:r>
              <w:tab/>
            </w:r>
            <w:r>
              <w:rPr>
                <w:b/>
                <w:i/>
              </w:rPr>
              <w:t>bere na vědomí</w:t>
            </w:r>
            <w:r>
              <w:t xml:space="preserve"> rozhodnutí Komise zařadit Rusko na seznam vysoce rizikových třetích zemí v rámci EU pro boj proti praní peněz a financování terorismu s cílem udržet integritu finančního systému EU; připomíná, že nové nařízení o boji proti praní peněz poskytne další právní základ pro identifikaci nebezpečných zemí, včetně těch, které se podílejí na šíření zbraní hromadného ničení;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 xml:space="preserve">domnívá se, že důležitým krokem k uznání problému jasného systematického a mnohostranného vměšování, které v Evropě provádějí země, jako je Rusko nebo Írán, by mohla být identifikace a pojmenovávání zemí původu, </w:t>
            </w:r>
            <w:r>
              <w:rPr>
                <w:b/>
                <w:i/>
              </w:rPr>
              <w:t>nikoliv jednotlivců nebo společností</w:t>
            </w:r>
            <w:r>
              <w:t xml:space="preserve">; vítá rozhodnutí Komise zařadit Rusko na seznam vysoce rizikových třetích zemí v rámci EU pro boj proti praní peněz a financování terorismu s cílem </w:t>
            </w:r>
            <w:r>
              <w:rPr>
                <w:b/>
                <w:i/>
              </w:rPr>
              <w:t>udržet</w:t>
            </w:r>
            <w:r>
              <w:t xml:space="preserve"> integritu finančního systému EU; připomíná, že nové nařízení o boji proti praní peněz poskytne další právní základ pro identifikaci nebezpečných zemí, včetně těch, které se podílejí na šíření zbraní hromadného ničení;</w:t>
            </w:r>
          </w:p>
        </w:tc>
        <w:tc>
          <w:tcPr>
            <w:tcW w:w="4876" w:type="dxa"/>
            <w:tcBorders>
              <w:top w:val="nil"/>
              <w:left w:val="nil"/>
              <w:bottom w:val="nil"/>
              <w:right w:val="nil"/>
            </w:tcBorders>
          </w:tcPr>
          <w:p>
            <w:pPr>
              <w:pStyle w:val="Normal6a"/>
            </w:pPr>
            <w:r>
              <w:t>80.</w:t>
            </w:r>
            <w:r>
              <w:tab/>
            </w:r>
            <w:r>
              <w:t xml:space="preserve">domnívá se, že důležitým krokem k uznání problému jasného systematického a mnohostranného vměšování, které v Evropě provádějí země, jako je Rusko nebo Írán, by mohla být identifikace a pojmenovávání zemí původu, </w:t>
            </w:r>
            <w:r>
              <w:rPr>
                <w:b/>
                <w:i/>
              </w:rPr>
              <w:t>kromě připsání odpovědnosti jednotlivcům nebo společnostem</w:t>
            </w:r>
            <w:r>
              <w:t xml:space="preserve">; vítá rozhodnutí Komise zařadit Rusko na seznam vysoce rizikových třetích zemí v rámci EU pro boj proti praní peněz a financování terorismu s cílem </w:t>
            </w:r>
            <w:r>
              <w:rPr>
                <w:b/>
                <w:i/>
              </w:rPr>
              <w:t>zachovat</w:t>
            </w:r>
            <w:r>
              <w:t xml:space="preserve"> integritu finančního systému EU </w:t>
            </w:r>
            <w:r>
              <w:rPr>
                <w:b/>
                <w:i/>
              </w:rPr>
              <w:t>a vyzývá k začlenění Běloruska, které slouží jako zástupce Kremlu a aktivně se účastní operací namířených proti členským státům, včetně sabotáží</w:t>
            </w:r>
            <w:r>
              <w:t>; připomíná, že nové nařízení o boji proti praní peněz poskytne další právní základ pro identifikaci nebezpečných zemí, včetně těch, které se podílejí na šíření zbraní hromadného ničení;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domnívá se, že důležitým krokem k uznání problému jasného systematického a mnohostranného vměšování, které v Evropě provádějí země</w:t>
            </w:r>
            <w:r>
              <w:rPr>
                <w:b/>
                <w:i/>
              </w:rPr>
              <w:t>, jako je Rusko nebo Írán</w:t>
            </w:r>
            <w:r>
              <w:t xml:space="preserve">, by mohla být identifikace a pojmenovávání zemí původu, nikoliv jednotlivců nebo společností; </w:t>
            </w:r>
            <w:r>
              <w:rPr>
                <w:b/>
                <w:i/>
              </w:rPr>
              <w:t>vítá</w:t>
            </w:r>
            <w:r>
              <w:t xml:space="preserve"> rozhodnutí Komise zařadit Rusko na seznam vysoce rizikových třetích zemí v rámci EU pro boj proti praní peněz a financování terorismu s cílem udržet integritu finančního systému EU; připomíná, že nové nařízení o boji proti praní peněz poskytne další právní základ pro identifikaci nebezpečných zemí, včetně těch, které se podílejí na šíření zbraní hromadného ničení;</w:t>
            </w:r>
          </w:p>
        </w:tc>
        <w:tc>
          <w:tcPr>
            <w:tcW w:w="4876" w:type="dxa"/>
            <w:tcBorders>
              <w:top w:val="nil"/>
              <w:left w:val="nil"/>
              <w:bottom w:val="nil"/>
              <w:right w:val="nil"/>
            </w:tcBorders>
          </w:tcPr>
          <w:p>
            <w:pPr>
              <w:pStyle w:val="Normal6a"/>
            </w:pPr>
            <w:r>
              <w:t>80.</w:t>
            </w:r>
            <w:r>
              <w:tab/>
            </w:r>
            <w:r>
              <w:t xml:space="preserve">domnívá se, že důležitým krokem k uznání problému jasného systematického a mnohostranného vměšování, které v Evropě provádějí </w:t>
            </w:r>
            <w:r>
              <w:rPr>
                <w:b/>
                <w:i/>
              </w:rPr>
              <w:t>třetí</w:t>
            </w:r>
            <w:r>
              <w:t xml:space="preserve"> země, by mohla být identifikace a pojmenovávání zemí původu, nikoliv jednotlivců nebo společností; </w:t>
            </w:r>
            <w:r>
              <w:rPr>
                <w:b/>
                <w:i/>
              </w:rPr>
              <w:t>bere na vědomí</w:t>
            </w:r>
            <w:r>
              <w:t xml:space="preserve"> rozhodnutí Komise zařadit Rusko na seznam vysoce rizikových třetích zemí v rámci EU pro boj proti praní peněz a financování terorismu s cílem udržet integritu finančního systému EU; připomíná, že nové nařízení o boji proti praní peněz poskytne další právní základ pro identifikaci nebezpečných zemí, včetně těch, které se podílejí na šíření zbraní hromadného ničení;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1576</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80a.</w:t>
            </w:r>
            <w:r>
              <w:tab/>
            </w:r>
            <w:r>
              <w:rPr>
                <w:b/>
                <w:i/>
              </w:rPr>
              <w:t>v této souvislosti konstatuje, že případ skupiny Alstom ve Francii nevedl v Bruselu k reakci, a tudíž byl francouzský občan uvězněn třetí zemí a strategická evropská společnost byla zcizena;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zdůrazňuje, že účinnost a důvěryhodnost sankcí EU závisí na jejich přísném a důsledném prosazování; zdůrazňuje, že ohlášená revize mandátu Úřadu evropského veřejného žalobce (EPPO) nabízí příležitost k posílení jeho úlohy tak, aby zahrnovala vyšetřování a stíhání porušení sankcí;</w:t>
            </w:r>
          </w:p>
        </w:tc>
        <w:tc>
          <w:tcPr>
            <w:tcW w:w="4876" w:type="dxa"/>
            <w:tcBorders>
              <w:top w:val="nil"/>
              <w:left w:val="nil"/>
              <w:bottom w:val="nil"/>
              <w:right w:val="nil"/>
            </w:tcBorders>
          </w:tcPr>
          <w:p>
            <w:pPr>
              <w:pStyle w:val="Normal6a"/>
            </w:pPr>
            <w:r>
              <w:t>81.</w:t>
            </w:r>
            <w:r>
              <w:tab/>
            </w:r>
            <w:r>
              <w:t xml:space="preserve">zdůrazňuje, že účinnost a důvěryhodnost sankcí EU závisí na jejich přísném a důsledném prosazování; zdůrazňuje, že ohlášená revize mandátu Úřadu evropského veřejného žalobce (EPPO) nabízí příležitost k posílení jeho úlohy tak, aby zahrnovala vyšetřování a stíhání porušení sankcí; </w:t>
            </w:r>
            <w:r>
              <w:rPr>
                <w:b/>
                <w:i/>
              </w:rPr>
              <w:t>zdůrazňuje, že důvěryhodnost omezujících opatření EU závisí na přísném a důsledném prosazování;</w:t>
            </w:r>
            <w:r>
              <w:t xml:space="preserve"> </w:t>
            </w:r>
            <w:r>
              <w:rPr>
                <w:b/>
                <w:i/>
              </w:rPr>
              <w:t>podporuje posílení mandátu Úřadu evropského veřejného žalobce k vyšetřování a stíhání závažných přeshraničních trestných činů souvisejících s obcházením sankcí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zdůrazňuje, že účinnost a důvěryhodnost sankcí EU závisí na jejich přísném a důsledném prosazování; zdůrazňuje, že ohlášená revize mandátu Úřadu evropského veřejného žalobce (EPPO) nabízí příležitost k posílení jeho úlohy tak, aby zahrnovala vyšetřování a stíhání porušení sankcí;</w:t>
            </w:r>
          </w:p>
        </w:tc>
        <w:tc>
          <w:tcPr>
            <w:tcW w:w="4876" w:type="dxa"/>
            <w:tcBorders>
              <w:top w:val="nil"/>
              <w:left w:val="nil"/>
              <w:bottom w:val="nil"/>
              <w:right w:val="nil"/>
            </w:tcBorders>
          </w:tcPr>
          <w:p>
            <w:pPr>
              <w:pStyle w:val="Normal6a"/>
            </w:pPr>
            <w:r>
              <w:t>81.</w:t>
            </w:r>
            <w:r>
              <w:tab/>
            </w:r>
            <w:r>
              <w:t xml:space="preserve">zdůrazňuje, že účinnost a důvěryhodnost sankcí EU závisí na jejich přísném a důsledném prosazování; zdůrazňuje, že ohlášená revize mandátu Úřadu evropského veřejného žalobce (EPPO) nabízí příležitost k posílení jeho úlohy tak, aby zahrnovala vyšetřování a stíhání porušení sankcí; </w:t>
            </w:r>
            <w:r>
              <w:rPr>
                <w:b/>
                <w:i/>
              </w:rPr>
              <w:t>připomíná obchodním subjektům ze zemí mimo Unii, které působí na jednotném trhu, že nedodržování pravidel Unie, včetně porušování právních předpisů v oblasti hospodářské soutěže a pravidel jednotného trhu, může vést k vyloučení z jednotného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zdůrazňuje, že účinnost a důvěryhodnost sankcí EU závisí na jejich přísném a důsledném prosazování; zdůrazňuje, že ohlášená revize mandátu Úřadu evropského veřejného žalobce (EPPO) nabízí příležitost k posílení jeho úlohy tak, aby zahrnovala vyšetřování a stíhání porušení sankcí;</w:t>
            </w:r>
          </w:p>
        </w:tc>
        <w:tc>
          <w:tcPr>
            <w:tcW w:w="4876" w:type="dxa"/>
            <w:tcBorders>
              <w:top w:val="nil"/>
              <w:left w:val="nil"/>
              <w:bottom w:val="nil"/>
              <w:right w:val="nil"/>
            </w:tcBorders>
          </w:tcPr>
          <w:p>
            <w:pPr>
              <w:pStyle w:val="Normal6a"/>
            </w:pPr>
            <w:r>
              <w:t>81.</w:t>
            </w:r>
            <w:r>
              <w:tab/>
            </w:r>
            <w:r>
              <w:t>zdůrazňuje, že účinnost a důvěryhodnost sankcí EU závisí na jejich přísném a důsledném prosazování</w:t>
            </w:r>
            <w:r>
              <w:rPr>
                <w:b/>
                <w:i/>
              </w:rPr>
              <w:t>;</w:t>
            </w:r>
            <w:r>
              <w:t xml:space="preserve"> </w:t>
            </w:r>
            <w:r>
              <w:rPr>
                <w:b/>
                <w:i/>
              </w:rPr>
              <w:t>vyzývá proto členské státy, aby zlepšily koordinaci prosazování, pracovaly na odstranění mezer a dále harmonizovaly postupy a donucovací opatření</w:t>
            </w:r>
            <w:r>
              <w:t>; zdůrazňuje, že ohlášená revize mandátu Úřadu evropského veřejného žalobce (EPPO) nabízí příležitost k posílení jeho úlohy tak, aby zahrnovala vyšetřování a stíhání porušení sankcí;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1580</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zdůrazňuje, že účinnost a důvěryhodnost sankcí EU závisí na jejich přísném a důsledném prosazování; zdůrazňuje, že ohlášená revize mandátu Úřadu evropského veřejného žalobce (EPPO) nabízí příležitost k posílení jeho úlohy tak, aby zahrnovala vyšetřování a stíhání porušení sankcí;</w:t>
            </w:r>
          </w:p>
        </w:tc>
        <w:tc>
          <w:tcPr>
            <w:tcW w:w="4876" w:type="dxa"/>
            <w:tcBorders>
              <w:top w:val="nil"/>
              <w:left w:val="nil"/>
              <w:bottom w:val="nil"/>
              <w:right w:val="nil"/>
            </w:tcBorders>
          </w:tcPr>
          <w:p>
            <w:pPr>
              <w:pStyle w:val="Normal6a"/>
            </w:pPr>
            <w:r>
              <w:t>81.</w:t>
            </w:r>
            <w:r>
              <w:tab/>
            </w:r>
            <w:r>
              <w:t xml:space="preserve">zdůrazňuje, že účinnost a důvěryhodnost sankcí EU závisí na jejich přísném a důsledném prosazování; zdůrazňuje, že ohlášená revize mandátu Úřadu evropského veřejného žalobce (EPPO) nabízí příležitost k posílení jeho úlohy tak, aby zahrnovala vyšetřování a stíhání porušení sankcí; </w:t>
            </w:r>
            <w:r>
              <w:rPr>
                <w:b/>
                <w:i/>
              </w:rPr>
              <w:t>dále zdůrazňuje, že tato reforma by měla být doprovázena odpovídajícím a posíleným financováním, aby Úřad evropského veřejného žalobce mohl účinně plnit posílené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1581</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 xml:space="preserve">zdůrazňuje, že účinnost a důvěryhodnost sankcí EU závisí na </w:t>
            </w:r>
            <w:r>
              <w:rPr>
                <w:b/>
                <w:i/>
              </w:rPr>
              <w:t>jejich</w:t>
            </w:r>
            <w:r>
              <w:t xml:space="preserve"> přísném a důsledném prosazování; zdůrazňuje, že ohlášená revize mandátu Úřadu evropského veřejného žalobce (EPPO) nabízí příležitost k posílení jeho úlohy tak, aby zahrnovala vyšetřování a stíhání porušení sankcí;</w:t>
            </w:r>
          </w:p>
        </w:tc>
        <w:tc>
          <w:tcPr>
            <w:tcW w:w="4876" w:type="dxa"/>
            <w:tcBorders>
              <w:top w:val="nil"/>
              <w:left w:val="nil"/>
              <w:bottom w:val="nil"/>
              <w:right w:val="nil"/>
            </w:tcBorders>
          </w:tcPr>
          <w:p>
            <w:pPr>
              <w:pStyle w:val="Normal6a"/>
            </w:pPr>
            <w:r>
              <w:t>81.</w:t>
            </w:r>
            <w:r>
              <w:tab/>
            </w:r>
            <w:r>
              <w:t>Zdůrazňuje, že účinnost a důvěryhodnost sankcí EU závisí na přísném a důsledném prosazování</w:t>
            </w:r>
            <w:r>
              <w:rPr>
                <w:b/>
                <w:i/>
              </w:rPr>
              <w:t>, přísných zárukách proti svévolnému používání a zneužívání a na plném dodržování lidských práv</w:t>
            </w:r>
            <w:r>
              <w:t>; zdůrazňuje, že ohlášená revize mandátu Úřadu evropského veřejného žalobce (EPPO) nabízí příležitost k posílení jeho úlohy tak, aby zahrnovala vyšetřování a stíhání porušení sankcí;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81a.</w:t>
            </w:r>
            <w:r>
              <w:tab/>
            </w:r>
            <w:r>
              <w:rPr>
                <w:b/>
                <w:i/>
              </w:rPr>
              <w:t>vyzývá členské státy a Komisi, aby se aktivně zapojily a zintenzivnily spolupráci s Interpolem a dalšími příslušnými organizacemi a orgány s cílem ukončit systematické, zneužívající a politicky motivované používání červených oběžníků, modrých oběžníků a žádostí o rozptýlení a vydání ze strany autoritářských režimů;</w:t>
            </w:r>
            <w:r>
              <w:t xml:space="preserve"> </w:t>
            </w:r>
            <w:r>
              <w:rPr>
                <w:b/>
                <w:i/>
              </w:rPr>
              <w:t>zdůrazňuje, že tyto nástroje jsou stále více zneužívány k pronásledování politických oponentů, obránců lidských práv, diaspor a občanů EU, kteří se stali terčem odporu vůči diktaturám a jejich svévolným politikám;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81a.</w:t>
            </w:r>
            <w:r>
              <w:tab/>
            </w:r>
            <w:r>
              <w:rPr>
                <w:b/>
                <w:i/>
              </w:rPr>
              <w:t>připomíná, že protinátlakový nástroj EU umožňuje EU přijmout širší škálu opatření v případech, kdy třetí země uplatňuje nebo hrozí uplatněním opatření třetí země ovlivňujícího obchod nebo investice, s cílem zabránit Unii nebo členskému státu v ukončení, změně nebo přijetí určitého aktu, a tím zasáhnout do legitimních suverénních rozhodnutí Unie nebo členského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81b.</w:t>
            </w:r>
            <w:r>
              <w:tab/>
            </w:r>
            <w:r>
              <w:rPr>
                <w:b/>
                <w:i/>
              </w:rPr>
              <w:t>odsuzuje skutečnost, že Rusko, Bělorusko, Írán, Čína a další nepřátelské subjekty používají nadnárodní represe namířené proti obráncům lidských práv, disidentům, členům diaspory, jakož i občanům EU;</w:t>
            </w:r>
            <w:r>
              <w:t xml:space="preserve"> </w:t>
            </w:r>
            <w:r>
              <w:rPr>
                <w:b/>
                <w:i/>
              </w:rPr>
              <w:t>zdůrazňuje, že tyto praktiky jsou součástí širších kampaní zahraničního vměšování a hybridní podvratné činnosti prováděných uvnitř Evropské unie, jejichž cílem je umlčet kritiky, manipulovat demokratickými procesy a oslabit důvěru veřejnosti v orgány a instituce;</w:t>
            </w:r>
            <w:r>
              <w:t xml:space="preserve"> </w:t>
            </w:r>
            <w:r>
              <w:rPr>
                <w:b/>
                <w:i/>
              </w:rPr>
              <w:t>domnívá se, že tyto nepřátelské akce zahrnují cílené zabíjení, únosy, násilí, obtěžování, nucené návraty, zmizení a deportace, jakož i strategické zneužívání právních nástrojů, včetně zneužívání konzulárních služeb, postupů vydávání, červených oběžníků a zatýkání i nefyzických metod, jako je digitální sledování, zastrašování, vydírání a vyhrožování rodinám obránců lidských práv;</w:t>
            </w:r>
            <w:r>
              <w:t xml:space="preserve"> </w:t>
            </w:r>
            <w:r>
              <w:rPr>
                <w:b/>
                <w:i/>
              </w:rPr>
              <w:t>konstatuje, že tyto praktiky umožňují zahraničním státním subjektům uplatňovat zastrašování, nátlak a kontrolu za svými hranicemi, podkopávají bezpečnost, svrchovanost a právní řád členských států a představují systémové a dlouhodobé hrozby pro občanský prostor, demokratické instituce a právní stát jak na mezinárodní úrovni, tak v dotčeném státě, jak dokládají zprávy zpravodajských služeb členských států;</w:t>
            </w:r>
            <w:r>
              <w:t xml:space="preserve"> </w:t>
            </w:r>
            <w:r>
              <w:rPr>
                <w:b/>
                <w:i/>
              </w:rPr>
              <w:t>dále konstatuje, že většina zdokumentovaných případů na evropské půdě je přičítána Rusku, Číně, Íránu a Bělorusku;</w:t>
            </w:r>
            <w:r>
              <w:t xml:space="preserve"> </w:t>
            </w:r>
            <w:r>
              <w:rPr>
                <w:b/>
                <w:i/>
              </w:rPr>
              <w:t>vyzývá k rozhodné, koordinované a solidární reakci EU, včetně odstrašování, opatření k zajištění odpovědnosti a sankcí vůči odpovědným osobám;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81c.</w:t>
            </w:r>
            <w:r>
              <w:tab/>
            </w:r>
            <w:r>
              <w:rPr>
                <w:b/>
                <w:i/>
              </w:rPr>
              <w:t>naléhavě vyzývá členské státy, aby při posuzování žádostí o zatčení, zadržení nebo vydání, které pocházejí z režimů se zdokumentovanými záznamy o zneužívání mezinárodních mechanismů spolupráce v oblasti prosazování práva, postupovaly s maximální obezřetností a uplatňovaly zvýšenou kontrolu a aby tyto žádosti systematicky odmítaly, existuje-li věrohodné riziko politického pronásledování, mučení nebo jiného závažného porušování lidských práv, a to i v případech týkajících se občanů EU;</w:t>
            </w:r>
            <w:r>
              <w:t xml:space="preserve"> </w:t>
            </w:r>
            <w:r>
              <w:rPr>
                <w:b/>
                <w:i/>
              </w:rPr>
              <w:t>v této souvislosti zdůrazňuje politicky motivované pokusy ruských orgánů o útoky na polského prezidenta Karola Nawrockého a soudce Mezinárodního trestního soudu jako symbolické příklady zneužívání právních a donucovacích nástrojů k zastrašování a odvetným opatřením vůči demokratickým úředníkům a aktérům mezinárodní justice, kteří statečně vystoupili proti Vladimiru Putinovi;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 xml:space="preserve">odsuzuje politicky motivované používání „černých listin“ </w:t>
            </w:r>
            <w:r>
              <w:rPr>
                <w:b/>
                <w:i/>
              </w:rPr>
              <w:t>ze strany Ruska namířené</w:t>
            </w:r>
            <w:r>
              <w:t xml:space="preserve"> proti občanům EU, zástupcům státních orgánů a obchodních organizací, novinářům, aktérům občanské společnosti a politickým činitelům, včetně demokraticky zvolených poslanců Evropského parlamentu; požaduje koordinovanější a rozhodnější reakci EU na tato svévolná opatření s cílem zajistit ochranu a bezpečnost osob na černé listině a nabídnout jim solidaritu a nezbytnou podporu; vyjadřuje plnou podporu všem dotčeným osobám;</w:t>
            </w:r>
          </w:p>
        </w:tc>
        <w:tc>
          <w:tcPr>
            <w:tcW w:w="4876" w:type="dxa"/>
            <w:tcBorders>
              <w:top w:val="nil"/>
              <w:left w:val="nil"/>
              <w:bottom w:val="nil"/>
              <w:right w:val="nil"/>
            </w:tcBorders>
          </w:tcPr>
          <w:p>
            <w:pPr>
              <w:pStyle w:val="Normal6a"/>
            </w:pPr>
            <w:r>
              <w:t>82.</w:t>
            </w:r>
            <w:r>
              <w:tab/>
            </w:r>
            <w:r>
              <w:t>odsuzuje politicky motivované používání „černých listin“</w:t>
            </w:r>
            <w:r>
              <w:rPr>
                <w:b/>
                <w:i/>
              </w:rPr>
              <w:t>, zákazů vydávání víz a dalších omezujících nebo odvetných opatření namířených</w:t>
            </w:r>
            <w:r>
              <w:t xml:space="preserve"> proti občanům EU, zástupcům státních orgánů a obchodních organizací, novinářům, aktérům občanské společnosti a politickým činitelům, včetně demokraticky zvolených poslanců Evropského parlamentu</w:t>
            </w:r>
            <w:r>
              <w:rPr>
                <w:b/>
                <w:i/>
              </w:rPr>
              <w:t>;</w:t>
            </w:r>
            <w:r>
              <w:t xml:space="preserve"> </w:t>
            </w:r>
            <w:r>
              <w:rPr>
                <w:b/>
                <w:i/>
              </w:rPr>
              <w:t>vyjadřuje znepokojení nad tím, že tyto praktiky, ať už jsou uplatňovány autoritářskými režimy nebo strategickými partnery, podkopávají diplomatické normy a zásadu vzájemného respektu mezi jurisdikcemi; zdůrazňuje, že tato opatření mohou vyvíjet nepřiměřený politický tlak na regulační autonomii Unie a rámec základních práv</w:t>
            </w:r>
            <w:r>
              <w:t>; požaduje koordinovanější a rozhodnější reakci EU na tato svévolná opatření s cílem zajistit ochranu a bezpečnost osob na černé listině a nabídnout jim solidaritu a nezbytnou podporu; vyjadřuje plnou podporu všem dotčeným osobám;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odsuzuje politicky motivované používání „černých listin“ ze strany Ruska namířené proti občanům EU, zástupcům státních orgánů a obchodních organizací, novinářům, aktérům občanské společnosti a politickým činitelům, včetně demokraticky zvolených poslanců Evropského parlamentu; požaduje koordinovanější a rozhodnější reakci EU na tato svévolná opatření s cílem zajistit ochranu a bezpečnost osob na černé listině a nabídnout jim solidaritu a nezbytnou podporu; vyjadřuje plnou podporu všem dotčeným osobám;</w:t>
            </w:r>
          </w:p>
        </w:tc>
        <w:tc>
          <w:tcPr>
            <w:tcW w:w="4876" w:type="dxa"/>
            <w:tcBorders>
              <w:top w:val="nil"/>
              <w:left w:val="nil"/>
              <w:bottom w:val="nil"/>
              <w:right w:val="nil"/>
            </w:tcBorders>
          </w:tcPr>
          <w:p>
            <w:pPr>
              <w:pStyle w:val="Normal6a"/>
            </w:pPr>
            <w:r>
              <w:t>82.</w:t>
            </w:r>
            <w:r>
              <w:tab/>
            </w:r>
            <w:r>
              <w:t xml:space="preserve">odsuzuje politicky motivované používání „černých listin“ ze strany Ruska namířené proti občanům EU, zástupcům státních orgánů a obchodních organizací, novinářům, aktérům občanské společnosti a politickým činitelům, včetně demokraticky zvolených poslanců Evropského parlamentu; požaduje koordinovanější a rozhodnější reakci EU na tato svévolná opatření s cílem zajistit ochranu a bezpečnost osob na černé listině a nabídnout jim solidaritu a nezbytnou podporu; vyjadřuje plnou podporu všem dotčeným osobám; </w:t>
            </w:r>
            <w:r>
              <w:rPr>
                <w:b/>
                <w:i/>
              </w:rPr>
              <w:t>domnívá se však, že zákaz vstupu do Ruska – země, která se rovněž v důsledku kategorické imperiální politiky svých současných vládců nachází v civilizačním, technologickém a infrastrukturním úpadku, je spíše důvodem k hrdosti než ke skutečným obtížím;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1588</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Sander Smit,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odsuzuje politicky motivované používání „černých listin“ ze strany Ruska namířené proti občanům EU, zástupcům státních orgánů a obchodních organizací, novinářům, aktérům občanské společnosti a politickým činitelům, včetně demokraticky zvolených poslanců Evropského parlamentu; požaduje koordinovanější a rozhodnější reakci EU na tato svévolná opatření s cílem zajistit ochranu a bezpečnost osob na černé listině a nabídnout jim solidaritu a nezbytnou podporu; vyjadřuje plnou podporu všem dotčeným osobám;</w:t>
            </w:r>
          </w:p>
        </w:tc>
        <w:tc>
          <w:tcPr>
            <w:tcW w:w="4876" w:type="dxa"/>
            <w:tcBorders>
              <w:top w:val="nil"/>
              <w:left w:val="nil"/>
              <w:bottom w:val="nil"/>
              <w:right w:val="nil"/>
            </w:tcBorders>
          </w:tcPr>
          <w:p>
            <w:pPr>
              <w:pStyle w:val="Normal6a"/>
            </w:pPr>
            <w:r>
              <w:t>82.</w:t>
            </w:r>
            <w:r>
              <w:tab/>
            </w:r>
            <w:r>
              <w:t xml:space="preserve">odsuzuje politicky motivované používání „černých listin“ ze strany Ruska namířené proti občanům EU, zástupcům státních orgánů a obchodních organizací, novinářům, aktérům občanské společnosti a politickým činitelům, včetně demokraticky zvolených poslanců Evropského parlamentu; požaduje koordinovanější a rozhodnější reakci EU na tato svévolná opatření s cílem zajistit ochranu a bezpečnost osob na černé listině a nabídnout jim solidaritu a nezbytnou podporu; vyjadřuje plnou podporu všem dotčeným osobám; </w:t>
            </w:r>
            <w:r>
              <w:rPr>
                <w:b/>
                <w:i/>
              </w:rPr>
              <w:t>vyzývá k vytvoření mechanismů pro účinnější monitorování vymáhání sankcí, a to i prostřednictvím spolupráce s občanskou společností a akademickou obcí;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Christel Schaldemose,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odsuzuje politicky motivované používání „černých listin“ ze strany Ruska namířené proti občanům EU, zástupcům státních orgánů a obchodních organizací, novinářům, aktérům občanské společnosti a politickým činitelům, včetně demokraticky zvolených poslanců Evropského parlamentu; požaduje koordinovanější a rozhodnější reakci EU na tato svévolná opatření s cílem zajistit ochranu a bezpečnost osob na černé listině a nabídnout jim solidaritu a nezbytnou podporu; vyjadřuje plnou podporu všem dotčeným osobám;</w:t>
            </w:r>
          </w:p>
        </w:tc>
        <w:tc>
          <w:tcPr>
            <w:tcW w:w="4876" w:type="dxa"/>
            <w:tcBorders>
              <w:top w:val="nil"/>
              <w:left w:val="nil"/>
              <w:bottom w:val="nil"/>
              <w:right w:val="nil"/>
            </w:tcBorders>
          </w:tcPr>
          <w:p>
            <w:pPr>
              <w:pStyle w:val="Normal6a"/>
            </w:pPr>
            <w:r>
              <w:t>82.</w:t>
            </w:r>
            <w:r>
              <w:tab/>
            </w:r>
            <w:r>
              <w:t xml:space="preserve">odsuzuje </w:t>
            </w:r>
            <w:r>
              <w:rPr>
                <w:b/>
                <w:i/>
              </w:rPr>
              <w:t>veškeré</w:t>
            </w:r>
            <w:r>
              <w:t xml:space="preserve"> politicky motivované používání „černých listin“ </w:t>
            </w:r>
            <w:r>
              <w:rPr>
                <w:b/>
                <w:i/>
              </w:rPr>
              <w:t>především</w:t>
            </w:r>
            <w:r>
              <w:t xml:space="preserve"> ze strany Ruska </w:t>
            </w:r>
            <w:r>
              <w:rPr>
                <w:b/>
                <w:i/>
              </w:rPr>
              <w:t>a Izraele,</w:t>
            </w:r>
            <w:r>
              <w:t xml:space="preserve"> namířené proti občanům EU, zástupcům státních orgánů a obchodních organizací, novinářům, aktérům občanské společnosti</w:t>
            </w:r>
            <w:r>
              <w:rPr>
                <w:b/>
                <w:i/>
              </w:rPr>
              <w:t>, humanitárním organizacím</w:t>
            </w:r>
            <w:r>
              <w:t xml:space="preserve"> a politickým činitelům, včetně demokraticky zvolených poslanců Evropského parlamentu; požaduje koordinovanější a rozhodnější reakci EU na tato svévolná opatření s cílem zajistit ochranu a bezpečnost osob na černé listině a nabídnout jim solidaritu a nezbytnou podporu; vyjadřuje plnou podporu všem dotčeným osobám;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 xml:space="preserve">odsuzuje politicky motivované používání „černých listin“ ze strany </w:t>
            </w:r>
            <w:r>
              <w:rPr>
                <w:b/>
                <w:i/>
              </w:rPr>
              <w:t>Ruska</w:t>
            </w:r>
            <w:r>
              <w:t xml:space="preserve"> namířené proti občanům EU, zástupcům státních orgánů a obchodních organizací, novinářům, aktérům občanské společnosti a politickým činitelům, včetně demokraticky zvolených poslanců Evropského parlamentu; požaduje koordinovanější a rozhodnější reakci EU na tato svévolná opatření s cílem zajistit ochranu a bezpečnost osob na černé listině a nabídnout jim solidaritu a nezbytnou podporu; vyjadřuje plnou podporu všem dotčeným osobám;</w:t>
            </w:r>
          </w:p>
        </w:tc>
        <w:tc>
          <w:tcPr>
            <w:tcW w:w="4876" w:type="dxa"/>
            <w:tcBorders>
              <w:top w:val="nil"/>
              <w:left w:val="nil"/>
              <w:bottom w:val="nil"/>
              <w:right w:val="nil"/>
            </w:tcBorders>
          </w:tcPr>
          <w:p>
            <w:pPr>
              <w:pStyle w:val="Normal6a"/>
            </w:pPr>
            <w:r>
              <w:t>82.</w:t>
            </w:r>
            <w:r>
              <w:tab/>
            </w:r>
            <w:r>
              <w:t xml:space="preserve">odsuzuje politicky motivované používání „černých listin“ ze strany </w:t>
            </w:r>
            <w:r>
              <w:rPr>
                <w:b/>
                <w:i/>
              </w:rPr>
              <w:t>vlád třetích zemí</w:t>
            </w:r>
            <w:r>
              <w:t xml:space="preserve"> namířené proti občanům EU, zástupcům státních orgánů a obchodních organizací, novinářům, aktérům občanské společnosti a politickým činitelům, včetně demokraticky zvolených poslanců Evropského parlamentu; požaduje koordinovanější a rozhodnější reakci EU na tato svévolná opatření s cílem zajistit ochranu a bezpečnost osob na černé listině a nabídnout jim solidaritu a nezbytnou podporu; vyjadřuje plnou podporu všem dotčeným osobám;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vyjadřuje znepokojení nad jednáními nebo ujednáními, která mohou třetím zemím poskytnout široký nebo přímý přístup k vnitrostátním biometrickým databázím nebo databázím totožnosti občanů Unie v souvislosti se správou hranic nebo spoluprací v oblasti víz;</w:t>
            </w:r>
            <w:r>
              <w:t xml:space="preserve"> </w:t>
            </w:r>
            <w:r>
              <w:rPr>
                <w:b/>
                <w:i/>
              </w:rPr>
              <w:t>zdůrazňuje, že rozsáhlá výměna citlivých osobních údajů má významné důsledky pro základní práva, ochranu údajů, demokratický dohled a strategickou autonomii;</w:t>
            </w:r>
            <w:r>
              <w:t xml:space="preserve"> </w:t>
            </w:r>
            <w:r>
              <w:rPr>
                <w:b/>
                <w:i/>
              </w:rPr>
              <w:t>zdůrazňuje, že veškeré takové iniciativy musí podléhat plné transparentnosti, přísným testům nezbytnosti a přiměřenosti, spolehlivým zárukám a smysluplné parlamentní kontrole v souladu s článkem 218 SFEU;</w:t>
            </w:r>
            <w:r>
              <w:t xml:space="preserve"> </w:t>
            </w:r>
            <w:r>
              <w:rPr>
                <w:b/>
                <w:i/>
              </w:rPr>
              <w:t>vyzývá Komisi, aby plně využila geopolitickou a hospodářskou váhu Unie při jednáních, která mohou ovlivnit práva občanů Unie a bezpečnost kritických datových infrastruktur;</w:t>
            </w:r>
            <w:r>
              <w:t xml:space="preserve"> </w:t>
            </w:r>
            <w:r>
              <w:rPr>
                <w:b/>
                <w:i/>
              </w:rPr>
              <w:t>zdůrazňuje, že ochrana integrity, svrchovanosti a bezpečnosti evropských identifikačních a biometrických systémů představuje zásadní součást Evropského štítu pro demokracii a širšího úsilí Unie o zajištění demokratické odolnosti a základních práv v digitálním věku;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konstatuje, že pokuty ve výši 120 milionů EUR, které Komise uložila společnosti X na základě nařízení o digitálních službách, mají za cíl osobně potrestat a odradit Elona Muska;</w:t>
            </w:r>
            <w:r>
              <w:t xml:space="preserve"> </w:t>
            </w:r>
            <w:r>
              <w:rPr>
                <w:b/>
                <w:i/>
              </w:rPr>
              <w:t>je znepokojen průzkumem s 300 americkými studenty, kterým bylo zaplaceno 3,75 USD, jako klíčovým důkazem takového postupu;</w:t>
            </w:r>
            <w:r>
              <w:t xml:space="preserve"> </w:t>
            </w:r>
            <w:r>
              <w:rPr>
                <w:b/>
                <w:i/>
              </w:rPr>
              <w:t>odsuzuje politické zneužívání uvedeného nařízení Bruselem k zákazu nesouhlasné rétoriky a k pokusům o vměšování do voleb v Evropě i v zahraničí;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1593</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zdůrazňuje, že mezinárodní vztahy by se měly řídit především diplomacií a diplomatickou angažovaností a že ukládání sankcí by mělo být vždy řádné, odůvodněné, přiměřené a transparentní a nesmí být zneužíváno nebo používáno ke krátkodobým politickým zájmům;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odsuzuje sankce USA vůči pěti Evropanům zapojeným do boje proti dezinformacím;</w:t>
            </w:r>
            <w:r>
              <w:t xml:space="preserve"> </w:t>
            </w:r>
            <w:r>
              <w:rPr>
                <w:b/>
                <w:i/>
              </w:rPr>
              <w:t>domnívá se, že představují útok proti svobodě přesvědčení a svobodě projevu;</w:t>
            </w:r>
            <w:r>
              <w:t xml:space="preserve"> </w:t>
            </w:r>
            <w:r>
              <w:rPr>
                <w:b/>
                <w:i/>
              </w:rPr>
              <w:t>vyzývá vládu USA, aby je zrušila;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vyzývá k vytvoření mechanismů pro účinnější monitorování vymáhání sankcí, a to i prostřednictvím spolupráce s občanskou společností a akademickou obcí;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1596</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82b.</w:t>
            </w:r>
            <w:r>
              <w:tab/>
            </w:r>
            <w:r>
              <w:rPr>
                <w:b/>
                <w:i/>
              </w:rPr>
              <w:t>poukazuje na to, že na více než 90 zasedáních uspořádaných podle kodexu boje proti dezinformacím v letech 2022 až 2024 Komise lobbovala za to, aby platformy změnily svá celková pravidla moderování obsahu a cenzurovaly větší množství obsahu;</w:t>
            </w:r>
            <w:r>
              <w:t xml:space="preserve"> </w:t>
            </w:r>
            <w:r>
              <w:rPr>
                <w:b/>
                <w:i/>
              </w:rPr>
              <w:t>konstatuje, že po setkání s Komisí před slovenskými volbami se údajně TikTok zavázal, že zakáže určité obsahy s tím, že „musíme zastavit sexualizaci dětí“;</w:t>
            </w:r>
            <w:r>
              <w:t xml:space="preserve"> </w:t>
            </w:r>
            <w:r>
              <w:rPr>
                <w:b/>
                <w:i/>
              </w:rPr>
              <w:t>bere na vědomí, že Komise údajně lobovala za cenzuru obsahů v souvislosti s COVIDem-19 mezi dětmi a že tato cenzurní kampaň byla zahájena dlouho před přijetím aktu o digitálních službách;</w:t>
            </w:r>
            <w:r>
              <w:t xml:space="preserve"> </w:t>
            </w:r>
            <w:r>
              <w:rPr>
                <w:b/>
                <w:i/>
              </w:rPr>
              <w:t>konstatuje, že již v roce 2020 předsedkyně Evropské komise Ursula von der Leyenová a místopředsedkyně Věra Jourová požádaly platformy, aby změnily svá pravidla a odstranily obsah zpochybňující zavedené narativy o pandemii COVID-19 a očkování</w:t>
            </w:r>
            <w:r>
              <w:rPr>
                <w:b/>
                <w:i/>
                <w:vertAlign w:val="superscript"/>
              </w:rPr>
              <w:t>1 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1597</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82b.</w:t>
            </w:r>
            <w:r>
              <w:tab/>
            </w:r>
            <w:r>
              <w:rPr>
                <w:b/>
                <w:i/>
              </w:rPr>
              <w:t>připomíná, že od začátku Trumpovy vlády byly téměř všechny instituce USA, jejichž cílem je chránit USA před zahraničním vměšováním, rozpuštěny;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1598</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82c.</w:t>
            </w:r>
            <w:r>
              <w:tab/>
            </w:r>
            <w:r>
              <w:rPr>
                <w:b/>
                <w:i/>
              </w:rPr>
              <w:t>odsuzuje nadnárodní represe namířené proti politickým oponentům, novinářům a aktivistům;</w:t>
            </w:r>
            <w:r>
              <w:t xml:space="preserve"> </w:t>
            </w:r>
            <w:r>
              <w:rPr>
                <w:b/>
                <w:i/>
              </w:rPr>
              <w:t>vyzývá k vytvoření komplexního rámce, který by překonal roztříštěnost vnitrostátních reakcí, jakož i harmonizované sankce pro zmocněné zástupce zapojené do těchto akcí;</w:t>
            </w:r>
            <w:r>
              <w:t xml:space="preserve"> </w:t>
            </w:r>
            <w:r>
              <w:rPr>
                <w:b/>
                <w:i/>
              </w:rPr>
              <w:t>vyzývá k prověřování červených oběžníků, aby se zabránilo jejich zneužívání autokratickými státy k útokům na politické oponenty v exilu;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bere na vědomí nárůst zahraničního vměšování a hybridních hrozeb ze strany zahraničních škodlivých aktérů, jejichž cílem je narušit naši společnost, například šířením dezinformací, podporou krajní pravice, narušením naší infrastruktury a prohloubením politických rozporů;</w:t>
            </w:r>
            <w:r>
              <w:t xml:space="preserve"> </w:t>
            </w:r>
            <w:r>
              <w:rPr>
                <w:b/>
                <w:i/>
              </w:rPr>
              <w:t>se znepokojením konstatuje, že algoritmy velkých technologických společností pak tyto informace virálně šíří;</w:t>
            </w:r>
            <w:r>
              <w:t xml:space="preserve"> </w:t>
            </w:r>
            <w:r>
              <w:rPr>
                <w:b/>
                <w:i/>
              </w:rPr>
              <w:t>zdůrazňuje, že zahraniční škodliví aktéři doufají, že ochota chránit území NATO se sníží, až doma převládnou strach a nepokoje;</w:t>
            </w:r>
            <w:r>
              <w:t xml:space="preserve"> </w:t>
            </w:r>
            <w:r>
              <w:rPr>
                <w:b/>
                <w:i/>
              </w:rPr>
              <w:t>zdůrazňuje, že cílem je zasévat zášť, rozdělovat a znesvářet lidi;</w:t>
            </w:r>
            <w:r>
              <w:t xml:space="preserve"> </w:t>
            </w:r>
            <w:r>
              <w:rPr>
                <w:b/>
                <w:i/>
              </w:rPr>
              <w:t>doporučuje, aby si obrana naší fyzické bezpečnosti proto žádala nejen investice do obrany, ale také investice do odolnosti naší společnosti;</w:t>
            </w:r>
            <w:r>
              <w:t xml:space="preserve"> </w:t>
            </w:r>
            <w:r>
              <w:rPr>
                <w:b/>
                <w:i/>
              </w:rPr>
              <w:t>zdůrazňuje, že je nesmírně důležité, aby EU investovala do bezpečnosti v širším smyslu;</w:t>
            </w:r>
            <w:r>
              <w:t xml:space="preserve"> </w:t>
            </w:r>
            <w:r>
              <w:rPr>
                <w:b/>
                <w:i/>
              </w:rPr>
              <w:t>vyzývá Komisi a členské státy k zajištění toho, abychom kromě 3,5 % vynaložených na obranu investovali 1,5 %, které vyžadují normy NATO, do bezpečnosti v nejširším slova smyslu:</w:t>
            </w:r>
            <w:r>
              <w:t xml:space="preserve"> </w:t>
            </w:r>
            <w:r>
              <w:rPr>
                <w:b/>
                <w:i/>
              </w:rPr>
              <w:t>do odolnosti naší společnosti;</w:t>
            </w:r>
            <w:r>
              <w:t xml:space="preserve"> </w:t>
            </w:r>
            <w:r>
              <w:rPr>
                <w:b/>
                <w:i/>
              </w:rPr>
              <w:t>zdůrazňuje, že to znamená investovat do civilní odolnosti, silného sociálního základu a snížení zranitelných závislostí v oblasti energetiky a technologií;</w:t>
            </w:r>
            <w:r>
              <w:t xml:space="preserve"> </w:t>
            </w:r>
            <w:r>
              <w:rPr>
                <w:b/>
                <w:i/>
              </w:rPr>
              <w:t>zdůrazňuje, že to je jediný způsob, jak se EU a její občané stanou méně náchylnými k hybridním hrozbám;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vítá Strategii EU pro unii připravenosti a zdůrazňuje, že cíle stanovené v této strategii jsou úzce propojeny s cíli Evropského štítu pro demokracii; dále zdůrazňuje, že demokratická odolnost vyžaduje, aby společnosti byly schopny fungovat za výjimečných nebo rušivých podmínek, a že reformy zaměřené na posílení připravenosti by proto měly tvořit nedílnou součást Evropského štítu pro demokracii;</w:t>
            </w:r>
          </w:p>
        </w:tc>
        <w:tc>
          <w:tcPr>
            <w:tcW w:w="4876" w:type="dxa"/>
            <w:tcBorders>
              <w:top w:val="nil"/>
              <w:left w:val="nil"/>
              <w:bottom w:val="nil"/>
              <w:right w:val="nil"/>
            </w:tcBorders>
          </w:tcPr>
          <w:p>
            <w:pPr>
              <w:pStyle w:val="Normal6a"/>
            </w:pPr>
            <w:r>
              <w:t>83.</w:t>
            </w:r>
            <w:r>
              <w:tab/>
            </w:r>
            <w:r>
              <w:t xml:space="preserve">vítá Strategii EU pro unii připravenosti a zdůrazňuje, že cíle stanovené v této strategii jsou úzce propojeny s cíli Evropského štítu pro demokracii; dále zdůrazňuje, že demokratická odolnost vyžaduje, aby společnosti byly schopny fungovat za výjimečných nebo rušivých podmínek, a že reformy zaměřené na posílení připravenosti by proto měly tvořit nedílnou součást Evropského štítu pro demokracii; </w:t>
            </w:r>
            <w:r>
              <w:rPr>
                <w:b/>
                <w:i/>
              </w:rPr>
              <w:t>vítá politiku členských států, jako je Švédsko a Finsko, na podporu široké sociální připravenosti, spolupráce mezi vládou a společností a jasnou komunikaci o povinnostech občanů;</w:t>
            </w:r>
            <w:r>
              <w:t xml:space="preserve"> </w:t>
            </w:r>
            <w:r>
              <w:rPr>
                <w:b/>
                <w:i/>
              </w:rPr>
              <w:t>konstatuje, že tisíce společností mohou být nasazeny k poskytování energie nebo pomoci s distribucí potravin a vody;</w:t>
            </w:r>
            <w:r>
              <w:t xml:space="preserve"> </w:t>
            </w:r>
            <w:r>
              <w:rPr>
                <w:b/>
                <w:i/>
              </w:rPr>
              <w:t>zdůrazňuje, že sdružení mohou hrát roli v komunikaci v sousedství a že mnoho (polo)profesionálů, veteránů a důchodců může poskytovat nezbytnou fyzickou a duševní péči;</w:t>
            </w:r>
            <w:r>
              <w:t xml:space="preserve"> </w:t>
            </w:r>
            <w:r>
              <w:rPr>
                <w:b/>
                <w:i/>
              </w:rPr>
              <w:t>zdůrazňuje, že k organizaci tohoto druhu občanské odolnosti musí lidé vědět, jak a kdy mohou přispět;</w:t>
            </w:r>
            <w:r>
              <w:t xml:space="preserve"> </w:t>
            </w:r>
            <w:r>
              <w:rPr>
                <w:b/>
                <w:i/>
              </w:rPr>
              <w:t>konstatuje, že všechny členské státy by měly začít mapovat různé organizace, školit vedoucí pracovníky organizací a společností prostřednictvím cvičných scénářů a informovat občany o tom, kam se mohou v případě potřeby obrátit;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vítá Strategii EU pro unii připravenosti a zdůrazňuje, že cíle stanovené v této strategii jsou úzce propojeny s cíli Evropského štítu pro demokracii; dále zdůrazňuje, že demokratická odolnost vyžaduje, aby společnosti byly schopny fungovat za výjimečných nebo rušivých podmínek, a že reformy zaměřené na posílení připravenosti by proto měly tvořit nedílnou součást Evropského štítu pro demokracii;</w:t>
            </w:r>
          </w:p>
        </w:tc>
        <w:tc>
          <w:tcPr>
            <w:tcW w:w="4876" w:type="dxa"/>
            <w:tcBorders>
              <w:top w:val="nil"/>
              <w:left w:val="nil"/>
              <w:bottom w:val="nil"/>
              <w:right w:val="nil"/>
            </w:tcBorders>
          </w:tcPr>
          <w:p>
            <w:pPr>
              <w:pStyle w:val="Normal6a"/>
            </w:pPr>
            <w:r>
              <w:t>83.</w:t>
            </w:r>
            <w:r>
              <w:tab/>
            </w:r>
            <w:r>
              <w:t xml:space="preserve">vítá Strategii EU pro unii připravenosti a zdůrazňuje, že cíle stanovené v této strategii jsou úzce propojeny s cíli Evropského štítu pro demokracii; dále zdůrazňuje, že demokratická odolnost vyžaduje, aby společnosti byly schopny fungovat za výjimečných nebo rušivých podmínek, a že reformy zaměřené na posílení připravenosti by proto měly tvořit nedílnou součást Evropského štítu pro demokracii; </w:t>
            </w:r>
            <w:r>
              <w:rPr>
                <w:b/>
                <w:i/>
              </w:rPr>
              <w:t>zdůrazňuje, že všechny iniciativy v rámci Štítu pro demokracii by měly usilovat o intersekcionalitu a začleňování napříč všemi věkovými skupinami, komunitami, sociálními i ekonomickými skupinami;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vítá Strategii EU pro unii připravenosti a zdůrazňuje, že cíle stanovené v této strategii jsou úzce propojeny s cíli Evropského štítu pro demokracii; dále zdůrazňuje, že </w:t>
            </w:r>
            <w:r>
              <w:rPr>
                <w:b/>
                <w:i/>
              </w:rPr>
              <w:t>demokratická odolnost</w:t>
            </w:r>
            <w:r>
              <w:t xml:space="preserve"> vyžaduje, aby společnosti byly schopny fungovat za výjimečných nebo rušivých podmínek, a že reformy zaměřené na posílení připravenosti by proto měly tvořit nedílnou součást Evropského štítu pro demokracii;</w:t>
            </w:r>
          </w:p>
        </w:tc>
        <w:tc>
          <w:tcPr>
            <w:tcW w:w="4876" w:type="dxa"/>
            <w:tcBorders>
              <w:top w:val="nil"/>
              <w:left w:val="nil"/>
              <w:bottom w:val="nil"/>
              <w:right w:val="nil"/>
            </w:tcBorders>
          </w:tcPr>
          <w:p>
            <w:pPr>
              <w:pStyle w:val="Normal6a"/>
            </w:pPr>
            <w:r>
              <w:t>83.</w:t>
            </w:r>
            <w:r>
              <w:tab/>
            </w:r>
            <w:r>
              <w:t xml:space="preserve">vítá Strategii EU pro unii připravenosti a zdůrazňuje, že cíle stanovené v této strategii jsou úzce propojeny s cíli Evropského štítu pro demokracii; dále zdůrazňuje, že </w:t>
            </w:r>
            <w:r>
              <w:rPr>
                <w:b/>
                <w:i/>
              </w:rPr>
              <w:t>každá forma odolnosti</w:t>
            </w:r>
            <w:r>
              <w:t xml:space="preserve"> vyžaduje, aby společnosti byly schopny fungovat za výjimečných nebo rušivých podmínek, a že reformy zaměřené na posílení připravenosti by proto měly tvořit nedílnou součást Evropského štítu pro demokracii;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1603</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83a.</w:t>
            </w:r>
            <w:r>
              <w:tab/>
            </w:r>
            <w:r>
              <w:rPr>
                <w:b/>
                <w:i/>
              </w:rPr>
              <w:t>zdůrazňuje, že posílení odolnosti a připravenosti vyžaduje kvalifikovanou, chráněnou a dobře vyškolenou pracovní sílu v kritických odvětvích;</w:t>
            </w:r>
            <w:r>
              <w:t xml:space="preserve"> </w:t>
            </w:r>
            <w:r>
              <w:rPr>
                <w:b/>
                <w:i/>
              </w:rPr>
              <w:t>vyzývá k tomu, aby programy odolnosti a připravenosti financované EU zahrnovaly odbornou přípravu, rekvalifikaci a sociální podmíněnost v souladu s pracovními normami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83a.</w:t>
            </w:r>
            <w:r>
              <w:tab/>
            </w:r>
            <w:r>
              <w:rPr>
                <w:b/>
                <w:i/>
              </w:rPr>
              <w:t>vyzývá Komisi, aby provedla audit s cílem posoudit všechna zranitelná místa a závislosti na řešeních třetích zemí v oblasti digitálních technologií a plateb v rámci evropských správních orgánů a institucí;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84.</w:t>
            </w:r>
            <w:r>
              <w:tab/>
            </w:r>
            <w:r>
              <w:t>požaduje urychlený vývoj a zavedení celounijní interoperabilní aplikace pro varování před krizí, která by občanům během mimořádných událostí poskytovala spolehlivé a vícejazyčné informace v reálném čase; doporučuje, aby byla tato aplikace začleněna do vnitrostátních a unijních systémů včasného varování, byla přístupná zranitelným skupinám a byla pravidelně aktualizována v souladu s technologickým pokrokem a osvědčenými postupy v oblasti krizového řízení;</w:t>
            </w:r>
          </w:p>
        </w:tc>
        <w:tc>
          <w:tcPr>
            <w:tcW w:w="4876" w:type="dxa"/>
            <w:tcBorders>
              <w:top w:val="nil"/>
              <w:left w:val="nil"/>
              <w:bottom w:val="nil"/>
              <w:right w:val="nil"/>
            </w:tcBorders>
          </w:tcPr>
          <w:p>
            <w:pPr>
              <w:pStyle w:val="Normal6a"/>
            </w:pPr>
            <w:r>
              <w:t>84.</w:t>
            </w:r>
            <w:r>
              <w:tab/>
            </w:r>
            <w:r>
              <w:t xml:space="preserve">požaduje urychlený vývoj a zavedení celounijní interoperabilní aplikace pro varování před krizí, která by občanům během mimořádných událostí poskytovala spolehlivé a vícejazyčné informace v reálném čase; doporučuje, aby byla tato aplikace začleněna do vnitrostátních a unijních systémů včasného varování, byla přístupná zranitelným skupinám a byla pravidelně aktualizována v souladu s technologickým pokrokem a osvědčenými postupy v oblasti krizového řízení; </w:t>
            </w:r>
            <w:r>
              <w:rPr>
                <w:b/>
                <w:i/>
              </w:rPr>
              <w:t>zdůrazňuje, že je třeba vypracovat pohotovostní plány a alternativní komunikační nástroje pro krizové situace, v nichž nejsou digitální služby k dispozici nebo je nelze využít, a to i z důvodu výpadků elektřiny nebo nedostatečného přístupu k elektřině;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84.</w:t>
            </w:r>
            <w:r>
              <w:tab/>
            </w:r>
            <w:r>
              <w:rPr>
                <w:b/>
                <w:i/>
              </w:rPr>
              <w:t>požaduje urychlený vývoj</w:t>
            </w:r>
            <w:r>
              <w:t xml:space="preserve"> a zavedení celounijní interoperabilní aplikace </w:t>
            </w:r>
            <w:r>
              <w:rPr>
                <w:b/>
                <w:i/>
              </w:rPr>
              <w:t>pro varování před krizí</w:t>
            </w:r>
            <w:r>
              <w:t xml:space="preserve">, která by občanům během mimořádných událostí poskytovala spolehlivé a vícejazyčné informace </w:t>
            </w:r>
            <w:r>
              <w:rPr>
                <w:b/>
                <w:i/>
              </w:rPr>
              <w:t>v reálném čase</w:t>
            </w:r>
            <w:r>
              <w:t>; doporučuje, aby byla tato aplikace začleněna do vnitrostátních a unijních systémů včasného varování, byla přístupná zranitelným skupinám a byla pravidelně aktualizována v souladu s technologickým pokrokem a osvědčenými postupy v oblasti krizového řízení;</w:t>
            </w:r>
          </w:p>
        </w:tc>
        <w:tc>
          <w:tcPr>
            <w:tcW w:w="4876" w:type="dxa"/>
            <w:tcBorders>
              <w:top w:val="nil"/>
              <w:left w:val="nil"/>
              <w:bottom w:val="nil"/>
              <w:right w:val="nil"/>
            </w:tcBorders>
          </w:tcPr>
          <w:p>
            <w:pPr>
              <w:pStyle w:val="Normal6a"/>
            </w:pPr>
            <w:r>
              <w:t>84.</w:t>
            </w:r>
            <w:r>
              <w:tab/>
            </w:r>
            <w:r>
              <w:rPr>
                <w:b/>
                <w:i/>
              </w:rPr>
              <w:t>Vyzývá k posouzení stávajících systémů varování a k analýze potřeby a proveditelnosti rychlého vývoje</w:t>
            </w:r>
            <w:r>
              <w:t xml:space="preserve"> a zavedení celounijní interoperabilní </w:t>
            </w:r>
            <w:r>
              <w:rPr>
                <w:b/>
                <w:i/>
              </w:rPr>
              <w:t>krizové</w:t>
            </w:r>
            <w:r>
              <w:t xml:space="preserve"> aplikace, která by občanům během mimořádných událostí poskytovala </w:t>
            </w:r>
            <w:r>
              <w:rPr>
                <w:b/>
                <w:i/>
              </w:rPr>
              <w:t>v reálném čase</w:t>
            </w:r>
            <w:r>
              <w:t xml:space="preserve"> spolehlivé a vícejazyčné informace; doporučuje, aby byla tato aplikace začleněna do vnitrostátních a unijních systémů včasného varování, byla přístupná </w:t>
            </w:r>
            <w:r>
              <w:rPr>
                <w:b/>
                <w:i/>
              </w:rPr>
              <w:t>všem lidem v dotčené oblasti a zejména</w:t>
            </w:r>
            <w:r>
              <w:t xml:space="preserve"> zranitelným skupinám a byla pravidelně aktualizována v souladu s technologickým pokrokem a osvědčenými postupy v oblasti krizového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84.</w:t>
            </w:r>
            <w:r>
              <w:tab/>
            </w:r>
            <w:r>
              <w:t xml:space="preserve">požaduje urychlený vývoj a zavedení celounijní interoperabilní aplikace pro varování před krizí, která by </w:t>
            </w:r>
            <w:r>
              <w:rPr>
                <w:b/>
                <w:i/>
              </w:rPr>
              <w:t>občanům</w:t>
            </w:r>
            <w:r>
              <w:t xml:space="preserve"> během mimořádných událostí poskytovala spolehlivé a vícejazyčné informace v reálném čase; doporučuje, aby byla tato aplikace začleněna do vnitrostátních a unijních systémů včasného varování, byla přístupná zranitelným skupinám a byla pravidelně aktualizována v souladu s technologickým pokrokem a osvědčenými postupy v oblasti krizového řízení;</w:t>
            </w:r>
          </w:p>
        </w:tc>
        <w:tc>
          <w:tcPr>
            <w:tcW w:w="4876" w:type="dxa"/>
            <w:tcBorders>
              <w:top w:val="nil"/>
              <w:left w:val="nil"/>
              <w:bottom w:val="nil"/>
              <w:right w:val="nil"/>
            </w:tcBorders>
          </w:tcPr>
          <w:p>
            <w:pPr>
              <w:pStyle w:val="Normal6a"/>
            </w:pPr>
            <w:r>
              <w:t>84.</w:t>
            </w:r>
            <w:r>
              <w:tab/>
            </w:r>
            <w:r>
              <w:t xml:space="preserve">požaduje urychlený vývoj a zavedení celounijní interoperabilní aplikace pro varování před krizí, která by </w:t>
            </w:r>
            <w:r>
              <w:rPr>
                <w:b/>
                <w:i/>
              </w:rPr>
              <w:t>rezidentům</w:t>
            </w:r>
            <w:r>
              <w:t xml:space="preserve"> během mimořádných událostí poskytovala spolehlivé a vícejazyčné informace v reálném čase; doporučuje, aby byla tato aplikace začleněna do vnitrostátních a unijních systémů včasného varování, byla přístupná zranitelným skupinám a byla pravidelně aktualizována v souladu s technologickým pokrokem a osvědčenými postupy v oblasti krizového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85.</w:t>
            </w:r>
            <w:r>
              <w:tab/>
            </w:r>
            <w:r>
              <w:rPr>
                <w:b/>
                <w:i/>
              </w:rPr>
              <w:t>vítá</w:t>
            </w:r>
            <w:r>
              <w:t xml:space="preserve"> iniciativy v několika členských státech týkající se distribuce brožury o připravenosti domácností, která nabízí jasné a praktické pokyny přizpůsobené rozmanité sociální a zeměpisné realitě Evropy s cílem pomoci občanům připravit se na mimořádné události; vyzývá Komisi, aby </w:t>
            </w:r>
            <w:r>
              <w:rPr>
                <w:b/>
                <w:i/>
              </w:rPr>
              <w:t>vypracovala brožuru na úrovni EU, která by odrážela přeshraniční a nadnárodní kontext a zahrnovala by doporučené nouzové zásoby, praktické pokyny pro soběstačnost na dobu nejméně 72 hodin, základní rady ohledně první pomoci a zvláštní pokyny pro zranitelné skupiny, včetně starších osob, osob se zdravotním postižením a rodin s dětmi</w:t>
            </w:r>
            <w:r>
              <w:t>;</w:t>
            </w:r>
          </w:p>
        </w:tc>
        <w:tc>
          <w:tcPr>
            <w:tcW w:w="4876" w:type="dxa"/>
            <w:tcBorders>
              <w:top w:val="nil"/>
              <w:left w:val="nil"/>
              <w:bottom w:val="nil"/>
              <w:right w:val="nil"/>
            </w:tcBorders>
          </w:tcPr>
          <w:p>
            <w:pPr>
              <w:pStyle w:val="Normal6a"/>
            </w:pPr>
            <w:r>
              <w:t>85.</w:t>
            </w:r>
            <w:r>
              <w:tab/>
            </w:r>
            <w:r>
              <w:rPr>
                <w:b/>
                <w:i/>
              </w:rPr>
              <w:t>bere na vědomí</w:t>
            </w:r>
            <w:r>
              <w:t xml:space="preserve"> iniciativy v několika členských státech týkající se distribuce brožury o připravenosti domácností, která nabízí jasné a praktické pokyny přizpůsobené rozmanité sociální a zeměpisné realitě Evropy s cílem pomoci občanům připravit se na mimořádné události; vyzývá Komisi, aby </w:t>
            </w:r>
            <w:r>
              <w:rPr>
                <w:b/>
                <w:i/>
              </w:rPr>
              <w:t>na požádání poskytla členským státům pomoc při přípravě a aktualizaci brožur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85.</w:t>
            </w:r>
            <w:r>
              <w:tab/>
            </w:r>
            <w:r>
              <w:t xml:space="preserve">vítá iniciativy v několika členských státech týkající se distribuce </w:t>
            </w:r>
            <w:r>
              <w:rPr>
                <w:b/>
                <w:i/>
              </w:rPr>
              <w:t>brožury</w:t>
            </w:r>
            <w:r>
              <w:t xml:space="preserve"> o připravenosti domácností, </w:t>
            </w:r>
            <w:r>
              <w:rPr>
                <w:b/>
                <w:i/>
              </w:rPr>
              <w:t>která</w:t>
            </w:r>
            <w:r>
              <w:t xml:space="preserve"> nabízí jasné a praktické pokyny </w:t>
            </w:r>
            <w:r>
              <w:rPr>
                <w:b/>
                <w:i/>
              </w:rPr>
              <w:t>přizpůsobené rozmanité sociální a zeměpisné realitě Evropy s cílem pomoci</w:t>
            </w:r>
            <w:r>
              <w:t xml:space="preserve"> občanům připravit </w:t>
            </w:r>
            <w:r>
              <w:rPr>
                <w:b/>
                <w:i/>
              </w:rPr>
              <w:t>se</w:t>
            </w:r>
            <w:r>
              <w:t xml:space="preserve"> na mimořádné události; vyzývá Komisi, aby </w:t>
            </w:r>
            <w:r>
              <w:rPr>
                <w:b/>
                <w:i/>
              </w:rPr>
              <w:t>vypracovala brožuru</w:t>
            </w:r>
            <w:r>
              <w:t xml:space="preserve"> na úrovni EU, </w:t>
            </w:r>
            <w:r>
              <w:rPr>
                <w:b/>
                <w:i/>
              </w:rPr>
              <w:t>která by odrážela</w:t>
            </w:r>
            <w:r>
              <w:t xml:space="preserve"> přeshraniční a </w:t>
            </w:r>
            <w:r>
              <w:rPr>
                <w:b/>
                <w:i/>
              </w:rPr>
              <w:t>nadnárodní</w:t>
            </w:r>
            <w:r>
              <w:t xml:space="preserve"> kontext a </w:t>
            </w:r>
            <w:r>
              <w:rPr>
                <w:b/>
                <w:i/>
              </w:rPr>
              <w:t>zahrnovala by doporučené nouzové zásoby, praktické pokyny</w:t>
            </w:r>
            <w:r>
              <w:t xml:space="preserve"> pro soběstačnost </w:t>
            </w:r>
            <w:r>
              <w:rPr>
                <w:b/>
                <w:i/>
              </w:rPr>
              <w:t>na</w:t>
            </w:r>
            <w:r>
              <w:t xml:space="preserve"> dobu nejméně 72 hodin, </w:t>
            </w:r>
            <w:r>
              <w:rPr>
                <w:b/>
                <w:i/>
              </w:rPr>
              <w:t>základní rady ohledně</w:t>
            </w:r>
            <w:r>
              <w:t xml:space="preserve"> první pomoci a </w:t>
            </w:r>
            <w:r>
              <w:rPr>
                <w:b/>
                <w:i/>
              </w:rPr>
              <w:t>zvláštní pokyny</w:t>
            </w:r>
            <w:r>
              <w:t xml:space="preserve"> pro zranitelné skupiny, včetně starších osob, osob se zdravotním postižením a rodin s dětmi;</w:t>
            </w:r>
          </w:p>
        </w:tc>
        <w:tc>
          <w:tcPr>
            <w:tcW w:w="4876" w:type="dxa"/>
            <w:tcBorders>
              <w:top w:val="nil"/>
              <w:left w:val="nil"/>
              <w:bottom w:val="nil"/>
              <w:right w:val="nil"/>
            </w:tcBorders>
          </w:tcPr>
          <w:p>
            <w:pPr>
              <w:pStyle w:val="Normal6a"/>
            </w:pPr>
            <w:r>
              <w:t>85.</w:t>
            </w:r>
            <w:r>
              <w:tab/>
            </w:r>
            <w:r>
              <w:t xml:space="preserve">vítá iniciativy v několika členských státech týkající se distribuce </w:t>
            </w:r>
            <w:r>
              <w:rPr>
                <w:b/>
                <w:i/>
              </w:rPr>
              <w:t>brožur</w:t>
            </w:r>
            <w:r>
              <w:t xml:space="preserve"> o připravenosti domácností, </w:t>
            </w:r>
            <w:r>
              <w:rPr>
                <w:b/>
                <w:i/>
              </w:rPr>
              <w:t>které</w:t>
            </w:r>
            <w:r>
              <w:t xml:space="preserve"> nabízí jasné a praktické pokyny občanům</w:t>
            </w:r>
            <w:r>
              <w:rPr>
                <w:b/>
                <w:i/>
              </w:rPr>
              <w:t>, jak se</w:t>
            </w:r>
            <w:r>
              <w:t xml:space="preserve"> připravit na mimořádné události; vyzývá Komisi, aby </w:t>
            </w:r>
            <w:r>
              <w:rPr>
                <w:b/>
                <w:i/>
              </w:rPr>
              <w:t>posoudila potřebu a proveditelnost brožur</w:t>
            </w:r>
            <w:r>
              <w:t xml:space="preserve"> na úrovni EU, </w:t>
            </w:r>
            <w:r>
              <w:rPr>
                <w:b/>
                <w:i/>
              </w:rPr>
              <w:t>které by odrážely</w:t>
            </w:r>
            <w:r>
              <w:t xml:space="preserve"> přeshraniční a </w:t>
            </w:r>
            <w:r>
              <w:rPr>
                <w:b/>
                <w:i/>
              </w:rPr>
              <w:t>regionální</w:t>
            </w:r>
            <w:r>
              <w:t xml:space="preserve"> kontext a </w:t>
            </w:r>
            <w:r>
              <w:rPr>
                <w:b/>
                <w:i/>
              </w:rPr>
              <w:t>byly přizpůsobeny různým sociálním a zeměpisným realitám Evropy a výsledné rozmanitosti hrozeb, včetně doporučených nouzových dodávek, praktických pokynů</w:t>
            </w:r>
            <w:r>
              <w:t xml:space="preserve"> pro soběstačnost </w:t>
            </w:r>
            <w:r>
              <w:rPr>
                <w:b/>
                <w:i/>
              </w:rPr>
              <w:t>po</w:t>
            </w:r>
            <w:r>
              <w:t xml:space="preserve"> dobu nejméně 72 hodin, </w:t>
            </w:r>
            <w:r>
              <w:rPr>
                <w:b/>
                <w:i/>
              </w:rPr>
              <w:t>základního poradenství v oblasti</w:t>
            </w:r>
            <w:r>
              <w:t xml:space="preserve"> první pomoci a </w:t>
            </w:r>
            <w:r>
              <w:rPr>
                <w:b/>
                <w:i/>
              </w:rPr>
              <w:t>zvláštních pokynů</w:t>
            </w:r>
            <w:r>
              <w:t xml:space="preserve"> pro zranitelné skupiny, včetně starších osob, osob se zdravotním postižením a rodin s dětmi;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85a.</w:t>
            </w:r>
            <w:r>
              <w:tab/>
            </w:r>
            <w:r>
              <w:rPr>
                <w:b/>
                <w:i/>
              </w:rPr>
              <w:t>považuje za nepřijatelné, aby vlády odpíraly opozičním sdělovacím prostředkům přístup na tiskové konference;</w:t>
            </w:r>
            <w:r>
              <w:t xml:space="preserve"> </w:t>
            </w:r>
            <w:r>
              <w:rPr>
                <w:b/>
                <w:i/>
              </w:rPr>
              <w:t>zdůrazňuje, že je obzvláště nebezpečné, pokud orgány z čistě politických důvodů vyloučí sdělovací prostředky z brífinků týkajících se krizových situací, jako tomu bylo během povodní v Polsku, kdy Donald Tusk soustavně odmítal umožnit televizní stanici TV Republika, největšímu zpravodajskému televiznímu kanálu, účastnit se schůzí k řešení krizí, a tím vyloučil významnou část společnosti z přijímání krizové komunikace v reálném čase, což mohlo mít přímý dopad na její bezpečnost;</w:t>
            </w:r>
            <w:r>
              <w:t xml:space="preserve"> </w:t>
            </w:r>
            <w:r>
              <w:rPr>
                <w:b/>
                <w:i/>
              </w:rPr>
              <w:t>odsuzuje tyto nezodpovědné a nedemokratické kroky a varuje před následováním příkladu Donalda Tuska;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1611</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86.</w:t>
            </w:r>
            <w:r>
              <w:tab/>
            </w:r>
            <w:r>
              <w:rPr>
                <w:b/>
                <w:i/>
              </w:rPr>
              <w:t>vyzývá k pořádání pravidelných rozsáhlých cvičení připravenosti koordinovaných na úrovni EU, do nichž by byly zapojeny orgány EU, členské státy, regionální a místní orgány, soukromý sektor a občanská společnost;</w:t>
            </w:r>
            <w:r>
              <w:t xml:space="preserve"> </w:t>
            </w:r>
            <w:r>
              <w:rPr>
                <w:b/>
                <w:i/>
              </w:rPr>
              <w:t>doporučuje, aby tato cvičení simulovala složité a realistické scénáře, včetně kybernetických útoků, narušení kritické infrastruktury, koordinovaných dezinformací a hybridních krizí, s cílem posoudit schopnosti reakce, zlepšit interoperabilitu mezi úrovněmi správy a podpořit kulturu připravenosti na všech úrovních;</w:t>
            </w:r>
            <w:r>
              <w:t xml:space="preserve"> </w:t>
            </w:r>
            <w:r>
              <w:rPr>
                <w:b/>
                <w:i/>
              </w:rPr>
              <w:t>za tímto účelem vyzývá k zavedení Evropského dne připravenosti;</w:t>
            </w:r>
            <w:r>
              <w:t xml:space="preserve"> </w:t>
            </w:r>
            <w:r>
              <w:rPr>
                <w:b/>
                <w:i/>
              </w:rPr>
              <w:t>domnívá se, že jeho datem by měl být 24.</w:t>
            </w:r>
            <w:r>
              <w:t xml:space="preserve"> </w:t>
            </w:r>
            <w:r>
              <w:rPr>
                <w:b/>
                <w:i/>
              </w:rPr>
              <w:t>únor, což je datum nevyprovokované plošné vojenské invaze Ruska na Ukrajinu v roce 2022, jako symbol solidarity EU s Ukrajinou a důrazná připomínka nutnosti posílit civilní a obrannou připravenost na rostoucí hrozby ze strany autoritářských režimů;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86.</w:t>
            </w:r>
            <w:r>
              <w:tab/>
            </w:r>
            <w:r>
              <w:t xml:space="preserve">vyzývá k </w:t>
            </w:r>
            <w:r>
              <w:rPr>
                <w:b/>
                <w:i/>
              </w:rPr>
              <w:t>pořádání</w:t>
            </w:r>
            <w:r>
              <w:t xml:space="preserve"> pravidelných rozsáhlých </w:t>
            </w:r>
            <w:r>
              <w:rPr>
                <w:b/>
                <w:i/>
              </w:rPr>
              <w:t>cvičení</w:t>
            </w:r>
            <w:r>
              <w:t xml:space="preserve"> připravenosti </w:t>
            </w:r>
            <w:r>
              <w:rPr>
                <w:b/>
                <w:i/>
              </w:rPr>
              <w:t>koordinovaných na úrovni EU</w:t>
            </w:r>
            <w:r>
              <w:t xml:space="preserve">, do nichž by byly zapojeny orgány EU, členské státy, regionální a místní orgány, soukromý sektor a občanská společnost; doporučuje, aby tato cvičení simulovala složité a realistické scénáře, včetně kybernetických útoků, narušení kritické infrastruktury, koordinovaných </w:t>
            </w:r>
            <w:r>
              <w:rPr>
                <w:b/>
                <w:i/>
              </w:rPr>
              <w:t>dezinformací</w:t>
            </w:r>
            <w:r>
              <w:t xml:space="preserve"> a hybridních krizí, s cílem posoudit schopnosti reakce, zlepšit interoperabilitu mezi úrovněmi správy a podpořit kulturu připravenosti na všech úrovních; za tímto účelem vyzývá k zavedení Evropského dne připravenosti; domnívá se, že jeho datem by měl být 24. únor, což je datum nevyprovokované plošné </w:t>
            </w:r>
            <w:r>
              <w:rPr>
                <w:b/>
                <w:i/>
              </w:rPr>
              <w:t>vojenské</w:t>
            </w:r>
            <w:r>
              <w:t xml:space="preserve"> invaze Ruska na Ukrajinu v roce 2022, jako symbol solidarity EU s Ukrajinou a důrazná připomínka nutnosti posílit civilní a obrannou připravenost na rostoucí hrozby ze strany autoritářských režimů;</w:t>
            </w:r>
          </w:p>
        </w:tc>
        <w:tc>
          <w:tcPr>
            <w:tcW w:w="4876" w:type="dxa"/>
            <w:tcBorders>
              <w:top w:val="nil"/>
              <w:left w:val="nil"/>
              <w:bottom w:val="nil"/>
              <w:right w:val="nil"/>
            </w:tcBorders>
          </w:tcPr>
          <w:p>
            <w:pPr>
              <w:pStyle w:val="Normal6a"/>
            </w:pPr>
            <w:r>
              <w:t>86.</w:t>
            </w:r>
            <w:r>
              <w:tab/>
            </w:r>
            <w:r>
              <w:t xml:space="preserve">vyzývá k </w:t>
            </w:r>
            <w:r>
              <w:rPr>
                <w:b/>
                <w:i/>
              </w:rPr>
              <w:t>pokračování v</w:t>
            </w:r>
            <w:r>
              <w:t xml:space="preserve"> pravidelných rozsáhlých </w:t>
            </w:r>
            <w:r>
              <w:rPr>
                <w:b/>
                <w:i/>
              </w:rPr>
              <w:t>cvičeních</w:t>
            </w:r>
            <w:r>
              <w:t xml:space="preserve"> připravenosti, do nichž by byly zapojeny orgány EU, členské státy, regionální a místní orgány, soukromý sektor a občanská společnost</w:t>
            </w:r>
            <w:r>
              <w:rPr>
                <w:b/>
                <w:i/>
              </w:rPr>
              <w:t>;</w:t>
            </w:r>
            <w:r>
              <w:t xml:space="preserve"> </w:t>
            </w:r>
            <w:r>
              <w:rPr>
                <w:b/>
                <w:i/>
              </w:rPr>
              <w:t>domnívá se, že katalog scénářů, který již zahrnuje povodně, lesní požáry, chemické, biologické, radiologické a jaderné incidenty, zemětřesení a mimořádné zdravotní události, by měl být rozšířen tak, aby zahrnoval hrozby vyplývající z ruské agrese proti Ukrajině, jakož i hybridní útoky na kolektivní Západ</w:t>
            </w:r>
            <w:r>
              <w:t xml:space="preserve">; doporučuje, aby tato cvičení simulovala složité a realistické scénáře, včetně kybernetických útoků, narušení kritické infrastruktury, koordinovaných </w:t>
            </w:r>
            <w:r>
              <w:rPr>
                <w:b/>
                <w:i/>
              </w:rPr>
              <w:t>dezinformačních kampaní</w:t>
            </w:r>
            <w:r>
              <w:t xml:space="preserve"> a hybridních krizí, s cílem posoudit schopnosti reakce, zlepšit interoperabilitu mezi úrovněmi správy</w:t>
            </w:r>
            <w:r>
              <w:rPr>
                <w:b/>
                <w:i/>
              </w:rPr>
              <w:t>, sdílet osvědčené postupy</w:t>
            </w:r>
            <w:r>
              <w:t xml:space="preserve"> a podpořit kulturu připravenosti na všech úrovních</w:t>
            </w:r>
            <w:r>
              <w:rPr>
                <w:b/>
                <w:i/>
              </w:rPr>
              <w:t>;</w:t>
            </w:r>
            <w:r>
              <w:t xml:space="preserve"> </w:t>
            </w:r>
            <w:r>
              <w:rPr>
                <w:b/>
                <w:i/>
              </w:rPr>
              <w:t>je toho názoru, že tato cvičení by měla přednostně vycházet ze zkušeností zemí, jako je Polsko, které zejména v období bezprostředně po ruské agresi účinně řešily četné krizové situace tím, že spojily státní instituce, místní orgány, soukromý sektor a občanskou společnost</w:t>
            </w:r>
            <w:r>
              <w:t xml:space="preserve">; za tímto účelem vyzývá k zavedení Evropského dne připravenosti; domnívá se, že jeho datem by měl být 24. únor, což je datum nevyprovokované plošné </w:t>
            </w:r>
            <w:r>
              <w:rPr>
                <w:b/>
                <w:i/>
              </w:rPr>
              <w:t>brutální</w:t>
            </w:r>
            <w:r>
              <w:t xml:space="preserve"> invaze Ruska na Ukrajinu v roce 2022, jako symbol solidarity EU s Ukrajinou a důrazná připomínka nutnosti posílit civilní a obrannou připravenost na rostoucí hrozby ze strany autoritářských režimů;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86.</w:t>
            </w:r>
            <w:r>
              <w:tab/>
            </w:r>
            <w:r>
              <w:t xml:space="preserve">vyzývá k pořádání pravidelných rozsáhlých cvičení připravenosti koordinovaných </w:t>
            </w:r>
            <w:r>
              <w:rPr>
                <w:b/>
                <w:i/>
              </w:rPr>
              <w:t>na úrovni EU</w:t>
            </w:r>
            <w:r>
              <w:t xml:space="preserve">, do nichž by byly zapojeny orgány EU, členské státy, regionální a místní orgány, soukromý sektor a občanská společnost; doporučuje, aby tato cvičení simulovala složité a realistické scénáře, včetně kybernetických útoků, narušení kritické infrastruktury, koordinovaných dezinformací a hybridních krizí, s cílem posoudit schopnosti reakce, zlepšit interoperabilitu mezi úrovněmi správy a podpořit kulturu připravenosti na všech úrovních; </w:t>
            </w:r>
            <w:r>
              <w:rPr>
                <w:b/>
                <w:i/>
              </w:rPr>
              <w:t>za tímto účelem vyzývá k zavedení Evropského dne připravenosti;</w:t>
            </w:r>
            <w:r>
              <w:t xml:space="preserve"> </w:t>
            </w:r>
            <w:r>
              <w:rPr>
                <w:b/>
                <w:i/>
              </w:rPr>
              <w:t>domnívá se, že jeho datem by měl být 24.</w:t>
            </w:r>
            <w:r>
              <w:t xml:space="preserve"> </w:t>
            </w:r>
            <w:r>
              <w:rPr>
                <w:b/>
                <w:i/>
              </w:rPr>
              <w:t>únor, což je datum nevyprovokované plošné vojenské invaze Ruska na Ukrajinu v roce 2022, jako symbol solidarity EU s Ukrajinou a důrazná připomínka nutnosti posílit civilní a obrannou připravenost na rostoucí hrozby ze strany autoritářských režimů;</w:t>
            </w:r>
          </w:p>
        </w:tc>
        <w:tc>
          <w:tcPr>
            <w:tcW w:w="4876" w:type="dxa"/>
            <w:tcBorders>
              <w:top w:val="nil"/>
              <w:left w:val="nil"/>
              <w:bottom w:val="nil"/>
              <w:right w:val="nil"/>
            </w:tcBorders>
          </w:tcPr>
          <w:p>
            <w:pPr>
              <w:pStyle w:val="Normal6a"/>
            </w:pPr>
            <w:r>
              <w:t>86.</w:t>
            </w:r>
            <w:r>
              <w:tab/>
            </w:r>
            <w:r>
              <w:t xml:space="preserve">vyzývá k pořádání pravidelných rozsáhlých cvičení připravenosti koordinovaných </w:t>
            </w:r>
            <w:r>
              <w:rPr>
                <w:b/>
                <w:i/>
              </w:rPr>
              <w:t>mezi členskými státy</w:t>
            </w:r>
            <w:r>
              <w:t>, do nichž by byly zapojeny orgány EU, členské státy, regionální a místní orgány, soukromý sektor a občanská společnost; doporučuje, aby tato cvičení simulovala složité a realistické scénáře, včetně kybernetických útoků, narušení kritické infrastruktury, koordinovaných dezinformací a hybridních krizí, s cílem posoudit schopnosti reakce, zlepšit interoperabilitu mezi úrovněmi správy a podpořit kulturu připravenosti na všech úrovních;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86.</w:t>
            </w:r>
            <w:r>
              <w:tab/>
            </w:r>
            <w:r>
              <w:t>vyzývá k pořádání pravidelných rozsáhlých cvičení připravenosti koordinovaných na úrovni EU, do nichž by byly zapojeny orgány EU, členské státy, regionální a místní orgány, soukromý sektor a občanská společnost; doporučuje, aby tato cvičení simulovala složité a realistické scénáře, včetně kybernetických útoků, narušení kritické infrastruktury, koordinovaných dezinformací a hybridních krizí, s cílem posoudit schopnosti reakce, zlepšit interoperabilitu mezi úrovněmi správy a podpořit kulturu připravenosti na všech úrovních; za tímto účelem vyzývá k zavedení Evropského dne připravenosti; domnívá se, že jeho datem by měl být 24. únor, což je datum nevyprovokované plošné vojenské invaze Ruska na Ukrajinu v roce 2022, jako symbol solidarity EU s Ukrajinou a důrazná připomínka nutnosti posílit civilní a obrannou připravenost na rostoucí hrozby ze strany autoritářských režimů;</w:t>
            </w:r>
          </w:p>
        </w:tc>
        <w:tc>
          <w:tcPr>
            <w:tcW w:w="4876" w:type="dxa"/>
            <w:tcBorders>
              <w:top w:val="nil"/>
              <w:left w:val="nil"/>
              <w:bottom w:val="nil"/>
              <w:right w:val="nil"/>
            </w:tcBorders>
          </w:tcPr>
          <w:p>
            <w:pPr>
              <w:pStyle w:val="Normal6a"/>
            </w:pPr>
            <w:r>
              <w:t>86.</w:t>
            </w:r>
            <w:r>
              <w:tab/>
            </w:r>
            <w:r>
              <w:t xml:space="preserve">vyzývá k pořádání pravidelných rozsáhlých cvičení připravenosti koordinovaných na úrovni EU, do nichž by byly zapojeny orgány </w:t>
            </w:r>
            <w:r>
              <w:rPr>
                <w:b/>
                <w:i/>
              </w:rPr>
              <w:t>a agentury</w:t>
            </w:r>
            <w:r>
              <w:t xml:space="preserve"> EU, členské státy, regionální a místní orgány, soukromý sektor a občanská společnost; doporučuje, aby tato cvičení simulovala složité a realistické scénáře, včetně kybernetických útoků, narušení kritické infrastruktury, koordinovaných dezinformací a hybridních krizí, s cílem posoudit schopnosti reakce, zlepšit interoperabilitu mezi úrovněmi správy a podpořit kulturu připravenosti na všech úrovních; za tímto účelem vyzývá k zavedení Evropského dne připravenosti; domnívá se, že jeho datem by měl být 24. únor, což je datum nevyprovokované plošné vojenské invaze Ruska na Ukrajinu v roce 2022, jako symbol solidarity EU s Ukrajinou a důrazná připomínka nutnosti posílit civilní a obrannou připravenost na rostoucí hrozby ze strany autoritářských režimů;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86a.</w:t>
            </w:r>
            <w:r>
              <w:tab/>
            </w:r>
            <w:r>
              <w:rPr>
                <w:b/>
                <w:i/>
              </w:rPr>
              <w:t>doporučuje, aby před jakýmkoli povinným prováděním byly ve spolupráci s průmyslovými partnery testovány a zdokonalovány protokoly krizové koordinace, aby byla zajištěna jejich účinnost a praktičnost;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1616</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vyzývá Komisi, aby zvážila možnost rozšíření programu Erasmus+ nebo podobných programů o přeshraniční iniciativy zaměřené na školení v oblasti připravenosti pro pracovníky v kritických odvětvích, jako jsou hasiči, zdravotničtí pracovníci, dobrovolníci civilní ochrany, státní úředníci a zástupci organizací občanské společnosti a široká veřejnost; doporučuje, aby tyto programy podporovaly přeshraniční a meziodvětvovou výměnu znalostí, společná cvičení a školení v oblasti hybridních hrozeb a mimořádných událostí a posilovaly místní kapacity připravenosti ve všech členských státech se zvláštním zaměřením na zranitelné regiony;</w:t>
            </w:r>
          </w:p>
        </w:tc>
        <w:tc>
          <w:tcPr>
            <w:tcW w:w="4876" w:type="dxa"/>
            <w:tcBorders>
              <w:top w:val="nil"/>
              <w:left w:val="nil"/>
              <w:bottom w:val="nil"/>
              <w:right w:val="nil"/>
            </w:tcBorders>
          </w:tcPr>
          <w:p>
            <w:pPr>
              <w:pStyle w:val="Normal6a"/>
            </w:pPr>
            <w:r>
              <w:t>87.</w:t>
            </w:r>
            <w:r>
              <w:tab/>
            </w:r>
            <w:r>
              <w:t>vyzývá Komisi, aby zvážila možnost rozšíření programu Erasmus+ nebo podobných programů o přeshraniční iniciativy zaměřené na školení v oblasti připravenosti pro pracovníky v kritických odvětvích, jako jsou hasiči, zdravotničtí pracovníci, dobrovolníci civilní ochrany, státní úředníci a zástupci organizací občanské společnosti a široká veřejnost; doporučuje, aby tyto programy podporovaly přeshraniční a meziodvětvovou výměnu znalostí, společná cvičení a školení v oblasti hybridních hrozeb a mimořádných událostí</w:t>
            </w:r>
            <w:r>
              <w:rPr>
                <w:b/>
                <w:i/>
              </w:rPr>
              <w:t>, včetně praktické digitální gramotnosti a složek kybernetické hygieny, jako je phishing a informovanost o sociálním inženýrství, bezpečná komunikace a schopnost rozeznat manipulace on-line,</w:t>
            </w:r>
            <w:r>
              <w:t> a posilovaly místní kapacity připravenosti ve všech členských státech se zvláštním zaměřením na zranitelné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rPr>
                <w:b/>
                <w:i/>
              </w:rPr>
              <w:t>vyzývá Komisi, aby zvážila</w:t>
            </w:r>
            <w:r>
              <w:t xml:space="preserve"> možnost rozšíření programu Erasmus+ nebo podobných programů o přeshraniční iniciativy zaměřené na školení v oblasti připravenosti pro pracovníky v kritických odvětvích, jako jsou hasiči, zdravotničtí pracovníci, dobrovolníci civilní ochrany, státní úředníci a zástupci organizací občanské společnosti a široká veřejnost; doporučuje, aby tyto programy podporovaly přeshraniční a meziodvětvovou výměnu znalostí, společná cvičení a školení v oblasti hybridních hrozeb a mimořádných událostí a posilovaly místní kapacity připravenosti ve všech členských státech se zvláštním zaměřením na zranitelné regiony;</w:t>
            </w:r>
          </w:p>
        </w:tc>
        <w:tc>
          <w:tcPr>
            <w:tcW w:w="4876" w:type="dxa"/>
            <w:tcBorders>
              <w:top w:val="nil"/>
              <w:left w:val="nil"/>
              <w:bottom w:val="nil"/>
              <w:right w:val="nil"/>
            </w:tcBorders>
          </w:tcPr>
          <w:p>
            <w:pPr>
              <w:pStyle w:val="Normal6a"/>
            </w:pPr>
            <w:r>
              <w:t>87.</w:t>
            </w:r>
            <w:r>
              <w:tab/>
            </w:r>
            <w:r>
              <w:rPr>
                <w:b/>
                <w:i/>
              </w:rPr>
              <w:t>připomíná, že existuje</w:t>
            </w:r>
            <w:r>
              <w:t xml:space="preserve"> možnost rozšíření </w:t>
            </w:r>
            <w:r>
              <w:rPr>
                <w:b/>
                <w:i/>
              </w:rPr>
              <w:t>a posílení</w:t>
            </w:r>
            <w:r>
              <w:t xml:space="preserve"> programu Erasmus+ nebo podobných programů o přeshraniční iniciativy zaměřené na školení v oblasti připravenosti pro pracovníky v kritických odvětvích, jako jsou hasiči, zdravotničtí pracovníci, dobrovolníci civilní ochrany, státní úředníci a zástupci organizací občanské společnosti a široká veřejnost; doporučuje, aby tyto programy podporovaly přeshraniční a meziodvětvovou výměnu znalostí, společná cvičení a školení v oblasti hybridních hrozeb a mimořádných událostí a posilovaly místní kapacity připravenosti ve všech členských státech se zvláštním zaměřením na zranitelné regiony; </w:t>
            </w:r>
            <w:r>
              <w:rPr>
                <w:b/>
                <w:i/>
              </w:rPr>
              <w:t>varuje, že žádná taková opatření by neměla vést ke snížení finančních prostředků přidělených studentům;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1618</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 xml:space="preserve">vyzývá Komisi, aby zvážila možnost rozšíření programu Erasmus+ nebo podobných programů o přeshraniční iniciativy zaměřené na školení v oblasti připravenosti pro pracovníky v kritických odvětvích, jako jsou hasiči, zdravotničtí pracovníci, dobrovolníci civilní ochrany, státní úředníci a zástupci organizací občanské společnosti a široká veřejnost; doporučuje, aby tyto programy podporovaly přeshraniční a meziodvětvovou výměnu znalostí, společná cvičení a školení v oblasti </w:t>
            </w:r>
            <w:r>
              <w:rPr>
                <w:b/>
                <w:i/>
              </w:rPr>
              <w:t>hybridních</w:t>
            </w:r>
            <w:r>
              <w:t xml:space="preserve"> hrozeb a mimořádných událostí a posilovaly místní kapacity připravenosti ve všech členských státech se zvláštním zaměřením na zranitelné regiony;</w:t>
            </w:r>
          </w:p>
        </w:tc>
        <w:tc>
          <w:tcPr>
            <w:tcW w:w="4876" w:type="dxa"/>
            <w:tcBorders>
              <w:top w:val="nil"/>
              <w:left w:val="nil"/>
              <w:bottom w:val="nil"/>
              <w:right w:val="nil"/>
            </w:tcBorders>
          </w:tcPr>
          <w:p>
            <w:pPr>
              <w:pStyle w:val="Normal6a"/>
            </w:pPr>
            <w:r>
              <w:t>87.</w:t>
            </w:r>
            <w:r>
              <w:tab/>
            </w:r>
            <w:r>
              <w:t>vyzývá Komisi, aby zvážila možnost rozšíření programu Erasmus+ nebo podobných programů o přeshraniční iniciativy zaměřené na školení v oblasti připravenosti pro pracovníky v kritických odvětvích, jako jsou hasiči, zdravotničtí pracovníci, dobrovolníci civilní ochrany, státní úředníci a zástupci organizací občanské společnosti a široká veřejnost; doporučuje, aby tyto programy podporovaly přeshraniční a meziodvětvovou výměnu znalostí, společná cvičení a školení v oblasti hrozeb a mimořádných událostí a posilovaly místní kapacity připravenosti ve všech členských státech se zvláštním zaměřením na zranitelné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1619</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 xml:space="preserve">vyzývá Komisi, aby zvážila možnost rozšíření programu Erasmus+ nebo podobných programů </w:t>
            </w:r>
            <w:r>
              <w:rPr>
                <w:b/>
                <w:i/>
              </w:rPr>
              <w:t>o</w:t>
            </w:r>
            <w:r>
              <w:t xml:space="preserve"> přeshraniční iniciativy zaměřené na školení v oblasti připravenosti pro pracovníky v kritických odvětvích, jako jsou hasiči, zdravotničtí pracovníci, dobrovolníci civilní ochrany, státní úředníci a zástupci organizací občanské společnosti a široká veřejnost; doporučuje, aby tyto programy podporovaly přeshraniční a meziodvětvovou výměnu znalostí, společná cvičení a školení v oblasti hybridních hrozeb a mimořádných událostí a posilovaly místní kapacity připravenosti ve všech členských státech se zvláštním zaměřením na zranitelné regiony;</w:t>
            </w:r>
          </w:p>
        </w:tc>
        <w:tc>
          <w:tcPr>
            <w:tcW w:w="4876" w:type="dxa"/>
            <w:tcBorders>
              <w:top w:val="nil"/>
              <w:left w:val="nil"/>
              <w:bottom w:val="nil"/>
              <w:right w:val="nil"/>
            </w:tcBorders>
          </w:tcPr>
          <w:p>
            <w:pPr>
              <w:pStyle w:val="Normal6a"/>
            </w:pPr>
            <w:r>
              <w:t>87.</w:t>
            </w:r>
            <w:r>
              <w:tab/>
            </w:r>
            <w:r>
              <w:t xml:space="preserve">vyzývá Komisi, aby zvážila možnost rozšíření programu Erasmus+ nebo podobných programů </w:t>
            </w:r>
            <w:r>
              <w:rPr>
                <w:b/>
                <w:i/>
              </w:rPr>
              <w:t>na studenty, kteří jsou evropskými občany, aby byly zahrnuty i</w:t>
            </w:r>
            <w:r>
              <w:t xml:space="preserve"> přeshraniční iniciativy zaměřené na školení v oblasti připravenosti pro pracovníky v kritických odvětvích, jako jsou hasiči, zdravotničtí pracovníci, dobrovolníci civilní ochrany, státní úředníci a zástupci organizací občanské společnosti a široká veřejnost; doporučuje, aby tyto programy podporovaly přeshraniční a meziodvětvovou výměnu znalostí, společná cvičení a školení v oblasti hybridních hrozeb a mimořádných událostí a posilovaly místní kapacity připravenosti ve všech členských státech se zvláštním zaměřením na zranitelné regiony;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1620</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požaduje urychlené zavedení bezpečných komunikačních systémů, jako je IRIS² a evropský kritický komunikační systém; zdůrazňuje, že tyto iniciativy zajišťují odolnost telekomunikací, kontinuitu základních služeb během krizí, snižují vnější závislosti ve strategických odvětvích a posilují kybernetickou bezpečnost těchto infrastruktur;</w:t>
            </w:r>
          </w:p>
        </w:tc>
        <w:tc>
          <w:tcPr>
            <w:tcW w:w="4876" w:type="dxa"/>
            <w:tcBorders>
              <w:top w:val="nil"/>
              <w:left w:val="nil"/>
              <w:bottom w:val="nil"/>
              <w:right w:val="nil"/>
            </w:tcBorders>
          </w:tcPr>
          <w:p>
            <w:pPr>
              <w:pStyle w:val="Normal6a"/>
            </w:pPr>
            <w:r>
              <w:t>88.</w:t>
            </w:r>
            <w:r>
              <w:tab/>
            </w:r>
            <w:r>
              <w:t xml:space="preserve">požaduje urychlené zavedení bezpečných komunikačních systémů, jako je IRIS² a evropský kritický komunikační systém; zdůrazňuje, že tyto iniciativy zajišťují odolnost telekomunikací, kontinuitu základních služeb během krizí, snižují vnější závislosti ve strategických odvětvích a posilují kybernetickou bezpečnost těchto infrastruktur; </w:t>
            </w:r>
            <w:r>
              <w:rPr>
                <w:b/>
                <w:i/>
              </w:rPr>
              <w:t>v této souvislosti připomíná, že hackerská skupina Salt Typhoon napojená na Čínu se zaměřovala na evropské telekomunikační společnosti;</w:t>
            </w:r>
            <w:r>
              <w:t xml:space="preserve"> </w:t>
            </w:r>
            <w:r>
              <w:rPr>
                <w:b/>
                <w:i/>
              </w:rPr>
              <w:t>trvá na tom, že je třeba, aby společnosti zvýšily svou vlastní kybernetickou bezpečnost s cílem zajistit digitální bezpečnost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požaduje urychlené zavedení bezpečných komunikačních systémů, jako je IRIS² a evropský kritický komunikační systém; zdůrazňuje, že tyto iniciativy zajišťují odolnost telekomunikací, kontinuitu základních služeb během krizí, snižují vnější závislosti ve strategických odvětvích a posilují kybernetickou bezpečnost těchto infrastruktur;</w:t>
            </w:r>
          </w:p>
        </w:tc>
        <w:tc>
          <w:tcPr>
            <w:tcW w:w="4876" w:type="dxa"/>
            <w:tcBorders>
              <w:top w:val="nil"/>
              <w:left w:val="nil"/>
              <w:bottom w:val="nil"/>
              <w:right w:val="nil"/>
            </w:tcBorders>
          </w:tcPr>
          <w:p>
            <w:pPr>
              <w:pStyle w:val="Normal6a"/>
            </w:pPr>
            <w:r>
              <w:t>88.</w:t>
            </w:r>
            <w:r>
              <w:tab/>
            </w:r>
            <w:r>
              <w:t>požaduje urychlené zavedení bezpečných komunikačních systémů, jako je IRIS² a evropský kritický komunikační systém</w:t>
            </w:r>
            <w:r>
              <w:rPr>
                <w:b/>
                <w:i/>
              </w:rPr>
              <w:t>, při současném respektování pravomocí členských států a účinných řešení, která již dlouho existují v několika členských státech a byla testována v několika krizích</w:t>
            </w:r>
            <w:r>
              <w:t>; zdůrazňuje, že tyto iniciativy zajišťují odolnost telekomunikací, kontinuitu základních služeb během krizí, snižují vnější závislosti ve strategických odvětvích a posilují kybernetickou bezpečnost těchto 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1622</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požaduje urychlené zavedení bezpečných komunikačních systémů, jako je IRIS² a evropský kritický komunikační systém; zdůrazňuje, že tyto iniciativy zajišťují odolnost telekomunikací, kontinuitu základních služeb během krizí, snižují vnější závislosti ve strategických odvětvích a posilují kybernetickou bezpečnost těchto infrastruktur;</w:t>
            </w:r>
          </w:p>
        </w:tc>
        <w:tc>
          <w:tcPr>
            <w:tcW w:w="4876" w:type="dxa"/>
            <w:tcBorders>
              <w:top w:val="nil"/>
              <w:left w:val="nil"/>
              <w:bottom w:val="nil"/>
              <w:right w:val="nil"/>
            </w:tcBorders>
          </w:tcPr>
          <w:p>
            <w:pPr>
              <w:pStyle w:val="Normal6a"/>
            </w:pPr>
            <w:r>
              <w:t>88.</w:t>
            </w:r>
            <w:r>
              <w:tab/>
            </w:r>
            <w:r>
              <w:t xml:space="preserve">požaduje urychlené zavedení bezpečných komunikačních systémů, jako je IRIS² a evropský kritický komunikační systém; zdůrazňuje, že tyto iniciativy zajišťují odolnost telekomunikací, kontinuitu základních služeb během krizí, snižují vnější závislosti ve strategických odvětvích a posilují kybernetickou bezpečnost těchto infrastruktur </w:t>
            </w:r>
            <w:r>
              <w:rPr>
                <w:b/>
                <w:i/>
              </w:rPr>
              <w:t>prostřednictvím harmonizovaného povolování spektra, certifikace kybernetické bezpečnosti a opatření v oblasti bezpečnosti dodavatelského řetězce IKT v souladu s návrhy Komise DNA a CSA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požaduje větší koordinaci mezi orgány, institucemi a jinými subjekty EU, členskými státy a mezinárodními partnery prostřednictvím sdílených platforem pro získávání poznatků o situaci, společných metodik a mechanismů pro rychlou a bezpečnou výměnu informací; zdůrazňuje, že tyto nástroje umožňují soudržnou, pružnou a koordinovanou reakci na hybridní hrozby, zlepšují předvídání rizik a posilují kolektivní připravenost a odolnost EU;</w:t>
            </w:r>
          </w:p>
        </w:tc>
        <w:tc>
          <w:tcPr>
            <w:tcW w:w="4876" w:type="dxa"/>
            <w:tcBorders>
              <w:top w:val="nil"/>
              <w:left w:val="nil"/>
              <w:bottom w:val="nil"/>
              <w:right w:val="nil"/>
            </w:tcBorders>
          </w:tcPr>
          <w:p>
            <w:pPr>
              <w:pStyle w:val="Normal6a"/>
            </w:pPr>
            <w:r>
              <w:t>89.</w:t>
            </w:r>
            <w:r>
              <w:tab/>
            </w:r>
            <w:r>
              <w:t xml:space="preserve">požaduje větší koordinaci mezi orgány, institucemi a jinými subjekty EU, členskými státy a mezinárodními partnery prostřednictvím sdílených platforem pro získávání poznatků o situaci, společných metodik a mechanismů pro rychlou a bezpečnou výměnu informací; zdůrazňuje, že tyto nástroje umožňují soudržnou, pružnou a koordinovanou reakci na hybridní hrozby, zlepšují předvídání rizik a posilují kolektivní připravenost a odolnost EU; </w:t>
            </w:r>
            <w:r>
              <w:rPr>
                <w:b/>
                <w:i/>
              </w:rPr>
              <w:t>v této souvislosti poukazuje na přidanou hodnotu strukturované spolupráce s demokratickými partnery, kteří jsou vystaveni podobným hrozbám, zejména s Tchaj-wanem, který má rozsáhlé zkušenosti s bojem proti kampaním zahraniční manipulace s informacemi a vměšování, včetně těch, které se zaměřují na volby a společenskou soudržnost;</w:t>
            </w:r>
            <w:r>
              <w:t xml:space="preserve"> </w:t>
            </w:r>
            <w:r>
              <w:rPr>
                <w:b/>
                <w:i/>
              </w:rPr>
              <w:t>uznává celospolečenský přístup Tchaj-wanu a osvědčené postupy, které mohou přispět k posílení společného situačního povědomí, kapacit včasného varování a celkové účinnosti Evropského štítu pro demokracii;</w:t>
            </w:r>
            <w:r>
              <w:t xml:space="preserve"> </w:t>
            </w:r>
            <w:r>
              <w:rPr>
                <w:b/>
                <w:i/>
              </w:rPr>
              <w:t>vybízí proto EU a členské státy, aby dále spolupracovaly s Tchaj-wanem při budování sociální odolnosti a v boji proti zahraniční manipulaci s informacemi a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požaduje větší koordinaci mezi orgány, institucemi a jinými subjekty EU, členskými státy a mezinárodními partnery prostřednictvím sdílených platforem pro získávání poznatků o situaci, společných metodik a mechanismů pro rychlou a bezpečnou výměnu informací; zdůrazňuje, že tyto nástroje umožňují soudržnou, pružnou a koordinovanou reakci na hybridní hrozby, zlepšují předvídání rizik a posilují kolektivní připravenost a odolnost EU;</w:t>
            </w:r>
          </w:p>
        </w:tc>
        <w:tc>
          <w:tcPr>
            <w:tcW w:w="4876" w:type="dxa"/>
            <w:tcBorders>
              <w:top w:val="nil"/>
              <w:left w:val="nil"/>
              <w:bottom w:val="nil"/>
              <w:right w:val="nil"/>
            </w:tcBorders>
          </w:tcPr>
          <w:p>
            <w:pPr>
              <w:pStyle w:val="Normal6a"/>
            </w:pPr>
            <w:r>
              <w:t>89.</w:t>
            </w:r>
            <w:r>
              <w:tab/>
            </w:r>
            <w:r>
              <w:t xml:space="preserve">požaduje větší koordinaci mezi orgány, institucemi a jinými subjekty EU, členskými státy a </w:t>
            </w:r>
            <w:r>
              <w:rPr>
                <w:b/>
                <w:i/>
              </w:rPr>
              <w:t>podobně smýšlejícími</w:t>
            </w:r>
            <w:r>
              <w:t xml:space="preserve"> mezinárodními partnery prostřednictvím sdílených platforem pro získávání poznatků o situaci, společných metodik a mechanismů pro rychlou a bezpečnou výměnu informací; zdůrazňuje, že tyto nástroje umožňují soudržnou, pružnou a koordinovanou reakci na hybridní hrozby, zlepšují předvídání rizik a posilují kolektivní připravenost a odolnost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 xml:space="preserve">požaduje větší koordinaci mezi orgány, institucemi a jinými subjekty EU, členskými státy a mezinárodními partnery prostřednictvím sdílených platforem pro získávání poznatků o situaci, společných metodik a mechanismů pro rychlou a bezpečnou výměnu informací; zdůrazňuje, že tyto nástroje umožňují </w:t>
            </w:r>
            <w:r>
              <w:rPr>
                <w:b/>
                <w:i/>
              </w:rPr>
              <w:t>soudržnou, pružnou a koordinovanou reakci na hybridní hrozby</w:t>
            </w:r>
            <w:r>
              <w:t>, zlepšují předvídání rizik a posilují kolektivní připravenost a odolnost EU;</w:t>
            </w:r>
          </w:p>
        </w:tc>
        <w:tc>
          <w:tcPr>
            <w:tcW w:w="4876" w:type="dxa"/>
            <w:tcBorders>
              <w:top w:val="nil"/>
              <w:left w:val="nil"/>
              <w:bottom w:val="nil"/>
              <w:right w:val="nil"/>
            </w:tcBorders>
          </w:tcPr>
          <w:p>
            <w:pPr>
              <w:pStyle w:val="Normal6a"/>
            </w:pPr>
            <w:r>
              <w:t>89.</w:t>
            </w:r>
            <w:r>
              <w:tab/>
            </w:r>
            <w:r>
              <w:t xml:space="preserve">požaduje větší koordinaci mezi orgány, institucemi a jinými subjekty EU, členskými státy a mezinárodními partnery prostřednictvím sdílených platforem pro získávání poznatků o situaci, společných metodik a mechanismů pro rychlou a bezpečnou výměnu informací; zdůrazňuje, že tyto nástroje umožňují </w:t>
            </w:r>
            <w:r>
              <w:rPr>
                <w:b/>
                <w:i/>
              </w:rPr>
              <w:t>soustavnou výměnu informací a sdílení osvědčených postupů</w:t>
            </w:r>
            <w:r>
              <w:t>, zlepšují předvídání rizik a posilují kolektivní připravenost a odolnost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1626</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 xml:space="preserve">požaduje větší koordinaci mezi orgány, institucemi a jinými subjekty EU, členskými státy a mezinárodními partnery prostřednictvím sdílených platforem pro získávání poznatků o situaci, společných metodik a mechanismů pro rychlou a bezpečnou výměnu informací; zdůrazňuje, že tyto nástroje umožňují soudržnou, pružnou a koordinovanou reakci na </w:t>
            </w:r>
            <w:r>
              <w:rPr>
                <w:b/>
                <w:i/>
              </w:rPr>
              <w:t>hybridní</w:t>
            </w:r>
            <w:r>
              <w:t xml:space="preserve"> hrozby, zlepšují předvídání rizik a posilují kolektivní připravenost a odolnost EU;</w:t>
            </w:r>
          </w:p>
        </w:tc>
        <w:tc>
          <w:tcPr>
            <w:tcW w:w="4876" w:type="dxa"/>
            <w:tcBorders>
              <w:top w:val="nil"/>
              <w:left w:val="nil"/>
              <w:bottom w:val="nil"/>
              <w:right w:val="nil"/>
            </w:tcBorders>
          </w:tcPr>
          <w:p>
            <w:pPr>
              <w:pStyle w:val="Normal6a"/>
            </w:pPr>
            <w:r>
              <w:t>89.</w:t>
            </w:r>
            <w:r>
              <w:tab/>
            </w:r>
            <w:r>
              <w:t xml:space="preserve">požaduje větší koordinaci mezi orgány, institucemi a jinými subjekty EU, členskými státy a mezinárodními partnery prostřednictvím sdílených platforem pro získávání poznatků o situaci, společných metodik a mechanismů pro rychlou a bezpečnou výměnu informací; zdůrazňuje, že tyto nástroje umožňují soudržnou, pružnou a koordinovanou reakci na </w:t>
            </w:r>
            <w:r>
              <w:rPr>
                <w:b/>
                <w:i/>
              </w:rPr>
              <w:t>různé</w:t>
            </w:r>
            <w:r>
              <w:t xml:space="preserve"> hrozby, zlepšují předvídání rizik a posilují kolektivní připravenost a odolnost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89a.</w:t>
            </w:r>
            <w:r>
              <w:tab/>
            </w:r>
            <w:r>
              <w:rPr>
                <w:b/>
                <w:i/>
              </w:rPr>
              <w:t>zdůrazňuje, že připravenost a odolnost jsou kolektivními povinnostmi vyžadujícími účast společnosti;</w:t>
            </w:r>
            <w:r>
              <w:t xml:space="preserve"> </w:t>
            </w:r>
            <w:r>
              <w:rPr>
                <w:b/>
                <w:i/>
              </w:rPr>
              <w:t>podporuje rozvoj celounijních nástrojů připravenosti, které posilují postavení občanů a zároveň respektují sociální začlenění, přístupnost a demokratické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1628</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89a.</w:t>
            </w:r>
            <w:r>
              <w:tab/>
            </w:r>
            <w:r>
              <w:rPr>
                <w:b/>
                <w:i/>
              </w:rPr>
              <w:t>vítá angažovanost a odpovědnost předsednictví Rady Evropské unie ve věci zahraničního vměšování;</w:t>
            </w:r>
            <w:r>
              <w:t xml:space="preserve"> </w:t>
            </w:r>
            <w:r>
              <w:rPr>
                <w:b/>
                <w:i/>
              </w:rPr>
              <w:t>vyzývá však předsednictví, aby se vyvarovala toho, že by každých šest měsíců vytvářela nové struktury a koncepce;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1629</w:t>
      </w:r>
      <w:r>
        <w:rPr>
          <w:rStyle w:val="HideTWBExt"/>
        </w:rPr>
        <w:t>&lt;/NumAm&gt;</w:t>
      </w:r>
    </w:p>
    <w:p>
      <w:pPr>
        <w:pStyle w:val="NormalBold"/>
      </w:pPr>
      <w:r>
        <w:rPr>
          <w:rStyle w:val="HideTWBExt"/>
          <w:b w:val="0"/>
        </w:rPr>
        <w:t>&lt;RepeatBlock-By&gt;</w:t>
      </w:r>
      <w:r>
        <w:rPr>
          <w:rStyle w:val="HideTWBExt"/>
          <w:b w:val="0"/>
        </w:rPr>
        <w:t>&lt;Members&gt;</w:t>
      </w:r>
      <w:r>
        <w:t>Jaroslav Bžoch,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90.</w:t>
            </w:r>
            <w:r>
              <w:tab/>
            </w:r>
            <w:r>
              <w:t xml:space="preserve">zdůrazňuje </w:t>
            </w:r>
            <w:r>
              <w:rPr>
                <w:b/>
                <w:i/>
              </w:rPr>
              <w:t>potřebu začlenit připravenost do VFR na období 2028–2034 s cílem vybudovat důvěryhodnou odolnost a dosáhnout dostatečné úrovně civilní a obranné připravenosti;</w:t>
            </w:r>
            <w:r>
              <w:t xml:space="preserve"> </w:t>
            </w:r>
            <w:r>
              <w:rPr>
                <w:b/>
                <w:i/>
              </w:rPr>
              <w:t>naléhavě vyzývá Komisi, aby vytvořila cílené</w:t>
            </w:r>
            <w:r>
              <w:t xml:space="preserve"> finanční </w:t>
            </w:r>
            <w:r>
              <w:rPr>
                <w:b/>
                <w:i/>
              </w:rPr>
              <w:t>nástroje kombinující příslušné nástroje v oblasti obrany a civilní bezpečnosti, jako je nástroj na obranu Evropy a nástroj pro zabezpečení Evropy, s cílem zajistit dostatečné a stabilní financování projektů budování odolnosti, technologických inovací a schopností dvojího užití, iniciativ v oblasti civilní připravenosti, ochrany kritické infrastruktury a úsilí o posílení průmyslové a technologické suverenity EU</w:t>
            </w:r>
            <w:r>
              <w:t xml:space="preserve">; konstatuje, že </w:t>
            </w:r>
            <w:r>
              <w:rPr>
                <w:b/>
                <w:i/>
              </w:rPr>
              <w:t>vyhrazené finanční</w:t>
            </w:r>
            <w:r>
              <w:t xml:space="preserve"> zdroje by měly upřednostňovat </w:t>
            </w:r>
            <w:r>
              <w:rPr>
                <w:b/>
                <w:i/>
              </w:rPr>
              <w:t>také</w:t>
            </w:r>
            <w:r>
              <w:t xml:space="preserve"> místní úsilí </w:t>
            </w:r>
            <w:r>
              <w:rPr>
                <w:b/>
                <w:i/>
              </w:rPr>
              <w:t>o připravenost, zejména na územích, která jsou nejvíce zranitelná a vystavena hybridním hrozbám</w:t>
            </w:r>
            <w:r>
              <w:t>;</w:t>
            </w:r>
          </w:p>
        </w:tc>
        <w:tc>
          <w:tcPr>
            <w:tcW w:w="4876" w:type="dxa"/>
            <w:tcBorders>
              <w:top w:val="nil"/>
              <w:left w:val="nil"/>
              <w:bottom w:val="nil"/>
              <w:right w:val="nil"/>
            </w:tcBorders>
          </w:tcPr>
          <w:p>
            <w:pPr>
              <w:pStyle w:val="Normal6a"/>
            </w:pPr>
            <w:r>
              <w:t>90.</w:t>
            </w:r>
            <w:r>
              <w:tab/>
            </w:r>
            <w:r>
              <w:t>zdůrazňuje</w:t>
            </w:r>
            <w:r>
              <w:rPr>
                <w:b/>
                <w:i/>
              </w:rPr>
              <w:t>, že je třeba poskytnout a přidělit</w:t>
            </w:r>
            <w:r>
              <w:t xml:space="preserve"> finanční </w:t>
            </w:r>
            <w:r>
              <w:rPr>
                <w:b/>
                <w:i/>
              </w:rPr>
              <w:t>prostředky na vývoj a nákup technologického vybavení pro boj proti dezinformacím a zahraničnímu vměšování</w:t>
            </w:r>
            <w:r>
              <w:t xml:space="preserve">; konstatuje, že </w:t>
            </w:r>
            <w:r>
              <w:rPr>
                <w:b/>
                <w:i/>
              </w:rPr>
              <w:t>zvláštní</w:t>
            </w:r>
            <w:r>
              <w:t xml:space="preserve"> zdroje </w:t>
            </w:r>
            <w:r>
              <w:rPr>
                <w:b/>
                <w:i/>
              </w:rPr>
              <w:t>financování</w:t>
            </w:r>
            <w:r>
              <w:t xml:space="preserve"> by měly </w:t>
            </w:r>
            <w:r>
              <w:rPr>
                <w:b/>
                <w:i/>
              </w:rPr>
              <w:t>rovněž</w:t>
            </w:r>
            <w:r>
              <w:t xml:space="preserve"> upřednostňovat místní úsilí </w:t>
            </w:r>
            <w:r>
              <w:rPr>
                <w:b/>
                <w:i/>
              </w:rPr>
              <w:t>v oblasti připravenosti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90.</w:t>
            </w:r>
            <w:r>
              <w:tab/>
            </w:r>
            <w:r>
              <w:t>zdůrazňuje potřebu začlenit připravenost do VFR na období 2028–2034 s cílem vybudovat důvěryhodnou odolnost a dosáhnout dostatečné úrovně civilní a obranné připravenosti; naléhavě vyzývá Komisi, aby vytvořila cílené finanční nástroje kombinující příslušné nástroje v oblasti obrany a civilní bezpečnosti, jako je nástroj na obranu Evropy a nástroj pro zabezpečení Evropy, s cílem zajistit dostatečné a stabilní financování projektů budování odolnosti, technologických inovací a schopností dvojího užití, iniciativ v oblasti civilní připravenosti, ochrany kritické infrastruktury a úsilí o posílení průmyslové a technologické suverenity EU; konstatuje, že vyhrazené finanční zdroje by měly upřednostňovat také místní úsilí o připravenost, zejména na územích, která jsou nejvíce zranitelná a vystavena hybridním hrozbám;</w:t>
            </w:r>
          </w:p>
        </w:tc>
        <w:tc>
          <w:tcPr>
            <w:tcW w:w="4876" w:type="dxa"/>
            <w:tcBorders>
              <w:top w:val="nil"/>
              <w:left w:val="nil"/>
              <w:bottom w:val="nil"/>
              <w:right w:val="nil"/>
            </w:tcBorders>
          </w:tcPr>
          <w:p>
            <w:pPr>
              <w:pStyle w:val="Normal6a"/>
            </w:pPr>
            <w:r>
              <w:t>90.</w:t>
            </w:r>
            <w:r>
              <w:tab/>
            </w:r>
            <w:r>
              <w:t xml:space="preserve">zdůrazňuje potřebu začlenit připravenost do VFR na období 2028–2034 s cílem vybudovat důvěryhodnou odolnost a dosáhnout dostatečné úrovně civilní a obranné připravenosti; naléhavě vyzývá Komisi, aby vytvořila cílené finanční nástroje kombinující příslušné nástroje v oblasti obrany a civilní bezpečnosti, jako je nástroj na obranu Evropy a nástroj pro zabezpečení Evropy, s cílem zajistit dostatečné a stabilní financování projektů budování odolnosti, technologických inovací a schopností dvojího užití, iniciativ v oblasti civilní připravenosti, ochrany kritické infrastruktury a úsilí o posílení průmyslové a technologické suverenity EU; konstatuje, že vyhrazené finanční zdroje by měly upřednostňovat také místní úsilí o připravenost, zejména na územích, která jsou nejvíce zranitelná a vystavena hybridním </w:t>
            </w:r>
            <w:r>
              <w:rPr>
                <w:b/>
                <w:i/>
              </w:rPr>
              <w:t>a informačním</w:t>
            </w:r>
            <w:r>
              <w:t xml:space="preserve"> hrozbám;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1631</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90.</w:t>
            </w:r>
            <w:r>
              <w:tab/>
            </w:r>
            <w:r>
              <w:t xml:space="preserve">zdůrazňuje potřebu začlenit připravenost do VFR na období 2028–2034 s cílem vybudovat důvěryhodnou odolnost a dosáhnout dostatečné úrovně civilní a obranné připravenosti; naléhavě vyzývá Komisi, aby vytvořila cílené finanční nástroje kombinující příslušné nástroje v oblasti obrany a civilní bezpečnosti, jako je nástroj na obranu Evropy a nástroj pro zabezpečení Evropy, s cílem zajistit dostatečné a stabilní financování projektů budování odolnosti, technologických inovací a schopností dvojího užití, iniciativ v oblasti civilní připravenosti, ochrany kritické infrastruktury a úsilí o posílení průmyslové a technologické suverenity EU; konstatuje, že vyhrazené finanční zdroje by měly upřednostňovat také místní úsilí o připravenost, zejména na územích, která jsou nejvíce zranitelná a vystavena </w:t>
            </w:r>
            <w:r>
              <w:rPr>
                <w:b/>
                <w:i/>
              </w:rPr>
              <w:t>hybridním</w:t>
            </w:r>
            <w:r>
              <w:t xml:space="preserve"> hrozbám;</w:t>
            </w:r>
          </w:p>
        </w:tc>
        <w:tc>
          <w:tcPr>
            <w:tcW w:w="4876" w:type="dxa"/>
            <w:tcBorders>
              <w:top w:val="nil"/>
              <w:left w:val="nil"/>
              <w:bottom w:val="nil"/>
              <w:right w:val="nil"/>
            </w:tcBorders>
          </w:tcPr>
          <w:p>
            <w:pPr>
              <w:pStyle w:val="Normal6a"/>
            </w:pPr>
            <w:r>
              <w:t>90.</w:t>
            </w:r>
            <w:r>
              <w:tab/>
            </w:r>
            <w:r>
              <w:t>zdůrazňuje potřebu začlenit připravenost do VFR na období 2028–2034 s cílem vybudovat důvěryhodnou odolnost a dosáhnout dostatečné úrovně civilní a obranné připravenosti; naléhavě vyzývá Komisi, aby vytvořila cílené finanční nástroje kombinující příslušné nástroje v oblasti obrany a civilní bezpečnosti, jako je nástroj na obranu Evropy a nástroj pro zabezpečení Evropy, s cílem zajistit dostatečné a stabilní financování projektů budování odolnosti, technologických inovací a schopností dvojího užití, iniciativ v oblasti civilní připravenosti, ochrany kritické infrastruktury a úsilí o posílení průmyslové a technologické suverenity EU; konstatuje, že vyhrazené finanční zdroje by měly upřednostňovat také místní úsilí o připravenost, zejména na územích, která jsou nejvíce zranitelná a vystavena hrozbám;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1632</w:t>
      </w:r>
      <w:r>
        <w:rPr>
          <w:rStyle w:val="HideTWBExt"/>
        </w:rPr>
        <w:t>&lt;/NumAm&gt;</w:t>
      </w:r>
    </w:p>
    <w:p>
      <w:pPr>
        <w:pStyle w:val="NormalBold"/>
      </w:pPr>
      <w:r>
        <w:rPr>
          <w:rStyle w:val="HideTWBExt"/>
          <w:b w:val="0"/>
        </w:rPr>
        <w:t>&lt;RepeatBlock-By&gt;</w:t>
      </w:r>
      <w:r>
        <w:rPr>
          <w:rStyle w:val="HideTWBExt"/>
          <w:b w:val="0"/>
        </w:rPr>
        <w:t>&lt;Members&gt;</w:t>
      </w:r>
      <w:r>
        <w:t>Eszter Lakos, Ana Miguel Pedro, Tomas Tobé, Mika Aaltola,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90a.</w:t>
            </w:r>
            <w:r>
              <w:tab/>
            </w:r>
            <w:r>
              <w:rPr>
                <w:b/>
                <w:i/>
              </w:rPr>
              <w:t>vyzývá k vypracování veřejně dostupné výroční zprávy o činnosti na úrovni EU;</w:t>
            </w:r>
            <w:r>
              <w:t xml:space="preserve"> </w:t>
            </w:r>
            <w:r>
              <w:rPr>
                <w:b/>
                <w:i/>
              </w:rPr>
              <w:t>zpráva by měla poskytnout strukturovaný přehled připravenosti členských států na hybridní hrozby, včetně jejich institucionálních rámců, strategických schopností, preventivních opatření, mechanismů reakce a zbývajících zranitelných míst;</w:t>
            </w:r>
            <w:r>
              <w:t xml:space="preserve"> </w:t>
            </w:r>
            <w:r>
              <w:rPr>
                <w:b/>
                <w:i/>
              </w:rPr>
              <w:t>zdůrazňuje, že tato zpráva by měla jasným a přístupným způsobem uvádět celkový stav připravenosti v celé Unii, trendy v průběhu času a zjištěné klíčové výzvy při současném respektování aspektů národní bezpečnosti;</w:t>
            </w:r>
            <w:r>
              <w:t xml:space="preserve"> </w:t>
            </w:r>
            <w:r>
              <w:rPr>
                <w:b/>
                <w:i/>
              </w:rPr>
              <w:t>zdůrazňuje, že výroční zpráva o činnosti by měla sloužit jako rozhraní pro informování veřejnosti, které občanům umožní pochopit, jak jsou demokratické instituce a kritické systémy chráněny před hybridními útoky;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90a.</w:t>
            </w:r>
            <w:r>
              <w:tab/>
            </w:r>
            <w:r>
              <w:rPr>
                <w:b/>
                <w:i/>
              </w:rPr>
              <w:t>vítá občanské iniciativy a odvahu na podporu obranného úsilí EU z bezpečného prostředí převzetím iniciativy a odhalováním nezákonných činností prostřednictvím zpravodajských informací z otevřených zdrojů (OSINT);</w:t>
            </w:r>
            <w:r>
              <w:t xml:space="preserve"> </w:t>
            </w:r>
            <w:r>
              <w:rPr>
                <w:b/>
                <w:i/>
              </w:rPr>
              <w:t>oceňuje odvahu sedmi německých studentů a jejich vedoucího, kteří identifikovali, sledovali a obviňovali ruskou loď, která tajně vysílala průzkumné drony nad Německo;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90b.</w:t>
            </w:r>
            <w:r>
              <w:tab/>
            </w:r>
            <w:r>
              <w:rPr>
                <w:b/>
                <w:i/>
              </w:rPr>
              <w:t>poukazuje na to, že jsou zapotřebí investice do sítí pro výzkum a analýzu otevřených zdrojů informací a jejich úlohu v boji proti operacím ovlivňování, zahraniční manipulaci s informacemi a vměšování a hybridním hrozbám;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1635</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doporučuje, aby rozhodovací orgány EU přezkoumaly a optimalizovaly své strategie a pohotovostní plány v případě otevřeného vojenského konfliktu proti jednomu nebo více členským státům a podobných krizových scénářů;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 zdůrazňuje, že i bez otevřeného vojenského konfliktu představují hybridní hrozby stále větší riziko pro každodenní fungování EU;</w:t>
            </w:r>
          </w:p>
        </w:tc>
        <w:tc>
          <w:tcPr>
            <w:tcW w:w="4876" w:type="dxa"/>
            <w:tcBorders>
              <w:top w:val="nil"/>
              <w:left w:val="nil"/>
              <w:bottom w:val="nil"/>
              <w:right w:val="nil"/>
            </w:tcBorders>
          </w:tcPr>
          <w:p>
            <w:pPr>
              <w:pStyle w:val="Normal6a"/>
            </w:pPr>
            <w:r>
              <w:t>91.</w:t>
            </w:r>
            <w:r>
              <w:tab/>
            </w:r>
            <w:r>
              <w:t>doporučuje, aby rozhodovací orgány EU přezkoumaly a optimalizovaly své strategie a pohotovostní plány v případě otevřeného vojenského konfliktu proti jednomu nebo více členským státům a podobných krizových scénářů</w:t>
            </w:r>
            <w:r>
              <w:rPr>
                <w:b/>
                <w:i/>
              </w:rPr>
              <w:t>;</w:t>
            </w:r>
            <w:r>
              <w:t xml:space="preserve"> </w:t>
            </w:r>
            <w:r>
              <w:rPr>
                <w:b/>
                <w:i/>
              </w:rPr>
              <w:t>vyzývá rozhodovací orgány EU, aby k hrozbám použití síly a iredentistickým nárokům vůči členským státům ze strany třetích zemí přistupovaly jako k hybridní hrozbě pro kolektivní bezpečnost a prosperitu Unie, která může rovněž ovlivnit veřejné mínění, volební chování a demokratické procesy</w:t>
            </w:r>
            <w:r>
              <w:t>;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 zdůrazňuje, že i bez otevřeného vojenského konfliktu představují hybridní hrozby stále větší riziko pro každodenní fungování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1636</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 xml:space="preserve">doporučuje, aby rozhodovací orgány EU přezkoumaly a optimalizovaly své strategie a pohotovostní plány v případě otevřeného vojenského konfliktu proti jednomu nebo více členským státům a podobných krizových scénářů;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 </w:t>
            </w:r>
            <w:r>
              <w:rPr>
                <w:b/>
                <w:i/>
              </w:rPr>
              <w:t>zdůrazňuje, že i bez otevřeného vojenského konfliktu představují hybridní hrozby stále větší riziko pro každodenní fungování EU;</w:t>
            </w:r>
          </w:p>
        </w:tc>
        <w:tc>
          <w:tcPr>
            <w:tcW w:w="4876" w:type="dxa"/>
            <w:tcBorders>
              <w:top w:val="nil"/>
              <w:left w:val="nil"/>
              <w:bottom w:val="nil"/>
              <w:right w:val="nil"/>
            </w:tcBorders>
          </w:tcPr>
          <w:p>
            <w:pPr>
              <w:pStyle w:val="Normal6a"/>
            </w:pPr>
            <w:r>
              <w:t>91.</w:t>
            </w:r>
            <w:r>
              <w:tab/>
            </w:r>
            <w:r>
              <w:t>doporučuje, aby rozhodovací orgány EU přezkoumaly a optimalizovaly své strategie a pohotovostní plány v případě otevřeného vojenského konfliktu proti jednomu nebo více členským státům a podobných krizových scénářů;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1637</w:t>
      </w:r>
      <w:r>
        <w:rPr>
          <w:rStyle w:val="HideTWBExt"/>
        </w:rPr>
        <w:t>&lt;/NumAm&gt;</w:t>
      </w:r>
    </w:p>
    <w:p>
      <w:pPr>
        <w:pStyle w:val="NormalBold"/>
      </w:pPr>
      <w:r>
        <w:rPr>
          <w:rStyle w:val="HideTWBExt"/>
          <w:b w:val="0"/>
        </w:rPr>
        <w:t>&lt;RepeatBlock-By&gt;</w:t>
      </w:r>
      <w:r>
        <w:rPr>
          <w:rStyle w:val="HideTWBExt"/>
          <w:b w:val="0"/>
        </w:rPr>
        <w:t>&lt;Members&gt;</w:t>
      </w:r>
      <w:r>
        <w:t>Tomáš Zdechovský, Lukas Mandl, Sandra Kalniete, Dan-Ştefan Motreanu, Marta Wcisło, Andrey Kovatchev, Tomas Tobé, 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doporučuje, aby rozhodovací orgány EU přezkoumaly a optimalizovaly své strategie a pohotovostní plány v případě otevřeného vojenského konfliktu proti jednomu nebo více členským státům a podobných krizových scénářů;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 zdůrazňuje, že i bez otevřeného vojenského konfliktu představují hybridní hrozby stále větší riziko pro každodenní fungování EU;</w:t>
            </w:r>
          </w:p>
        </w:tc>
        <w:tc>
          <w:tcPr>
            <w:tcW w:w="4876" w:type="dxa"/>
            <w:tcBorders>
              <w:top w:val="nil"/>
              <w:left w:val="nil"/>
              <w:bottom w:val="nil"/>
              <w:right w:val="nil"/>
            </w:tcBorders>
          </w:tcPr>
          <w:p>
            <w:pPr>
              <w:pStyle w:val="Normal6a"/>
            </w:pPr>
            <w:r>
              <w:t>91.</w:t>
            </w:r>
            <w:r>
              <w:tab/>
            </w:r>
            <w:r>
              <w:t>doporučuje, aby rozhodovací orgány EU přezkoumaly a optimalizovaly své strategie a pohotovostní plány v případě otevřeného vojenského konfliktu proti jednomu nebo více členským státům a podobných krizových scénářů;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w:t>
            </w:r>
            <w:r>
              <w:rPr>
                <w:b/>
                <w:i/>
              </w:rPr>
              <w:t>, a to i prostřednictvím účinného vyšetřování a stíhání těchto případů</w:t>
            </w:r>
            <w:r>
              <w:t>; zdůrazňuje, že i bez otevřeného vojenského konfliktu představují hybridní hrozby stále větší riziko pro každodenní fungování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doporučuje, aby rozhodovací orgány EU přezkoumaly a optimalizovaly své strategie a pohotovostní plány v případě otevřeného vojenského konfliktu proti jednomu nebo více členským státům a podobných krizových scénářů;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 zdůrazňuje, že i bez otevřeného vojenského konfliktu představují hybridní hrozby stále větší riziko pro každodenní fungování EU;</w:t>
            </w:r>
          </w:p>
        </w:tc>
        <w:tc>
          <w:tcPr>
            <w:tcW w:w="4876" w:type="dxa"/>
            <w:tcBorders>
              <w:top w:val="nil"/>
              <w:left w:val="nil"/>
              <w:bottom w:val="nil"/>
              <w:right w:val="nil"/>
            </w:tcBorders>
          </w:tcPr>
          <w:p>
            <w:pPr>
              <w:pStyle w:val="Normal6a"/>
            </w:pPr>
            <w:r>
              <w:t>91.</w:t>
            </w:r>
            <w:r>
              <w:tab/>
            </w:r>
            <w:r>
              <w:t>doporučuje, aby rozhodovací orgány EU přezkoumaly a optimalizovaly své strategie a pohotovostní plány v případě otevřeného vojenského konfliktu proti jednomu nebo více členským státům a podobných krizových scénářů</w:t>
            </w:r>
            <w:r>
              <w:rPr>
                <w:b/>
                <w:i/>
              </w:rPr>
              <w:t>, včetně aktivace čl. 42 odst. 7 SEU</w:t>
            </w:r>
            <w:r>
              <w:t>;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 zdůrazňuje, že i bez otevřeného vojenského konfliktu představují hybridní hrozby stále větší riziko pro každodenní fungování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doporučuje, aby rozhodovací orgány EU přezkoumaly a optimalizovaly své strategie a pohotovostní plány v případě otevřeného vojenského konfliktu proti jednomu nebo více členským státům a podobných krizových scénářů;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 zdůrazňuje, že i bez otevřeného vojenského konfliktu představují hybridní hrozby stále větší riziko pro každodenní fungování EU;</w:t>
            </w:r>
          </w:p>
        </w:tc>
        <w:tc>
          <w:tcPr>
            <w:tcW w:w="4876" w:type="dxa"/>
            <w:tcBorders>
              <w:top w:val="nil"/>
              <w:left w:val="nil"/>
              <w:bottom w:val="nil"/>
              <w:right w:val="nil"/>
            </w:tcBorders>
          </w:tcPr>
          <w:p>
            <w:pPr>
              <w:pStyle w:val="Normal6a"/>
            </w:pPr>
            <w:r>
              <w:t>91.</w:t>
            </w:r>
            <w:r>
              <w:tab/>
            </w:r>
            <w:r>
              <w:t xml:space="preserve">doporučuje, aby rozhodovací orgány EU </w:t>
            </w:r>
            <w:r>
              <w:rPr>
                <w:b/>
                <w:i/>
              </w:rPr>
              <w:t>v úzké spolupráci s členskými státy</w:t>
            </w:r>
            <w:r>
              <w:t xml:space="preserve"> přezkoumaly a optimalizovaly své strategie a pohotovostní plány v případě otevřeného vojenského konfliktu proti jednomu nebo více členským státům a podobných krizových scénářů; dále zdůrazňuje, že ve všech orgánech, institucích a jiných subjektech EU je třeba zajistit nejvyšší úroveň bezpečnosti a zabezpečení, a to i v oblasti kybernetické bezpečnosti a bezpečnosti a integrity informací, a vytvořit v tomto ohledu nezbytné podmínky, včetně zajištění akreditovaných bezpečných komunikačních kanálů a odpovídajících zasedacích místností pro neveřejné schůze; zdůrazňuje, že je třeba přísně prosazovat pravidla týkající se narušení bezpečnosti a důvěrnosti informací, zejména v souvislosti se zvýšeným rizikem špionáže a sabotáže; zdůrazňuje, že i bez otevřeného vojenského konfliktu představují hybridní hrozby stále větší riziko pro každodenní fungování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91a.</w:t>
            </w:r>
            <w:r>
              <w:tab/>
            </w:r>
            <w:r>
              <w:rPr>
                <w:b/>
                <w:i/>
              </w:rPr>
              <w:t>zdůrazňuje, že boj proti dezinformacím, zahraniční manipulaci s informacemi a vměšování a operacím ovlivňování musí obecně usilovat o systematické bránění těmto hrozbám tím, že se bude zabývat taktikou, aktéry hrozeb a systémovými riziky;</w:t>
            </w:r>
            <w:r>
              <w:t xml:space="preserve"> </w:t>
            </w:r>
            <w:r>
              <w:rPr>
                <w:b/>
                <w:i/>
              </w:rPr>
              <w:t>konstatuje, že programy pro boj proti manipulaci s informacemi by se měly zaměřit na aktivní narušení informačních hrozeb;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92.</w:t>
            </w:r>
            <w:r>
              <w:tab/>
            </w:r>
            <w:r>
              <w:t>vítá úsilí Komise o posílení fyzické a informační bezpečnosti v orgánech EU, jak je uvedeno ve sdělení řídící rady z října 2025, včetně plánů na zabezpečené zasedací místnosti, posílených postupů pro bezpečnostní prověrky zaměstnanců, kteří nakládají s utajovanými informacemi, a zřízení Bezpečnostní akademie s cílem zajistit pravidelné aktuální informace o vývoji hrozeb; konstatuje, že tato opatření reagují na zvýšená rizika špionáže, zahraničního vměšování a hybridních hrozeb namířených proti rozhodovacím procesům EU; zdůrazňuje však, že zlepšení fyzické bezpečnosti musí být doplněno spolehlivými protokoly kybernetické bezpečnosti a schopnostmi kontrašpionáže, aby bylo možné řešit celé spektrum rizik infiltrace; požaduje urychlené přijetí návrhu nařízení o bezpečnosti informací v orgánech, institucích a jiných subjektech Unie, který předložila Komise (COM/2022/0119); připomíná, že nařízení o kybernetické bezpečnosti pro orgány, instituce a jiné subjekty EU doporučuje rozpočet na kybernetickou bezpečnost ve výši 10 % celkového rozpočtu na informační a komunikační technologie pro subjekty EU;</w:t>
            </w:r>
          </w:p>
        </w:tc>
        <w:tc>
          <w:tcPr>
            <w:tcW w:w="4876" w:type="dxa"/>
            <w:tcBorders>
              <w:top w:val="nil"/>
              <w:left w:val="nil"/>
              <w:bottom w:val="nil"/>
              <w:right w:val="nil"/>
            </w:tcBorders>
          </w:tcPr>
          <w:p>
            <w:pPr>
              <w:pStyle w:val="Normal6a"/>
            </w:pPr>
            <w:r>
              <w:t>92.</w:t>
            </w:r>
            <w:r>
              <w:tab/>
            </w:r>
            <w:r>
              <w:t xml:space="preserve">vítá úsilí Komise o posílení fyzické a informační bezpečnosti v orgánech EU, jak je uvedeno ve sdělení řídící rady z října 2025, včetně plánů na zabezpečené zasedací místnosti, posílených postupů pro bezpečnostní prověrky zaměstnanců, kteří nakládají s utajovanými informacemi, a zřízení Bezpečnostní akademie s cílem zajistit pravidelné aktuální informace o vývoji hrozeb; konstatuje, že tato opatření reagují na zvýšená rizika špionáže, zahraničního vměšování a hybridních hrozeb namířených proti rozhodovacím procesům EU; zdůrazňuje však, že zlepšení fyzické bezpečnosti musí být doplněno spolehlivými protokoly kybernetické bezpečnosti a schopnostmi kontrašpionáže, aby bylo možné řešit celé spektrum rizik infiltrace; požaduje urychlené přijetí návrhu nařízení o bezpečnosti informací v orgánech, institucích a jiných subjektech Unie, který předložila Komise (COM/2022/0119); připomíná, že nařízení o kybernetické bezpečnosti pro orgány, instituce a jiné subjekty EU doporučuje rozpočet na kybernetickou bezpečnost ve výši 10 % celkového rozpočtu na informační a komunikační technologie pro subjekty EU; </w:t>
            </w:r>
            <w:r>
              <w:rPr>
                <w:b/>
                <w:i/>
              </w:rPr>
              <w:t>vítá práci skupiny CERT-EU a trvá na tom, že je třeba mít dostatečný rozpočet a zajistit řádné personální obsazení;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92.</w:t>
            </w:r>
            <w:r>
              <w:tab/>
            </w:r>
            <w:r>
              <w:t xml:space="preserve">vítá úsilí Komise o posílení fyzické a informační bezpečnosti v orgánech EU, jak je uvedeno ve sdělení řídící rady z října 2025, včetně plánů na zabezpečené zasedací místnosti, posílených postupů pro bezpečnostní prověrky zaměstnanců, kteří nakládají s utajovanými informacemi, a zřízení Bezpečnostní akademie s cílem zajistit pravidelné aktuální informace o vývoji hrozeb; konstatuje, že tato opatření reagují na zvýšená rizika špionáže, zahraničního vměšování a </w:t>
            </w:r>
            <w:r>
              <w:rPr>
                <w:b/>
                <w:i/>
              </w:rPr>
              <w:t>hybridních</w:t>
            </w:r>
            <w:r>
              <w:t xml:space="preserve"> hrozeb namířených proti rozhodovacím procesům EU; zdůrazňuje však, že zlepšení fyzické bezpečnosti musí být doplněno spolehlivými protokoly kybernetické bezpečnosti a schopnostmi kontrašpionáže, aby bylo možné řešit celé spektrum rizik infiltrace; požaduje urychlené přijetí návrhu nařízení o bezpečnosti informací v orgánech, institucích a jiných subjektech Unie, který předložila Komise (COM/2022/0119); připomíná, že nařízení o kybernetické bezpečnosti pro orgány, instituce a jiné subjekty EU doporučuje rozpočet na kybernetickou bezpečnost ve výši 10 % celkového rozpočtu na informační a komunikační technologie pro subjekty EU;</w:t>
            </w:r>
          </w:p>
        </w:tc>
        <w:tc>
          <w:tcPr>
            <w:tcW w:w="4876" w:type="dxa"/>
            <w:tcBorders>
              <w:top w:val="nil"/>
              <w:left w:val="nil"/>
              <w:bottom w:val="nil"/>
              <w:right w:val="nil"/>
            </w:tcBorders>
          </w:tcPr>
          <w:p>
            <w:pPr>
              <w:pStyle w:val="Normal6a"/>
            </w:pPr>
            <w:r>
              <w:t>92.</w:t>
            </w:r>
            <w:r>
              <w:tab/>
            </w:r>
            <w:r>
              <w:t>vítá úsilí Komise o posílení fyzické a informační bezpečnosti v orgánech EU, jak je uvedeno ve sdělení řídící rady z října 2025, včetně plánů na zabezpečené zasedací místnosti, posílených postupů pro bezpečnostní prověrky zaměstnanců, kteří nakládají s utajovanými informacemi, a zřízení Bezpečnostní akademie s cílem zajistit pravidelné aktuální informace o vývoji hrozeb; konstatuje, že tato opatření reagují na zvýšená rizika špionáže, zahraničního vměšování a hrozeb namířených proti rozhodovacím procesům EU; zdůrazňuje však, že zlepšení fyzické bezpečnosti musí být doplněno spolehlivými protokoly kybernetické bezpečnosti a schopnostmi kontrašpionáže, aby bylo možné řešit celé spektrum rizik infiltrace; požaduje urychlené přijetí návrhu nařízení o bezpečnosti informací v orgánech, institucích a jiných subjektech Unie, který předložila Komise (COM/2022/0119); připomíná, že nařízení o kybernetické bezpečnosti pro orgány, instituce a jiné subjekty EU doporučuje rozpočet na kybernetickou bezpečnost ve výši 10 % celkového rozpočtu na informační a komunikační technologie pro subjekty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92a.</w:t>
            </w:r>
            <w:r>
              <w:tab/>
            </w:r>
            <w:r>
              <w:rPr>
                <w:b/>
                <w:i/>
              </w:rPr>
              <w:t>vyzývá Komisi, členské státy a Evropský parlament, aby zahájily každoroční přezkum štítu pro demokracii a zajistily plnění závazků, účinné provádění a soustavné zvyšování ambicí;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92b.</w:t>
            </w:r>
            <w:r>
              <w:tab/>
            </w:r>
            <w:r>
              <w:rPr>
                <w:b/>
                <w:i/>
              </w:rPr>
              <w:t>domnívá se, že je třeba, aby na účinné provádění štítu pro demokracii dohlížel zvláštní výbor, nebo aby byla pro tento účel zřízena mezivýborová pracovní skupina;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1645</w:t>
      </w:r>
      <w:r>
        <w:rPr>
          <w:rStyle w:val="HideTWBExt"/>
        </w:rPr>
        <w:t>&lt;/NumAm&gt;</w:t>
      </w:r>
    </w:p>
    <w:p>
      <w:pPr>
        <w:pStyle w:val="NormalBold"/>
      </w:pPr>
      <w:r>
        <w:rPr>
          <w:rStyle w:val="HideTWBExt"/>
          <w:b w:val="0"/>
        </w:rPr>
        <w:t>&lt;RepeatBlock-By&gt;</w:t>
      </w:r>
      <w:r>
        <w:rPr>
          <w:rStyle w:val="HideTWBExt"/>
          <w:b w:val="0"/>
        </w:rPr>
        <w:t>&lt;Members&gt;</w:t>
      </w:r>
      <w:r>
        <w:t>Nathalie Loiseau,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93a.</w:t>
            </w:r>
            <w:r>
              <w:tab/>
            </w:r>
            <w:r>
              <w:rPr>
                <w:b/>
                <w:i/>
              </w:rPr>
              <w:t>doporučuje, jako již učinil dříve, aby byli úředníci Parlamentu a zaměstnanci politických skupin podrobeni náležité bezpečnostní prověrce a aby bylo vypracováno hodnocení toho, kdy je bezpečnostní prověrka zapotřebí také pro akreditované parlamentní asistenty, kteří se zabývají zahraničními věcmi, bezpečností a obranou nebo obchodem, stejně jako je tomu v generálním sekretariátu Rady EU;</w:t>
            </w:r>
            <w:r>
              <w:t xml:space="preserve"> </w:t>
            </w:r>
            <w:r>
              <w:rPr>
                <w:b/>
                <w:i/>
              </w:rPr>
              <w:t>vyzývá proto k vhodné spolupráci s vnitrostátními bezpečnostními službami s cílem zajistit rychlý průběh těchto bezpečnostních prověrek;</w:t>
            </w:r>
            <w:r>
              <w:t xml:space="preserve"> </w:t>
            </w:r>
            <w:r>
              <w:rPr>
                <w:b/>
                <w:i/>
              </w:rPr>
              <w:t>žádá vnitrostátní orgány, aby v případě, že budou požádáni o udělení bezpečnostní prověrky poslancům a zaměstnancům EP, a při vedení veškerých bezpečnostních šetření týkajících se orgánů a institucí EU dodržovaly postupy a společný časový rámec;</w:t>
            </w:r>
            <w:r>
              <w:t xml:space="preserve"> </w:t>
            </w:r>
            <w:r>
              <w:rPr>
                <w:b/>
                <w:i/>
              </w:rPr>
              <w:t>doporučuje, aby byla citlivá setkání organizována pouze s poslanci a zaměstnanci, kteří získali bezpečnostní prověrku;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1646</w:t>
      </w:r>
      <w:r>
        <w:rPr>
          <w:rStyle w:val="HideTWBExt"/>
        </w:rPr>
        <w:t>&lt;/NumAm&gt;</w:t>
      </w:r>
    </w:p>
    <w:p>
      <w:pPr>
        <w:pStyle w:val="NormalBold"/>
      </w:pPr>
      <w:r>
        <w:rPr>
          <w:rStyle w:val="HideTWBExt"/>
          <w:b w:val="0"/>
        </w:rPr>
        <w:t>&lt;RepeatBlock-By&gt;</w:t>
      </w:r>
      <w:r>
        <w:rPr>
          <w:rStyle w:val="HideTWBExt"/>
          <w:b w:val="0"/>
        </w:rPr>
        <w:t>&lt;Members&gt;</w:t>
      </w:r>
      <w:r>
        <w:t>Nathalie Loiseau,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93b.</w:t>
            </w:r>
            <w:r>
              <w:tab/>
            </w:r>
            <w:r>
              <w:rPr>
                <w:b/>
                <w:i/>
              </w:rPr>
              <w:t>je znepokojen tím, že někteří poslanci EP mají vazby režimy, jež otevřeně zasahují do demokratických procesů v Evropě a členských státech;</w:t>
            </w:r>
            <w:r>
              <w:t xml:space="preserve"> </w:t>
            </w:r>
            <w:r>
              <w:rPr>
                <w:b/>
                <w:i/>
              </w:rPr>
              <w:t>konstatuje, že citlivých schůzí a oficiálních pracovních cest Evropského parlamentu do zahraničí by se neměli účastnit poslanci, kteří vyjadřují podporu zemím otevřeně nepřátelským vůči EU a zasahujícím do vnitřních záležitostí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1647</w:t>
      </w:r>
      <w:r>
        <w:rPr>
          <w:rStyle w:val="HideTWBExt"/>
        </w:rPr>
        <w:t>&lt;/NumAm&gt;</w:t>
      </w:r>
    </w:p>
    <w:p>
      <w:pPr>
        <w:pStyle w:val="NormalBold"/>
      </w:pPr>
      <w:r>
        <w:rPr>
          <w:rStyle w:val="HideTWBExt"/>
          <w:b w:val="0"/>
        </w:rPr>
        <w:t>&lt;RepeatBlock-By&gt;</w:t>
      </w:r>
      <w:r>
        <w:rPr>
          <w:rStyle w:val="HideTWBExt"/>
          <w:b w:val="0"/>
        </w:rPr>
        <w:t>&lt;Members&gt;</w:t>
      </w:r>
      <w:r>
        <w:t>Jaroslav Bžoch,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v souvislosti s vnitřní bezpečností Parlamentu konstatuje, že používání soukromých mobilních telefonů a dalších zařízení, jako jsou notebooky, poslanci a zaměstnanci pro pracovní účely představuje zranitelnost, která by mohla být zneužita k útoku na Parlament; zdůrazňuje, že poslanci a zaměstnanci by měli být k plnění svých úkolů vybaveni potřebnými zařízeními IT, jako jsou mobilní telefony a notebooky; vítá v této souvislosti bezpečnostní prověrky nabízené poslancům a zaměstnancům na požádání s cílem odhalit potenciální špionážní software na soukromých zařízeních; vyzývá správu, aby tyto prověrky systematizovala a rozšířila na všechna zařízení používaná pro práci související s Parlamentem; požaduje jasnější pravidla a systematické a vhodné pokyny pro poslance a zaměstnance a ochranná opatření ke zmírnění těchto rizik, zejména během pracovních cest;</w:t>
            </w:r>
          </w:p>
        </w:tc>
        <w:tc>
          <w:tcPr>
            <w:tcW w:w="4876" w:type="dxa"/>
            <w:tcBorders>
              <w:top w:val="nil"/>
              <w:left w:val="nil"/>
              <w:bottom w:val="nil"/>
              <w:right w:val="nil"/>
            </w:tcBorders>
          </w:tcPr>
          <w:p>
            <w:pPr>
              <w:pStyle w:val="Normal6a"/>
            </w:pPr>
            <w:r>
              <w:t>94.</w:t>
            </w:r>
            <w:r>
              <w:tab/>
            </w:r>
            <w:r>
              <w:t>v souvislosti s vnitřní bezpečností Parlamentu konstatuje, že používání soukromých mobilních telefonů a dalších zařízení, jako jsou notebooky, poslanci a zaměstnanci pro pracovní účely představuje zranitelnost, která by mohla být zneužita k útoku na Parlament; zdůrazňuje, že poslanci a zaměstnanci by měli být k plnění svých úkolů vybaveni potřebnými zařízeními IT, jako jsou mobilní telefony a notebooky</w:t>
            </w:r>
            <w:r>
              <w:rPr>
                <w:b/>
                <w:i/>
              </w:rPr>
              <w:t>, včetně bezpečného internetového připojení, které jim v případě potřeby umožní pracovat on-line při cestách do zahraničí</w:t>
            </w:r>
            <w:r>
              <w:t>; vítá v této souvislosti bezpečnostní prověrky nabízené poslancům a zaměstnancům na požádání s cílem odhalit potenciální špionážní software na soukromých zařízeních; vyzývá správu, aby tyto prověrky systematizovala a rozšířila na všechna zařízení používaná pro práci související s Parlamentem; požaduje jasnější pravidla a systematické a vhodné pokyny pro poslance a zaměstnance a ochranná opatření ke zmírnění těchto rizik, zejména během pracovních cest;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v souvislosti s vnitřní bezpečností Parlamentu konstatuje, že používání soukromých mobilních telefonů a dalších zařízení, jako jsou notebooky, poslanci a zaměstnanci pro pracovní účely představuje zranitelnost, která by mohla být zneužita k útoku na Parlament; zdůrazňuje, že poslanci a zaměstnanci by měli být k plnění svých úkolů vybaveni potřebnými zařízeními IT, jako jsou mobilní telefony a notebooky; vítá v této souvislosti bezpečnostní prověrky nabízené poslancům a zaměstnancům na požádání s cílem odhalit potenciální špionážní software na soukromých zařízeních; vyzývá správu, aby tyto prověrky systematizovala a rozšířila na všechna zařízení používaná pro práci související s Parlamentem; požaduje jasnější pravidla a systematické a vhodné pokyny pro poslance a zaměstnance a ochranná opatření ke zmírnění těchto rizik, zejména během pracovních cest;</w:t>
            </w:r>
          </w:p>
        </w:tc>
        <w:tc>
          <w:tcPr>
            <w:tcW w:w="4876" w:type="dxa"/>
            <w:tcBorders>
              <w:top w:val="nil"/>
              <w:left w:val="nil"/>
              <w:bottom w:val="nil"/>
              <w:right w:val="nil"/>
            </w:tcBorders>
          </w:tcPr>
          <w:p>
            <w:pPr>
              <w:pStyle w:val="Normal6a"/>
            </w:pPr>
            <w:r>
              <w:t>94.</w:t>
            </w:r>
            <w:r>
              <w:tab/>
            </w:r>
            <w:r>
              <w:t xml:space="preserve">v souvislosti s vnitřní bezpečností Parlamentu konstatuje, že používání soukromých mobilních telefonů a dalších zařízení, jako jsou notebooky, poslanci a zaměstnanci pro pracovní účely představuje zranitelnost, která by mohla být zneužita k útoku na Parlament; zdůrazňuje, že poslanci a zaměstnanci </w:t>
            </w:r>
            <w:r>
              <w:rPr>
                <w:b/>
                <w:i/>
              </w:rPr>
              <w:t>včetně stážistů</w:t>
            </w:r>
            <w:r>
              <w:t xml:space="preserve"> by měli být k plnění svých úkolů vybaveni potřebnými zařízeními IT, jako jsou mobilní telefony a notebooky; vítá v této souvislosti bezpečnostní prověrky nabízené poslancům a zaměstnancům na požádání s cílem odhalit potenciální špionážní software na soukromých zařízeních; vyzývá správu, aby tyto prověrky systematizovala a rozšířila na všechna zařízení používaná pro práci související s Parlamentem; požaduje jasnější pravidla a systematické a vhodné pokyny pro poslance a zaměstnance a ochranná opatření ke zmírnění těchto rizik, zejména během pracovních cest;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v souvislosti s vnitřní bezpečností Parlamentu konstatuje, že používání soukromých mobilních telefonů a dalších zařízení, jako jsou notebooky, poslanci a zaměstnanci pro pracovní účely představuje zranitelnost, která by mohla být zneužita k útoku na Parlament; zdůrazňuje, že poslanci a zaměstnanci by měli být k plnění svých úkolů vybaveni potřebnými zařízeními IT, jako jsou mobilní telefony a notebooky; vítá v této souvislosti bezpečnostní prověrky nabízené poslancům a zaměstnancům na požádání s cílem odhalit potenciální špionážní software na soukromých zařízeních; vyzývá správu, aby tyto prověrky systematizovala a rozšířila na všechna zařízení používaná pro práci související s Parlamentem; požaduje jasnější pravidla a systematické a vhodné pokyny pro poslance a zaměstnance a ochranná opatření ke zmírnění těchto rizik, zejména během pracovních cest;</w:t>
            </w:r>
          </w:p>
        </w:tc>
        <w:tc>
          <w:tcPr>
            <w:tcW w:w="4876" w:type="dxa"/>
            <w:tcBorders>
              <w:top w:val="nil"/>
              <w:left w:val="nil"/>
              <w:bottom w:val="nil"/>
              <w:right w:val="nil"/>
            </w:tcBorders>
          </w:tcPr>
          <w:p>
            <w:pPr>
              <w:pStyle w:val="Normal6a"/>
            </w:pPr>
            <w:r>
              <w:t>94.</w:t>
            </w:r>
            <w:r>
              <w:tab/>
            </w:r>
            <w:r>
              <w:t xml:space="preserve">v souvislosti s vnitřní bezpečností Parlamentu konstatuje, že používání soukromých mobilních telefonů a dalších zařízení, jako jsou notebooky, poslanci a zaměstnanci pro pracovní účely představuje zranitelnost, která by mohla být zneužita k útoku na Parlament; zdůrazňuje, že poslanci a zaměstnanci by měli být k plnění svých úkolů </w:t>
            </w:r>
            <w:r>
              <w:rPr>
                <w:b/>
                <w:i/>
              </w:rPr>
              <w:t>ve vhodných případech</w:t>
            </w:r>
            <w:r>
              <w:t xml:space="preserve"> vybaveni potřebnými zařízeními IT, jako jsou mobilní telefony a notebooky; vítá v této souvislosti bezpečnostní prověrky nabízené poslancům a zaměstnancům na požádání s cílem odhalit potenciální špionážní software na soukromých zařízeních; vyzývá správu, aby tyto prověrky systematizovala a rozšířila na všechna zařízení používaná pro práci související s Parlamentem; požaduje jasnější pravidla a systematické a vhodné pokyny pro poslance a zaměstnance a ochranná opatření ke zmírnění těchto rizik, zejména během pracovních cest;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1650</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vyjadřuje hluboké znepokojení nad tím, že kritické kapacity EU v oblasti sledování a digitálního vyšetřování jsou zadávány izraelským společnostem, které nabízejí špionážní software, z nichž mnohé působí na území EU, kde využívají různé legislativní mezery, čímž je oslabování digitální suverenita EU;</w:t>
            </w:r>
            <w:r>
              <w:t xml:space="preserve"> </w:t>
            </w:r>
            <w:r>
              <w:rPr>
                <w:b/>
                <w:i/>
              </w:rPr>
              <w:t>vyjadřuje politování nad rozporem mezi proklamovanou „digitální suverenitou“ EU a realitou zadávání nástrojů pro pokročilé sledování, špionáž, pronikání do počítačových systémů a analýz poskytovatelům ze zemí mimo EU, jako je Izrael a USA, zatímco izraelské startupy dvojího užití nadále dostávají značné finanční prostředky EU;</w:t>
            </w:r>
            <w:r>
              <w:t xml:space="preserve"> </w:t>
            </w:r>
            <w:r>
              <w:rPr>
                <w:b/>
                <w:i/>
              </w:rPr>
              <w:t>odsuzuje používání izraelského špionážního softwaru proti novinářům, představitelům opozice, občanské společnosti a dokonce úředníkům EU, což v evropských demokraciích normalizuje logiku sledování okupačního stylu a brání autonomní zahraniční politice EU v izraelsko-palestinské záležitosti tím, že vnějším aktérům poskytuje nepřímý vliv na zpravodajské schopnosti;</w:t>
            </w:r>
            <w:r>
              <w:t xml:space="preserve"> </w:t>
            </w:r>
            <w:r>
              <w:rPr>
                <w:b/>
                <w:i/>
              </w:rPr>
              <w:t>zdůrazňuje, že úloha Izraele v oblasti kybernetické bezpečnosti EU představuje spíše strukturální pronikání než pouhou technickou spolupráci, která mění centrum digitální bezpečnosti z veřejných evropských zájmů na neprůhledné průmyslově-vojenské vazby v zahraničí, čímž se svrchovanost EU nad daty a kybernetickou bezpečností stává do značné míry pouze nominální;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konstatuje, že Brusel hovoří o štítu demokracie, zatímco vlastenečtí vůdci a hlasy jsou terčem nevybíravých útoků:</w:t>
            </w:r>
            <w:r>
              <w:rPr>
                <w:b/>
                <w:i/>
              </w:rPr>
              <w:t>Charlie Kirk byl zastřelen,</w:t>
            </w:r>
            <w:r>
              <w:rPr>
                <w:b/>
                <w:i/>
              </w:rPr>
              <w:t>český premiér Andrej Babiš byl napaden kovovým předmětem,</w:t>
            </w:r>
            <w:r>
              <w:rPr>
                <w:b/>
                <w:i/>
              </w:rPr>
              <w:t>na Roberta Fica, předsedu vlády Slovenska, byl spáchán neúspěšný pokus o atentát,</w:t>
            </w:r>
            <w:r>
              <w:rPr>
                <w:b/>
                <w:i/>
              </w:rPr>
              <w:t>a dokonce i Jordan Bardella byl v listopadu napaden důchodcem-recidivistou;</w:t>
            </w:r>
            <w:r>
              <w:rPr>
                <w:b/>
                <w:i/>
              </w:rPr>
              <w:t>konstatuje, že k tomuto násilí dochází výhradně na jedné straně;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lituje, že ne všichni političtí aktéři jednomyslně odsuzují tyto hrozby pro demokracii;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1652</w:t>
      </w:r>
      <w:r>
        <w:rPr>
          <w:rStyle w:val="HideTWBExt"/>
        </w:rPr>
        <w:t>&lt;/NumAm&gt;</w:t>
      </w:r>
    </w:p>
    <w:p>
      <w:pPr>
        <w:pStyle w:val="NormalBold"/>
      </w:pPr>
      <w:r>
        <w:rPr>
          <w:rStyle w:val="HideTWBExt"/>
          <w:b w:val="0"/>
        </w:rPr>
        <w:t>&lt;RepeatBlock-By&gt;</w:t>
      </w:r>
      <w:r>
        <w:rPr>
          <w:rStyle w:val="HideTWBExt"/>
          <w:b w:val="0"/>
        </w:rPr>
        <w:t>&lt;Members&gt;</w:t>
      </w:r>
      <w:r>
        <w:t>Jaroslav Bžoch,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zdůrazňuje, že zaměstnanci EU by měli být vybaveni zabezpečenými pracovními mobilními telefony a notebooky a dalšími zařízeními zajišťujícími trvalé mobilní připojení k internetu;</w:t>
            </w:r>
            <w:r>
              <w:t xml:space="preserve"> </w:t>
            </w:r>
            <w:r>
              <w:rPr>
                <w:b/>
                <w:i/>
              </w:rPr>
              <w:t>zdůrazňuje, že je třeba se vyhnout používání nezajištěných sítí wi-fi, zejména mimo EU nebo mimo pokrytí sítí orgánů EU, a že v prostorách orgánů EU by měly být používány pouze bezpečné sítě;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1653</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94b.</w:t>
            </w:r>
            <w:r>
              <w:tab/>
            </w:r>
            <w:r>
              <w:rPr>
                <w:b/>
                <w:i/>
              </w:rPr>
              <w:t>naléhavě vyzývá Komisi a Radu, aby provedly okamžitý audit všech smluv EU a členských států s izraelskými firmami v oblasti kybernetické bezpečnosti, včetně toků údajů, dodržování obecného nařízení o ochraně osobních údajů a aktu o digitálních službách a rizik pro suverenitu;</w:t>
            </w:r>
            <w:r>
              <w:t xml:space="preserve"> </w:t>
            </w:r>
            <w:r>
              <w:rPr>
                <w:b/>
                <w:i/>
              </w:rPr>
              <w:t>vyzývá Komisi a Radu, aby pozastavily financování programu Horizont Evropa pro izraelské subjekty působících v oblasti špionážního softwaru a sledovacích technologií dvojího užití, dokud nebude zajištěna plná transparentnost a dodržování etických zásad;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1654</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94b.</w:t>
            </w:r>
            <w:r>
              <w:tab/>
            </w:r>
            <w:r>
              <w:rPr>
                <w:b/>
                <w:i/>
              </w:rPr>
              <w:t>zdůrazňuje, že volební právo patří striktně do pravomoci členských států;</w:t>
            </w:r>
            <w:r>
              <w:t xml:space="preserve"> </w:t>
            </w:r>
            <w:r>
              <w:rPr>
                <w:b/>
                <w:i/>
              </w:rPr>
              <w:t>připomíná, že Komise může případně poskytnout podporu nebo pomoc, ale nemůže v této oblasti převzít úlohu orgánu dohledu či regulačního nebo rozhodovacího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94c.</w:t>
            </w:r>
            <w:r>
              <w:tab/>
            </w:r>
            <w:r>
              <w:rPr>
                <w:b/>
                <w:i/>
              </w:rPr>
              <w:t>připomíná, že evropská demokracie je založena na volbách a na právu voličů svobodně a tajně volit své zástupce dle svých přání, a to v ústavním a právním rámci svých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784.433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156</w:t>
    </w:r>
    <w:r>
      <w:fldChar w:fldCharType="end"/>
    </w:r>
    <w:r>
      <w:t>/</w:t>
    </w:r>
    <w:r>
      <w:fldChar w:fldCharType="begin"/>
    </w:r>
    <w:r>
      <w:instrText xml:space="preserve"> NUMPAGES </w:instrText>
    </w:r>
    <w:r>
      <w:fldChar w:fldCharType="separate"/>
    </w:r>
    <w:r>
      <w:t>156</w:t>
    </w:r>
    <w:r>
      <w:fldChar w:fldCharType="end"/>
    </w:r>
    <w:r>
      <w:tab/>
    </w:r>
    <w:r>
      <w:rPr>
        <w:rStyle w:val="HideTWBExt"/>
      </w:rPr>
      <w:t>&lt;PathFdR&gt;</w:t>
    </w:r>
    <w:r>
      <w:t>AM\1337514CS.docx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AM\1337514CS.docx</w:t>
    </w:r>
    <w:r>
      <w:rPr>
        <w:rStyle w:val="HideTWBExt"/>
      </w:rPr>
      <w:t>&lt;/PathFdR&gt;</w:t>
    </w:r>
    <w:r>
      <w:tab/>
    </w:r>
    <w:r>
      <w:fldChar w:fldCharType="begin"/>
    </w:r>
    <w:r>
      <w:instrText xml:space="preserve"> PAGE </w:instrText>
    </w:r>
    <w:r>
      <w:fldChar w:fldCharType="separate"/>
    </w:r>
    <w:r>
      <w:t>155</w:t>
    </w:r>
    <w:r>
      <w:fldChar w:fldCharType="end"/>
    </w:r>
    <w:r>
      <w:t>/</w:t>
    </w:r>
    <w:r>
      <w:fldChar w:fldCharType="begin"/>
    </w:r>
    <w:r>
      <w:instrText xml:space="preserve"> NUMPAGES </w:instrText>
    </w:r>
    <w:r>
      <w:fldChar w:fldCharType="separate"/>
    </w:r>
    <w:r>
      <w:t>156</w:t>
    </w:r>
    <w:r>
      <w:fldChar w:fldCharType="end"/>
    </w:r>
    <w:r>
      <w:tab/>
    </w:r>
    <w:r>
      <w:t>PE</w:t>
    </w:r>
    <w:r>
      <w:rPr>
        <w:rStyle w:val="HideTWBExt"/>
      </w:rPr>
      <w:t>&lt;NoPE&gt;</w:t>
    </w:r>
    <w:r>
      <w:t>784.433</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AM\1337514CS.docx</w:t>
    </w:r>
    <w:r>
      <w:rPr>
        <w:rStyle w:val="HideTWBExt"/>
      </w:rPr>
      <w:t>&lt;/PathFdR&gt;</w:t>
    </w:r>
    <w:r>
      <w:tab/>
    </w:r>
    <w:r>
      <w:tab/>
    </w:r>
    <w:r>
      <w:t>PE</w:t>
    </w:r>
    <w:r>
      <w:rPr>
        <w:rStyle w:val="HideTWBExt"/>
      </w:rPr>
      <w:t>&lt;NoPE&gt;</w:t>
    </w:r>
    <w:r>
      <w:t>784.433</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156</Pages>
  <Words>38006</Words>
  <Characters>237092</Characters>
  <Application>Microsoft Office Word</Application>
  <DocSecurity>0</DocSecurity>
  <Lines>1</Lines>
  <Paragraphs>2188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1337514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420076</vt:lpwstr>
  </property>
  <property fmtid="{D5CDD505-2E9C-101B-9397-08002B2CF9AE}" pid="7" name="dmxml.render.traceId">
    <vt:lpwstr>69b3d73ed37ad3d00b08964f77d1ac64</vt:lpwstr>
  </property>
  <property fmtid="{D5CDD505-2E9C-101B-9397-08002B2CF9AE}" pid="8" name="FooterPath">
    <vt:lpwstr>AM\1337514CS.docx</vt:lpwstr>
  </property>
  <property fmtid="{D5CDD505-2E9C-101B-9397-08002B2CF9AE}" pid="9" name="PE Number">
    <vt:lpwstr>784.433</vt:lpwstr>
  </property>
  <property fmtid="{D5CDD505-2E9C-101B-9397-08002B2CF9AE}" pid="10" name="UID">
    <vt:lpwstr>eu.europa.europarl-DIN1-2026-0000036102_01.00-cs-01.00_text-xml</vt:lpwstr>
  </property>
</Properties>
</file>